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p>
      <w:pPr>
        <w:spacing w:line="2280" w:lineRule="exact"/>
        <w:ind w:left="31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5"/>
          <w:sz w:val="20"/>
          <w:szCs w:val="20"/>
        </w:rPr>
        <w:drawing>
          <wp:inline distT="0" distB="0" distL="0" distR="0">
            <wp:extent cx="1409699" cy="14478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09699" cy="1447800"/>
                    </a:xfrm>
                    <a:prstGeom prst="rect">
                      <a:avLst/>
                    </a:prstGeom>
                  </pic:spPr>
                </pic:pic>
              </a:graphicData>
            </a:graphic>
          </wp:inline>
        </w:drawing>
      </w:r>
      <w:r>
        <w:rPr>
          <w:rFonts w:ascii="Times New Roman" w:hAnsi="Times New Roman" w:cs="Times New Roman" w:eastAsia="Times New Roman" w:hint="default"/>
          <w:position w:val="-45"/>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722" w:right="1721" w:firstLine="0"/>
        <w:jc w:val="center"/>
        <w:rPr>
          <w:rFonts w:ascii="宋体" w:hAnsi="宋体" w:cs="宋体" w:eastAsia="宋体" w:hint="default"/>
          <w:sz w:val="36"/>
          <w:szCs w:val="36"/>
        </w:rPr>
      </w:pPr>
      <w:r>
        <w:rPr>
          <w:rFonts w:ascii="宋体" w:hAnsi="宋体" w:cs="宋体" w:eastAsia="宋体" w:hint="default"/>
          <w:b/>
          <w:bCs/>
          <w:sz w:val="36"/>
          <w:szCs w:val="36"/>
        </w:rPr>
        <w:t>山东晨鸣纸业集团股份有限公司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722" w:right="17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721" w:right="17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4" w:right="0"/>
        <w:jc w:val="left"/>
        <w:rPr>
          <w:b w:val="0"/>
          <w:bCs w:val="0"/>
        </w:rPr>
      </w:pPr>
      <w:bookmarkStart w:name="_bookmark0"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21" w:type="dxa"/>
        <w:tblLayout w:type="fixed"/>
        <w:tblCellMar>
          <w:top w:w="0" w:type="dxa"/>
          <w:left w:w="0" w:type="dxa"/>
          <w:bottom w:w="0" w:type="dxa"/>
          <w:right w:w="0" w:type="dxa"/>
        </w:tblCellMar>
        <w:tblLook w:val="01E0"/>
      </w:tblPr>
      <w:tblGrid>
        <w:gridCol w:w="2423"/>
        <w:gridCol w:w="2423"/>
        <w:gridCol w:w="2424"/>
        <w:gridCol w:w="2424"/>
      </w:tblGrid>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崔友平</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因公务无法亲自出席</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r>
      <w:tr>
        <w:trPr>
          <w:trHeight w:val="40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张志元</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因公务无法亲自出席</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  宏</w:t>
            </w:r>
          </w:p>
        </w:tc>
      </w:tr>
    </w:tbl>
    <w:p>
      <w:pPr>
        <w:spacing w:line="240" w:lineRule="auto" w:before="2"/>
        <w:rPr>
          <w:rFonts w:ascii="宋体" w:hAnsi="宋体" w:cs="宋体" w:eastAsia="宋体" w:hint="default"/>
          <w:b/>
          <w:bCs/>
          <w:sz w:val="13"/>
          <w:szCs w:val="13"/>
        </w:rPr>
      </w:pPr>
    </w:p>
    <w:p>
      <w:pPr>
        <w:spacing w:line="398" w:lineRule="auto" w:before="13"/>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公司经本次董事会审议通过的利润分配预案为：以分红派息股权登记日股</w:t>
      </w:r>
      <w:r>
        <w:rPr>
          <w:rFonts w:ascii="宋体" w:hAnsi="宋体" w:cs="宋体" w:eastAsia="宋体" w:hint="default"/>
          <w:b/>
          <w:bCs/>
          <w:spacing w:val="4"/>
          <w:w w:val="99"/>
          <w:sz w:val="28"/>
          <w:szCs w:val="28"/>
        </w:rPr>
        <w:t> </w:t>
      </w:r>
      <w:r>
        <w:rPr>
          <w:rFonts w:ascii="宋体" w:hAnsi="宋体" w:cs="宋体" w:eastAsia="宋体" w:hint="default"/>
          <w:b/>
          <w:bCs/>
          <w:spacing w:val="-5"/>
          <w:w w:val="99"/>
          <w:sz w:val="28"/>
          <w:szCs w:val="28"/>
        </w:rPr>
        <w:t>份数为基数，向全体股东每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3.00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30"/>
          <w:w w:val="99"/>
          <w:sz w:val="28"/>
          <w:szCs w:val="28"/>
        </w:rPr>
        <w:t>元（含税），送红股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股（含</w:t>
      </w:r>
      <w:r>
        <w:rPr>
          <w:rFonts w:ascii="宋体" w:hAnsi="宋体" w:cs="宋体" w:eastAsia="宋体" w:hint="default"/>
          <w:b/>
          <w:bCs/>
          <w:w w:val="99"/>
          <w:sz w:val="28"/>
          <w:szCs w:val="28"/>
        </w:rPr>
        <w:t> </w:t>
      </w:r>
      <w:r>
        <w:rPr>
          <w:rFonts w:ascii="宋体" w:hAnsi="宋体" w:cs="宋体" w:eastAsia="宋体" w:hint="default"/>
          <w:b/>
          <w:bCs/>
          <w:spacing w:val="-10"/>
          <w:w w:val="99"/>
          <w:sz w:val="28"/>
          <w:szCs w:val="28"/>
        </w:rPr>
        <w:t>税），不以公积金转增股本。</w:t>
      </w:r>
      <w:r>
        <w:rPr>
          <w:rFonts w:ascii="宋体" w:hAnsi="宋体" w:cs="宋体" w:eastAsia="宋体" w:hint="default"/>
          <w:sz w:val="28"/>
          <w:szCs w:val="28"/>
        </w:rPr>
      </w:r>
    </w:p>
    <w:p>
      <w:pPr>
        <w:spacing w:line="386" w:lineRule="auto" w:before="171"/>
        <w:ind w:left="153"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公司负责人陈洪国、主管会计工作负责人李栋及会计机构负责人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刘军声明：保证年度报告中财务报告的真实、准确、完整。</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headerReference w:type="default" r:id="rId6"/>
          <w:footerReference w:type="default" r:id="rId7"/>
          <w:pgSz w:w="11910" w:h="16840"/>
          <w:pgMar w:header="877" w:footer="950" w:top="1100" w:bottom="114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3702" w:right="370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 重要提示、目录和释义</w:t>
            </w:r>
          </w:hyperlink>
          <w:r>
            <w:rPr>
              <w:rFonts w:ascii="Times New Roman" w:hAnsi="Times New Roman" w:cs="Times New Roman" w:eastAsia="Times New Roman" w:hint="default"/>
            </w:rPr>
            <w:tab/>
          </w:r>
          <w:hyperlink w:history="true" w:anchor="_bookmark0">
            <w:r>
              <w:rPr>
                <w:rFonts w:ascii="Times New Roman" w:hAnsi="Times New Roman" w:cs="Times New Roman" w:eastAsia="Times New Roman" w:hint="default"/>
              </w:rPr>
              <w:t>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w:t>
            </w:r>
          </w:hyperlink>
          <w:r>
            <w:rPr>
              <w:rFonts w:ascii="Times New Roman" w:hAnsi="Times New Roman" w:cs="Times New Roman" w:eastAsia="Times New Roman" w:hint="default"/>
            </w:rPr>
            <w:tab/>
          </w:r>
          <w:hyperlink w:history="true" w:anchor="_bookmark1">
            <w:r>
              <w:rPr>
                <w:rFonts w:ascii="Times New Roman" w:hAnsi="Times New Roman" w:cs="Times New Roman" w:eastAsia="Times New Roman" w:hint="default"/>
              </w:rPr>
              <w:t>6</w:t>
            </w:r>
          </w:hyperlink>
        </w:p>
        <w:p>
          <w:pPr>
            <w:pStyle w:val="TOC1"/>
            <w:tabs>
              <w:tab w:pos="9781" w:val="right" w:leader="dot"/>
            </w:tabs>
            <w:spacing w:line="240" w:lineRule="auto" w:before="176"/>
            <w:ind w:right="0"/>
            <w:jc w:val="left"/>
            <w:rPr>
              <w:rFonts w:ascii="Times New Roman" w:hAnsi="Times New Roman" w:cs="Times New Roman" w:eastAsia="Times New Roman" w:hint="default"/>
            </w:rPr>
          </w:pPr>
          <w:hyperlink w:history="true" w:anchor="_bookmark2">
            <w:r>
              <w:rPr/>
              <w:t>第三节 会计数据和财务指标摘要</w:t>
            </w:r>
          </w:hyperlink>
          <w:r>
            <w:rPr>
              <w:rFonts w:ascii="Times New Roman" w:hAnsi="Times New Roman" w:cs="Times New Roman" w:eastAsia="Times New Roman" w:hint="default"/>
            </w:rPr>
            <w:tab/>
          </w:r>
          <w:hyperlink w:history="true" w:anchor="_bookmark2">
            <w:r>
              <w:rPr>
                <w:rFonts w:ascii="Times New Roman" w:hAnsi="Times New Roman" w:cs="Times New Roman" w:eastAsia="Times New Roman" w:hint="default"/>
              </w:rPr>
              <w:t>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3">
            <w:r>
              <w:rPr/>
              <w:t>第四节 董事长报告</w:t>
            </w:r>
          </w:hyperlink>
          <w:r>
            <w:rPr>
              <w:rFonts w:ascii="Times New Roman" w:hAnsi="Times New Roman" w:cs="Times New Roman" w:eastAsia="Times New Roman" w:hint="default"/>
            </w:rPr>
            <w:tab/>
          </w:r>
          <w:hyperlink w:history="true" w:anchor="_bookmark3">
            <w:r>
              <w:rPr>
                <w:rFonts w:ascii="Times New Roman" w:hAnsi="Times New Roman" w:cs="Times New Roman" w:eastAsia="Times New Roman" w:hint="default"/>
              </w:rPr>
              <w:t>10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4">
            <w:r>
              <w:rPr/>
              <w:t>第五节 董事会报告</w:t>
            </w:r>
          </w:hyperlink>
          <w:r>
            <w:rPr>
              <w:rFonts w:ascii="Times New Roman" w:hAnsi="Times New Roman" w:cs="Times New Roman" w:eastAsia="Times New Roman" w:hint="default"/>
            </w:rPr>
            <w:tab/>
          </w:r>
          <w:hyperlink w:history="true" w:anchor="_bookmark4">
            <w:r>
              <w:rPr>
                <w:rFonts w:ascii="Times New Roman" w:hAnsi="Times New Roman" w:cs="Times New Roman" w:eastAsia="Times New Roman" w:hint="default"/>
              </w:rPr>
              <w:t>12</w:t>
            </w:r>
          </w:hyperlink>
        </w:p>
        <w:p>
          <w:pPr>
            <w:pStyle w:val="TOC1"/>
            <w:tabs>
              <w:tab w:pos="9781" w:val="right" w:leader="dot"/>
            </w:tabs>
            <w:spacing w:line="240" w:lineRule="auto" w:before="176"/>
            <w:ind w:right="0"/>
            <w:jc w:val="left"/>
            <w:rPr>
              <w:rFonts w:ascii="Times New Roman" w:hAnsi="Times New Roman" w:cs="Times New Roman" w:eastAsia="Times New Roman" w:hint="default"/>
            </w:rPr>
          </w:pPr>
          <w:hyperlink w:history="true" w:anchor="_bookmark5">
            <w:r>
              <w:rPr/>
              <w:t>第六节 重要事项</w:t>
            </w:r>
          </w:hyperlink>
          <w:r>
            <w:rPr>
              <w:rFonts w:ascii="Times New Roman" w:hAnsi="Times New Roman" w:cs="Times New Roman" w:eastAsia="Times New Roman" w:hint="default"/>
            </w:rPr>
            <w:tab/>
          </w:r>
          <w:hyperlink w:history="true" w:anchor="_bookmark5">
            <w:r>
              <w:rPr>
                <w:rFonts w:ascii="Times New Roman" w:hAnsi="Times New Roman" w:cs="Times New Roman" w:eastAsia="Times New Roman" w:hint="default"/>
              </w:rPr>
              <w:t>39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6">
            <w:r>
              <w:rPr/>
              <w:t>第七节 股份变动及股东情况</w:t>
            </w:r>
          </w:hyperlink>
          <w:r>
            <w:rPr>
              <w:rFonts w:ascii="Times New Roman" w:hAnsi="Times New Roman" w:cs="Times New Roman" w:eastAsia="Times New Roman" w:hint="default"/>
            </w:rPr>
            <w:tab/>
          </w:r>
          <w:hyperlink w:history="true" w:anchor="_bookmark6">
            <w:r>
              <w:rPr>
                <w:rFonts w:ascii="Times New Roman" w:hAnsi="Times New Roman" w:cs="Times New Roman" w:eastAsia="Times New Roman" w:hint="default"/>
              </w:rPr>
              <w:t>54</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hyperlink>
          <w:r>
            <w:rPr>
              <w:rFonts w:ascii="Times New Roman" w:hAnsi="Times New Roman" w:cs="Times New Roman" w:eastAsia="Times New Roman" w:hint="default"/>
            </w:rPr>
            <w:tab/>
          </w:r>
          <w:hyperlink w:history="true" w:anchor="_bookmark7">
            <w:r>
              <w:rPr>
                <w:rFonts w:ascii="Times New Roman" w:hAnsi="Times New Roman" w:cs="Times New Roman" w:eastAsia="Times New Roman" w:hint="default"/>
              </w:rPr>
              <w:t>60</w:t>
            </w:r>
          </w:hyperlink>
        </w:p>
        <w:p>
          <w:pPr>
            <w:pStyle w:val="TOC1"/>
            <w:tabs>
              <w:tab w:pos="9781" w:val="right" w:leader="dot"/>
            </w:tabs>
            <w:spacing w:line="240" w:lineRule="auto" w:before="176"/>
            <w:ind w:right="0"/>
            <w:jc w:val="left"/>
            <w:rPr>
              <w:rFonts w:ascii="Times New Roman" w:hAnsi="Times New Roman" w:cs="Times New Roman" w:eastAsia="Times New Roman" w:hint="default"/>
            </w:rPr>
          </w:pPr>
          <w:hyperlink w:history="true" w:anchor="_bookmark8">
            <w:r>
              <w:rPr/>
              <w:t>第九节 公司治理</w:t>
            </w:r>
          </w:hyperlink>
          <w:r>
            <w:rPr>
              <w:rFonts w:ascii="Times New Roman" w:hAnsi="Times New Roman" w:cs="Times New Roman" w:eastAsia="Times New Roman" w:hint="default"/>
            </w:rPr>
            <w:tab/>
          </w:r>
          <w:hyperlink w:history="true" w:anchor="_bookmark8">
            <w:r>
              <w:rPr>
                <w:rFonts w:ascii="Times New Roman" w:hAnsi="Times New Roman" w:cs="Times New Roman" w:eastAsia="Times New Roman" w:hint="default"/>
              </w:rPr>
              <w:t>69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9">
            <w:r>
              <w:rPr/>
              <w:t>第十节 内部控制</w:t>
            </w:r>
          </w:hyperlink>
          <w:r>
            <w:rPr>
              <w:rFonts w:ascii="Times New Roman" w:hAnsi="Times New Roman" w:cs="Times New Roman" w:eastAsia="Times New Roman" w:hint="default"/>
            </w:rPr>
            <w:tab/>
          </w:r>
          <w:hyperlink w:history="true" w:anchor="_bookmark9">
            <w:r>
              <w:rPr>
                <w:rFonts w:ascii="Times New Roman" w:hAnsi="Times New Roman" w:cs="Times New Roman" w:eastAsia="Times New Roman" w:hint="default"/>
              </w:rPr>
              <w:t>81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hyperlink>
          <w:r>
            <w:rPr>
              <w:rFonts w:ascii="Times New Roman" w:hAnsi="Times New Roman" w:cs="Times New Roman" w:eastAsia="Times New Roman" w:hint="default"/>
            </w:rPr>
            <w:tab/>
          </w:r>
          <w:hyperlink w:history="true" w:anchor="_bookmark10">
            <w:r>
              <w:rPr>
                <w:rFonts w:ascii="Times New Roman" w:hAnsi="Times New Roman" w:cs="Times New Roman" w:eastAsia="Times New Roman" w:hint="default"/>
              </w:rPr>
              <w:t>86</w:t>
            </w:r>
          </w:hyperlink>
        </w:p>
        <w:p>
          <w:pPr>
            <w:pStyle w:val="TOC1"/>
            <w:tabs>
              <w:tab w:pos="9781" w:val="right" w:leader="dot"/>
            </w:tabs>
            <w:spacing w:line="240" w:lineRule="auto" w:before="176"/>
            <w:ind w:right="0"/>
            <w:jc w:val="left"/>
            <w:rPr>
              <w:rFonts w:ascii="Times New Roman" w:hAnsi="Times New Roman" w:cs="Times New Roman" w:eastAsia="Times New Roman" w:hint="default"/>
            </w:rPr>
          </w:pPr>
          <w:hyperlink w:history="true" w:anchor="_bookmark11">
            <w:r>
              <w:rPr/>
              <w:t>第十二节 备查文件目录</w:t>
            </w:r>
          </w:hyperlink>
          <w:r>
            <w:rPr>
              <w:rFonts w:ascii="Times New Roman" w:hAnsi="Times New Roman" w:cs="Times New Roman" w:eastAsia="Times New Roman" w:hint="default"/>
            </w:rPr>
            <w:tab/>
          </w:r>
          <w:hyperlink w:history="true" w:anchor="_bookmark11">
            <w:r>
              <w:rPr>
                <w:rFonts w:ascii="Times New Roman" w:hAnsi="Times New Roman" w:cs="Times New Roman" w:eastAsia="Times New Roman" w:hint="default"/>
              </w:rPr>
              <w:t>208</w:t>
            </w:r>
          </w:hyperlink>
        </w:p>
      </w:sdtContent>
    </w:sdt>
    <w:p>
      <w:pPr>
        <w:spacing w:after="0" w:line="240" w:lineRule="auto"/>
        <w:jc w:val="left"/>
        <w:rPr>
          <w:rFonts w:ascii="Times New Roman" w:hAnsi="Times New Roman" w:cs="Times New Roman" w:eastAsia="Times New Roman" w:hint="default"/>
        </w:rPr>
        <w:sectPr>
          <w:pgSz w:w="11910" w:h="16840"/>
          <w:pgMar w:header="877" w:footer="950" w:top="1100" w:bottom="1140" w:left="980" w:right="980"/>
        </w:sectPr>
      </w:pPr>
    </w:p>
    <w:p>
      <w:pPr>
        <w:spacing w:before="893"/>
        <w:ind w:left="3702" w:right="370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2"/>
        <w:gridCol w:w="5423"/>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公司、本公司、晨鸣纸业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山东晨鸣纸业集团股份有限公司及其附属企业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晨鸣控股</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联交所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香港联合交易所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山东证监局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中国证券监督管理委员会山东监管局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武汉晨鸣汉阳纸业有限责任公司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香港晨鸣</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海鸣矿业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延边晨鸣</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中瑞岳华</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德国晨鸣</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GmbH</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晨鸣销售公司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晨鸣热电</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湛江墙体</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湛江晨鸣新型墙体材料有限公司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湛江美伦</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鸿翔印刷</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上海润晨</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上海润晨股权投资基金有限公司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晨建公司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武汉晨建新型墙体材料有限责任公司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湖北浙商</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湖北浙商万兴投资有限公司</w:t>
            </w:r>
          </w:p>
        </w:tc>
      </w:tr>
    </w:tbl>
    <w:p>
      <w:pPr>
        <w:spacing w:after="0" w:line="240" w:lineRule="auto"/>
        <w:jc w:val="left"/>
        <w:rPr>
          <w:rFonts w:ascii="宋体" w:hAnsi="宋体" w:cs="宋体" w:eastAsia="宋体" w:hint="default"/>
          <w:sz w:val="18"/>
          <w:szCs w:val="18"/>
        </w:rPr>
        <w:sectPr>
          <w:pgSz w:w="11910" w:h="16840"/>
          <w:pgMar w:header="877" w:footer="950" w:top="1100" w:bottom="114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1"/>
        <w:ind w:left="3702" w:right="3702"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08" w:lineRule="auto" w:before="0"/>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公司面临受宏观经济波动、国家政策调整、行业竞争加剧、利率和汇率变</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动等风险因素影响，敬请广大投资者注意投资风险。详细内容敬请查阅董事会</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报告中关于公司未来发展的展望中可能面对的风险因素和对策部分的内容。</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877" w:footer="950" w:top="1100" w:bottom="1140" w:left="980" w:right="980"/>
        </w:sectPr>
      </w:pPr>
    </w:p>
    <w:p>
      <w:pPr>
        <w:spacing w:line="240" w:lineRule="auto" w:before="0"/>
        <w:rPr>
          <w:rFonts w:ascii="宋体" w:hAnsi="宋体" w:cs="宋体" w:eastAsia="宋体" w:hint="default"/>
          <w:b/>
          <w:bCs/>
          <w:sz w:val="20"/>
          <w:szCs w:val="20"/>
        </w:rPr>
      </w:pPr>
      <w:r>
        <w:rPr/>
        <w:pict>
          <v:group style="position:absolute;margin-left:171.059998pt;margin-top:309.390015pt;width:362.7pt;height:20.7pt;mso-position-horizontal-relative:page;mso-position-vertical-relative:page;z-index:-1457056" coordorigin="3421,6188" coordsize="7254,414">
            <v:group style="position:absolute;left:3433;top:6199;width:2;height:392" coordorigin="3433,6199" coordsize="2,392">
              <v:shape style="position:absolute;left:3433;top:6199;width:2;height:392" coordorigin="3433,6199" coordsize="0,392" path="m3433,6199l3433,6590e" filled="false" stroked="true" strokeweight="1.140pt" strokecolor="#ffffff">
                <v:path arrowok="t"/>
              </v:shape>
            </v:group>
            <v:group style="position:absolute;left:3444;top:6198;width:7232;height:393" coordorigin="3444,6198" coordsize="7232,393">
              <v:shape style="position:absolute;left:3444;top:6198;width:7232;height:393" coordorigin="3444,6198" coordsize="7232,393" path="m3444,6590l10675,6590,10675,6198,3444,6198,3444,6590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pStyle w:val="Heading1"/>
        <w:spacing w:line="240" w:lineRule="auto" w:before="154"/>
        <w:ind w:left="3702" w:right="3701"/>
        <w:jc w:val="center"/>
        <w:rPr>
          <w:b w:val="0"/>
          <w:bCs w:val="0"/>
        </w:rPr>
      </w:pPr>
      <w:bookmarkStart w:name="_bookmark1" w:id="2"/>
      <w:bookmarkEnd w:id="2"/>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000488</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 </w:t>
            </w:r>
            <w:r>
              <w:rPr>
                <w:rFonts w:ascii="Times New Roman" w:hAnsi="Times New Roman" w:cs="Times New Roman" w:eastAsia="Times New Roman" w:hint="default"/>
                <w:sz w:val="18"/>
                <w:szCs w:val="18"/>
              </w:rPr>
              <w:t>B</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200488</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晨鸣纸业</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01812</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深圳证券交易所、香港联合交易所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晨鸣纸业</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SHANDONG    CHENMING    </w:t>
            </w:r>
            <w:r>
              <w:rPr>
                <w:rFonts w:ascii="Times New Roman"/>
                <w:spacing w:val="-5"/>
                <w:sz w:val="18"/>
              </w:rPr>
              <w:t>PAPER    </w:t>
            </w:r>
            <w:r>
              <w:rPr>
                <w:rFonts w:ascii="Times New Roman"/>
                <w:sz w:val="18"/>
              </w:rPr>
              <w:t>HOLDINGS  </w:t>
            </w:r>
            <w:r>
              <w:rPr>
                <w:rFonts w:ascii="Times New Roman"/>
                <w:spacing w:val="44"/>
                <w:sz w:val="18"/>
              </w:rPr>
              <w:t> </w:t>
            </w:r>
            <w:r>
              <w:rPr>
                <w:rFonts w:ascii="Times New Roman"/>
                <w:sz w:val="18"/>
              </w:rPr>
              <w:t>LIMITED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SCPH</w:t>
            </w:r>
            <w:r>
              <w:rPr>
                <w:rFonts w:ascii="Times New Roman" w:hAnsi="Times New Roman" w:cs="Times New Roman" w:eastAsia="Times New Roman" w:hint="default"/>
                <w:sz w:val="18"/>
                <w:szCs w:val="18"/>
              </w:rPr>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陈洪国</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山东省寿光市圣城街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262700</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262705</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8">
              <w:r>
                <w:rPr>
                  <w:rFonts w:ascii="Times New Roman"/>
                  <w:sz w:val="18"/>
                </w:rPr>
                <w:t>http://www.chenmingpaper.com</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9">
              <w:r>
                <w:rPr>
                  <w:rFonts w:ascii="Times New Roman"/>
                  <w:sz w:val="18"/>
                </w:rPr>
                <w:t>chenmmingpaper@163.com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1996"/>
        <w:gridCol w:w="2701"/>
        <w:gridCol w:w="2561"/>
        <w:gridCol w:w="2424"/>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5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5" w:right="0"/>
              <w:jc w:val="left"/>
              <w:rPr>
                <w:rFonts w:ascii="宋体" w:hAnsi="宋体" w:cs="宋体" w:eastAsia="宋体" w:hint="default"/>
                <w:sz w:val="18"/>
                <w:szCs w:val="18"/>
              </w:rPr>
            </w:pPr>
            <w:r>
              <w:rPr>
                <w:rFonts w:ascii="宋体" w:hAnsi="宋体" w:cs="宋体" w:eastAsia="宋体" w:hint="default"/>
                <w:sz w:val="18"/>
                <w:szCs w:val="18"/>
              </w:rPr>
              <w:t>证券事务代表</w:t>
            </w:r>
          </w:p>
        </w:tc>
        <w:tc>
          <w:tcPr>
            <w:tcW w:w="2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5" w:right="0"/>
              <w:jc w:val="left"/>
              <w:rPr>
                <w:rFonts w:ascii="宋体" w:hAnsi="宋体" w:cs="宋体" w:eastAsia="宋体" w:hint="default"/>
                <w:sz w:val="18"/>
                <w:szCs w:val="18"/>
              </w:rPr>
            </w:pPr>
            <w:r>
              <w:rPr>
                <w:rFonts w:ascii="宋体" w:hAnsi="宋体" w:cs="宋体" w:eastAsia="宋体" w:hint="default"/>
                <w:sz w:val="18"/>
                <w:szCs w:val="18"/>
              </w:rPr>
              <w:t>香港公司秘书</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肖鹏</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潘兆昌</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山东省寿光市农圣东街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2199 </w:t>
            </w:r>
            <w:r>
              <w:rPr>
                <w:rFonts w:ascii="宋体" w:hAnsi="宋体" w:cs="宋体" w:eastAsia="宋体" w:hint="default"/>
                <w:sz w:val="18"/>
                <w:szCs w:val="18"/>
              </w:rPr>
              <w:t>号</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香港中环环球大厦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(86)-0536-2158008</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(86)-0536-2158008</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(852)-2501 0088</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(86)-0536-2158977</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(86)-0536-2158977</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(852)-2501 0028</w:t>
            </w:r>
          </w:p>
        </w:tc>
      </w:tr>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27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9">
              <w:r>
                <w:rPr>
                  <w:rFonts w:ascii="Times New Roman"/>
                  <w:sz w:val="18"/>
                </w:rPr>
                <w:t>chenmmingpaper@163.com</w:t>
              </w:r>
            </w:hyperlink>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chenmmingpaper@163.com</w:t>
              </w:r>
            </w:hyperlink>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kentpoon_1009@yahoo.com.hk</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44"/>
        <w:ind w:left="0" w:right="159"/>
        <w:jc w:val="right"/>
      </w:pPr>
      <w:r>
        <w:rPr/>
        <w:pict>
          <v:shape style="position:absolute;margin-left:56.459999pt;margin-top:-.847977pt;width:479.1pt;height:60.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04"/>
                            <w:sz w:val="18"/>
                            <w:szCs w:val="18"/>
                          </w:rPr>
                          <w:t>、</w:t>
                        </w:r>
                        <w:r>
                          <w:rPr>
                            <w:rFonts w:ascii="宋体" w:hAnsi="宋体" w:cs="宋体" w:eastAsia="宋体" w:hint="default"/>
                            <w:sz w:val="18"/>
                            <w:szCs w:val="18"/>
                          </w:rPr>
                          <w:t>《证券日报</w:t>
                        </w:r>
                        <w:r>
                          <w:rPr>
                            <w:rFonts w:ascii="宋体" w:hAnsi="宋体" w:cs="宋体" w:eastAsia="宋体" w:hint="default"/>
                            <w:spacing w:val="-14"/>
                            <w:sz w:val="18"/>
                            <w:szCs w:val="18"/>
                          </w:rPr>
                          <w:t>》和</w:t>
                        </w:r>
                        <w:r>
                          <w:rPr>
                            <w:rFonts w:ascii="宋体" w:hAnsi="宋体" w:cs="宋体" w:eastAsia="宋体" w:hint="default"/>
                            <w:sz w:val="18"/>
                            <w:szCs w:val="18"/>
                          </w:rPr>
                          <w:t>《香港商报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；境外：</w:t>
                        </w:r>
                        <w:hyperlink r:id="rId12">
                          <w:r>
                            <w:rPr>
                              <w:rFonts w:ascii="Times New Roman" w:hAnsi="Times New Roman" w:cs="Times New Roman" w:eastAsia="Times New Roman" w:hint="default"/>
                              <w:sz w:val="18"/>
                              <w:szCs w:val="18"/>
                            </w:rPr>
                            <w:t>http://www.hkex.com.hk</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公司资本运营部</w:t>
                        </w:r>
                      </w:p>
                    </w:tc>
                  </w:tr>
                </w:tbl>
                <w:p>
                  <w:pPr/>
                </w:p>
              </w:txbxContent>
            </v:textbox>
            <w10:wrap type="none"/>
          </v:shape>
        </w:pict>
      </w:r>
      <w:r>
        <w:rPr/>
        <w:t>》</w:t>
      </w:r>
    </w:p>
    <w:p>
      <w:pPr>
        <w:spacing w:after="0" w:line="240" w:lineRule="auto"/>
        <w:jc w:val="right"/>
        <w:sectPr>
          <w:pgSz w:w="11910" w:h="16840"/>
          <w:pgMar w:header="877" w:footer="950" w:top="1100" w:bottom="114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山东省寿光市圣城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16568230-2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370783613588986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61358898-6</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山东省寿光市圣城 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370000400001170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370783613588986</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61358898-6</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详见本报告第十一节第三部分、公司基本情况。</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王传顺、景传轩</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left="154" w:right="58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50" w:top="110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0"/>
        <w:jc w:val="left"/>
        <w:rPr>
          <w:b w:val="0"/>
          <w:bCs w:val="0"/>
        </w:rPr>
      </w:pPr>
      <w:bookmarkStart w:name="_bookmark2" w:id="3"/>
      <w:bookmarkEnd w:id="3"/>
      <w:r>
        <w:rPr>
          <w:b w:val="0"/>
          <w:bCs w:val="0"/>
        </w:rPr>
      </w:r>
      <w:r>
        <w:rPr/>
        <w:t>第三节</w:t>
      </w:r>
      <w:r>
        <w:rPr>
          <w:spacing w:val="-11"/>
        </w:rPr>
        <w:t> </w:t>
      </w:r>
      <w:r>
        <w:rPr/>
        <w:t>会计数据和财务指标摘要</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32"/>
        <w:gridCol w:w="1637"/>
        <w:gridCol w:w="1415"/>
        <w:gridCol w:w="2005"/>
        <w:gridCol w:w="1469"/>
      </w:tblGrid>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20,388,890,067.41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19,761,679,230.05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17,747,489,900.87</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710,655,331.72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221,034,822.54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608,271,256.29</w:t>
            </w:r>
          </w:p>
        </w:tc>
      </w:tr>
      <w:tr>
        <w:trPr>
          <w:trHeight w:val="714"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8"/>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406,170,148.25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-159,777,900.37</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354.21%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285,121,911.63</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1,122,616,800.91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1,956,866,477.99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-437,463,010.89</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218.18%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218.18%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5.11%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本年末比上年末增减</w:t>
            </w:r>
            <w:r>
              <w:rPr>
                <w:rFonts w:ascii="Times New Roman" w:hAnsi="Times New Roman" w:cs="Times New Roman" w:eastAsia="Times New Roman" w:hint="default"/>
                <w:sz w:val="18"/>
                <w:szCs w:val="18"/>
              </w:rPr>
              <w:t>(%)</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47,521,883,569.18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47,725,421,927.39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45,630,828,967.03</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总负债（元）</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32,883,530,036.29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33,380,003,994.34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30,643,054,107.64</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69.20%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69.94%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67.15%</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14,039,888,226.11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13,759,496,179.85</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13,528,622,319.91</w:t>
            </w:r>
          </w:p>
        </w:tc>
      </w:tr>
      <w:tr>
        <w:trPr>
          <w:trHeight w:val="402" w:hRule="exact"/>
        </w:trPr>
        <w:tc>
          <w:tcPr>
            <w:tcW w:w="3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股本（股）</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1,975,471,967.00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2,062,045,941.00</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2,062,045,941.00</w:t>
            </w:r>
          </w:p>
        </w:tc>
      </w:tr>
    </w:tbl>
    <w:p>
      <w:pPr>
        <w:pStyle w:val="BodyText"/>
        <w:spacing w:line="240" w:lineRule="auto" w:before="51"/>
        <w:ind w:left="154" w:right="0"/>
        <w:jc w:val="left"/>
      </w:pPr>
      <w:r>
        <w:rPr/>
        <w:t>注：报告期内，公司回购</w:t>
      </w:r>
      <w:r>
        <w:rPr>
          <w:spacing w:val="-46"/>
        </w:rPr>
        <w:t> </w:t>
      </w:r>
      <w:r>
        <w:rPr>
          <w:rFonts w:ascii="Times New Roman" w:hAnsi="Times New Roman" w:cs="Times New Roman" w:eastAsia="Times New Roman" w:hint="default"/>
        </w:rPr>
        <w:t>86,573,974</w:t>
      </w:r>
      <w:r>
        <w:rPr>
          <w:rFonts w:ascii="Times New Roman" w:hAnsi="Times New Roman" w:cs="Times New Roman" w:eastAsia="Times New Roman" w:hint="default"/>
          <w:spacing w:val="-9"/>
        </w:rPr>
        <w:t> </w:t>
      </w:r>
      <w:r>
        <w:rPr/>
        <w:t>股</w:t>
      </w:r>
      <w:r>
        <w:rPr>
          <w:spacing w:val="-46"/>
        </w:rPr>
        <w:t> </w:t>
      </w:r>
      <w:r>
        <w:rPr/>
        <w:t>B</w:t>
      </w:r>
      <w:r>
        <w:rPr>
          <w:spacing w:val="-46"/>
        </w:rPr>
        <w:t> </w:t>
      </w:r>
      <w:r>
        <w:rPr/>
        <w:t>股股份并注销，公司股份总数因此减少</w:t>
      </w:r>
      <w:r>
        <w:rPr>
          <w:spacing w:val="-46"/>
        </w:rPr>
        <w:t> </w:t>
      </w:r>
      <w:r>
        <w:rPr>
          <w:rFonts w:ascii="Times New Roman" w:hAnsi="Times New Roman" w:cs="Times New Roman" w:eastAsia="Times New Roman" w:hint="default"/>
        </w:rPr>
        <w:t>86,573,974</w:t>
      </w:r>
      <w:r>
        <w:rPr>
          <w:rFonts w:ascii="Times New Roman" w:hAnsi="Times New Roman" w:cs="Times New Roman" w:eastAsia="Times New Roman" w:hint="default"/>
          <w:spacing w:val="-9"/>
        </w:rPr>
        <w:t> </w:t>
      </w:r>
      <w:r>
        <w:rPr/>
        <w:t>股。</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、同时按照国际会计准则、境外会计准则与按中国会计准则披露的财务报告中净利润和净资产差异情况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72"/>
        <w:gridCol w:w="1740"/>
        <w:gridCol w:w="2004"/>
        <w:gridCol w:w="1770"/>
        <w:gridCol w:w="1759"/>
      </w:tblGrid>
      <w:tr>
        <w:trPr>
          <w:trHeight w:val="200" w:hRule="exact"/>
        </w:trPr>
        <w:tc>
          <w:tcPr>
            <w:tcW w:w="2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4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2" w:hRule="exact"/>
        </w:trPr>
        <w:tc>
          <w:tcPr>
            <w:tcW w:w="2272" w:type="dxa"/>
            <w:vMerge w:val="restart"/>
            <w:tcBorders>
              <w:top w:val="nil" w:sz="6" w:space="0" w:color="auto"/>
              <w:left w:val="single" w:sz="4" w:space="0" w:color="000000"/>
              <w:right w:val="single" w:sz="4" w:space="0" w:color="000000"/>
            </w:tcBorders>
            <w:shd w:val="clear" w:color="auto" w:fill="D3D3D3"/>
          </w:tcPr>
          <w:p>
            <w:pPr/>
          </w:p>
        </w:tc>
        <w:tc>
          <w:tcPr>
            <w:tcW w:w="3745" w:type="dxa"/>
            <w:gridSpan w:val="2"/>
            <w:vMerge/>
            <w:tcBorders>
              <w:left w:val="single" w:sz="4" w:space="0" w:color="000000"/>
              <w:bottom w:val="single" w:sz="4" w:space="0" w:color="000000"/>
              <w:right w:val="single" w:sz="4" w:space="0" w:color="000000"/>
            </w:tcBorders>
            <w:shd w:val="clear" w:color="auto" w:fill="D3D3D3"/>
          </w:tcPr>
          <w:p>
            <w:pPr/>
          </w:p>
        </w:tc>
        <w:tc>
          <w:tcPr>
            <w:tcW w:w="3528"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272" w:type="dxa"/>
            <w:vMerge/>
            <w:tcBorders>
              <w:left w:val="single" w:sz="4" w:space="0" w:color="000000"/>
              <w:bottom w:val="nil" w:sz="6" w:space="0" w:color="auto"/>
              <w:right w:val="single" w:sz="4" w:space="0" w:color="000000"/>
            </w:tcBorders>
            <w:shd w:val="clear" w:color="auto" w:fill="D3D3D3"/>
          </w:tcPr>
          <w:p>
            <w:pPr/>
          </w:p>
        </w:tc>
        <w:tc>
          <w:tcPr>
            <w:tcW w:w="17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2" w:hRule="exact"/>
        </w:trPr>
        <w:tc>
          <w:tcPr>
            <w:tcW w:w="2272"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0" w:type="dxa"/>
            <w:vMerge/>
            <w:tcBorders>
              <w:left w:val="single" w:sz="4" w:space="0" w:color="000000"/>
              <w:bottom w:val="single" w:sz="4" w:space="0" w:color="000000"/>
              <w:right w:val="single" w:sz="4" w:space="0" w:color="000000"/>
            </w:tcBorders>
            <w:shd w:val="clear" w:color="auto" w:fill="D3D3D3"/>
          </w:tcPr>
          <w:p>
            <w:pPr/>
          </w:p>
        </w:tc>
        <w:tc>
          <w:tcPr>
            <w:tcW w:w="2004"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c>
          <w:tcPr>
            <w:tcW w:w="175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710,655,331.72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221,034,822.54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14,039,888,226.11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13,759,496,179.85</w:t>
            </w:r>
          </w:p>
        </w:tc>
      </w:tr>
      <w:tr>
        <w:trPr>
          <w:trHeight w:val="402"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按国际会计准则、境外会计准则调整的项目及金额</w:t>
            </w: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710,655,331.72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221,034,822.54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14,039,888,226.11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13,759,496,179.85</w:t>
            </w: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710,655,331.72</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221,034,822.54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14,039,888,226.11</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13,759,496,179.85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117"/>
        <w:gridCol w:w="1632"/>
        <w:gridCol w:w="1440"/>
        <w:gridCol w:w="1440"/>
        <w:gridCol w:w="928"/>
      </w:tblGrid>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销部分）</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-6,367,477.99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26,092,788.22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26,249,093.41</w:t>
            </w: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照国家统一标准定额或定量享受的政府补助除外）</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174,947,619.19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235,157,521.57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236,198,625.29</w:t>
            </w: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于取得投资时应享有被投资单位可辨认净资产公允 价值产生的收益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2,408,368.37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44,188,866.15</w:t>
            </w: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268,577.19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941,444.43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-18,179,889.32</w:t>
            </w: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消耗性生物资产公允价值变动损益</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11,221,828.76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47,882,076.87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48,173,926.26</w:t>
            </w: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299,225,913.46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114,342,091.81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31,840,643.86</w:t>
            </w: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98,299,197.38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40,604,179.01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32,413,333.65</w:t>
            </w: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78,920,448.13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2,999,020.98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12,908,587.34</w:t>
            </w:r>
          </w:p>
        </w:tc>
        <w:tc>
          <w:tcPr>
            <w:tcW w:w="9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304,485,183.47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380,812,722.91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323,149,344.66</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left="154" w:right="138" w:hanging="1"/>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50" w:top="110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627"/>
        <w:jc w:val="center"/>
        <w:rPr>
          <w:b w:val="0"/>
          <w:bCs w:val="0"/>
        </w:rPr>
      </w:pPr>
      <w:bookmarkStart w:name="_bookmark3" w:id="4"/>
      <w:bookmarkEnd w:id="4"/>
      <w:r>
        <w:rPr>
          <w:b w:val="0"/>
          <w:bCs w:val="0"/>
        </w:rPr>
      </w:r>
      <w:r>
        <w:rPr/>
        <w:t>第四节</w:t>
      </w:r>
      <w:r>
        <w:rPr>
          <w:spacing w:val="-6"/>
        </w:rPr>
        <w:t> </w:t>
      </w:r>
      <w:r>
        <w:rPr/>
        <w:t>董事长报告</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left="154" w:right="90"/>
        <w:jc w:val="left"/>
      </w:pPr>
      <w:r>
        <w:rPr/>
        <w:t>尊敬的各位股东：</w:t>
      </w:r>
    </w:p>
    <w:p>
      <w:pPr>
        <w:pStyle w:val="BodyText"/>
        <w:spacing w:line="319" w:lineRule="auto" w:before="115"/>
        <w:ind w:left="154" w:right="191" w:firstLine="360"/>
        <w:jc w:val="both"/>
      </w:pPr>
      <w:r>
        <w:rPr/>
        <w:t>本人向各位股东欣然提呈本公司截至</w:t>
      </w:r>
      <w:r>
        <w:rPr>
          <w:spacing w:val="-45"/>
        </w:rPr>
        <w:t> </w:t>
      </w:r>
      <w:r>
        <w:rPr/>
        <w:t>2013</w:t>
      </w:r>
      <w:r>
        <w:rPr>
          <w:spacing w:val="-46"/>
        </w:rPr>
        <w:t> </w:t>
      </w:r>
      <w:r>
        <w:rPr/>
        <w:t>年</w:t>
      </w:r>
      <w:r>
        <w:rPr>
          <w:spacing w:val="-45"/>
        </w:rPr>
        <w:t> </w:t>
      </w:r>
      <w:r>
        <w:rPr/>
        <w:t>12</w:t>
      </w:r>
      <w:r>
        <w:rPr>
          <w:spacing w:val="-45"/>
        </w:rPr>
        <w:t> </w:t>
      </w:r>
      <w:r>
        <w:rPr/>
        <w:t>月</w:t>
      </w:r>
      <w:r>
        <w:rPr>
          <w:spacing w:val="-45"/>
        </w:rPr>
        <w:t> </w:t>
      </w:r>
      <w:r>
        <w:rPr/>
        <w:t>31</w:t>
      </w:r>
      <w:r>
        <w:rPr>
          <w:spacing w:val="-45"/>
        </w:rPr>
        <w:t> </w:t>
      </w:r>
      <w:r>
        <w:rPr/>
        <w:t>日之财政年度报告，并谨此代表董事会向各位股东对晨鸣纸业的</w:t>
      </w:r>
      <w:r>
        <w:rPr/>
        <w:t> 关心和支持表示诚挚的谢意。</w:t>
      </w:r>
    </w:p>
    <w:p>
      <w:pPr>
        <w:pStyle w:val="BodyText"/>
        <w:spacing w:line="319" w:lineRule="auto" w:before="56"/>
        <w:ind w:left="154" w:right="189" w:firstLine="360"/>
        <w:jc w:val="both"/>
      </w:pPr>
      <w:r>
        <w:rPr>
          <w:spacing w:val="-2"/>
        </w:rPr>
        <w:t>报告期内，造纸行业供给增长放缓及淘汰落后产能促进了行业集中度的提高，有利于企业的自主提价行为；人民币的持</w:t>
      </w:r>
      <w:r>
        <w:rPr/>
        <w:t> </w:t>
      </w:r>
      <w:r>
        <w:rPr>
          <w:spacing w:val="-2"/>
        </w:rPr>
        <w:t>续升值及原材料价格下跌压力增加缓解了企业的经营成本压力；同时，公司通过强化内部管理，积极开拓市场，浆纸销量同</w:t>
      </w:r>
      <w:r>
        <w:rPr>
          <w:spacing w:val="-66"/>
        </w:rPr>
        <w:t> </w:t>
      </w:r>
      <w:r>
        <w:rPr>
          <w:spacing w:val="-66"/>
        </w:rPr>
      </w:r>
      <w:r>
        <w:rPr>
          <w:spacing w:val="-2"/>
        </w:rPr>
        <w:t>比增加。与去年同期相比，生产成本同比下降，公司主营业务毛利率稳定增长，盈利情况出现较大幅度好转，全年利润大幅</w:t>
      </w:r>
      <w:r>
        <w:rPr>
          <w:spacing w:val="-66"/>
        </w:rPr>
        <w:t> </w:t>
      </w:r>
      <w:r>
        <w:rPr>
          <w:spacing w:val="-66"/>
        </w:rPr>
      </w:r>
      <w:r>
        <w:rPr/>
        <w:t>上升。</w:t>
      </w:r>
    </w:p>
    <w:p>
      <w:pPr>
        <w:pStyle w:val="BodyText"/>
        <w:spacing w:line="319" w:lineRule="auto" w:before="55"/>
        <w:ind w:left="154" w:right="191" w:firstLine="352"/>
        <w:jc w:val="both"/>
      </w:pPr>
      <w:r>
        <w:rPr>
          <w:spacing w:val="-2"/>
        </w:rPr>
        <w:t>报告期内，公司注重基础，着眼效益，持续改进，全面提升。公司面对复杂多变的市场形势，适时调整经营策略，积极</w:t>
      </w:r>
      <w:r>
        <w:rPr/>
        <w:t> 应对市场，确保了产销平衡。同时，公司重视生产管理，加快结构调整，稳定纸机运行，加强库存清理，推进工艺优化。</w:t>
      </w:r>
    </w:p>
    <w:p>
      <w:pPr>
        <w:pStyle w:val="BodyText"/>
        <w:spacing w:line="304" w:lineRule="auto" w:before="55"/>
        <w:ind w:right="189" w:firstLine="352"/>
        <w:jc w:val="both"/>
      </w:pPr>
      <w:r>
        <w:rPr>
          <w:rFonts w:ascii="Times New Roman" w:hAnsi="Times New Roman" w:cs="Times New Roman" w:eastAsia="Times New Roman" w:hint="default"/>
          <w:spacing w:val="-2"/>
        </w:rPr>
        <w:t>2013</w:t>
      </w:r>
      <w:r>
        <w:rPr>
          <w:spacing w:val="-2"/>
        </w:rPr>
        <w:t>年是企业转型发展势头最强劲的一年，武汉晨鸣生活用纸项目、吉林晨鸣环保迁建项目、寿光本埠</w:t>
      </w:r>
      <w:r>
        <w:rPr>
          <w:rFonts w:ascii="Times New Roman" w:hAnsi="Times New Roman" w:cs="Times New Roman" w:eastAsia="Times New Roman" w:hint="default"/>
          <w:spacing w:val="-2"/>
        </w:rPr>
        <w:t>10</w:t>
      </w:r>
      <w:r>
        <w:rPr>
          <w:spacing w:val="-2"/>
        </w:rPr>
        <w:t>万吨造纸助剂</w:t>
      </w:r>
      <w:r>
        <w:rPr/>
        <w:t> </w:t>
      </w:r>
      <w:r>
        <w:rPr>
          <w:spacing w:val="-2"/>
        </w:rPr>
        <w:t>项目相继建成投产，对公司调整结构、降低成本、提高效益等方面将发挥重要作用；江西晨鸣</w:t>
      </w:r>
      <w:r>
        <w:rPr>
          <w:rFonts w:ascii="Times New Roman" w:hAnsi="Times New Roman" w:cs="Times New Roman" w:eastAsia="Times New Roman" w:hint="default"/>
          <w:spacing w:val="-2"/>
        </w:rPr>
        <w:t>35</w:t>
      </w:r>
      <w:r>
        <w:rPr>
          <w:spacing w:val="-2"/>
        </w:rPr>
        <w:t>万吨高档包装纸项目、湛江</w:t>
      </w:r>
      <w:r>
        <w:rPr>
          <w:spacing w:val="-65"/>
        </w:rPr>
        <w:t> </w:t>
      </w:r>
      <w:r>
        <w:rPr>
          <w:spacing w:val="-65"/>
        </w:rPr>
      </w:r>
      <w:r>
        <w:rPr>
          <w:rFonts w:ascii="Times New Roman" w:hAnsi="Times New Roman" w:cs="Times New Roman" w:eastAsia="Times New Roman" w:hint="default"/>
          <w:spacing w:val="-2"/>
        </w:rPr>
        <w:t>18</w:t>
      </w:r>
      <w:r>
        <w:rPr>
          <w:spacing w:val="-2"/>
        </w:rPr>
        <w:t>万吨纸杯原纸和</w:t>
      </w:r>
      <w:r>
        <w:rPr>
          <w:rFonts w:ascii="Times New Roman" w:hAnsi="Times New Roman" w:cs="Times New Roman" w:eastAsia="Times New Roman" w:hint="default"/>
          <w:spacing w:val="-2"/>
        </w:rPr>
        <w:t>19</w:t>
      </w:r>
      <w:r>
        <w:rPr>
          <w:spacing w:val="-2"/>
        </w:rPr>
        <w:t>万吨文化纸项目、广东慧锐海东新区岸线综合治理项目、武汉万兴置业房地产项目、海城菱镁矿开采项</w:t>
      </w:r>
      <w:r>
        <w:rPr>
          <w:spacing w:val="-62"/>
        </w:rPr>
        <w:t> </w:t>
      </w:r>
      <w:r>
        <w:rPr>
          <w:spacing w:val="-62"/>
        </w:rPr>
      </w:r>
      <w:r>
        <w:rPr>
          <w:spacing w:val="-2"/>
        </w:rPr>
        <w:t>目等相继开工建设，加快了公司结构调整，促进了企业转型升级，将进一步增强公司实力；规划审批了黄冈晨鸣林浆纸一体</w:t>
      </w:r>
      <w:r>
        <w:rPr>
          <w:spacing w:val="-66"/>
        </w:rPr>
        <w:t> </w:t>
      </w:r>
      <w:r>
        <w:rPr>
          <w:spacing w:val="-66"/>
        </w:rPr>
      </w:r>
      <w:r>
        <w:rPr/>
        <w:t>化项目，对增强公司综合竞争力具有重要意义。</w:t>
      </w:r>
    </w:p>
    <w:p>
      <w:pPr>
        <w:pStyle w:val="BodyText"/>
        <w:spacing w:line="319" w:lineRule="auto" w:before="67"/>
        <w:ind w:right="191" w:firstLine="360"/>
        <w:jc w:val="both"/>
      </w:pPr>
      <w:r>
        <w:rPr>
          <w:spacing w:val="-2"/>
        </w:rPr>
        <w:t>报告期内，晨鸣集团财务公司获中国银监会批准筹建，成为造纸行业第一家拥有财务公司的企业，标志着公司正式介入</w:t>
      </w:r>
      <w:r>
        <w:rPr/>
        <w:t> 金融领域，为集团多元化发展开辟了一条新的道路。</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一、经营业绩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报告期内，公司完成机制纸销量</w:t>
      </w:r>
      <w:r>
        <w:rPr>
          <w:spacing w:val="-41"/>
        </w:rPr>
        <w:t> </w:t>
      </w:r>
      <w:r>
        <w:rPr>
          <w:rFonts w:ascii="Times New Roman" w:hAnsi="Times New Roman" w:cs="Times New Roman" w:eastAsia="Times New Roman" w:hint="default"/>
        </w:rPr>
        <w:t>416</w:t>
      </w:r>
      <w:r>
        <w:rPr>
          <w:rFonts w:ascii="Times New Roman" w:hAnsi="Times New Roman" w:cs="Times New Roman" w:eastAsia="Times New Roman" w:hint="default"/>
          <w:spacing w:val="4"/>
        </w:rPr>
        <w:t> </w:t>
      </w:r>
      <w:r>
        <w:rPr/>
        <w:t>万吨，比去年同期的</w:t>
      </w:r>
      <w:r>
        <w:rPr>
          <w:spacing w:val="-41"/>
        </w:rPr>
        <w:t> </w:t>
      </w:r>
      <w:r>
        <w:rPr>
          <w:rFonts w:ascii="Times New Roman" w:hAnsi="Times New Roman" w:cs="Times New Roman" w:eastAsia="Times New Roman" w:hint="default"/>
        </w:rPr>
        <w:t>395</w:t>
      </w:r>
      <w:r>
        <w:rPr>
          <w:rFonts w:ascii="Times New Roman" w:hAnsi="Times New Roman" w:cs="Times New Roman" w:eastAsia="Times New Roman" w:hint="default"/>
          <w:spacing w:val="4"/>
        </w:rPr>
        <w:t> </w:t>
      </w:r>
      <w:r>
        <w:rPr/>
        <w:t>万吨增加</w:t>
      </w:r>
      <w:r>
        <w:rPr>
          <w:spacing w:val="-41"/>
        </w:rPr>
        <w:t> </w:t>
      </w:r>
      <w:r>
        <w:rPr>
          <w:rFonts w:ascii="Times New Roman" w:hAnsi="Times New Roman" w:cs="Times New Roman" w:eastAsia="Times New Roman" w:hint="default"/>
        </w:rPr>
        <w:t>21</w:t>
      </w:r>
      <w:r>
        <w:rPr>
          <w:rFonts w:ascii="Times New Roman" w:hAnsi="Times New Roman" w:cs="Times New Roman" w:eastAsia="Times New Roman" w:hint="default"/>
          <w:spacing w:val="4"/>
        </w:rPr>
        <w:t> </w:t>
      </w:r>
      <w:r>
        <w:rPr/>
        <w:t>万吨，增长</w:t>
      </w:r>
      <w:r>
        <w:rPr>
          <w:spacing w:val="-41"/>
        </w:rPr>
        <w:t> </w:t>
      </w:r>
      <w:r>
        <w:rPr>
          <w:rFonts w:ascii="Times New Roman" w:hAnsi="Times New Roman" w:cs="Times New Roman" w:eastAsia="Times New Roman" w:hint="default"/>
        </w:rPr>
        <w:t>5.32%</w:t>
      </w:r>
      <w:r>
        <w:rPr/>
        <w:t>；公司实现营业收入人民</w:t>
      </w:r>
    </w:p>
    <w:p>
      <w:pPr>
        <w:pStyle w:val="BodyText"/>
        <w:spacing w:line="240" w:lineRule="auto" w:before="62"/>
        <w:ind w:right="90"/>
        <w:jc w:val="left"/>
      </w:pPr>
      <w:r>
        <w:rPr/>
        <w:t>币</w:t>
      </w:r>
      <w:r>
        <w:rPr>
          <w:spacing w:val="-47"/>
        </w:rPr>
        <w:t> </w:t>
      </w:r>
      <w:r>
        <w:rPr>
          <w:rFonts w:ascii="Times New Roman" w:hAnsi="Times New Roman" w:cs="Times New Roman" w:eastAsia="Times New Roman" w:hint="default"/>
        </w:rPr>
        <w:t>203.89</w:t>
      </w:r>
      <w:r>
        <w:rPr>
          <w:rFonts w:ascii="Times New Roman" w:hAnsi="Times New Roman" w:cs="Times New Roman" w:eastAsia="Times New Roman" w:hint="default"/>
          <w:spacing w:val="-2"/>
        </w:rPr>
        <w:t> </w:t>
      </w:r>
      <w:r>
        <w:rPr>
          <w:spacing w:val="-3"/>
        </w:rPr>
        <w:t>亿元，比</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年增加人民币</w:t>
      </w:r>
      <w:r>
        <w:rPr>
          <w:spacing w:val="-47"/>
        </w:rPr>
        <w:t> </w:t>
      </w:r>
      <w:r>
        <w:rPr>
          <w:rFonts w:ascii="Times New Roman" w:hAnsi="Times New Roman" w:cs="Times New Roman" w:eastAsia="Times New Roman" w:hint="default"/>
        </w:rPr>
        <w:t>6.27</w:t>
      </w:r>
      <w:r>
        <w:rPr>
          <w:rFonts w:ascii="Times New Roman" w:hAnsi="Times New Roman" w:cs="Times New Roman" w:eastAsia="Times New Roman" w:hint="default"/>
          <w:spacing w:val="-2"/>
        </w:rPr>
        <w:t> </w:t>
      </w:r>
      <w:r>
        <w:rPr/>
        <w:t>亿元，增长</w:t>
      </w:r>
      <w:r>
        <w:rPr>
          <w:spacing w:val="-47"/>
        </w:rPr>
        <w:t> </w:t>
      </w:r>
      <w:r>
        <w:rPr>
          <w:rFonts w:ascii="Times New Roman" w:hAnsi="Times New Roman" w:cs="Times New Roman" w:eastAsia="Times New Roman" w:hint="default"/>
        </w:rPr>
        <w:t>3.17%</w:t>
      </w:r>
      <w:r>
        <w:rPr/>
        <w:t>；营业成本人民币</w:t>
      </w:r>
      <w:r>
        <w:rPr>
          <w:spacing w:val="-47"/>
        </w:rPr>
        <w:t> </w:t>
      </w:r>
      <w:r>
        <w:rPr>
          <w:rFonts w:ascii="Times New Roman" w:hAnsi="Times New Roman" w:cs="Times New Roman" w:eastAsia="Times New Roman" w:hint="default"/>
        </w:rPr>
        <w:t>166.52</w:t>
      </w:r>
      <w:r>
        <w:rPr>
          <w:rFonts w:ascii="Times New Roman" w:hAnsi="Times New Roman" w:cs="Times New Roman" w:eastAsia="Times New Roman" w:hint="default"/>
          <w:spacing w:val="-2"/>
        </w:rPr>
        <w:t> </w:t>
      </w:r>
      <w:r>
        <w:rPr>
          <w:spacing w:val="-3"/>
        </w:rPr>
        <w:t>亿元，比</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年减少人民币</w:t>
      </w:r>
      <w:r>
        <w:rPr>
          <w:spacing w:val="-47"/>
        </w:rPr>
        <w:t> </w:t>
      </w:r>
      <w:r>
        <w:rPr>
          <w:rFonts w:ascii="Times New Roman" w:hAnsi="Times New Roman" w:cs="Times New Roman" w:eastAsia="Times New Roman" w:hint="default"/>
        </w:rPr>
        <w:t>0.42</w:t>
      </w:r>
      <w:r>
        <w:rPr>
          <w:rFonts w:ascii="Times New Roman" w:hAnsi="Times New Roman" w:cs="Times New Roman" w:eastAsia="Times New Roman" w:hint="default"/>
          <w:spacing w:val="-1"/>
        </w:rPr>
        <w:t> </w:t>
      </w:r>
      <w:r>
        <w:rPr/>
        <w:t>亿</w:t>
      </w:r>
    </w:p>
    <w:p>
      <w:pPr>
        <w:pStyle w:val="BodyText"/>
        <w:spacing w:line="240" w:lineRule="auto" w:before="62"/>
        <w:ind w:left="154" w:right="90"/>
        <w:jc w:val="left"/>
        <w:rPr>
          <w:rFonts w:ascii="Times New Roman" w:hAnsi="Times New Roman" w:cs="Times New Roman" w:eastAsia="Times New Roman" w:hint="default"/>
        </w:rPr>
      </w:pPr>
      <w:r>
        <w:rPr/>
        <w:t>元，降低</w:t>
      </w:r>
      <w:r>
        <w:rPr>
          <w:spacing w:val="-35"/>
        </w:rPr>
        <w:t> </w:t>
      </w:r>
      <w:r>
        <w:rPr>
          <w:rFonts w:ascii="Times New Roman" w:hAnsi="Times New Roman" w:cs="Times New Roman" w:eastAsia="Times New Roman" w:hint="default"/>
        </w:rPr>
        <w:t>0.25%</w:t>
      </w:r>
      <w:r>
        <w:rPr/>
        <w:t>；实现营业利润及归属于母公司所有者的净利润分别为人民币</w:t>
      </w:r>
      <w:r>
        <w:rPr>
          <w:spacing w:val="-35"/>
        </w:rPr>
        <w:t> </w:t>
      </w:r>
      <w:r>
        <w:rPr>
          <w:rFonts w:ascii="Times New Roman" w:hAnsi="Times New Roman" w:cs="Times New Roman" w:eastAsia="Times New Roman" w:hint="default"/>
        </w:rPr>
        <w:t>4.04</w:t>
      </w:r>
      <w:r>
        <w:rPr>
          <w:rFonts w:ascii="Times New Roman" w:hAnsi="Times New Roman" w:cs="Times New Roman" w:eastAsia="Times New Roman" w:hint="default"/>
          <w:spacing w:val="9"/>
        </w:rPr>
        <w:t> </w:t>
      </w:r>
      <w:r>
        <w:rPr/>
        <w:t>亿元、人民币</w:t>
      </w:r>
      <w:r>
        <w:rPr>
          <w:spacing w:val="-35"/>
        </w:rPr>
        <w:t> </w:t>
      </w:r>
      <w:r>
        <w:rPr>
          <w:rFonts w:ascii="Times New Roman" w:hAnsi="Times New Roman" w:cs="Times New Roman" w:eastAsia="Times New Roman" w:hint="default"/>
        </w:rPr>
        <w:t>7.11</w:t>
      </w:r>
      <w:r>
        <w:rPr>
          <w:rFonts w:ascii="Times New Roman" w:hAnsi="Times New Roman" w:cs="Times New Roman" w:eastAsia="Times New Roman" w:hint="default"/>
          <w:spacing w:val="10"/>
        </w:rPr>
        <w:t> </w:t>
      </w:r>
      <w:r>
        <w:rPr/>
        <w:t>亿元，增长</w:t>
      </w:r>
      <w:r>
        <w:rPr>
          <w:spacing w:val="-35"/>
        </w:rPr>
        <w:t> </w:t>
      </w:r>
      <w:r>
        <w:rPr>
          <w:rFonts w:ascii="Times New Roman" w:hAnsi="Times New Roman" w:cs="Times New Roman" w:eastAsia="Times New Roman" w:hint="default"/>
        </w:rPr>
        <w:t>196.95%</w:t>
      </w:r>
    </w:p>
    <w:p>
      <w:pPr>
        <w:pStyle w:val="BodyText"/>
        <w:spacing w:line="240" w:lineRule="auto" w:before="64"/>
        <w:ind w:left="154" w:right="90"/>
        <w:jc w:val="left"/>
      </w:pPr>
      <w:r>
        <w:rPr/>
        <w:t>和</w:t>
      </w:r>
      <w:r>
        <w:rPr>
          <w:spacing w:val="-46"/>
        </w:rPr>
        <w:t> </w:t>
      </w:r>
      <w:r>
        <w:rPr>
          <w:rFonts w:ascii="Times New Roman" w:hAnsi="Times New Roman" w:cs="Times New Roman" w:eastAsia="Times New Roman" w:hint="default"/>
        </w:rPr>
        <w:t>221.51%</w:t>
      </w:r>
      <w:r>
        <w:rPr/>
        <w:t>。</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二、公司治理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0" w:firstLine="360"/>
        <w:jc w:val="left"/>
      </w:pPr>
      <w:r>
        <w:rPr>
          <w:spacing w:val="-2"/>
        </w:rPr>
        <w:t>报告期内，公司按照《公司法》、《证券法》、《上市公司治理准则》、《深圳证券交易所股票上市规则》、《香港联</w:t>
      </w:r>
      <w:r>
        <w:rPr/>
        <w:t> 合交易所上市规则》和中国证监会有关规定的要求规范运作，在实践中不断健全和完善公司法人治理结构、规范公司运作。 董事会认为公司治理的实际情况与《上市公司治理准则》等规范性文件的规定和要求基本相符。</w:t>
      </w:r>
    </w:p>
    <w:p>
      <w:pPr>
        <w:pStyle w:val="BodyText"/>
        <w:spacing w:line="319" w:lineRule="auto" w:before="55"/>
        <w:ind w:left="154" w:right="90" w:firstLine="360"/>
        <w:jc w:val="left"/>
      </w:pPr>
      <w:r>
        <w:rPr>
          <w:spacing w:val="-2"/>
        </w:rPr>
        <w:t>报告期内，董事会着力从完善公司治理入手，规范公司运行。根据监管规定，适时完善公司治理制度，修订完善了《董</w:t>
      </w:r>
      <w:r>
        <w:rPr/>
        <w:t> </w:t>
      </w:r>
      <w:r>
        <w:rPr>
          <w:spacing w:val="-4"/>
        </w:rPr>
        <w:t>事会议事规则》、《监事会议事规则》、《关联交易管理制度》、《股东大会议事规则》、《董事会提名委员会实施细则》；</w:t>
      </w:r>
      <w:r>
        <w:rPr>
          <w:spacing w:val="-48"/>
        </w:rPr>
        <w:t> </w:t>
      </w:r>
      <w:r>
        <w:rPr>
          <w:spacing w:val="-48"/>
        </w:rPr>
      </w:r>
      <w:r>
        <w:rPr>
          <w:spacing w:val="-2"/>
        </w:rPr>
        <w:t>制订了《重大交易决策制度》、《对外投资决策制度》、《对外担保决策制度》、《投资者关系管理制度》、《董事会多元</w:t>
      </w:r>
      <w:r>
        <w:rPr>
          <w:spacing w:val="-70"/>
        </w:rPr>
        <w:t> </w:t>
      </w:r>
      <w:r>
        <w:rPr>
          <w:spacing w:val="-70"/>
        </w:rPr>
      </w:r>
      <w:r>
        <w:rPr/>
        <w:t>化政策》、《公司章程》修订案等管理制度。</w:t>
      </w:r>
    </w:p>
    <w:p>
      <w:pPr>
        <w:spacing w:line="240" w:lineRule="auto" w:before="7"/>
        <w:rPr>
          <w:rFonts w:ascii="宋体" w:hAnsi="宋体" w:cs="宋体" w:eastAsia="宋体" w:hint="default"/>
          <w:sz w:val="20"/>
          <w:szCs w:val="20"/>
        </w:rPr>
      </w:pPr>
    </w:p>
    <w:p>
      <w:pPr>
        <w:pStyle w:val="Heading2"/>
        <w:spacing w:line="240" w:lineRule="auto"/>
        <w:ind w:right="90"/>
        <w:jc w:val="left"/>
        <w:rPr>
          <w:b w:val="0"/>
          <w:bCs w:val="0"/>
        </w:rPr>
      </w:pPr>
      <w:r>
        <w:rPr/>
        <w:t>三、股息分配</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9" w:firstLine="360"/>
        <w:jc w:val="both"/>
      </w:pPr>
      <w:r>
        <w:rPr>
          <w:spacing w:val="-2"/>
        </w:rPr>
        <w:t>追求企业价值最大化是公司长期坚持的目标，公司一贯重视股东的利益和回报。基于公司</w:t>
      </w:r>
      <w:r>
        <w:rPr>
          <w:rFonts w:ascii="Times New Roman" w:hAnsi="Times New Roman" w:cs="Times New Roman" w:eastAsia="Times New Roman" w:hint="default"/>
          <w:spacing w:val="-2"/>
        </w:rPr>
        <w:t>2013</w:t>
      </w:r>
      <w:r>
        <w:rPr>
          <w:spacing w:val="-2"/>
        </w:rPr>
        <w:t>年度实现的经营业绩以及</w:t>
      </w:r>
      <w:r>
        <w:rPr/>
        <w:t> </w:t>
      </w:r>
      <w:r>
        <w:rPr>
          <w:spacing w:val="-2"/>
        </w:rPr>
        <w:t>考虑公司整体财务状况和现金流情况，董事会建议</w:t>
      </w:r>
      <w:r>
        <w:rPr>
          <w:rFonts w:ascii="Times New Roman" w:hAnsi="Times New Roman" w:cs="Times New Roman" w:eastAsia="Times New Roman" w:hint="default"/>
          <w:spacing w:val="-2"/>
        </w:rPr>
        <w:t>2013</w:t>
      </w:r>
      <w:r>
        <w:rPr>
          <w:spacing w:val="-2"/>
        </w:rPr>
        <w:t>年度利润分配预案为：以分红派息股权登记日股份数为基数，向全体</w:t>
      </w:r>
      <w:r>
        <w:rPr>
          <w:spacing w:val="-62"/>
        </w:rPr>
        <w:t> </w:t>
      </w:r>
      <w:r>
        <w:rPr>
          <w:spacing w:val="-62"/>
        </w:rPr>
      </w:r>
      <w:r>
        <w:rPr/>
        <w:t>股东每</w:t>
      </w:r>
      <w:r>
        <w:rPr>
          <w:rFonts w:ascii="Times New Roman" w:hAnsi="Times New Roman" w:cs="Times New Roman" w:eastAsia="Times New Roman" w:hint="default"/>
        </w:rPr>
        <w:t>10</w:t>
      </w:r>
      <w:r>
        <w:rPr/>
        <w:t>股派发人民币现金红利</w:t>
      </w:r>
      <w:r>
        <w:rPr>
          <w:rFonts w:ascii="Times New Roman" w:hAnsi="Times New Roman" w:cs="Times New Roman" w:eastAsia="Times New Roman" w:hint="default"/>
        </w:rPr>
        <w:t>3.00</w:t>
      </w:r>
      <w:r>
        <w:rPr/>
        <w:t>元（含税）。以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日公司总股份</w:t>
      </w:r>
      <w:r>
        <w:rPr>
          <w:rFonts w:ascii="Times New Roman" w:hAnsi="Times New Roman" w:cs="Times New Roman" w:eastAsia="Times New Roman" w:hint="default"/>
        </w:rPr>
        <w:t>1,975,471,967</w:t>
      </w:r>
      <w:r>
        <w:rPr/>
        <w:t>股计算，</w:t>
      </w:r>
      <w:r>
        <w:rPr>
          <w:rFonts w:ascii="Times New Roman" w:hAnsi="Times New Roman" w:cs="Times New Roman" w:eastAsia="Times New Roman" w:hint="default"/>
        </w:rPr>
        <w:t>2013</w:t>
      </w:r>
      <w:r>
        <w:rPr/>
        <w:t>年度共派发人民</w:t>
      </w:r>
    </w:p>
    <w:p>
      <w:pPr>
        <w:spacing w:after="0" w:line="300" w:lineRule="auto"/>
        <w:jc w:val="both"/>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00" w:lineRule="auto" w:before="44"/>
        <w:ind w:right="187"/>
        <w:jc w:val="both"/>
      </w:pPr>
      <w:r>
        <w:rPr/>
        <w:t>币现金红利</w:t>
      </w:r>
      <w:r>
        <w:rPr>
          <w:rFonts w:ascii="Times New Roman" w:hAnsi="Times New Roman" w:cs="Times New Roman" w:eastAsia="Times New Roman" w:hint="default"/>
        </w:rPr>
        <w:t>592,641,590.10</w:t>
      </w:r>
      <w:r>
        <w:rPr/>
        <w:t>元（含税），占</w:t>
      </w:r>
      <w:r>
        <w:rPr>
          <w:rFonts w:ascii="Times New Roman" w:hAnsi="Times New Roman" w:cs="Times New Roman" w:eastAsia="Times New Roman" w:hint="default"/>
        </w:rPr>
        <w:t>2013</w:t>
      </w:r>
      <w:r>
        <w:rPr/>
        <w:t>年按照企业会计准则编制的合并报表中归属于上市公司股东的净利润的比率</w:t>
      </w:r>
      <w:r>
        <w:rPr>
          <w:spacing w:val="-46"/>
        </w:rPr>
        <w:t> </w:t>
      </w:r>
      <w:r>
        <w:rPr/>
        <w:t>为</w:t>
      </w:r>
      <w:r>
        <w:rPr>
          <w:rFonts w:ascii="Times New Roman" w:hAnsi="Times New Roman" w:cs="Times New Roman" w:eastAsia="Times New Roman" w:hint="default"/>
        </w:rPr>
        <w:t>83.39%</w:t>
      </w:r>
      <w:r>
        <w:rPr/>
        <w:t>，利润分配后的余额滚存以后年度分配。公司将一如既往的致力于公司未来的长远发展，以更优异的成绩为股东</w:t>
      </w:r>
      <w:r>
        <w:rPr>
          <w:spacing w:val="-24"/>
        </w:rPr>
        <w:t> </w:t>
      </w:r>
      <w:r>
        <w:rPr>
          <w:spacing w:val="-24"/>
        </w:rPr>
      </w:r>
      <w:r>
        <w:rPr/>
        <w:t>创造最佳回报。</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r>
        <w:rPr/>
        <w:t>四、未来发展</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1" w:firstLine="360"/>
        <w:jc w:val="left"/>
      </w:pPr>
      <w:r>
        <w:rPr/>
        <w:t>公司所处的行业为轻工造纸业，行业景气度与宏观经济增速高度相关，近两年来，造纸行业整体盈利水平在低位徘徊， </w:t>
      </w:r>
      <w:r>
        <w:rPr>
          <w:spacing w:val="-2"/>
        </w:rPr>
        <w:t>但行业供给增长放缓及淘汰落后产能促进了行业集中度的提高，从长远看，造纸行业所面临的发展条件在逐步向好。国家发</w:t>
      </w:r>
      <w:r>
        <w:rPr>
          <w:spacing w:val="-66"/>
        </w:rPr>
        <w:t> </w:t>
      </w:r>
      <w:r>
        <w:rPr>
          <w:spacing w:val="-66"/>
        </w:rPr>
      </w:r>
      <w:r>
        <w:rPr>
          <w:spacing w:val="-2"/>
        </w:rPr>
        <w:t>改委、工信部、国家林业局联合印发《造纸工业发展“十二五”规划》，明确指出“控制总量、促进集中、优化原料、节能</w:t>
      </w:r>
      <w:r>
        <w:rPr>
          <w:spacing w:val="-66"/>
        </w:rPr>
        <w:t> </w:t>
      </w:r>
      <w:r>
        <w:rPr>
          <w:spacing w:val="-66"/>
        </w:rPr>
      </w:r>
      <w:r>
        <w:rPr/>
        <w:t>减排”的大方向，公司有望长期受益。</w:t>
      </w:r>
    </w:p>
    <w:p>
      <w:pPr>
        <w:pStyle w:val="BodyText"/>
        <w:spacing w:line="319" w:lineRule="auto" w:before="55"/>
        <w:ind w:right="91" w:firstLine="360"/>
        <w:jc w:val="left"/>
      </w:pPr>
      <w:r>
        <w:rPr/>
        <w:t>近年来公司致力于林浆纸一体化发展，产业链较长，纸种比较全面，报告期内，在前景较好的纸种上进行了产能扩张， </w:t>
      </w:r>
      <w:r>
        <w:rPr>
          <w:spacing w:val="-2"/>
        </w:rPr>
        <w:t>公司发展道路符合整个造纸工业发展规划要求，同时公司拓宽了产业链，介入金融、能源等领域，产业布局更加合理，竞争</w:t>
      </w:r>
      <w:r>
        <w:rPr>
          <w:spacing w:val="-66"/>
        </w:rPr>
        <w:t> </w:t>
      </w:r>
      <w:r>
        <w:rPr>
          <w:spacing w:val="-66"/>
        </w:rPr>
      </w:r>
      <w:r>
        <w:rPr/>
        <w:t>实力和发展后劲将进一步增强，随着经济形势好转，行业复苏，公司业绩将会出现稳步增长，公司未来业绩值得期待。</w:t>
      </w:r>
    </w:p>
    <w:p>
      <w:pPr>
        <w:pStyle w:val="BodyText"/>
        <w:spacing w:line="319" w:lineRule="auto" w:before="56"/>
        <w:ind w:right="188" w:firstLine="360"/>
        <w:jc w:val="both"/>
      </w:pPr>
      <w:r>
        <w:rPr/>
        <w:t>2014</w:t>
      </w:r>
      <w:r>
        <w:rPr>
          <w:spacing w:val="7"/>
        </w:rPr>
        <w:t> </w:t>
      </w:r>
      <w:r>
        <w:rPr/>
        <w:t>年是公司全面加强管理、着力提高运行质量的一年，也将是公司持续发展的一年。为了做好全年工作，公司确定</w:t>
      </w:r>
      <w:r>
        <w:rPr/>
        <w:t> 了“打造团队、严细管理、业务精湛、创出佳绩”的工作方针，作为全年工作指导。结合公司制定的战略目标，2014</w:t>
      </w:r>
      <w:r>
        <w:rPr>
          <w:spacing w:val="7"/>
        </w:rPr>
        <w:t> </w:t>
      </w:r>
      <w:r>
        <w:rPr/>
        <w:t>年公</w:t>
      </w:r>
      <w:r>
        <w:rPr/>
        <w:t> 司要着力做好以下几方面的工作：</w:t>
      </w:r>
    </w:p>
    <w:p>
      <w:pPr>
        <w:pStyle w:val="BodyText"/>
        <w:spacing w:line="319" w:lineRule="auto" w:before="55"/>
        <w:ind w:right="90" w:firstLine="360"/>
        <w:jc w:val="left"/>
      </w:pPr>
      <w:r>
        <w:rPr>
          <w:spacing w:val="-2"/>
        </w:rPr>
        <w:t>（一）企业管理。牢牢树立、坚决执行“打造团队、严细管理、业务精湛、创出佳绩”的工作方针。对现有管理制度重</w:t>
      </w:r>
      <w:r>
        <w:rPr/>
        <w:t> </w:t>
      </w:r>
      <w:r>
        <w:rPr>
          <w:spacing w:val="-2"/>
        </w:rPr>
        <w:t>新修订完善，做到简单、有效、易行，为严细管理创造基本条件。遵循编制好培训材料、严格考试、合格上岗、不合格淘汰</w:t>
      </w:r>
      <w:r>
        <w:rPr>
          <w:spacing w:val="-67"/>
        </w:rPr>
        <w:t> </w:t>
      </w:r>
      <w:r>
        <w:rPr>
          <w:spacing w:val="-67"/>
        </w:rPr>
      </w:r>
      <w:r>
        <w:rPr>
          <w:spacing w:val="-4"/>
        </w:rPr>
        <w:t>的原则，抓好团队建设。完善激励机制，创新激励办法，推行竞争上岗，进一步调动干部员工的积极性。注重企业文化建设，</w:t>
      </w:r>
      <w:r>
        <w:rPr>
          <w:spacing w:val="-44"/>
        </w:rPr>
        <w:t> </w:t>
      </w:r>
      <w:r>
        <w:rPr>
          <w:spacing w:val="-44"/>
        </w:rPr>
      </w:r>
      <w:r>
        <w:rPr/>
        <w:t>规范员工言行，落实“努力实现企业管理与企业文化的高度融合”的目标，打造公司崭新的企业文化力。</w:t>
      </w:r>
    </w:p>
    <w:p>
      <w:pPr>
        <w:pStyle w:val="BodyText"/>
        <w:spacing w:line="319" w:lineRule="auto" w:before="55"/>
        <w:ind w:right="188" w:firstLine="360"/>
        <w:jc w:val="both"/>
      </w:pPr>
      <w:r>
        <w:rPr>
          <w:spacing w:val="-2"/>
        </w:rPr>
        <w:t>（二）经营管理。通过优化产品结构，增加高效益区域投放等来增加效益；借鉴先进企业营销激励办法，完善绩效考核</w:t>
      </w:r>
      <w:r>
        <w:rPr/>
        <w:t> </w:t>
      </w:r>
      <w:r>
        <w:rPr>
          <w:spacing w:val="-2"/>
        </w:rPr>
        <w:t>方案，体现多劳多得，充分激发销售积极性；通过研究市场，及时制定销售策略等措施降低库存，降低资金占用，赢得市场</w:t>
      </w:r>
      <w:r>
        <w:rPr>
          <w:spacing w:val="-68"/>
        </w:rPr>
        <w:t> </w:t>
      </w:r>
      <w:r>
        <w:rPr>
          <w:spacing w:val="-68"/>
        </w:rPr>
      </w:r>
      <w:r>
        <w:rPr/>
        <w:t>主动；加强新产品推广，对热敏纸、格拉辛纸等高附加值产品建立专业销售队伍，增加公司收益。</w:t>
      </w:r>
    </w:p>
    <w:p>
      <w:pPr>
        <w:pStyle w:val="BodyText"/>
        <w:spacing w:line="319" w:lineRule="auto" w:before="56"/>
        <w:ind w:right="153" w:firstLine="360"/>
        <w:jc w:val="both"/>
      </w:pPr>
      <w:r>
        <w:rPr/>
        <w:t>（三）生产管理。高度重视改造投产项目和新建投产项目的运营，对公司</w:t>
      </w:r>
      <w:r>
        <w:rPr>
          <w:spacing w:val="-46"/>
        </w:rPr>
        <w:t> </w:t>
      </w:r>
      <w:r>
        <w:rPr/>
        <w:t>80</w:t>
      </w:r>
      <w:r>
        <w:rPr>
          <w:spacing w:val="-46"/>
        </w:rPr>
        <w:t> </w:t>
      </w:r>
      <w:r>
        <w:rPr/>
        <w:t>万吨铜版纸项目、60</w:t>
      </w:r>
      <w:r>
        <w:rPr>
          <w:spacing w:val="-46"/>
        </w:rPr>
        <w:t> </w:t>
      </w:r>
      <w:r>
        <w:rPr/>
        <w:t>万吨白牛卡纸项目、</w:t>
      </w:r>
      <w:r>
        <w:rPr/>
        <w:t> </w:t>
      </w:r>
      <w:r>
        <w:rPr>
          <w:spacing w:val="-2"/>
        </w:rPr>
        <w:t>吉林晨鸣环保迁建项目、美伦造纸助剂项目、武汉特种纸改造及生活纸项目重点管理，尽快形成效益增长点。抓好产品结构</w:t>
      </w:r>
      <w:r>
        <w:rPr>
          <w:spacing w:val="-66"/>
        </w:rPr>
        <w:t> </w:t>
      </w:r>
      <w:r>
        <w:rPr>
          <w:spacing w:val="-66"/>
        </w:rPr>
      </w:r>
      <w:r>
        <w:rPr>
          <w:spacing w:val="-2"/>
        </w:rPr>
        <w:t>调整和新产品开发工作，丰富产品结构，提高应对市场能力，并对新产品及高附加值产品增加销售。抓好技术研发与技术应</w:t>
      </w:r>
      <w:r>
        <w:rPr>
          <w:spacing w:val="-66"/>
        </w:rPr>
        <w:t> </w:t>
      </w:r>
      <w:r>
        <w:rPr>
          <w:spacing w:val="-66"/>
        </w:rPr>
      </w:r>
      <w:r>
        <w:rPr/>
        <w:t>用工作，提高核心竞争力。继续落实定岗定员工作，通过岗位合并和自动化改进，降低人工成本。</w:t>
      </w:r>
    </w:p>
    <w:p>
      <w:pPr>
        <w:pStyle w:val="BodyText"/>
        <w:spacing w:line="319" w:lineRule="auto" w:before="55"/>
        <w:ind w:right="190" w:firstLine="360"/>
        <w:jc w:val="both"/>
      </w:pPr>
      <w:r>
        <w:rPr>
          <w:spacing w:val="-2"/>
        </w:rPr>
        <w:t>（四）项目管理。根据“精心规划、铸造精品、争创进度、效益验证”的项目建设方针，对原有的项目管理制度进行修</w:t>
      </w:r>
      <w:r>
        <w:rPr/>
        <w:t> 订完善，使各项制度充分体现方针精神。对江西晨鸣</w:t>
      </w:r>
      <w:r>
        <w:rPr>
          <w:spacing w:val="-45"/>
        </w:rPr>
        <w:t> </w:t>
      </w:r>
      <w:r>
        <w:rPr/>
        <w:t>35</w:t>
      </w:r>
      <w:r>
        <w:rPr>
          <w:spacing w:val="-46"/>
        </w:rPr>
        <w:t> </w:t>
      </w:r>
      <w:r>
        <w:rPr/>
        <w:t>万吨高档包装纸、湛江晨鸣</w:t>
      </w:r>
      <w:r>
        <w:rPr>
          <w:spacing w:val="-45"/>
        </w:rPr>
        <w:t> </w:t>
      </w:r>
      <w:r>
        <w:rPr/>
        <w:t>18</w:t>
      </w:r>
      <w:r>
        <w:rPr>
          <w:spacing w:val="-45"/>
        </w:rPr>
        <w:t> </w:t>
      </w:r>
      <w:r>
        <w:rPr/>
        <w:t>万吨纸杯原纸及</w:t>
      </w:r>
      <w:r>
        <w:rPr>
          <w:spacing w:val="-45"/>
        </w:rPr>
        <w:t> </w:t>
      </w:r>
      <w:r>
        <w:rPr/>
        <w:t>19</w:t>
      </w:r>
      <w:r>
        <w:rPr>
          <w:spacing w:val="-45"/>
        </w:rPr>
        <w:t> </w:t>
      </w:r>
      <w:r>
        <w:rPr/>
        <w:t>万吨文化纸等在</w:t>
      </w:r>
      <w:r>
        <w:rPr/>
        <w:t> </w:t>
      </w:r>
      <w:r>
        <w:rPr>
          <w:spacing w:val="-2"/>
        </w:rPr>
        <w:t>建项目，抓好节点管控与考核，严格质量与成本控制，确保按时投产。对黄冈晨鸣林浆纸一体化等正在规划审批的项目，要</w:t>
      </w:r>
      <w:r>
        <w:rPr>
          <w:spacing w:val="-66"/>
        </w:rPr>
        <w:t> </w:t>
      </w:r>
      <w:r>
        <w:rPr>
          <w:spacing w:val="-66"/>
        </w:rPr>
      </w:r>
      <w:r>
        <w:rPr/>
        <w:t>反复论证，优化方案，确保项目成为世界一流的精品工程。</w:t>
      </w:r>
    </w:p>
    <w:p>
      <w:pPr>
        <w:pStyle w:val="BodyText"/>
        <w:spacing w:line="319" w:lineRule="auto" w:before="55"/>
        <w:ind w:right="90" w:firstLine="360"/>
        <w:jc w:val="left"/>
      </w:pPr>
      <w:r>
        <w:rPr>
          <w:spacing w:val="-2"/>
        </w:rPr>
        <w:t>（五）其他方面。加快财务公司筹建，申办融资租赁公司，充分利用境外资金，降低融资成本。通过扩大境外资金使用</w:t>
      </w:r>
      <w:r>
        <w:rPr/>
        <w:t> </w:t>
      </w:r>
      <w:r>
        <w:rPr>
          <w:spacing w:val="-2"/>
        </w:rPr>
        <w:t>量、拓展融资渠道、提高资金使用效率等措施，降低财务费用。通过进出口公司加大贸易量，开发源头客户，与优质客户建</w:t>
      </w:r>
      <w:r>
        <w:rPr>
          <w:spacing w:val="-68"/>
        </w:rPr>
        <w:t> </w:t>
      </w:r>
      <w:r>
        <w:rPr>
          <w:spacing w:val="-68"/>
        </w:rPr>
      </w:r>
      <w:r>
        <w:rPr>
          <w:spacing w:val="-4"/>
        </w:rPr>
        <w:t>立战略合作关系，控制优质货源等措施，实现经济效益。通过降低库存，推广厂商银业务、提高合同履约率等降低资金占用，</w:t>
      </w:r>
      <w:r>
        <w:rPr>
          <w:spacing w:val="-44"/>
        </w:rPr>
        <w:t> </w:t>
      </w:r>
      <w:r>
        <w:rPr>
          <w:spacing w:val="-44"/>
        </w:rPr>
      </w:r>
      <w:r>
        <w:rPr/>
        <w:t>降低财务成本。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68" w:lineRule="auto" w:before="122"/>
        <w:ind w:left="7767" w:right="791"/>
        <w:jc w:val="right"/>
        <w:rPr>
          <w:b w:val="0"/>
          <w:bCs w:val="0"/>
        </w:rPr>
      </w:pPr>
      <w:r>
        <w:rPr/>
        <w:t>陈洪国</w:t>
      </w:r>
      <w:r>
        <w:rPr>
          <w:spacing w:val="1"/>
          <w:w w:val="99"/>
        </w:rPr>
        <w:t> </w:t>
      </w:r>
      <w:r>
        <w:rPr/>
        <w:t>董事长</w:t>
      </w:r>
      <w:r>
        <w:rPr>
          <w:b w:val="0"/>
          <w:bCs w:val="0"/>
        </w:rPr>
      </w:r>
    </w:p>
    <w:p>
      <w:pPr>
        <w:pStyle w:val="Heading2"/>
        <w:spacing w:line="240" w:lineRule="auto" w:before="8"/>
        <w:ind w:left="7767" w:right="191"/>
        <w:jc w:val="right"/>
        <w:rPr>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w:t>
      </w:r>
      <w:r>
        <w:rPr>
          <w:b w:val="0"/>
          <w:bCs w:val="0"/>
        </w:rPr>
      </w:r>
    </w:p>
    <w:p>
      <w:pPr>
        <w:spacing w:after="0" w:line="240" w:lineRule="auto"/>
        <w:jc w:val="right"/>
        <w:sectPr>
          <w:pgSz w:w="11910" w:h="16840"/>
          <w:pgMar w:header="877" w:footer="950" w:top="1100" w:bottom="114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240" w:lineRule="auto"/>
        <w:ind w:right="3627"/>
        <w:jc w:val="center"/>
        <w:rPr>
          <w:b w:val="0"/>
          <w:bCs w:val="0"/>
        </w:rPr>
      </w:pPr>
      <w:bookmarkStart w:name="_bookmark4" w:id="5"/>
      <w:bookmarkEnd w:id="5"/>
      <w:r>
        <w:rPr>
          <w:b w:val="0"/>
          <w:bCs w:val="0"/>
        </w:rPr>
      </w:r>
      <w:r>
        <w:rPr/>
        <w:t>第五节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4" w:right="90" w:firstLine="360"/>
        <w:jc w:val="left"/>
      </w:pPr>
      <w:r>
        <w:rPr/>
        <w:t>本报告期，造纸行业上一轮产能密集扩张已基本完毕，受行业景气度低迷的影响，造纸企业短期内扩张意愿明显下降。 </w:t>
      </w:r>
      <w:r>
        <w:rPr>
          <w:spacing w:val="-2"/>
        </w:rPr>
        <w:t>此外，淘汰落后产能以及日趋严格的环保政策将使部分中小企业退出市场，从而在一定程度上缓解新增产能对行业供给造成</w:t>
      </w:r>
      <w:r>
        <w:rPr>
          <w:spacing w:val="-64"/>
        </w:rPr>
        <w:t> </w:t>
      </w:r>
      <w:r>
        <w:rPr>
          <w:spacing w:val="-64"/>
        </w:rPr>
      </w:r>
      <w:r>
        <w:rPr>
          <w:spacing w:val="-2"/>
        </w:rPr>
        <w:t>的压力。造纸行业供给增长放缓及淘汰落后产能促进了行业集中度的提高，有利于企业的自主提价行为；人民币的持续升值</w:t>
      </w:r>
      <w:r>
        <w:rPr>
          <w:spacing w:val="-66"/>
        </w:rPr>
        <w:t> </w:t>
      </w:r>
      <w:r>
        <w:rPr>
          <w:spacing w:val="-66"/>
        </w:rPr>
      </w:r>
      <w:r>
        <w:rPr>
          <w:spacing w:val="-2"/>
        </w:rPr>
        <w:t>及原材料价格下跌压力增加，缓解了企业的经营成本压力。同时，公司通过强化内部管理，积极开拓市场，纸浆销量同比增</w:t>
      </w:r>
      <w:r>
        <w:rPr>
          <w:spacing w:val="-66"/>
        </w:rPr>
        <w:t> </w:t>
      </w:r>
      <w:r>
        <w:rPr>
          <w:spacing w:val="-66"/>
        </w:rPr>
      </w:r>
      <w:r>
        <w:rPr/>
        <w:t>加。与去年同期相比，生产成本同比下降，公司主营业务毛利率稳定增长，盈利情况出现大幅度好转，全年利润大幅上升。</w:t>
      </w:r>
    </w:p>
    <w:p>
      <w:pPr>
        <w:pStyle w:val="BodyText"/>
        <w:spacing w:line="319" w:lineRule="auto" w:before="56"/>
        <w:ind w:left="154" w:right="189" w:firstLine="352"/>
        <w:jc w:val="both"/>
      </w:pPr>
      <w:r>
        <w:rPr>
          <w:spacing w:val="-2"/>
        </w:rPr>
        <w:t>报告期内，公司注重基础，着眼效益，持续改进，全面提升。一是分专业确定了新的工作方针和管理理念。二是规范基</w:t>
      </w:r>
      <w:r>
        <w:rPr/>
        <w:t> </w:t>
      </w:r>
      <w:r>
        <w:rPr>
          <w:spacing w:val="-2"/>
        </w:rPr>
        <w:t>础管理，狠抓制度建设。在完善制度的基础上，针对管理过程中存在的问题形成了警示案例。三是突出绩效管理。全面推行</w:t>
      </w:r>
      <w:r>
        <w:rPr>
          <w:spacing w:val="-66"/>
        </w:rPr>
        <w:t> </w:t>
      </w:r>
      <w:r>
        <w:rPr>
          <w:spacing w:val="-66"/>
        </w:rPr>
      </w:r>
      <w:r>
        <w:rPr>
          <w:spacing w:val="-2"/>
        </w:rPr>
        <w:t>成本节降奖励及效益提成奖励，使工作业绩突出的干部员工真正得到了实惠。四是加强人员管理，加大高、精、尖人才的引</w:t>
      </w:r>
      <w:r>
        <w:rPr>
          <w:spacing w:val="-66"/>
        </w:rPr>
        <w:t> </w:t>
      </w:r>
      <w:r>
        <w:rPr>
          <w:spacing w:val="-66"/>
        </w:rPr>
      </w:r>
      <w:r>
        <w:rPr/>
        <w:t>进力度，并在各自工作岗位上得到了充分发挥，取得了较好的效果。</w:t>
      </w:r>
    </w:p>
    <w:p>
      <w:pPr>
        <w:pStyle w:val="BodyText"/>
        <w:spacing w:line="319" w:lineRule="auto" w:before="55"/>
        <w:ind w:left="154" w:right="188" w:firstLine="352"/>
        <w:jc w:val="both"/>
      </w:pPr>
      <w:r>
        <w:rPr>
          <w:spacing w:val="-2"/>
        </w:rPr>
        <w:t>报告期内，公司面对复杂多变的市场形势，适时调整经营策略，积极应对市场，确保了产销平衡。一是团队建设取得明</w:t>
      </w:r>
      <w:r>
        <w:rPr/>
        <w:t> </w:t>
      </w:r>
      <w:r>
        <w:rPr>
          <w:spacing w:val="-2"/>
        </w:rPr>
        <w:t>显进步。全体销售人员思想稳定、工作主动性增强、业务水平明显提高。二是积极转变营销策略。加大近距市场投放量，完</w:t>
      </w:r>
      <w:r>
        <w:rPr>
          <w:spacing w:val="-67"/>
        </w:rPr>
        <w:t> </w:t>
      </w:r>
      <w:r>
        <w:rPr>
          <w:spacing w:val="-67"/>
        </w:rPr>
      </w:r>
      <w:r>
        <w:rPr>
          <w:spacing w:val="-2"/>
        </w:rPr>
        <w:t>善签约经销商制度。三是品牌影响力不断提升。湛江晨鸣高档双胶纸系列产品以其高品质得到了客户普遍认可，高档铜版纸</w:t>
      </w:r>
      <w:r>
        <w:rPr>
          <w:spacing w:val="-66"/>
        </w:rPr>
        <w:t> </w:t>
      </w:r>
      <w:r>
        <w:rPr>
          <w:spacing w:val="-66"/>
        </w:rPr>
      </w:r>
      <w:r>
        <w:rPr>
          <w:spacing w:val="-2"/>
        </w:rPr>
        <w:t>质量稳定，通过欧盟三星认证，客户关系更加紧密。四是通过优化库存结构、推行厂商银业务、提高合同履约率等措施，资</w:t>
      </w:r>
      <w:r>
        <w:rPr>
          <w:spacing w:val="-67"/>
        </w:rPr>
        <w:t> </w:t>
      </w:r>
      <w:r>
        <w:rPr>
          <w:spacing w:val="-67"/>
        </w:rPr>
      </w:r>
      <w:r>
        <w:rPr/>
        <w:t>金占用持续降低。</w:t>
      </w:r>
    </w:p>
    <w:p>
      <w:pPr>
        <w:pStyle w:val="BodyText"/>
        <w:spacing w:line="309" w:lineRule="auto" w:before="55"/>
        <w:ind w:right="188" w:firstLine="352"/>
        <w:jc w:val="both"/>
      </w:pPr>
      <w:r>
        <w:rPr>
          <w:spacing w:val="-2"/>
        </w:rPr>
        <w:t>报告期内，公司重视生产管理。一是加快结构调整。开发完成了新产品</w:t>
      </w:r>
      <w:r>
        <w:rPr>
          <w:rFonts w:ascii="Times New Roman" w:hAnsi="Times New Roman" w:cs="Times New Roman" w:eastAsia="Times New Roman" w:hint="default"/>
          <w:spacing w:val="-2"/>
        </w:rPr>
        <w:t>16</w:t>
      </w:r>
      <w:r>
        <w:rPr>
          <w:spacing w:val="-2"/>
        </w:rPr>
        <w:t>项，推进产品结构调整</w:t>
      </w:r>
      <w:r>
        <w:rPr>
          <w:rFonts w:ascii="Times New Roman" w:hAnsi="Times New Roman" w:cs="Times New Roman" w:eastAsia="Times New Roman" w:hint="default"/>
          <w:spacing w:val="-2"/>
        </w:rPr>
        <w:t>30</w:t>
      </w:r>
      <w:r>
        <w:rPr>
          <w:spacing w:val="-2"/>
        </w:rPr>
        <w:t>余项，扩大了产品盈</w:t>
      </w:r>
      <w:r>
        <w:rPr/>
        <w:t> </w:t>
      </w:r>
      <w:r>
        <w:rPr>
          <w:spacing w:val="-2"/>
        </w:rPr>
        <w:t>利空间。二是稳定纸机运行。提高大机台运行效率。三是加强库存清理，为经营赢得了主动权。四是推进工艺优化。通过优</w:t>
      </w:r>
      <w:r>
        <w:rPr>
          <w:spacing w:val="-68"/>
        </w:rPr>
        <w:t> </w:t>
      </w:r>
      <w:r>
        <w:rPr>
          <w:spacing w:val="-68"/>
        </w:rPr>
      </w:r>
      <w:r>
        <w:rPr/>
        <w:t>化浆料结构、优化化学品工艺以及使用新原料等，进一步提高经济效益。五是持续推进定岗定员工作，降低人工成本。</w:t>
      </w:r>
    </w:p>
    <w:p>
      <w:pPr>
        <w:pStyle w:val="BodyText"/>
        <w:spacing w:line="304" w:lineRule="auto" w:before="63"/>
        <w:ind w:right="189" w:firstLine="352"/>
        <w:jc w:val="both"/>
      </w:pPr>
      <w:r>
        <w:rPr>
          <w:rFonts w:ascii="Times New Roman" w:hAnsi="Times New Roman" w:cs="Times New Roman" w:eastAsia="Times New Roman" w:hint="default"/>
          <w:spacing w:val="-2"/>
        </w:rPr>
        <w:t>2013</w:t>
      </w:r>
      <w:r>
        <w:rPr>
          <w:spacing w:val="-2"/>
        </w:rPr>
        <w:t>年是企业转型发展势头最强劲的一年。一是武汉晨鸣生活用纸项目、吉林晨鸣环保迁建项目、寿光本埠</w:t>
      </w:r>
      <w:r>
        <w:rPr>
          <w:rFonts w:ascii="Times New Roman" w:hAnsi="Times New Roman" w:cs="Times New Roman" w:eastAsia="Times New Roman" w:hint="default"/>
          <w:spacing w:val="-2"/>
        </w:rPr>
        <w:t>10</w:t>
      </w:r>
      <w:r>
        <w:rPr>
          <w:spacing w:val="-2"/>
        </w:rPr>
        <w:t>万吨造纸</w:t>
      </w:r>
      <w:r>
        <w:rPr/>
        <w:t> </w:t>
      </w:r>
      <w:r>
        <w:rPr>
          <w:spacing w:val="-2"/>
        </w:rPr>
        <w:t>助剂项目相继建成投产，对公司调整结构、降低成本、提高效益等方面将发挥重要作用。二是江西晨鸣</w:t>
      </w:r>
      <w:r>
        <w:rPr>
          <w:rFonts w:ascii="Times New Roman" w:hAnsi="Times New Roman" w:cs="Times New Roman" w:eastAsia="Times New Roman" w:hint="default"/>
          <w:spacing w:val="-2"/>
        </w:rPr>
        <w:t>35</w:t>
      </w:r>
      <w:r>
        <w:rPr>
          <w:spacing w:val="-2"/>
        </w:rPr>
        <w:t>万吨高档包装纸项</w:t>
      </w:r>
      <w:r>
        <w:rPr>
          <w:spacing w:val="-65"/>
        </w:rPr>
        <w:t> </w:t>
      </w:r>
      <w:r>
        <w:rPr>
          <w:spacing w:val="-2"/>
        </w:rPr>
        <w:t>目、湛江</w:t>
      </w:r>
      <w:r>
        <w:rPr>
          <w:rFonts w:ascii="Times New Roman" w:hAnsi="Times New Roman" w:cs="Times New Roman" w:eastAsia="Times New Roman" w:hint="default"/>
          <w:spacing w:val="-2"/>
        </w:rPr>
        <w:t>18</w:t>
      </w:r>
      <w:r>
        <w:rPr>
          <w:spacing w:val="-2"/>
        </w:rPr>
        <w:t>万吨纸杯原纸和</w:t>
      </w:r>
      <w:r>
        <w:rPr>
          <w:rFonts w:ascii="Times New Roman" w:hAnsi="Times New Roman" w:cs="Times New Roman" w:eastAsia="Times New Roman" w:hint="default"/>
          <w:spacing w:val="-2"/>
        </w:rPr>
        <w:t>19</w:t>
      </w:r>
      <w:r>
        <w:rPr>
          <w:spacing w:val="-2"/>
        </w:rPr>
        <w:t>万吨文化纸项目、广东慧锐海东新区岸线综合治理项目、武汉万兴置业房地产项目、海城菱镁</w:t>
      </w:r>
      <w:r>
        <w:rPr>
          <w:spacing w:val="-62"/>
        </w:rPr>
        <w:t> </w:t>
      </w:r>
      <w:r>
        <w:rPr>
          <w:spacing w:val="-62"/>
        </w:rPr>
      </w:r>
      <w:r>
        <w:rPr>
          <w:spacing w:val="-2"/>
        </w:rPr>
        <w:t>矿开采项目等相继开工建设，加快了公司结构调整，促进了企业转型升级，将进一步增强公司实力。三是规划审批了黄冈晨</w:t>
      </w:r>
      <w:r>
        <w:rPr>
          <w:spacing w:val="-66"/>
        </w:rPr>
        <w:t> </w:t>
      </w:r>
      <w:r>
        <w:rPr>
          <w:spacing w:val="-66"/>
        </w:rPr>
      </w:r>
      <w:r>
        <w:rPr/>
        <w:t>鸣林浆纸一体化项目，对增强公司综合竞争力具有重要意义。</w:t>
      </w:r>
    </w:p>
    <w:p>
      <w:pPr>
        <w:pStyle w:val="BodyText"/>
        <w:spacing w:line="319" w:lineRule="auto" w:before="66"/>
        <w:ind w:left="154" w:right="191" w:firstLine="352"/>
        <w:jc w:val="both"/>
      </w:pPr>
      <w:r>
        <w:rPr>
          <w:spacing w:val="-2"/>
        </w:rPr>
        <w:t>报告期内，晨鸣集团财务公司获中国银监会批准筹建，成为造纸行业第一家拥有财务公司的企业，标志着公司正式介入</w:t>
      </w:r>
      <w:r>
        <w:rPr/>
        <w:t> 金融领域，为集团多元化发展开辟了一条新的道路。</w:t>
      </w:r>
    </w:p>
    <w:p>
      <w:pPr>
        <w:pStyle w:val="BodyText"/>
        <w:spacing w:line="319" w:lineRule="auto" w:before="55"/>
        <w:ind w:left="154" w:right="191" w:firstLine="352"/>
        <w:jc w:val="both"/>
      </w:pPr>
      <w:r>
        <w:rPr>
          <w:spacing w:val="-2"/>
        </w:rPr>
        <w:t>报告期内，公司坚持淘汰落后产能，对延边晨鸣予以出售，此举符合公司产品高端化的发展战略，有利于进一步提升公</w:t>
      </w:r>
      <w:r>
        <w:rPr/>
        <w:t> 司高端优势产品比重、提高经济效益。同时，公司通过境外融资、低利率贷款等措施，降低财务费用，提升盈利水平。</w:t>
      </w:r>
    </w:p>
    <w:p>
      <w:pPr>
        <w:spacing w:line="240" w:lineRule="auto" w:before="7"/>
        <w:rPr>
          <w:rFonts w:ascii="宋体" w:hAnsi="宋体" w:cs="宋体" w:eastAsia="宋体" w:hint="default"/>
          <w:sz w:val="20"/>
          <w:szCs w:val="20"/>
        </w:rPr>
      </w:pPr>
    </w:p>
    <w:p>
      <w:pPr>
        <w:pStyle w:val="Heading2"/>
        <w:spacing w:line="240" w:lineRule="auto"/>
        <w:ind w:right="9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90" w:firstLine="359"/>
        <w:jc w:val="both"/>
      </w:pPr>
      <w:r>
        <w:rPr>
          <w:spacing w:val="-1"/>
        </w:rPr>
        <w:t>报告期内，公司实现营业收入达人民币</w:t>
      </w:r>
      <w:r>
        <w:rPr>
          <w:rFonts w:ascii="Times New Roman" w:hAnsi="Times New Roman" w:cs="Times New Roman" w:eastAsia="Times New Roman" w:hint="default"/>
          <w:spacing w:val="-1"/>
        </w:rPr>
        <w:t>2,038,889.01</w:t>
      </w:r>
      <w:r>
        <w:rPr>
          <w:spacing w:val="-1"/>
        </w:rPr>
        <w:t>万元，比</w:t>
      </w:r>
      <w:r>
        <w:rPr>
          <w:rFonts w:ascii="Times New Roman" w:hAnsi="Times New Roman" w:cs="Times New Roman" w:eastAsia="Times New Roman" w:hint="default"/>
          <w:spacing w:val="-1"/>
        </w:rPr>
        <w:t>2012</w:t>
      </w:r>
      <w:r>
        <w:rPr>
          <w:spacing w:val="-1"/>
        </w:rPr>
        <w:t>年增加人民币</w:t>
      </w:r>
      <w:r>
        <w:rPr>
          <w:rFonts w:ascii="Times New Roman" w:hAnsi="Times New Roman" w:cs="Times New Roman" w:eastAsia="Times New Roman" w:hint="default"/>
          <w:spacing w:val="-1"/>
        </w:rPr>
        <w:t>62,721.08</w:t>
      </w:r>
      <w:r>
        <w:rPr>
          <w:spacing w:val="-1"/>
        </w:rPr>
        <w:t>万元，增长</w:t>
      </w:r>
      <w:r>
        <w:rPr>
          <w:rFonts w:ascii="Times New Roman" w:hAnsi="Times New Roman" w:cs="Times New Roman" w:eastAsia="Times New Roman" w:hint="default"/>
          <w:spacing w:val="-1"/>
        </w:rPr>
        <w:t>3.17%</w:t>
      </w:r>
      <w:r>
        <w:rPr>
          <w:spacing w:val="-1"/>
        </w:rPr>
        <w:t>；营业成本人</w:t>
      </w:r>
      <w:r>
        <w:rPr/>
        <w:t> 民币</w:t>
      </w:r>
      <w:r>
        <w:rPr>
          <w:rFonts w:ascii="Times New Roman" w:hAnsi="Times New Roman" w:cs="Times New Roman" w:eastAsia="Times New Roman" w:hint="default"/>
        </w:rPr>
        <w:t>1,665,188.60</w:t>
      </w:r>
      <w:r>
        <w:rPr/>
        <w:t>万元，比</w:t>
      </w:r>
      <w:r>
        <w:rPr>
          <w:rFonts w:ascii="Times New Roman" w:hAnsi="Times New Roman" w:cs="Times New Roman" w:eastAsia="Times New Roman" w:hint="default"/>
        </w:rPr>
        <w:t>2012</w:t>
      </w:r>
      <w:r>
        <w:rPr/>
        <w:t>年减少人民币</w:t>
      </w:r>
      <w:r>
        <w:rPr>
          <w:rFonts w:ascii="Times New Roman" w:hAnsi="Times New Roman" w:cs="Times New Roman" w:eastAsia="Times New Roman" w:hint="default"/>
        </w:rPr>
        <w:t>4,188.23</w:t>
      </w:r>
      <w:r>
        <w:rPr/>
        <w:t>万元，降低</w:t>
      </w:r>
      <w:r>
        <w:rPr>
          <w:rFonts w:ascii="Times New Roman" w:hAnsi="Times New Roman" w:cs="Times New Roman" w:eastAsia="Times New Roman" w:hint="default"/>
        </w:rPr>
        <w:t>0.25%</w:t>
      </w:r>
      <w:r>
        <w:rPr/>
        <w:t>；实现营业利润及归属于母公司所有者的净利润分别 </w:t>
      </w:r>
      <w:r>
        <w:rPr>
          <w:spacing w:val="-1"/>
        </w:rPr>
        <w:t>为人民币</w:t>
      </w:r>
      <w:r>
        <w:rPr>
          <w:rFonts w:ascii="Times New Roman" w:hAnsi="Times New Roman" w:cs="Times New Roman" w:eastAsia="Times New Roman" w:hint="default"/>
          <w:spacing w:val="-1"/>
        </w:rPr>
        <w:t>40,354.09</w:t>
      </w:r>
      <w:r>
        <w:rPr>
          <w:spacing w:val="-1"/>
        </w:rPr>
        <w:t>万元、人民币</w:t>
      </w:r>
      <w:r>
        <w:rPr>
          <w:rFonts w:ascii="Times New Roman" w:hAnsi="Times New Roman" w:cs="Times New Roman" w:eastAsia="Times New Roman" w:hint="default"/>
          <w:spacing w:val="-1"/>
        </w:rPr>
        <w:t>71,065.53</w:t>
      </w:r>
      <w:r>
        <w:rPr>
          <w:spacing w:val="-1"/>
        </w:rPr>
        <w:t>万元，增长</w:t>
      </w:r>
      <w:r>
        <w:rPr>
          <w:rFonts w:ascii="Times New Roman" w:hAnsi="Times New Roman" w:cs="Times New Roman" w:eastAsia="Times New Roman" w:hint="default"/>
          <w:spacing w:val="-1"/>
        </w:rPr>
        <w:t>196.95%</w:t>
      </w:r>
      <w:r>
        <w:rPr>
          <w:spacing w:val="-1"/>
        </w:rPr>
        <w:t>和</w:t>
      </w:r>
      <w:r>
        <w:rPr>
          <w:rFonts w:ascii="Times New Roman" w:hAnsi="Times New Roman" w:cs="Times New Roman" w:eastAsia="Times New Roman" w:hint="default"/>
          <w:spacing w:val="-1"/>
        </w:rPr>
        <w:t>221.51%</w:t>
      </w:r>
      <w:r>
        <w:rPr>
          <w:spacing w:val="-1"/>
        </w:rPr>
        <w:t>。本报告期，期间费用</w:t>
      </w:r>
      <w:r>
        <w:rPr>
          <w:rFonts w:ascii="Times New Roman" w:hAnsi="Times New Roman" w:cs="Times New Roman" w:eastAsia="Times New Roman" w:hint="default"/>
          <w:spacing w:val="-1"/>
        </w:rPr>
        <w:t>325,845.38</w:t>
      </w:r>
      <w:r>
        <w:rPr>
          <w:spacing w:val="-1"/>
        </w:rPr>
        <w:t>万元，比</w:t>
      </w:r>
      <w:r>
        <w:rPr>
          <w:rFonts w:ascii="Times New Roman" w:hAnsi="Times New Roman" w:cs="Times New Roman" w:eastAsia="Times New Roman" w:hint="default"/>
          <w:spacing w:val="-1"/>
        </w:rPr>
        <w:t>2012</w:t>
      </w:r>
      <w:r>
        <w:rPr>
          <w:spacing w:val="-1"/>
        </w:rPr>
        <w:t>年减</w:t>
      </w:r>
      <w:r>
        <w:rPr>
          <w:spacing w:val="-42"/>
        </w:rPr>
        <w:t> </w:t>
      </w:r>
      <w:r>
        <w:rPr>
          <w:spacing w:val="-1"/>
        </w:rPr>
        <w:t>少</w:t>
      </w:r>
      <w:r>
        <w:rPr>
          <w:rFonts w:ascii="Times New Roman" w:hAnsi="Times New Roman" w:cs="Times New Roman" w:eastAsia="Times New Roman" w:hint="default"/>
          <w:spacing w:val="-1"/>
        </w:rPr>
        <w:t>8,904.24</w:t>
      </w:r>
      <w:r>
        <w:rPr>
          <w:spacing w:val="-1"/>
        </w:rPr>
        <w:t>万元，降低</w:t>
      </w:r>
      <w:r>
        <w:rPr>
          <w:rFonts w:ascii="Times New Roman" w:hAnsi="Times New Roman" w:cs="Times New Roman" w:eastAsia="Times New Roman" w:hint="default"/>
          <w:spacing w:val="-1"/>
        </w:rPr>
        <w:t>2.66%</w:t>
      </w:r>
      <w:r>
        <w:rPr>
          <w:spacing w:val="-1"/>
        </w:rPr>
        <w:t>；研发投入</w:t>
      </w:r>
      <w:r>
        <w:rPr>
          <w:rFonts w:ascii="Times New Roman" w:hAnsi="Times New Roman" w:cs="Times New Roman" w:eastAsia="Times New Roman" w:hint="default"/>
          <w:spacing w:val="-1"/>
        </w:rPr>
        <w:t>37,926.12</w:t>
      </w:r>
      <w:r>
        <w:rPr>
          <w:spacing w:val="-1"/>
        </w:rPr>
        <w:t>万元，比</w:t>
      </w:r>
      <w:r>
        <w:rPr>
          <w:rFonts w:ascii="Times New Roman" w:hAnsi="Times New Roman" w:cs="Times New Roman" w:eastAsia="Times New Roman" w:hint="default"/>
          <w:spacing w:val="-1"/>
        </w:rPr>
        <w:t>2012</w:t>
      </w:r>
      <w:r>
        <w:rPr>
          <w:spacing w:val="-1"/>
        </w:rPr>
        <w:t>年增加</w:t>
      </w:r>
      <w:r>
        <w:rPr>
          <w:rFonts w:ascii="Times New Roman" w:hAnsi="Times New Roman" w:cs="Times New Roman" w:eastAsia="Times New Roman" w:hint="default"/>
          <w:spacing w:val="-1"/>
        </w:rPr>
        <w:t>8,556.29</w:t>
      </w:r>
      <w:r>
        <w:rPr>
          <w:spacing w:val="-1"/>
        </w:rPr>
        <w:t>万元，增长</w:t>
      </w:r>
      <w:r>
        <w:rPr>
          <w:rFonts w:ascii="Times New Roman" w:hAnsi="Times New Roman" w:cs="Times New Roman" w:eastAsia="Times New Roman" w:hint="default"/>
          <w:spacing w:val="-1"/>
        </w:rPr>
        <w:t>29.13%</w:t>
      </w:r>
      <w:r>
        <w:rPr>
          <w:spacing w:val="-1"/>
        </w:rPr>
        <w:t>；经营活动产生的现金流净</w:t>
      </w:r>
      <w:r>
        <w:rPr>
          <w:spacing w:val="-46"/>
        </w:rPr>
        <w:t> </w:t>
      </w:r>
      <w:r>
        <w:rPr>
          <w:spacing w:val="-46"/>
        </w:rPr>
      </w:r>
      <w:r>
        <w:rPr/>
        <w:t>额为</w:t>
      </w:r>
      <w:r>
        <w:rPr>
          <w:rFonts w:ascii="Times New Roman" w:hAnsi="Times New Roman" w:cs="Times New Roman" w:eastAsia="Times New Roman" w:hint="default"/>
        </w:rPr>
        <w:t>112,261.68</w:t>
      </w:r>
      <w:r>
        <w:rPr/>
        <w:t>万元，比</w:t>
      </w:r>
      <w:r>
        <w:rPr>
          <w:rFonts w:ascii="Times New Roman" w:hAnsi="Times New Roman" w:cs="Times New Roman" w:eastAsia="Times New Roman" w:hint="default"/>
        </w:rPr>
        <w:t>2012</w:t>
      </w:r>
      <w:r>
        <w:rPr/>
        <w:t>年减少</w:t>
      </w:r>
      <w:r>
        <w:rPr>
          <w:rFonts w:ascii="Times New Roman" w:hAnsi="Times New Roman" w:cs="Times New Roman" w:eastAsia="Times New Roman" w:hint="default"/>
        </w:rPr>
        <w:t>83,424.97</w:t>
      </w:r>
      <w:r>
        <w:rPr/>
        <w:t>万元。</w:t>
      </w:r>
    </w:p>
    <w:p>
      <w:pPr>
        <w:pStyle w:val="BodyText"/>
        <w:spacing w:line="240" w:lineRule="auto" w:before="53"/>
        <w:ind w:left="154" w:right="90"/>
        <w:jc w:val="left"/>
      </w:pPr>
      <w:r>
        <w:rPr/>
        <w:t>公司回顾总结前期披露的发展战略和经营计划在报告期内的进展情况</w:t>
      </w:r>
    </w:p>
    <w:p>
      <w:pPr>
        <w:spacing w:after="0" w:line="240" w:lineRule="auto"/>
        <w:jc w:val="left"/>
        <w:sectPr>
          <w:pgSz w:w="11910" w:h="16840"/>
          <w:pgMar w:header="877" w:footer="950" w:top="1100" w:bottom="1140" w:left="980" w:right="940"/>
        </w:sectPr>
      </w:pPr>
    </w:p>
    <w:p>
      <w:pPr>
        <w:spacing w:line="240" w:lineRule="auto" w:before="13"/>
        <w:rPr>
          <w:rFonts w:ascii="宋体" w:hAnsi="宋体" w:cs="宋体" w:eastAsia="宋体" w:hint="default"/>
          <w:sz w:val="21"/>
          <w:szCs w:val="21"/>
        </w:rPr>
      </w:pPr>
    </w:p>
    <w:p>
      <w:pPr>
        <w:pStyle w:val="BodyText"/>
        <w:spacing w:line="357" w:lineRule="auto" w:before="44"/>
        <w:ind w:right="3097"/>
        <w:jc w:val="left"/>
      </w:pPr>
      <w:r>
        <w:rPr/>
        <w:t>请参考本章节第一部分、概述。 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报告期内，公司完成机制纸产量</w:t>
      </w:r>
      <w:r>
        <w:rPr>
          <w:rFonts w:ascii="Times New Roman" w:hAnsi="Times New Roman" w:cs="Times New Roman" w:eastAsia="Times New Roman" w:hint="default"/>
        </w:rPr>
        <w:t>410</w:t>
      </w:r>
      <w:r>
        <w:rPr/>
        <w:t>万吨，比</w:t>
      </w:r>
      <w:r>
        <w:rPr>
          <w:rFonts w:ascii="Times New Roman" w:hAnsi="Times New Roman" w:cs="Times New Roman" w:eastAsia="Times New Roman" w:hint="default"/>
        </w:rPr>
        <w:t>2012</w:t>
      </w:r>
      <w:r>
        <w:rPr/>
        <w:t>年的</w:t>
      </w:r>
      <w:r>
        <w:rPr>
          <w:rFonts w:ascii="Times New Roman" w:hAnsi="Times New Roman" w:cs="Times New Roman" w:eastAsia="Times New Roman" w:hint="default"/>
        </w:rPr>
        <w:t>393</w:t>
      </w:r>
      <w:r>
        <w:rPr/>
        <w:t>万吨增加</w:t>
      </w:r>
      <w:r>
        <w:rPr>
          <w:rFonts w:ascii="Times New Roman" w:hAnsi="Times New Roman" w:cs="Times New Roman" w:eastAsia="Times New Roman" w:hint="default"/>
        </w:rPr>
        <w:t>17</w:t>
      </w:r>
      <w:r>
        <w:rPr/>
        <w:t>万吨，增长</w:t>
      </w:r>
      <w:r>
        <w:rPr>
          <w:rFonts w:ascii="Times New Roman" w:hAnsi="Times New Roman" w:cs="Times New Roman" w:eastAsia="Times New Roman" w:hint="default"/>
        </w:rPr>
        <w:t>4.33%</w:t>
      </w:r>
      <w:r>
        <w:rPr/>
        <w:t>；实现主营业务收入人民币</w:t>
      </w:r>
    </w:p>
    <w:p>
      <w:pPr>
        <w:pStyle w:val="BodyText"/>
        <w:spacing w:line="340" w:lineRule="auto" w:before="62"/>
        <w:ind w:right="4401"/>
        <w:jc w:val="left"/>
      </w:pPr>
      <w:r>
        <w:rPr>
          <w:rFonts w:ascii="Times New Roman" w:hAnsi="Times New Roman" w:cs="Times New Roman" w:eastAsia="Times New Roman" w:hint="default"/>
        </w:rPr>
        <w:t>2,015,279.55</w:t>
      </w:r>
      <w:r>
        <w:rPr/>
        <w:t>万元，比</w:t>
      </w:r>
      <w:r>
        <w:rPr>
          <w:rFonts w:ascii="Times New Roman" w:hAnsi="Times New Roman" w:cs="Times New Roman" w:eastAsia="Times New Roman" w:hint="default"/>
        </w:rPr>
        <w:t>2012</w:t>
      </w:r>
      <w:r>
        <w:rPr/>
        <w:t>年增加人民币</w:t>
      </w:r>
      <w:r>
        <w:rPr>
          <w:rFonts w:ascii="Times New Roman" w:hAnsi="Times New Roman" w:cs="Times New Roman" w:eastAsia="Times New Roman" w:hint="default"/>
        </w:rPr>
        <w:t>73,441.01</w:t>
      </w:r>
      <w:r>
        <w:rPr/>
        <w:t>万元，增长</w:t>
      </w:r>
      <w:r>
        <w:rPr>
          <w:rFonts w:ascii="Times New Roman" w:hAnsi="Times New Roman" w:cs="Times New Roman" w:eastAsia="Times New Roman" w:hint="default"/>
        </w:rPr>
        <w:t>3.78%</w:t>
      </w:r>
      <w:r>
        <w:rPr/>
        <w:t>。 公司实物销售收入是否大于劳务收入</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03"/>
        <w:gridCol w:w="1926"/>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3"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机制纸（万吨）</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5.32%</w:t>
            </w:r>
          </w:p>
        </w:tc>
      </w:tr>
      <w:tr>
        <w:trPr>
          <w:trHeight w:val="402" w:hRule="exact"/>
        </w:trPr>
        <w:tc>
          <w:tcPr>
            <w:tcW w:w="1913" w:type="dxa"/>
            <w:vMerge/>
            <w:tcBorders>
              <w:left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1913"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-13.33%</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57" w:lineRule="auto" w:before="103"/>
        <w:ind w:left="154" w:right="7790"/>
        <w:jc w:val="left"/>
      </w:pPr>
      <w:r>
        <w:rPr/>
        <w:t>□ 适用 √ 不适用 公司重大的在手订单情况</w:t>
      </w:r>
    </w:p>
    <w:p>
      <w:pPr>
        <w:pStyle w:val="BodyText"/>
        <w:spacing w:line="360" w:lineRule="auto" w:before="27"/>
        <w:ind w:left="154" w:right="5450"/>
        <w:jc w:val="left"/>
      </w:pPr>
      <w:r>
        <w:rPr/>
        <w:t>□ 适用 √ 不适用 公司报告期内产品或服务发生重大变化或调整有关情况</w:t>
      </w:r>
    </w:p>
    <w:p>
      <w:pPr>
        <w:pStyle w:val="BodyText"/>
        <w:spacing w:line="357" w:lineRule="auto" w:before="26"/>
        <w:ind w:left="154" w:right="7970"/>
        <w:jc w:val="left"/>
      </w:pPr>
      <w:r>
        <w:rPr/>
        <w:t>□ 适用 √ 不适用 公司主要销售客户情况</w:t>
      </w:r>
    </w:p>
    <w:tbl>
      <w:tblPr>
        <w:tblW w:w="0" w:type="auto"/>
        <w:jc w:val="left"/>
        <w:tblInd w:w="176" w:type="dxa"/>
        <w:tblLayout w:type="fixed"/>
        <w:tblCellMar>
          <w:top w:w="0" w:type="dxa"/>
          <w:left w:w="0" w:type="dxa"/>
          <w:bottom w:w="0" w:type="dxa"/>
          <w:right w:w="0" w:type="dxa"/>
        </w:tblCellMar>
        <w:tblLook w:val="01E0"/>
      </w:tblPr>
      <w:tblGrid>
        <w:gridCol w:w="4230"/>
        <w:gridCol w:w="5310"/>
      </w:tblGrid>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1,159,451,679.05</w:t>
            </w:r>
          </w:p>
        </w:tc>
      </w:tr>
      <w:tr>
        <w:trPr>
          <w:trHeight w:val="401" w:hRule="exact"/>
        </w:trPr>
        <w:tc>
          <w:tcPr>
            <w:tcW w:w="4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w:t>
            </w:r>
          </w:p>
        </w:tc>
      </w:tr>
    </w:tbl>
    <w:p>
      <w:pPr>
        <w:pStyle w:val="BodyText"/>
        <w:spacing w:line="240" w:lineRule="auto" w:before="69"/>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上海姚记扑克股份有限公司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389,138,742.02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INTERNATIONAL </w:t>
            </w:r>
            <w:r>
              <w:rPr>
                <w:rFonts w:ascii="Times New Roman"/>
                <w:sz w:val="18"/>
              </w:rPr>
              <w:t>FOREST</w:t>
            </w:r>
            <w:r>
              <w:rPr>
                <w:rFonts w:ascii="Times New Roman"/>
                <w:spacing w:val="-10"/>
                <w:sz w:val="18"/>
              </w:rPr>
              <w:t> </w:t>
            </w:r>
            <w:r>
              <w:rPr>
                <w:rFonts w:ascii="Times New Roman"/>
                <w:sz w:val="18"/>
              </w:rPr>
              <w:t>PRODUCTS</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256,306,498.57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北京木村纸业有限公司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187,940,089.15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VITAL </w:t>
            </w:r>
            <w:r>
              <w:rPr>
                <w:rFonts w:ascii="Times New Roman"/>
                <w:sz w:val="18"/>
              </w:rPr>
              <w:t>SOLUTIONS PTE</w:t>
            </w:r>
            <w:r>
              <w:rPr>
                <w:rFonts w:ascii="Times New Roman"/>
                <w:spacing w:val="-7"/>
                <w:sz w:val="18"/>
              </w:rPr>
              <w:t> </w:t>
            </w:r>
            <w:r>
              <w:rPr>
                <w:rFonts w:ascii="Times New Roman"/>
                <w:spacing w:val="-6"/>
                <w:sz w:val="18"/>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179,517,631.36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山东省出版对外贸易有限公司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146,548,717.95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1,159,451,679.05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76"/>
        <w:gridCol w:w="1377"/>
        <w:gridCol w:w="2783"/>
        <w:gridCol w:w="2783"/>
        <w:gridCol w:w="1364"/>
      </w:tblGrid>
      <w:tr>
        <w:trPr>
          <w:trHeight w:val="402" w:hRule="exact"/>
        </w:trPr>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375"/>
        <w:gridCol w:w="1378"/>
        <w:gridCol w:w="1406"/>
        <w:gridCol w:w="1376"/>
        <w:gridCol w:w="1406"/>
        <w:gridCol w:w="1376"/>
        <w:gridCol w:w="1375"/>
      </w:tblGrid>
      <w:tr>
        <w:trPr>
          <w:trHeight w:val="714" w:hRule="exact"/>
        </w:trPr>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3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8,583,818,150.47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8,937,680,153.84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750,553,780.31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835,613,946.74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196,062,500.42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157,709,922.20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1,968,304,028.05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1,893,067,781.92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2,285,170,540.42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2,346,525,338.83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1,304,715,360.94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1,277,613,441.39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375"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15,088,624,360.62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15,448,210,584.92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950,923,905.70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508,500,185.20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90,305,114.81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47,921,265.73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33,117,524.88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20,637,762.46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725,994.07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1,876,044.44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808,268.78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976,450.67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53,068,781.97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23,106,207.91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1375"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1,128,949,590.22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603,017,916.41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168,137,137.30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220,811,751.70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73.27%</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2,411,328.71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19,089,842.87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7,425,294.19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10,526,181.03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15,233,571.16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26,814,129.05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2,069,485.59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5,808,752.64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1375" w:type="dxa"/>
            <w:vMerge/>
            <w:tcBorders>
              <w:left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8,792,137.98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18,334,270.30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1375"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204,068,954.93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301,384,927.59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7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产品分类</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403,151,069.97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507,950,556.55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43,101,737.46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51,339,028.14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9,700,447.50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10,691,865.84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106,700,158.31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152,571,848.79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162,546,030.80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233,311,822.57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71,944,219.52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83,744,330.02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r>
      <w:tr>
        <w:trPr>
          <w:trHeight w:val="403"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797,143,663.55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1,039,609,451.91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1,214,355,314.27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1,508,544,683.40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100,689,154.79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122,719,701.81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31,483,824.40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29,052,082.36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291,066,793.05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326,870,055.15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245,562,795.30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302,470,956.31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218,190,658.91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196,472,313.58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2,101,348,540.72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2,486,129,792.61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149,910,988.47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180,898,992.93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10,907,314.44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3,997,172.13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3,413,557.43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6,123,857.73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30,077,128.15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37,581,044.15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33,090,532.19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22,894,310.91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21,803,390.81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14,122,914.39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249,202,911.49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265,618,292.24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771,076,094.95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852,071,358.78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70,407,567.04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68,739,327.76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3,102,670.61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3,761,372.30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135,995,525.13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177,942,102.33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23,578,983.71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51,081,098.80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98,992,990.19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99,588,746.51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1,103,153,831.64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1,253,184,006.48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504,717,758.73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385,462,371.32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50,755,273.73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12,785,582.16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6,288,010.63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2,887,586.26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149,627,956.09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64,353,647.64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56,329,994.64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26,924,910.64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47,623,145.79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21,054,380.92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815,342,139.62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513,468,478.94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1,100,225,284.60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998,152,198.57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75,261,256.47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105,596,006.42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42,515,456.75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4,207,558.55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260,320,599.03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140,013,026.36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130,815,953.92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261,022,549.61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128,908,644.65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137,218,957.59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1,738,047,195.43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1,646,210,297.10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957,819,100.57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860,183,425.70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80,479,976.88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60,695,729.78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17,797,747.75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11,416,394.06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122,190,311.18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63,678,054.97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156,499,910.35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133,355,981.35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161,740,629.39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96,368,721.89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1,496,527,676.12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1,225,698,307.75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1,698,992,285.99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1,682,510,037.15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173,117,736.81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271,583,736.25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38,811,650.49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23,953,033.14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497,682,186.82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449,106,353.39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1,123,166,129.58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1,048,680,994.79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331,667,388.72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287,957,484.19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3,863,437,378.40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3,763,791,638.91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其他纸机制纸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1,750,554,092.69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2,257,093,872.24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140,766,220.96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122,365,618.94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45,331,938.71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39,395,106.84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352,474,902.16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333,801,245.48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395,378,019.07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272,498,936.32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239,915,850.05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229,345,539.16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2,924,421,023.65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3,254,500,318.98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1,648,415,119.16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tabs>
                <w:tab w:pos="4811"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9.90%</w:t>
            </w:r>
          </w:p>
        </w:tc>
      </w:tr>
    </w:tbl>
    <w:p>
      <w:pPr>
        <w:pStyle w:val="BodyText"/>
        <w:spacing w:line="240" w:lineRule="auto" w:before="51"/>
        <w:ind w:left="154" w:right="0"/>
        <w:jc w:val="left"/>
      </w:pPr>
      <w:r>
        <w:rPr/>
        <w:pict>
          <v:group style="position:absolute;margin-left:269.820007pt;margin-top:-20.687973pt;width:263.9pt;height:20.8pt;mso-position-horizontal-relative:page;mso-position-vertical-relative:paragraph;z-index:-1457008" coordorigin="5396,-414" coordsize="5278,416">
            <v:group style="position:absolute;left:5408;top:-402;width:2;height:393" coordorigin="5408,-402" coordsize="2,393">
              <v:shape style="position:absolute;left:5408;top:-402;width:2;height:393" coordorigin="5408,-402" coordsize="0,393" path="m5408,-402l5408,-10e" filled="false" stroked="true" strokeweight="1.140pt" strokecolor="#ffffff">
                <v:path arrowok="t"/>
              </v:shape>
            </v:group>
            <v:group style="position:absolute;left:5419;top:-402;width:5255;height:393" coordorigin="5419,-402" coordsize="5255,393">
              <v:shape style="position:absolute;left:5419;top:-402;width:5255;height:393" coordorigin="5419,-402" coordsize="5255,393" path="m5419,-10l10674,-10,10674,-402,5419,-402,5419,-10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山东和信化工集团有限公司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377,138,678.17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ITOCHU    HONG KONG</w:t>
            </w:r>
            <w:r>
              <w:rPr>
                <w:rFonts w:ascii="Times New Roman"/>
                <w:spacing w:val="-12"/>
                <w:sz w:val="18"/>
              </w:rPr>
              <w:t> </w:t>
            </w:r>
            <w:r>
              <w:rPr>
                <w:rFonts w:ascii="Times New Roman"/>
                <w:spacing w:val="-6"/>
                <w:sz w:val="18"/>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337,641,104.64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江西煤业销售有限责任公司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330,758,605.03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SILENUS </w:t>
            </w:r>
            <w:r>
              <w:rPr>
                <w:rFonts w:ascii="Times New Roman"/>
                <w:spacing w:val="-3"/>
                <w:sz w:val="18"/>
              </w:rPr>
              <w:t>INTERNATIONAL </w:t>
            </w:r>
            <w:r>
              <w:rPr>
                <w:rFonts w:ascii="Times New Roman"/>
                <w:sz w:val="18"/>
              </w:rPr>
              <w:t>CO</w:t>
            </w:r>
            <w:r>
              <w:rPr>
                <w:rFonts w:ascii="Times New Roman"/>
                <w:spacing w:val="-3"/>
                <w:sz w:val="18"/>
              </w:rPr>
              <w:t> </w:t>
            </w:r>
            <w:r>
              <w:rPr>
                <w:rFonts w:ascii="Times New Roman"/>
                <w:spacing w:val="-4"/>
                <w:sz w:val="18"/>
              </w:rPr>
              <w:t>.,LTD</w:t>
            </w:r>
            <w:r>
              <w:rPr>
                <w:rFonts w:ascii="Times New Roman"/>
                <w:sz w:val="18"/>
              </w:rPr>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320,963,829.42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湛江鑫晨商贸有限公司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281,912,901.91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1,648,415,119.16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9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7"/>
          <w:szCs w:val="27"/>
        </w:rPr>
      </w:pPr>
    </w:p>
    <w:tbl>
      <w:tblPr>
        <w:tblW w:w="0" w:type="auto"/>
        <w:jc w:val="left"/>
        <w:tblInd w:w="146" w:type="dxa"/>
        <w:tblLayout w:type="fixed"/>
        <w:tblCellMar>
          <w:top w:w="0" w:type="dxa"/>
          <w:left w:w="0" w:type="dxa"/>
          <w:bottom w:w="0" w:type="dxa"/>
          <w:right w:w="0" w:type="dxa"/>
        </w:tblCellMar>
        <w:tblLook w:val="01E0"/>
      </w:tblPr>
      <w:tblGrid>
        <w:gridCol w:w="3098"/>
        <w:gridCol w:w="2346"/>
        <w:gridCol w:w="2341"/>
        <w:gridCol w:w="1660"/>
      </w:tblGrid>
      <w:tr>
        <w:trPr>
          <w:trHeight w:val="329" w:hRule="exact"/>
        </w:trPr>
        <w:tc>
          <w:tcPr>
            <w:tcW w:w="30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715" w:right="0"/>
              <w:jc w:val="left"/>
              <w:rPr>
                <w:rFonts w:ascii="宋体" w:hAnsi="宋体" w:cs="宋体" w:eastAsia="宋体" w:hint="default"/>
                <w:sz w:val="18"/>
                <w:szCs w:val="18"/>
              </w:rPr>
            </w:pPr>
            <w:r>
              <w:rPr>
                <w:rFonts w:ascii="宋体" w:hAnsi="宋体" w:cs="宋体" w:eastAsia="宋体" w:hint="default"/>
                <w:sz w:val="18"/>
                <w:szCs w:val="18"/>
              </w:rPr>
              <w:t>本年累计数</w:t>
            </w:r>
          </w:p>
        </w:tc>
        <w:tc>
          <w:tcPr>
            <w:tcW w:w="23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712" w:right="0"/>
              <w:jc w:val="left"/>
              <w:rPr>
                <w:rFonts w:ascii="宋体" w:hAnsi="宋体" w:cs="宋体" w:eastAsia="宋体" w:hint="default"/>
                <w:sz w:val="18"/>
                <w:szCs w:val="18"/>
              </w:rPr>
            </w:pPr>
            <w:r>
              <w:rPr>
                <w:rFonts w:ascii="宋体" w:hAnsi="宋体" w:cs="宋体" w:eastAsia="宋体" w:hint="default"/>
                <w:sz w:val="18"/>
                <w:szCs w:val="18"/>
              </w:rPr>
              <w:t>上年累计数</w:t>
            </w:r>
          </w:p>
        </w:tc>
        <w:tc>
          <w:tcPr>
            <w:tcW w:w="16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left="20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1,129,145,035.51</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1,144,489,246.04</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-1.34%</w:t>
            </w:r>
          </w:p>
        </w:tc>
      </w:tr>
      <w:tr>
        <w:trPr>
          <w:trHeight w:val="34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1,198,704,556.00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1,110,246,902.75</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7.97%</w:t>
            </w:r>
          </w:p>
        </w:tc>
      </w:tr>
      <w:tr>
        <w:trPr>
          <w:trHeight w:val="347"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930,604,174.96</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1,092,760,015.04</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-14.84%</w:t>
            </w:r>
          </w:p>
        </w:tc>
      </w:tr>
      <w:tr>
        <w:trPr>
          <w:trHeight w:val="347"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24,104,912.81</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70,250,158.94</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-65.69%</w:t>
            </w:r>
          </w:p>
        </w:tc>
      </w:tr>
      <w:tr>
        <w:trPr>
          <w:trHeight w:val="348" w:hRule="exact"/>
        </w:trPr>
        <w:tc>
          <w:tcPr>
            <w:tcW w:w="3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175,938,431.91</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-62,826,238.51</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380.04%</w:t>
            </w:r>
          </w:p>
        </w:tc>
      </w:tr>
    </w:tbl>
    <w:p>
      <w:pPr>
        <w:pStyle w:val="BodyText"/>
        <w:spacing w:line="240" w:lineRule="auto" w:before="10"/>
        <w:ind w:left="154" w:right="0"/>
        <w:jc w:val="both"/>
      </w:pPr>
      <w:r>
        <w:rPr/>
        <w:t>（</w:t>
      </w:r>
      <w:r>
        <w:rPr>
          <w:rFonts w:ascii="Times New Roman" w:hAnsi="Times New Roman" w:cs="Times New Roman" w:eastAsia="Times New Roman" w:hint="default"/>
        </w:rPr>
        <w:t>1</w:t>
      </w:r>
      <w:r>
        <w:rPr/>
        <w:t>）资产减值损失比上年同期减少</w:t>
      </w:r>
      <w:r>
        <w:rPr>
          <w:rFonts w:ascii="Times New Roman" w:hAnsi="Times New Roman" w:cs="Times New Roman" w:eastAsia="Times New Roman" w:hint="default"/>
        </w:rPr>
        <w:t>65.69%</w:t>
      </w:r>
      <w:r>
        <w:rPr/>
        <w:t>，其主要原因是：加大回款力度，提取的坏账减少。</w:t>
      </w:r>
    </w:p>
    <w:p>
      <w:pPr>
        <w:pStyle w:val="BodyText"/>
        <w:spacing w:line="240" w:lineRule="auto" w:before="62"/>
        <w:ind w:right="0"/>
        <w:jc w:val="both"/>
      </w:pPr>
      <w:r>
        <w:rPr/>
        <w:t>（</w:t>
      </w:r>
      <w:r>
        <w:rPr>
          <w:rFonts w:ascii="Times New Roman" w:hAnsi="Times New Roman" w:cs="Times New Roman" w:eastAsia="Times New Roman" w:hint="default"/>
        </w:rPr>
        <w:t>2</w:t>
      </w:r>
      <w:r>
        <w:rPr/>
        <w:t>）所得税费用比上年同期增加</w:t>
      </w:r>
      <w:r>
        <w:rPr>
          <w:rFonts w:ascii="Times New Roman" w:hAnsi="Times New Roman" w:cs="Times New Roman" w:eastAsia="Times New Roman" w:hint="default"/>
        </w:rPr>
        <w:t>380.04%</w:t>
      </w:r>
      <w:r>
        <w:rPr/>
        <w:t>，其主要原因是：公司盈利状况较去年好转。</w:t>
      </w: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4" w:right="188" w:firstLine="359"/>
        <w:jc w:val="right"/>
      </w:pPr>
      <w:r>
        <w:rPr>
          <w:rFonts w:ascii="Times New Roman" w:hAnsi="Times New Roman" w:cs="Times New Roman" w:eastAsia="Times New Roman" w:hint="default"/>
          <w:spacing w:val="-1"/>
        </w:rPr>
        <w:t>2013</w:t>
      </w:r>
      <w:r>
        <w:rPr>
          <w:spacing w:val="-1"/>
        </w:rPr>
        <w:t>年度研发支出总额</w:t>
      </w:r>
      <w:r>
        <w:rPr>
          <w:rFonts w:ascii="Times New Roman" w:hAnsi="Times New Roman" w:cs="Times New Roman" w:eastAsia="Times New Roman" w:hint="default"/>
          <w:spacing w:val="-1"/>
        </w:rPr>
        <w:t>37,926.12</w:t>
      </w:r>
      <w:r>
        <w:rPr>
          <w:spacing w:val="-1"/>
        </w:rPr>
        <w:t>万元，较上年同期</w:t>
      </w:r>
      <w:r>
        <w:rPr>
          <w:rFonts w:ascii="Times New Roman" w:hAnsi="Times New Roman" w:cs="Times New Roman" w:eastAsia="Times New Roman" w:hint="default"/>
          <w:spacing w:val="-1"/>
        </w:rPr>
        <w:t>29,369.83</w:t>
      </w:r>
      <w:r>
        <w:rPr>
          <w:spacing w:val="-1"/>
        </w:rPr>
        <w:t>万元增加</w:t>
      </w:r>
      <w:r>
        <w:rPr>
          <w:rFonts w:ascii="Times New Roman" w:hAnsi="Times New Roman" w:cs="Times New Roman" w:eastAsia="Times New Roman" w:hint="default"/>
          <w:spacing w:val="-1"/>
        </w:rPr>
        <w:t>8,556.29</w:t>
      </w:r>
      <w:r>
        <w:rPr>
          <w:spacing w:val="-1"/>
        </w:rPr>
        <w:t>万元，增幅</w:t>
      </w:r>
      <w:r>
        <w:rPr>
          <w:rFonts w:ascii="Times New Roman" w:hAnsi="Times New Roman" w:cs="Times New Roman" w:eastAsia="Times New Roman" w:hint="default"/>
          <w:spacing w:val="-1"/>
        </w:rPr>
        <w:t>29.13%</w:t>
      </w:r>
      <w:r>
        <w:rPr>
          <w:spacing w:val="-1"/>
        </w:rPr>
        <w:t>，研发支出占净资产的</w:t>
      </w:r>
      <w:r>
        <w:rPr/>
        <w:t> </w:t>
      </w:r>
      <w:r>
        <w:rPr>
          <w:spacing w:val="-1"/>
        </w:rPr>
        <w:t>比率（</w:t>
      </w:r>
      <w:r>
        <w:rPr>
          <w:rFonts w:ascii="Times New Roman" w:hAnsi="Times New Roman" w:cs="Times New Roman" w:eastAsia="Times New Roman" w:hint="default"/>
          <w:spacing w:val="-1"/>
        </w:rPr>
        <w:t>2.59%</w:t>
      </w:r>
      <w:r>
        <w:rPr>
          <w:spacing w:val="-1"/>
        </w:rPr>
        <w:t>）较上年同期（</w:t>
      </w:r>
      <w:r>
        <w:rPr>
          <w:rFonts w:ascii="Times New Roman" w:hAnsi="Times New Roman" w:cs="Times New Roman" w:eastAsia="Times New Roman" w:hint="default"/>
          <w:spacing w:val="-1"/>
        </w:rPr>
        <w:t>2.05%</w:t>
      </w:r>
      <w:r>
        <w:rPr>
          <w:spacing w:val="-1"/>
        </w:rPr>
        <w:t>）增加</w:t>
      </w:r>
      <w:r>
        <w:rPr>
          <w:rFonts w:ascii="Times New Roman" w:hAnsi="Times New Roman" w:cs="Times New Roman" w:eastAsia="Times New Roman" w:hint="default"/>
          <w:spacing w:val="-1"/>
        </w:rPr>
        <w:t>0.54%</w:t>
      </w:r>
      <w:r>
        <w:rPr>
          <w:spacing w:val="-1"/>
        </w:rPr>
        <w:t>，研发支出占营业收入的比率（</w:t>
      </w:r>
      <w:r>
        <w:rPr>
          <w:rFonts w:ascii="Times New Roman" w:hAnsi="Times New Roman" w:cs="Times New Roman" w:eastAsia="Times New Roman" w:hint="default"/>
          <w:spacing w:val="-1"/>
        </w:rPr>
        <w:t>1.86%</w:t>
      </w:r>
      <w:r>
        <w:rPr>
          <w:spacing w:val="-1"/>
        </w:rPr>
        <w:t>）较上年同期（</w:t>
      </w:r>
      <w:r>
        <w:rPr>
          <w:rFonts w:ascii="Times New Roman" w:hAnsi="Times New Roman" w:cs="Times New Roman" w:eastAsia="Times New Roman" w:hint="default"/>
          <w:spacing w:val="-1"/>
        </w:rPr>
        <w:t>1.49%</w:t>
      </w:r>
      <w:r>
        <w:rPr>
          <w:spacing w:val="-1"/>
        </w:rPr>
        <w:t>）增加</w:t>
      </w:r>
      <w:r>
        <w:rPr>
          <w:rFonts w:ascii="Times New Roman" w:hAnsi="Times New Roman" w:cs="Times New Roman" w:eastAsia="Times New Roman" w:hint="default"/>
          <w:spacing w:val="-1"/>
        </w:rPr>
        <w:t>0.37%</w:t>
      </w:r>
      <w:r>
        <w:rPr>
          <w:spacing w:val="-1"/>
        </w:rPr>
        <w:t>。</w:t>
      </w:r>
    </w:p>
    <w:p>
      <w:pPr>
        <w:pStyle w:val="BodyText"/>
        <w:spacing w:line="316" w:lineRule="auto" w:before="60"/>
        <w:ind w:left="154" w:right="90" w:firstLine="360"/>
        <w:jc w:val="left"/>
      </w:pPr>
      <w:r>
        <w:rPr>
          <w:spacing w:val="-2"/>
        </w:rPr>
        <w:t>随着造纸行业由传统工业向现代化方向迅速发展，装备大型化、高速化、规模化，机台产能大，单位时间投入多，产出</w:t>
      </w:r>
      <w:r>
        <w:rPr/>
        <w:t> </w:t>
      </w:r>
      <w:r>
        <w:rPr>
          <w:spacing w:val="-2"/>
        </w:rPr>
        <w:t>多。生产工艺、技术和产品，必须与市场需求和装备水平相适应，不断研发并推广应用新型技术，进行产品结构调整，由传</w:t>
      </w:r>
      <w:r>
        <w:rPr>
          <w:spacing w:val="-68"/>
        </w:rPr>
        <w:t> </w:t>
      </w:r>
      <w:r>
        <w:rPr>
          <w:spacing w:val="-68"/>
        </w:rPr>
      </w:r>
      <w:r>
        <w:rPr>
          <w:spacing w:val="-2"/>
        </w:rPr>
        <w:t>统的中低端产品逐渐转向高档化、专用化。造纸行业的研发活动不再局限于实验室研究和小型生产应用，而是以大型工业化</w:t>
      </w:r>
      <w:r>
        <w:rPr>
          <w:spacing w:val="-66"/>
        </w:rPr>
        <w:t> </w:t>
      </w:r>
      <w:r>
        <w:rPr>
          <w:spacing w:val="-66"/>
        </w:rPr>
      </w:r>
      <w:r>
        <w:rPr/>
        <w:t>推广应用为目的，公司进行的研发活动和研发投入大部分处在生产试验和推广应用试验阶段，在这一过程中受到纸机高速、 宽幅、产能大等因素的影响，试验过程中原材料消耗大。</w:t>
      </w:r>
    </w:p>
    <w:p>
      <w:pPr>
        <w:pStyle w:val="BodyText"/>
        <w:spacing w:line="304" w:lineRule="auto" w:before="139"/>
        <w:ind w:left="154" w:right="188" w:firstLine="360"/>
        <w:jc w:val="both"/>
      </w:pPr>
      <w:r>
        <w:rPr>
          <w:rFonts w:ascii="Times New Roman" w:hAnsi="Times New Roman" w:cs="Times New Roman" w:eastAsia="Times New Roman" w:hint="default"/>
          <w:spacing w:val="-2"/>
        </w:rPr>
        <w:t>2013</w:t>
      </w:r>
      <w:r>
        <w:rPr>
          <w:spacing w:val="-2"/>
        </w:rPr>
        <w:t>年度，</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发展进入攻坚阶段，我公司积极开展新产品新技术的研发工作，推进产品结构调整，先后开展了生</w:t>
      </w:r>
      <w:r>
        <w:rPr/>
        <w:t> 物造纸技术（国家</w:t>
      </w:r>
      <w:r>
        <w:rPr>
          <w:rFonts w:ascii="Times New Roman" w:hAnsi="Times New Roman" w:cs="Times New Roman" w:eastAsia="Times New Roman" w:hint="default"/>
        </w:rPr>
        <w:t>863</w:t>
      </w:r>
      <w:r>
        <w:rPr/>
        <w:t>科技攻关项目）、省创新项目涂布牛卡纸、无荧光烟卡纸、数码印刷专用纸技术开发及高松铜版纸、</w:t>
      </w:r>
      <w:r>
        <w:rPr>
          <w:spacing w:val="-83"/>
        </w:rPr>
        <w:t> </w:t>
      </w:r>
      <w:r>
        <w:rPr>
          <w:spacing w:val="-83"/>
        </w:rPr>
      </w:r>
      <w:r>
        <w:rPr>
          <w:spacing w:val="-2"/>
        </w:rPr>
        <w:t>高档格拉辛纸、</w:t>
      </w:r>
      <w:r>
        <w:rPr>
          <w:rFonts w:ascii="Times New Roman" w:hAnsi="Times New Roman" w:cs="Times New Roman" w:eastAsia="Times New Roman" w:hint="default"/>
          <w:spacing w:val="-2"/>
        </w:rPr>
        <w:t>ASA</w:t>
      </w:r>
      <w:r>
        <w:rPr>
          <w:spacing w:val="-2"/>
        </w:rPr>
        <w:t>施胶技术和填料改性技术等新产品、新技术的研发工作，优化了产品结构，提升了产品纸质量，增强了</w:t>
      </w:r>
      <w:r>
        <w:rPr>
          <w:spacing w:val="-66"/>
        </w:rPr>
        <w:t> </w:t>
      </w:r>
      <w:r>
        <w:rPr>
          <w:spacing w:val="-66"/>
        </w:rPr>
      </w:r>
      <w:r>
        <w:rPr>
          <w:spacing w:val="-2"/>
        </w:rPr>
        <w:t>市场竞争力，为公司的新发展注入了新的活力。报告期内，公司技术研究所纸浆、纸张检测中心顺利通过中国合格评定国家</w:t>
      </w:r>
      <w:r>
        <w:rPr>
          <w:spacing w:val="-66"/>
        </w:rPr>
        <w:t> </w:t>
      </w:r>
      <w:r>
        <w:rPr>
          <w:spacing w:val="-66"/>
        </w:rPr>
      </w:r>
      <w:r>
        <w:rPr/>
        <w:t>认可委员会（</w:t>
      </w:r>
      <w:r>
        <w:rPr>
          <w:rFonts w:ascii="Times New Roman" w:hAnsi="Times New Roman" w:cs="Times New Roman" w:eastAsia="Times New Roman" w:hint="default"/>
        </w:rPr>
        <w:t>CNAS</w:t>
      </w:r>
      <w:r>
        <w:rPr/>
        <w:t>）对实验室的监督评审。主要项目研发建设情况如下：</w:t>
      </w:r>
    </w:p>
    <w:p>
      <w:pPr>
        <w:spacing w:line="300" w:lineRule="auto" w:before="129"/>
        <w:ind w:left="574" w:right="9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）高档涂布白色牛皮卡纸技术开发</w:t>
      </w:r>
      <w:r>
        <w:rPr>
          <w:rFonts w:ascii="宋体" w:hAnsi="宋体" w:cs="宋体" w:eastAsia="宋体" w:hint="default"/>
          <w:b/>
          <w:bCs/>
          <w:w w:val="99"/>
          <w:sz w:val="18"/>
          <w:szCs w:val="18"/>
        </w:rPr>
        <w:t> </w:t>
      </w:r>
      <w:r>
        <w:rPr>
          <w:rFonts w:ascii="宋体" w:hAnsi="宋体" w:cs="宋体" w:eastAsia="宋体" w:hint="default"/>
          <w:b/>
          <w:bCs/>
          <w:sz w:val="18"/>
          <w:szCs w:val="18"/>
        </w:rPr>
        <w:t>研发项目的目的：</w:t>
      </w:r>
      <w:r>
        <w:rPr>
          <w:rFonts w:ascii="宋体" w:hAnsi="宋体" w:cs="宋体" w:eastAsia="宋体" w:hint="default"/>
          <w:sz w:val="18"/>
          <w:szCs w:val="18"/>
        </w:rPr>
        <w:t>本项目结合国家及山东省造纸工业结构调整主导思想，根据国内高档包装纸市场当前及未来发展需</w:t>
      </w:r>
    </w:p>
    <w:p>
      <w:pPr>
        <w:pStyle w:val="BodyText"/>
        <w:spacing w:line="309" w:lineRule="auto" w:before="31"/>
        <w:ind w:left="154" w:right="189"/>
        <w:jc w:val="both"/>
      </w:pPr>
      <w:r>
        <w:rPr>
          <w:spacing w:val="-1"/>
        </w:rPr>
        <w:t>求，研究以</w:t>
      </w:r>
      <w:r>
        <w:rPr>
          <w:rFonts w:ascii="Times New Roman" w:hAnsi="Times New Roman" w:cs="Times New Roman" w:eastAsia="Times New Roman" w:hint="default"/>
          <w:spacing w:val="-1"/>
        </w:rPr>
        <w:t>OCC</w:t>
      </w:r>
      <w:r>
        <w:rPr>
          <w:spacing w:val="-1"/>
        </w:rPr>
        <w:t>（箱板纸废纸浆）和现有生产系统提供的</w:t>
      </w:r>
      <w:r>
        <w:rPr>
          <w:rFonts w:ascii="Times New Roman" w:hAnsi="Times New Roman" w:cs="Times New Roman" w:eastAsia="Times New Roman" w:hint="default"/>
          <w:spacing w:val="-1"/>
        </w:rPr>
        <w:t>DIP</w:t>
      </w:r>
      <w:r>
        <w:rPr>
          <w:spacing w:val="-1"/>
        </w:rPr>
        <w:t>（脱墨浆）浆为主要原料，配用少量阔叶木漂白化学浆开发的</w:t>
      </w:r>
      <w:r>
        <w:rPr>
          <w:spacing w:val="-62"/>
        </w:rPr>
        <w:t> </w:t>
      </w:r>
      <w:r>
        <w:rPr>
          <w:spacing w:val="-62"/>
        </w:rPr>
      </w:r>
      <w:r>
        <w:rPr>
          <w:spacing w:val="-2"/>
        </w:rPr>
        <w:t>高档涂布白色牛皮卡纸，可替代目前广泛使用的涂布白板纸和箱板纸，项目研究开发国内先进的清洁生产技术和白色牛卡纸</w:t>
      </w:r>
      <w:r>
        <w:rPr>
          <w:spacing w:val="-64"/>
        </w:rPr>
        <w:t> </w:t>
      </w:r>
      <w:r>
        <w:rPr>
          <w:spacing w:val="-64"/>
        </w:rPr>
      </w:r>
      <w:r>
        <w:rPr/>
        <w:t>施胶、涂布新技术，吨纸综合耗水量仅为</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rFonts w:ascii="Times New Roman" w:hAnsi="Times New Roman" w:cs="Times New Roman" w:eastAsia="Times New Roman" w:hint="default"/>
        </w:rPr>
        <w:t>m³</w:t>
      </w:r>
      <w:r>
        <w:rPr/>
        <w:t>（行业清洁生产评价基数</w:t>
      </w:r>
      <w:r>
        <w:rPr>
          <w:rFonts w:ascii="Times New Roman" w:hAnsi="Times New Roman" w:cs="Times New Roman" w:eastAsia="Times New Roman" w:hint="default"/>
        </w:rPr>
        <w:t>30m³/t</w:t>
      </w:r>
      <w:r>
        <w:rPr/>
        <w:t>纸）。</w:t>
      </w:r>
    </w:p>
    <w:p>
      <w:pPr>
        <w:pStyle w:val="BodyText"/>
        <w:spacing w:line="316" w:lineRule="auto" w:before="5"/>
        <w:ind w:left="154" w:right="108" w:firstLine="419"/>
        <w:jc w:val="both"/>
      </w:pPr>
      <w:r>
        <w:rPr>
          <w:rFonts w:ascii="宋体" w:hAnsi="宋体" w:cs="宋体" w:eastAsia="宋体" w:hint="default"/>
          <w:b/>
          <w:bCs/>
        </w:rPr>
        <w:t>研发项目的进展：</w:t>
      </w:r>
      <w:r>
        <w:rPr/>
        <w:t>本项目列入山东省技术创新项目，通过项目研究和技术攻关，依托现有的国家级技术中心、博士后 </w:t>
      </w:r>
      <w:r>
        <w:rPr>
          <w:spacing w:val="-2"/>
        </w:rPr>
        <w:t>科研工作站及新建成的达到国际先进水平的生产线，研发出专用表面施胶技术、自然流平涂布新工艺，研制的高档涂布白色</w:t>
      </w:r>
      <w:r>
        <w:rPr>
          <w:spacing w:val="-66"/>
        </w:rPr>
        <w:t> </w:t>
      </w:r>
      <w:r>
        <w:rPr>
          <w:spacing w:val="-66"/>
        </w:rPr>
      </w:r>
      <w:r>
        <w:rPr>
          <w:spacing w:val="-2"/>
        </w:rPr>
        <w:t>牛卡纸耐破指数、横向环压指数高、层间结合力好，产品不易断裂、分层；纸面颜料层覆盖好，油墨吸收性均匀，纸面平滑</w:t>
      </w:r>
      <w:r>
        <w:rPr>
          <w:spacing w:val="-72"/>
        </w:rPr>
        <w:t> </w:t>
      </w:r>
      <w:r>
        <w:rPr>
          <w:spacing w:val="-72"/>
        </w:rPr>
      </w:r>
      <w:r>
        <w:rPr>
          <w:spacing w:val="-2"/>
        </w:rPr>
        <w:t>度好、印刷表面粗糙度低，印刷表面强度高，产品不易爆皮、掉粉，印刷适性好；正反面吸水性低，产品抗水性能优异，市</w:t>
      </w:r>
      <w:r>
        <w:rPr>
          <w:spacing w:val="-67"/>
        </w:rPr>
        <w:t> </w:t>
      </w:r>
      <w:r>
        <w:rPr>
          <w:spacing w:val="-67"/>
        </w:rPr>
      </w:r>
      <w:r>
        <w:rPr/>
        <w:t>场竞争性强。项目技术已申请受理国家发明专利</w:t>
      </w:r>
      <w:r>
        <w:rPr>
          <w:rFonts w:ascii="Times New Roman" w:hAnsi="Times New Roman" w:cs="Times New Roman" w:eastAsia="Times New Roman" w:hint="default"/>
        </w:rPr>
        <w:t>2</w:t>
      </w:r>
      <w:r>
        <w:rPr/>
        <w:t>项，获得授权国家实用新型专利</w:t>
      </w:r>
      <w:r>
        <w:rPr>
          <w:rFonts w:ascii="Times New Roman" w:hAnsi="Times New Roman" w:cs="Times New Roman" w:eastAsia="Times New Roman" w:hint="default"/>
        </w:rPr>
        <w:t>1</w:t>
      </w:r>
      <w:r>
        <w:rPr/>
        <w:t>项。现已进入项目总结和产品验收阶段。</w:t>
      </w:r>
    </w:p>
    <w:p>
      <w:pPr>
        <w:pStyle w:val="BodyText"/>
        <w:spacing w:line="309" w:lineRule="auto"/>
        <w:ind w:left="154" w:right="189" w:firstLine="420"/>
        <w:jc w:val="both"/>
      </w:pPr>
      <w:r>
        <w:rPr>
          <w:rFonts w:ascii="宋体" w:hAnsi="宋体" w:cs="宋体" w:eastAsia="宋体" w:hint="default"/>
          <w:b/>
          <w:bCs/>
          <w:spacing w:val="-2"/>
        </w:rPr>
        <w:t>研发项目拟达到的目标：</w:t>
      </w:r>
      <w:r>
        <w:rPr>
          <w:spacing w:val="-2"/>
        </w:rPr>
        <w:t>本项目以</w:t>
      </w:r>
      <w:r>
        <w:rPr>
          <w:rFonts w:ascii="Times New Roman" w:hAnsi="Times New Roman" w:cs="Times New Roman" w:eastAsia="Times New Roman" w:hint="default"/>
          <w:spacing w:val="-2"/>
        </w:rPr>
        <w:t>OCC</w:t>
      </w:r>
      <w:r>
        <w:rPr>
          <w:spacing w:val="-2"/>
        </w:rPr>
        <w:t>和现有生产系统提供的</w:t>
      </w:r>
      <w:r>
        <w:rPr>
          <w:rFonts w:ascii="Times New Roman" w:hAnsi="Times New Roman" w:cs="Times New Roman" w:eastAsia="Times New Roman" w:hint="default"/>
          <w:spacing w:val="-2"/>
        </w:rPr>
        <w:t>DIP</w:t>
      </w:r>
      <w:r>
        <w:rPr>
          <w:spacing w:val="-2"/>
        </w:rPr>
        <w:t>浆为主要原料，配用少量阔叶木漂白化学浆研究开发</w:t>
      </w:r>
      <w:r>
        <w:rPr/>
        <w:t> </w:t>
      </w:r>
      <w:r>
        <w:rPr>
          <w:spacing w:val="-2"/>
        </w:rPr>
        <w:t>高档涂布白色牛皮卡纸，其研究内容主要包括科学合理的浆料配比工艺、湿布加填技术、纸张干、湿强增强技术、专用涂料</w:t>
      </w:r>
      <w:r>
        <w:rPr>
          <w:spacing w:val="-66"/>
        </w:rPr>
        <w:t> </w:t>
      </w:r>
      <w:r>
        <w:rPr>
          <w:spacing w:val="-66"/>
        </w:rPr>
      </w:r>
      <w:r>
        <w:rPr/>
        <w:t>配方及涂布工艺，以及清洁生产新技术，拟申报国家发明专利</w:t>
      </w:r>
      <w:r>
        <w:rPr>
          <w:rFonts w:ascii="Times New Roman" w:hAnsi="Times New Roman" w:cs="Times New Roman" w:eastAsia="Times New Roman" w:hint="default"/>
        </w:rPr>
        <w:t>1</w:t>
      </w:r>
      <w:r>
        <w:rPr/>
        <w:t>项以上，形成自主知识产权，产品定量范围</w:t>
      </w:r>
      <w:r>
        <w:rPr>
          <w:rFonts w:ascii="Times New Roman" w:hAnsi="Times New Roman" w:cs="Times New Roman" w:eastAsia="Times New Roman" w:hint="default"/>
        </w:rPr>
        <w:t>110</w:t>
      </w:r>
      <w:r>
        <w:rPr/>
        <w:t>～</w:t>
      </w:r>
      <w:r>
        <w:rPr>
          <w:rFonts w:ascii="Times New Roman" w:hAnsi="Times New Roman" w:cs="Times New Roman" w:eastAsia="Times New Roman" w:hint="default"/>
        </w:rPr>
        <w:t>220</w:t>
      </w:r>
      <w:r>
        <w:rPr>
          <w:rFonts w:ascii="Times New Roman" w:hAnsi="Times New Roman" w:cs="Times New Roman" w:eastAsia="Times New Roman" w:hint="default"/>
          <w:spacing w:val="3"/>
        </w:rPr>
        <w:t> </w:t>
      </w:r>
      <w:r>
        <w:rPr>
          <w:rFonts w:ascii="Times New Roman" w:hAnsi="Times New Roman" w:cs="Times New Roman" w:eastAsia="Times New Roman" w:hint="default"/>
        </w:rPr>
        <w:t>g/</w:t>
      </w:r>
      <w:r>
        <w:rPr/>
        <w:t>㎡。 </w:t>
      </w:r>
      <w:r>
        <w:rPr>
          <w:spacing w:val="-2"/>
        </w:rPr>
        <w:t>高档涂布白色牛皮卡纸作为现有市场白板包装纸的升级换代产品，同时替代同类进口产品，产品质量技术指标及生产技术填</w:t>
      </w:r>
      <w:r>
        <w:rPr>
          <w:spacing w:val="-64"/>
        </w:rPr>
        <w:t> </w:t>
      </w:r>
      <w:r>
        <w:rPr>
          <w:spacing w:val="-64"/>
        </w:rPr>
      </w:r>
      <w:r>
        <w:rPr/>
        <w:t>补国内空白，达到国际先进水平。</w:t>
      </w:r>
    </w:p>
    <w:p>
      <w:pPr>
        <w:pStyle w:val="BodyText"/>
        <w:spacing w:line="316" w:lineRule="auto" w:before="24"/>
        <w:ind w:left="154" w:right="189" w:firstLine="419"/>
        <w:jc w:val="both"/>
      </w:pPr>
      <w:r>
        <w:rPr>
          <w:rFonts w:ascii="宋体" w:hAnsi="宋体" w:cs="宋体" w:eastAsia="宋体" w:hint="default"/>
          <w:b/>
          <w:bCs/>
        </w:rPr>
        <w:t>研发项目预计对未来发展的影响：</w:t>
      </w:r>
      <w:r>
        <w:rPr/>
        <w:t>研发生产的高档涂布白色牛皮卡纸具有质轻、表面平滑、韧性好、表面适印性好、 </w:t>
      </w:r>
      <w:r>
        <w:rPr>
          <w:spacing w:val="-2"/>
        </w:rPr>
        <w:t>美观大方等特点，适用于制造各种高档商品的礼盒和包装箱盒，具备印刷适应性和纸张性能优势，适合各行业对纸品包装材</w:t>
      </w:r>
      <w:r>
        <w:rPr>
          <w:spacing w:val="-66"/>
        </w:rPr>
        <w:t> </w:t>
      </w:r>
      <w:r>
        <w:rPr>
          <w:spacing w:val="-66"/>
        </w:rPr>
      </w:r>
      <w:r>
        <w:rPr/>
        <w:t>料持续增长的需求，物料和能源消耗较低，可节约大量的资源，推动企业乃至整个行业的可持续发展进程。</w:t>
      </w:r>
    </w:p>
    <w:p>
      <w:pPr>
        <w:spacing w:after="0" w:line="316" w:lineRule="auto"/>
        <w:jc w:val="both"/>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spacing w:line="300" w:lineRule="auto" w:before="44"/>
        <w:ind w:left="573" w:right="9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）国家</w:t>
      </w:r>
      <w:r>
        <w:rPr>
          <w:rFonts w:ascii="Times New Roman" w:hAnsi="Times New Roman" w:cs="Times New Roman" w:eastAsia="Times New Roman" w:hint="default"/>
          <w:b/>
          <w:bCs/>
          <w:sz w:val="18"/>
          <w:szCs w:val="18"/>
        </w:rPr>
        <w:t>“863”</w:t>
      </w:r>
      <w:r>
        <w:rPr>
          <w:rFonts w:ascii="宋体" w:hAnsi="宋体" w:cs="宋体" w:eastAsia="宋体" w:hint="default"/>
          <w:b/>
          <w:bCs/>
          <w:sz w:val="18"/>
          <w:szCs w:val="18"/>
        </w:rPr>
        <w:t>项目</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生物造纸用酶研制与生物造纸工艺</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子课题</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生物造纸工艺优化及产业化示范</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研发项目的目的：</w:t>
      </w:r>
      <w:r>
        <w:rPr>
          <w:rFonts w:ascii="宋体" w:hAnsi="宋体" w:cs="宋体" w:eastAsia="宋体" w:hint="default"/>
          <w:sz w:val="18"/>
          <w:szCs w:val="18"/>
        </w:rPr>
        <w:t>本课题从造纸工业过程转型升级对工业酶的需求出发，基于我国造纸用酶制剂性能差、成本高、应</w:t>
      </w:r>
    </w:p>
    <w:p>
      <w:pPr>
        <w:pStyle w:val="BodyText"/>
        <w:spacing w:line="316" w:lineRule="auto" w:before="31"/>
        <w:ind w:right="190"/>
        <w:jc w:val="both"/>
      </w:pPr>
      <w:r>
        <w:rPr>
          <w:spacing w:val="-2"/>
        </w:rPr>
        <w:t>用难等核心技术问题，重点开展造纸用的木聚糖酶、漆酶、纤维素酶和脂肪酶的酶制剂研制及其工程化应用研究，着力突破</w:t>
      </w:r>
      <w:r>
        <w:rPr>
          <w:spacing w:val="-66"/>
        </w:rPr>
        <w:t> </w:t>
      </w:r>
      <w:r>
        <w:rPr>
          <w:spacing w:val="-66"/>
        </w:rPr>
      </w:r>
      <w:r>
        <w:rPr>
          <w:spacing w:val="-2"/>
        </w:rPr>
        <w:t>造纸用酶基因高通量筛选、酶蛋白结构功能解析与分子设计改造、蛋白质高效表达、酶制剂规模化制备与复配、应用性能系</w:t>
      </w:r>
      <w:r>
        <w:rPr>
          <w:spacing w:val="-66"/>
        </w:rPr>
        <w:t> </w:t>
      </w:r>
      <w:r>
        <w:rPr>
          <w:spacing w:val="-66"/>
        </w:rPr>
      </w:r>
      <w:r>
        <w:rPr>
          <w:spacing w:val="-2"/>
        </w:rPr>
        <w:t>统评价及工程化应用工艺等关键技术，获得包括制浆和漂白用的碱性木聚糖酶和漆酶，脱墨用脂肪酶和纤维素酶等等适用工</w:t>
      </w:r>
      <w:r>
        <w:rPr>
          <w:spacing w:val="-64"/>
        </w:rPr>
        <w:t> </w:t>
      </w:r>
      <w:r>
        <w:rPr>
          <w:spacing w:val="-64"/>
        </w:rPr>
      </w:r>
      <w:r>
        <w:rPr>
          <w:spacing w:val="-2"/>
        </w:rPr>
        <w:t>艺应用性能新型造纸用工业酶，建立典型造纸工业过程的绿色化转型升级的新工艺，推动造纸用酶在制浆、漂白与脱墨等造</w:t>
      </w:r>
      <w:r>
        <w:rPr>
          <w:spacing w:val="-66"/>
        </w:rPr>
        <w:t> </w:t>
      </w:r>
      <w:r>
        <w:rPr>
          <w:spacing w:val="-66"/>
        </w:rPr>
      </w:r>
      <w:r>
        <w:rPr/>
        <w:t>纸工业领域的大规模应用，为发展节能减排和绿色经济提供重要技术支撑。</w:t>
      </w:r>
    </w:p>
    <w:p>
      <w:pPr>
        <w:pStyle w:val="BodyText"/>
        <w:spacing w:line="316" w:lineRule="auto" w:before="18"/>
        <w:ind w:right="190" w:firstLine="419"/>
        <w:jc w:val="both"/>
      </w:pPr>
      <w:r>
        <w:rPr>
          <w:rFonts w:ascii="宋体" w:hAnsi="宋体" w:cs="宋体" w:eastAsia="宋体" w:hint="default"/>
          <w:b/>
          <w:bCs/>
        </w:rPr>
        <w:t>研发项目的进展：</w:t>
      </w:r>
      <w:r>
        <w:rPr/>
        <w:t>目前，已联合课题组各单位，对生物酶在制浆造纸过程中应用，特别是生物酶对化学浆漂白、脱墨 </w:t>
      </w:r>
      <w:r>
        <w:rPr>
          <w:spacing w:val="-2"/>
        </w:rPr>
        <w:t>制浆等进行试验研究，为科学开发适合大规模生产应用的高效的制浆造纸专用酶创造条件，目前本项目开展过程中已取得部</w:t>
      </w:r>
      <w:r>
        <w:rPr>
          <w:spacing w:val="-64"/>
        </w:rPr>
        <w:t> </w:t>
      </w:r>
      <w:r>
        <w:rPr>
          <w:spacing w:val="-64"/>
        </w:rPr>
      </w:r>
      <w:r>
        <w:rPr/>
        <w:t>分阶段性成果，在国内核心期刊发表高水平论文</w:t>
      </w:r>
      <w:r>
        <w:rPr>
          <w:rFonts w:ascii="Times New Roman" w:hAnsi="Times New Roman" w:cs="Times New Roman" w:eastAsia="Times New Roman" w:hint="default"/>
        </w:rPr>
        <w:t>1</w:t>
      </w:r>
      <w:r>
        <w:rPr/>
        <w:t>篇。</w:t>
      </w:r>
    </w:p>
    <w:p>
      <w:pPr>
        <w:pStyle w:val="BodyText"/>
        <w:spacing w:line="312" w:lineRule="auto"/>
        <w:ind w:right="101" w:firstLine="419"/>
        <w:jc w:val="left"/>
      </w:pPr>
      <w:r>
        <w:rPr>
          <w:rFonts w:ascii="宋体" w:hAnsi="宋体" w:cs="宋体" w:eastAsia="宋体" w:hint="default"/>
          <w:b/>
          <w:bCs/>
        </w:rPr>
        <w:t>研发项目拟达到的目标：</w:t>
      </w:r>
      <w:r>
        <w:rPr/>
        <w:t>根据现行的制浆、漂白工艺，协助课题组开展对造纸用酶的筛选和复配、制备工作，并进一 </w:t>
      </w:r>
      <w:r>
        <w:rPr>
          <w:spacing w:val="-2"/>
        </w:rPr>
        <w:t>步研究课题组研制的生物酶在化学浆漂白等工艺过程中的应用，进行生产中试并实现规模化应用，建立生物酶应用万吨级示</w:t>
      </w:r>
      <w:r>
        <w:rPr>
          <w:spacing w:val="-64"/>
        </w:rPr>
        <w:t> </w:t>
      </w:r>
      <w:r>
        <w:rPr>
          <w:spacing w:val="-64"/>
        </w:rPr>
      </w:r>
      <w:r>
        <w:rPr>
          <w:spacing w:val="-1"/>
        </w:rPr>
        <w:t>范生产线，提高制浆漂白白度和纸浆强度</w:t>
      </w:r>
      <w:r>
        <w:rPr>
          <w:rFonts w:ascii="Times New Roman" w:hAnsi="Times New Roman" w:cs="Times New Roman" w:eastAsia="Times New Roman" w:hint="default"/>
          <w:spacing w:val="-1"/>
        </w:rPr>
        <w:t>5%</w:t>
      </w:r>
      <w:r>
        <w:rPr>
          <w:spacing w:val="-1"/>
        </w:rPr>
        <w:t>以上，废水回用率达到</w:t>
      </w:r>
      <w:r>
        <w:rPr>
          <w:rFonts w:ascii="Times New Roman" w:hAnsi="Times New Roman" w:cs="Times New Roman" w:eastAsia="Times New Roman" w:hint="default"/>
          <w:spacing w:val="-1"/>
        </w:rPr>
        <w:t>80%</w:t>
      </w:r>
      <w:r>
        <w:rPr>
          <w:spacing w:val="-1"/>
        </w:rPr>
        <w:t>，减少碱用量</w:t>
      </w:r>
      <w:r>
        <w:rPr>
          <w:rFonts w:ascii="Times New Roman" w:hAnsi="Times New Roman" w:cs="Times New Roman" w:eastAsia="Times New Roman" w:hint="default"/>
          <w:spacing w:val="-1"/>
        </w:rPr>
        <w:t>60%</w:t>
      </w:r>
      <w:r>
        <w:rPr>
          <w:spacing w:val="-1"/>
        </w:rPr>
        <w:t>，减少化学漂白试剂用量</w:t>
      </w:r>
      <w:r>
        <w:rPr>
          <w:rFonts w:ascii="Times New Roman" w:hAnsi="Times New Roman" w:cs="Times New Roman" w:eastAsia="Times New Roman" w:hint="default"/>
          <w:spacing w:val="-1"/>
        </w:rPr>
        <w:t>20-40%</w:t>
      </w:r>
      <w:r>
        <w:rPr>
          <w:spacing w:val="-1"/>
        </w:rPr>
        <w:t>，</w:t>
      </w:r>
      <w:r>
        <w:rPr>
          <w:spacing w:val="-53"/>
        </w:rPr>
        <w:t> </w:t>
      </w:r>
      <w:r>
        <w:rPr/>
        <w:t>达到课题预期目标，申报发明专利</w:t>
      </w:r>
      <w:r>
        <w:rPr>
          <w:rFonts w:ascii="Times New Roman" w:hAnsi="Times New Roman" w:cs="Times New Roman" w:eastAsia="Times New Roman" w:hint="default"/>
        </w:rPr>
        <w:t>1</w:t>
      </w:r>
      <w:r>
        <w:rPr/>
        <w:t>项。</w:t>
      </w:r>
    </w:p>
    <w:p>
      <w:pPr>
        <w:pStyle w:val="BodyText"/>
        <w:spacing w:line="316" w:lineRule="auto" w:before="3"/>
        <w:ind w:right="190" w:firstLine="419"/>
        <w:jc w:val="both"/>
      </w:pPr>
      <w:r>
        <w:rPr>
          <w:rFonts w:ascii="宋体" w:hAnsi="宋体" w:cs="宋体" w:eastAsia="宋体" w:hint="default"/>
          <w:b/>
          <w:bCs/>
        </w:rPr>
        <w:t>研发项目预计对未来发展的影响：</w:t>
      </w:r>
      <w:r>
        <w:rPr/>
        <w:t>通过本课题实施，将建立我国绿色、低污染造纸工艺示范基地，促进学校、企业、 科研机构间技术创新联盟的紧密合作，加速技术成果转化，促进全行业技术水平和产品质量的提高。</w:t>
      </w:r>
    </w:p>
    <w:p>
      <w:pPr>
        <w:spacing w:line="300" w:lineRule="auto" w:before="18"/>
        <w:ind w:left="573" w:right="9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）高档格拉辛纸技术开发</w:t>
      </w:r>
      <w:r>
        <w:rPr>
          <w:rFonts w:ascii="宋体" w:hAnsi="宋体" w:cs="宋体" w:eastAsia="宋体" w:hint="default"/>
          <w:b/>
          <w:bCs/>
          <w:w w:val="99"/>
          <w:sz w:val="18"/>
          <w:szCs w:val="18"/>
        </w:rPr>
        <w:t> </w:t>
      </w:r>
      <w:r>
        <w:rPr>
          <w:rFonts w:ascii="宋体" w:hAnsi="宋体" w:cs="宋体" w:eastAsia="宋体" w:hint="default"/>
          <w:b/>
          <w:bCs/>
          <w:spacing w:val="-1"/>
          <w:sz w:val="18"/>
          <w:szCs w:val="18"/>
        </w:rPr>
        <w:t>研发项目的目的</w:t>
      </w:r>
      <w:r>
        <w:rPr>
          <w:rFonts w:ascii="宋体" w:hAnsi="宋体" w:cs="宋体" w:eastAsia="宋体" w:hint="default"/>
          <w:spacing w:val="-1"/>
          <w:sz w:val="18"/>
          <w:szCs w:val="18"/>
        </w:rPr>
        <w:t>：随着环境资源的污染越来越严重，传统不干胶底纸由于淋</w:t>
      </w:r>
      <w:r>
        <w:rPr>
          <w:rFonts w:ascii="Times New Roman" w:hAnsi="Times New Roman" w:cs="Times New Roman" w:eastAsia="Times New Roman" w:hint="default"/>
          <w:spacing w:val="-1"/>
          <w:sz w:val="18"/>
          <w:szCs w:val="18"/>
        </w:rPr>
        <w:t>PE</w:t>
      </w:r>
      <w:r>
        <w:rPr>
          <w:rFonts w:ascii="宋体" w:hAnsi="宋体" w:cs="宋体" w:eastAsia="宋体" w:hint="default"/>
          <w:spacing w:val="-1"/>
          <w:sz w:val="18"/>
          <w:szCs w:val="18"/>
        </w:rPr>
        <w:t>膜，一是环境污染，</w:t>
      </w:r>
      <w:r>
        <w:rPr>
          <w:rFonts w:ascii="Times New Roman" w:hAnsi="Times New Roman" w:cs="Times New Roman" w:eastAsia="Times New Roman" w:hint="default"/>
          <w:spacing w:val="-1"/>
          <w:sz w:val="18"/>
          <w:szCs w:val="18"/>
        </w:rPr>
        <w:t>PE</w:t>
      </w:r>
      <w:r>
        <w:rPr>
          <w:rFonts w:ascii="宋体" w:hAnsi="宋体" w:cs="宋体" w:eastAsia="宋体" w:hint="default"/>
          <w:spacing w:val="-1"/>
          <w:sz w:val="18"/>
          <w:szCs w:val="18"/>
        </w:rPr>
        <w:t>膜重新回收利用</w:t>
      </w:r>
    </w:p>
    <w:p>
      <w:pPr>
        <w:pStyle w:val="BodyText"/>
        <w:spacing w:line="312" w:lineRule="auto" w:before="13"/>
        <w:ind w:right="101"/>
        <w:jc w:val="both"/>
      </w:pPr>
      <w:r>
        <w:rPr/>
        <w:t>难度大，放置于自然环境长时间不容易腐烂；二是</w:t>
      </w:r>
      <w:r>
        <w:rPr>
          <w:rFonts w:ascii="Times New Roman" w:hAnsi="Times New Roman" w:cs="Times New Roman" w:eastAsia="Times New Roman" w:hint="default"/>
        </w:rPr>
        <w:t>PE</w:t>
      </w:r>
      <w:r>
        <w:rPr/>
        <w:t>膜的原料来自于石油副产品，随着石油资源的匮乏，该原料使用量也</w:t>
      </w:r>
      <w:r>
        <w:rPr>
          <w:spacing w:val="-35"/>
        </w:rPr>
        <w:t> </w:t>
      </w:r>
      <w:r>
        <w:rPr>
          <w:spacing w:val="-35"/>
        </w:rPr>
      </w:r>
      <w:r>
        <w:rPr>
          <w:spacing w:val="-2"/>
        </w:rPr>
        <w:t>将日益萎缩。产品的档次与质量是影响企业再发展的一个关键因素。格拉辛纸是专门用于高端不干胶产品的高档纸张，广泛</w:t>
      </w:r>
      <w:r>
        <w:rPr>
          <w:spacing w:val="-66"/>
        </w:rPr>
        <w:t> </w:t>
      </w:r>
      <w:r>
        <w:rPr>
          <w:spacing w:val="-66"/>
        </w:rPr>
      </w:r>
      <w:r>
        <w:rPr>
          <w:spacing w:val="-2"/>
        </w:rPr>
        <w:t>用于广告和工业领域，市场需求量逐年递增，市场潜力大。从长远来看，格拉辛纸替代普通不干胶原纸是大势所趋。本项目</w:t>
      </w:r>
      <w:r>
        <w:rPr>
          <w:spacing w:val="-66"/>
        </w:rPr>
        <w:t> </w:t>
      </w:r>
      <w:r>
        <w:rPr>
          <w:spacing w:val="-66"/>
        </w:rPr>
      </w:r>
      <w:r>
        <w:rPr>
          <w:spacing w:val="-4"/>
        </w:rPr>
        <w:t>充分依托现有的文化纸生产线进行技术改造，开发高档格拉辛纸，优化公司产品结构，增加新的利润增长点，市场前景广阔。</w:t>
      </w:r>
    </w:p>
    <w:p>
      <w:pPr>
        <w:pStyle w:val="BodyText"/>
        <w:spacing w:line="316" w:lineRule="auto" w:before="22"/>
        <w:ind w:right="191" w:firstLine="419"/>
        <w:jc w:val="both"/>
      </w:pPr>
      <w:r>
        <w:rPr>
          <w:rFonts w:ascii="宋体" w:hAnsi="宋体" w:cs="宋体" w:eastAsia="宋体" w:hint="default"/>
          <w:b/>
          <w:bCs/>
        </w:rPr>
        <w:t>研发项目的进展</w:t>
      </w:r>
      <w:r>
        <w:rPr/>
        <w:t>：目前，本项目已完成项目技术论证、专用仪器设备的购置，技术改造正在进行，下一步将同时开展 实验方案的设计及试验研究工作。</w:t>
      </w:r>
    </w:p>
    <w:p>
      <w:pPr>
        <w:pStyle w:val="BodyText"/>
        <w:spacing w:line="309" w:lineRule="auto" w:before="18"/>
        <w:ind w:right="188" w:firstLine="419"/>
        <w:jc w:val="both"/>
      </w:pPr>
      <w:r>
        <w:rPr>
          <w:rFonts w:ascii="宋体" w:hAnsi="宋体" w:cs="宋体" w:eastAsia="宋体" w:hint="default"/>
          <w:b/>
          <w:bCs/>
        </w:rPr>
        <w:t>研发项目拟达到的目标</w:t>
      </w:r>
      <w:r>
        <w:rPr/>
        <w:t>：本项目拟优选化学漂白浆，配用再生纤维和化学机械浆，配以特殊的矿物颜料及独特的表面</w:t>
      </w:r>
      <w:r>
        <w:rPr>
          <w:spacing w:val="1"/>
        </w:rPr>
        <w:t> </w:t>
      </w:r>
      <w:r>
        <w:rPr/>
        <w:t>施胶工艺，</w:t>
      </w:r>
      <w:r>
        <w:rPr>
          <w:spacing w:val="-66"/>
        </w:rPr>
        <w:t> </w:t>
      </w:r>
      <w:r>
        <w:rPr/>
        <w:t>抄造出平滑度高（</w:t>
      </w:r>
      <w:r>
        <w:rPr>
          <w:rFonts w:ascii="Times New Roman" w:hAnsi="Times New Roman" w:cs="Times New Roman" w:eastAsia="Times New Roman" w:hint="default"/>
        </w:rPr>
        <w:t>≥</w:t>
      </w:r>
      <w:r>
        <w:rPr>
          <w:rFonts w:ascii="Times New Roman" w:hAnsi="Times New Roman" w:cs="Times New Roman" w:eastAsia="Times New Roman" w:hint="default"/>
        </w:rPr>
        <w:t>500s</w:t>
      </w:r>
      <w:r>
        <w:rPr/>
        <w:t>）、防油性好，适合高档不干胶产品的高档纸张，产品具有较高的强度、较好的松厚度 及尺寸稳定性，色泽柔和，纯朴自然，制造成本较低，还具有环保无污染的特点。</w:t>
      </w:r>
    </w:p>
    <w:p>
      <w:pPr>
        <w:pStyle w:val="BodyText"/>
        <w:spacing w:line="316" w:lineRule="auto" w:before="24"/>
        <w:ind w:right="190" w:firstLine="420"/>
        <w:jc w:val="both"/>
      </w:pPr>
      <w:r>
        <w:rPr>
          <w:rFonts w:ascii="宋体" w:hAnsi="宋体" w:cs="宋体" w:eastAsia="宋体" w:hint="default"/>
          <w:b/>
          <w:bCs/>
        </w:rPr>
        <w:t>研发项目预计对未来发展的影响</w:t>
      </w:r>
      <w:r>
        <w:rPr/>
        <w:t>：通过本项目的实施，产品质量优异，可进一步优化公司产品结构，提升公司产品高 </w:t>
      </w:r>
      <w:r>
        <w:rPr>
          <w:spacing w:val="-2"/>
        </w:rPr>
        <w:t>档化比例，提高产品附加值，增强企业的市场竞争力；同时配用再生纤维浆原料，拓宽原料适用范围，节省大量原生木材纤</w:t>
      </w:r>
      <w:r>
        <w:rPr>
          <w:spacing w:val="-66"/>
        </w:rPr>
        <w:t> </w:t>
      </w:r>
      <w:r>
        <w:rPr>
          <w:spacing w:val="-66"/>
        </w:rPr>
      </w:r>
      <w:r>
        <w:rPr/>
        <w:t>维资源，进一步推进环保绿色造纸产业链的实施进程。</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6</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554"/>
        <w:gridCol w:w="2112"/>
        <w:gridCol w:w="2100"/>
        <w:gridCol w:w="1916"/>
      </w:tblGrid>
      <w:tr>
        <w:trPr>
          <w:trHeight w:val="402" w:hRule="exact"/>
        </w:trPr>
        <w:tc>
          <w:tcPr>
            <w:tcW w:w="3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23" w:right="0"/>
              <w:jc w:val="left"/>
              <w:rPr>
                <w:rFonts w:ascii="Times New Roman" w:hAnsi="Times New Roman" w:cs="Times New Roman" w:eastAsia="Times New Roman" w:hint="default"/>
                <w:sz w:val="18"/>
                <w:szCs w:val="18"/>
              </w:rPr>
            </w:pPr>
            <w:r>
              <w:rPr>
                <w:rFonts w:ascii="Times New Roman"/>
                <w:sz w:val="18"/>
              </w:rPr>
              <w:t>20,363,176,118.78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6" w:right="0"/>
              <w:jc w:val="left"/>
              <w:rPr>
                <w:rFonts w:ascii="Times New Roman" w:hAnsi="Times New Roman" w:cs="Times New Roman" w:eastAsia="Times New Roman" w:hint="default"/>
                <w:sz w:val="18"/>
                <w:szCs w:val="18"/>
              </w:rPr>
            </w:pPr>
            <w:r>
              <w:rPr>
                <w:rFonts w:ascii="Times New Roman"/>
                <w:sz w:val="18"/>
              </w:rPr>
              <w:t>19,399,885,121.58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3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16" w:right="0"/>
              <w:jc w:val="left"/>
              <w:rPr>
                <w:rFonts w:ascii="Times New Roman" w:hAnsi="Times New Roman" w:cs="Times New Roman" w:eastAsia="Times New Roman" w:hint="default"/>
                <w:sz w:val="18"/>
                <w:szCs w:val="18"/>
              </w:rPr>
            </w:pPr>
            <w:r>
              <w:rPr>
                <w:rFonts w:ascii="Times New Roman"/>
                <w:sz w:val="18"/>
              </w:rPr>
              <w:t>19,240,559,317.87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6" w:right="0"/>
              <w:jc w:val="left"/>
              <w:rPr>
                <w:rFonts w:ascii="Times New Roman" w:hAnsi="Times New Roman" w:cs="Times New Roman" w:eastAsia="Times New Roman" w:hint="default"/>
                <w:sz w:val="18"/>
                <w:szCs w:val="18"/>
              </w:rPr>
            </w:pPr>
            <w:r>
              <w:rPr>
                <w:rFonts w:ascii="Times New Roman"/>
                <w:sz w:val="18"/>
              </w:rPr>
              <w:t>17,443,018,643.59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10.31%</w:t>
            </w:r>
          </w:p>
        </w:tc>
      </w:tr>
      <w:tr>
        <w:trPr>
          <w:trHeight w:val="402" w:hRule="exact"/>
        </w:trPr>
        <w:tc>
          <w:tcPr>
            <w:tcW w:w="3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1,122,616,800.91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1,956,866,477.99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-42.63%</w:t>
            </w:r>
          </w:p>
        </w:tc>
      </w:tr>
      <w:tr>
        <w:trPr>
          <w:trHeight w:val="402" w:hRule="exact"/>
        </w:trPr>
        <w:tc>
          <w:tcPr>
            <w:tcW w:w="3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1,926,791,350.79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1,020,659,994.81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88.78%</w:t>
            </w:r>
          </w:p>
        </w:tc>
      </w:tr>
      <w:tr>
        <w:trPr>
          <w:trHeight w:val="402" w:hRule="exact"/>
        </w:trPr>
        <w:tc>
          <w:tcPr>
            <w:tcW w:w="3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3,837,739,389.14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3,666,784,910.10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w:t>
            </w:r>
          </w:p>
        </w:tc>
      </w:tr>
      <w:tr>
        <w:trPr>
          <w:trHeight w:val="402" w:hRule="exact"/>
        </w:trPr>
        <w:tc>
          <w:tcPr>
            <w:tcW w:w="3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46" w:right="0"/>
              <w:jc w:val="left"/>
              <w:rPr>
                <w:rFonts w:ascii="Times New Roman" w:hAnsi="Times New Roman" w:cs="Times New Roman" w:eastAsia="Times New Roman" w:hint="default"/>
                <w:sz w:val="18"/>
                <w:szCs w:val="18"/>
              </w:rPr>
            </w:pPr>
            <w:r>
              <w:rPr>
                <w:rFonts w:ascii="Times New Roman"/>
                <w:sz w:val="18"/>
              </w:rPr>
              <w:t>-1,910,948,038.35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6" w:right="0"/>
              <w:jc w:val="left"/>
              <w:rPr>
                <w:rFonts w:ascii="Times New Roman" w:hAnsi="Times New Roman" w:cs="Times New Roman" w:eastAsia="Times New Roman" w:hint="default"/>
                <w:sz w:val="18"/>
                <w:szCs w:val="18"/>
              </w:rPr>
            </w:pPr>
            <w:r>
              <w:rPr>
                <w:rFonts w:ascii="Times New Roman"/>
                <w:sz w:val="18"/>
              </w:rPr>
              <w:t>-2,646,124,915.29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27.78%</w:t>
            </w:r>
          </w:p>
        </w:tc>
      </w:tr>
      <w:tr>
        <w:trPr>
          <w:trHeight w:val="403" w:hRule="exact"/>
        </w:trPr>
        <w:tc>
          <w:tcPr>
            <w:tcW w:w="3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16" w:right="0"/>
              <w:jc w:val="left"/>
              <w:rPr>
                <w:rFonts w:ascii="Times New Roman" w:hAnsi="Times New Roman" w:cs="Times New Roman" w:eastAsia="Times New Roman" w:hint="default"/>
                <w:sz w:val="18"/>
                <w:szCs w:val="18"/>
              </w:rPr>
            </w:pPr>
            <w:r>
              <w:rPr>
                <w:rFonts w:ascii="Times New Roman"/>
                <w:sz w:val="18"/>
              </w:rPr>
              <w:t>23,126,276,064.56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6" w:right="0"/>
              <w:jc w:val="left"/>
              <w:rPr>
                <w:rFonts w:ascii="Times New Roman" w:hAnsi="Times New Roman" w:cs="Times New Roman" w:eastAsia="Times New Roman" w:hint="default"/>
                <w:sz w:val="18"/>
                <w:szCs w:val="18"/>
              </w:rPr>
            </w:pPr>
            <w:r>
              <w:rPr>
                <w:rFonts w:ascii="Times New Roman"/>
                <w:sz w:val="18"/>
              </w:rPr>
              <w:t>25,318,157,575.12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4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577"/>
        <w:gridCol w:w="2100"/>
        <w:gridCol w:w="2100"/>
        <w:gridCol w:w="1916"/>
      </w:tblGrid>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23,958,313,170.73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24,594,961,130.78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-832,037,106.17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723,196,444.34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-215.05%</w:t>
            </w:r>
          </w:p>
        </w:tc>
      </w:tr>
      <w:tr>
        <w:trPr>
          <w:trHeight w:val="402" w:hRule="exact"/>
        </w:trPr>
        <w:tc>
          <w:tcPr>
            <w:tcW w:w="3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-1,617,017,256.49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26,501,565.92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-6201.59%</w:t>
            </w:r>
          </w:p>
        </w:tc>
      </w:tr>
    </w:tbl>
    <w:p>
      <w:pPr>
        <w:pStyle w:val="BodyText"/>
        <w:spacing w:line="240" w:lineRule="auto" w:before="51"/>
        <w:ind w:left="154" w:right="9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left="154"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2" w:lineRule="auto" w:before="101"/>
        <w:ind w:left="154" w:right="90" w:firstLine="360"/>
        <w:jc w:val="left"/>
      </w:pPr>
      <w:r>
        <w:rPr>
          <w:spacing w:val="-1"/>
        </w:rPr>
        <w:t>（</w:t>
      </w:r>
      <w:r>
        <w:rPr>
          <w:rFonts w:ascii="Times New Roman" w:hAnsi="Times New Roman" w:cs="Times New Roman" w:eastAsia="Times New Roman" w:hint="default"/>
          <w:spacing w:val="-1"/>
        </w:rPr>
        <w:t>1</w:t>
      </w:r>
      <w:r>
        <w:rPr>
          <w:spacing w:val="-1"/>
        </w:rPr>
        <w:t>）经营活动产生的现金流量净额比上年同期减少</w:t>
      </w:r>
      <w:r>
        <w:rPr>
          <w:rFonts w:ascii="Times New Roman" w:hAnsi="Times New Roman" w:cs="Times New Roman" w:eastAsia="Times New Roman" w:hint="default"/>
          <w:spacing w:val="-1"/>
        </w:rPr>
        <w:t>42.63%</w:t>
      </w:r>
      <w:r>
        <w:rPr>
          <w:spacing w:val="-1"/>
        </w:rPr>
        <w:t>，其主要原因是公司为争取上游供应商，降低成本，同比加</w:t>
      </w:r>
      <w:r>
        <w:rPr/>
        <w:t> 大了现金支付货款的比例。</w:t>
      </w:r>
    </w:p>
    <w:p>
      <w:pPr>
        <w:pStyle w:val="BodyText"/>
        <w:spacing w:line="302" w:lineRule="auto" w:before="69"/>
        <w:ind w:left="154" w:right="90" w:firstLine="360"/>
        <w:jc w:val="left"/>
      </w:pPr>
      <w:r>
        <w:rPr>
          <w:spacing w:val="-1"/>
        </w:rPr>
        <w:t>（</w:t>
      </w:r>
      <w:r>
        <w:rPr>
          <w:rFonts w:ascii="Times New Roman" w:hAnsi="Times New Roman" w:cs="Times New Roman" w:eastAsia="Times New Roman" w:hint="default"/>
          <w:spacing w:val="-1"/>
        </w:rPr>
        <w:t>2</w:t>
      </w:r>
      <w:r>
        <w:rPr>
          <w:spacing w:val="-1"/>
        </w:rPr>
        <w:t>）投资活动产生的现金流量净额比上年同期增加</w:t>
      </w:r>
      <w:r>
        <w:rPr>
          <w:rFonts w:ascii="Times New Roman" w:hAnsi="Times New Roman" w:cs="Times New Roman" w:eastAsia="Times New Roman" w:hint="default"/>
          <w:spacing w:val="-1"/>
        </w:rPr>
        <w:t>27.78%</w:t>
      </w:r>
      <w:r>
        <w:rPr>
          <w:spacing w:val="-1"/>
        </w:rPr>
        <w:t>，其主要原因是公司为加强资金使用效率，强化已有的优势</w:t>
      </w:r>
      <w:r>
        <w:rPr/>
        <w:t> 产业，收回收益率较低的投资。</w:t>
      </w:r>
    </w:p>
    <w:p>
      <w:pPr>
        <w:pStyle w:val="BodyText"/>
        <w:spacing w:line="302" w:lineRule="auto" w:before="68"/>
        <w:ind w:left="154" w:right="90" w:firstLine="360"/>
        <w:jc w:val="left"/>
      </w:pPr>
      <w:r>
        <w:rPr>
          <w:spacing w:val="-1"/>
        </w:rPr>
        <w:t>（</w:t>
      </w:r>
      <w:r>
        <w:rPr>
          <w:rFonts w:ascii="Times New Roman" w:hAnsi="Times New Roman" w:cs="Times New Roman" w:eastAsia="Times New Roman" w:hint="default"/>
          <w:spacing w:val="-1"/>
        </w:rPr>
        <w:t>3</w:t>
      </w:r>
      <w:r>
        <w:rPr>
          <w:spacing w:val="-1"/>
        </w:rPr>
        <w:t>）筹资活动产生的现金流量净额比上年同期减少</w:t>
      </w:r>
      <w:r>
        <w:rPr>
          <w:rFonts w:ascii="Times New Roman" w:hAnsi="Times New Roman" w:cs="Times New Roman" w:eastAsia="Times New Roman" w:hint="default"/>
          <w:spacing w:val="-1"/>
        </w:rPr>
        <w:t>215.05%</w:t>
      </w:r>
      <w:r>
        <w:rPr>
          <w:spacing w:val="-1"/>
        </w:rPr>
        <w:t>，其主要原因是公司盈利状况好转，为降低资金使用成本，</w:t>
      </w:r>
      <w:r>
        <w:rPr/>
        <w:t> 加强了自有资金的使用效率。</w:t>
      </w:r>
    </w:p>
    <w:p>
      <w:pPr>
        <w:pStyle w:val="BodyText"/>
        <w:spacing w:line="240" w:lineRule="auto" w:before="69"/>
        <w:ind w:left="154" w:right="90"/>
        <w:jc w:val="left"/>
      </w:pPr>
      <w:r>
        <w:rPr/>
        <w:t>报告期内公司经营活动的现金流量与本年度净利润存在重大差异的原因说明</w:t>
      </w:r>
    </w:p>
    <w:p>
      <w:pPr>
        <w:pStyle w:val="BodyText"/>
        <w:spacing w:line="357" w:lineRule="auto" w:before="117"/>
        <w:ind w:left="514" w:right="90" w:hanging="360"/>
        <w:jc w:val="left"/>
      </w:pPr>
      <w:r>
        <w:rPr/>
        <w:t>√ 适用 □ 不适用 </w:t>
      </w:r>
      <w:r>
        <w:rPr>
          <w:spacing w:val="-1"/>
        </w:rPr>
        <w:t>经营活动现金流量净额比上年同期减少</w:t>
      </w:r>
      <w:r>
        <w:rPr>
          <w:rFonts w:ascii="Times New Roman" w:hAnsi="Times New Roman" w:cs="Times New Roman" w:eastAsia="Times New Roman" w:hint="default"/>
          <w:spacing w:val="-1"/>
        </w:rPr>
        <w:t>42.63%</w:t>
      </w:r>
      <w:r>
        <w:rPr>
          <w:spacing w:val="-1"/>
        </w:rPr>
        <w:t>，归属于母公司净利润比上年同期增加</w:t>
      </w:r>
      <w:r>
        <w:rPr>
          <w:rFonts w:ascii="Times New Roman" w:hAnsi="Times New Roman" w:cs="Times New Roman" w:eastAsia="Times New Roman" w:hint="default"/>
          <w:spacing w:val="-1"/>
        </w:rPr>
        <w:t>221.51%</w:t>
      </w:r>
      <w:r>
        <w:rPr>
          <w:spacing w:val="-1"/>
        </w:rPr>
        <w:t>，主要是由于本年度公司</w:t>
      </w:r>
    </w:p>
    <w:p>
      <w:pPr>
        <w:pStyle w:val="BodyText"/>
        <w:spacing w:line="201" w:lineRule="exact"/>
        <w:ind w:left="154" w:right="90"/>
        <w:jc w:val="left"/>
        <w:rPr>
          <w:rFonts w:ascii="MS Gothic" w:hAnsi="MS Gothic" w:cs="MS Gothic" w:eastAsia="MS Gothic" w:hint="default"/>
        </w:rPr>
      </w:pPr>
      <w:r>
        <w:rPr/>
        <w:t>应付余额的减少与应收余额的增加所致</w:t>
      </w:r>
      <w:r>
        <w:rPr>
          <w:rFonts w:ascii="MS Gothic" w:hAnsi="MS Gothic" w:cs="MS Gothic" w:eastAsia="MS Gothic" w:hint="default"/>
        </w:rPr>
        <w:t>｡</w:t>
      </w:r>
    </w:p>
    <w:p>
      <w:pPr>
        <w:spacing w:line="240" w:lineRule="auto" w:before="2"/>
        <w:rPr>
          <w:rFonts w:ascii="MS Gothic" w:hAnsi="MS Gothic" w:cs="MS Gothic" w:eastAsia="MS Gothic" w:hint="default"/>
          <w:sz w:val="25"/>
          <w:szCs w:val="25"/>
        </w:rPr>
      </w:pPr>
    </w:p>
    <w:p>
      <w:pPr>
        <w:pStyle w:val="Heading2"/>
        <w:spacing w:line="240" w:lineRule="auto"/>
        <w:ind w:right="90"/>
        <w:jc w:val="left"/>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7767" w:right="190"/>
        <w:jc w:val="right"/>
      </w:pPr>
      <w:r>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74"/>
        <w:gridCol w:w="1405"/>
        <w:gridCol w:w="1406"/>
        <w:gridCol w:w="1374"/>
        <w:gridCol w:w="1378"/>
        <w:gridCol w:w="1376"/>
        <w:gridCol w:w="1380"/>
      </w:tblGrid>
      <w:tr>
        <w:trPr>
          <w:trHeight w:val="714" w:hRule="exact"/>
        </w:trPr>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53"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53"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59" w:right="54"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18,244,191,565.62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15,088,624,360.62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17.30%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1,519,119,225.58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1,128,949,590.22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25.68%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89.81%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241,343,187.87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204,068,954.93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15.44%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36,324,584.14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8,589,278.93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76.35%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-24.85%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111,816,968.86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62,297,587.77</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44.29%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719.32%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493.74%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21.17%</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959,374,495.99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797,143,663.55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16.91%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-18.03%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5.74%</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2,573,322,197.99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2,101,348,540.72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18.34%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307,750,040.04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249,202,911.49</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4,504,344,844.03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3,863,437,378.40</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14.23%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7.40%</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1,501,678,237.85</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1,103,153,831.64</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26.54%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812,352,574.23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815,342,139.62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54.13%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-2.95%</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2,161,704,531.76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1,738,047,195.43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19.60%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1,906,857,070.30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1,496,527,676.12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19.87%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-1.43%</w:t>
            </w:r>
          </w:p>
        </w:tc>
      </w:tr>
      <w:tr>
        <w:trPr>
          <w:trHeight w:val="403"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3,516,807,573.43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2,924,421,023.65</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16.84%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4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374"/>
        <w:gridCol w:w="1405"/>
        <w:gridCol w:w="1406"/>
        <w:gridCol w:w="1374"/>
        <w:gridCol w:w="1378"/>
        <w:gridCol w:w="1376"/>
        <w:gridCol w:w="1380"/>
      </w:tblGrid>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1,519,119,225.58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1,128,949,590.22</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25.68%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89.81%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241,343,187.87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204,068,954.93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15.44%</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36,324,584.14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8,589,278.93</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76.35%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-24.85%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2.20%</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111,816,968.86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62,297,587.77</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44.29%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719.32%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493.74%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21.17%</w:t>
            </w: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17,419,575,119.36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14,112,022,512.66</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18.99%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2,733,220,412.71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2,380,507,259.81</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6.55%</w:t>
            </w:r>
          </w:p>
        </w:tc>
      </w:tr>
    </w:tbl>
    <w:p>
      <w:pPr>
        <w:pStyle w:val="BodyText"/>
        <w:spacing w:line="240" w:lineRule="auto" w:before="51"/>
        <w:ind w:left="154" w:right="0"/>
        <w:jc w:val="both"/>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四、</w:t>
      </w:r>
      <w:r>
        <w:rPr>
          <w:spacing w:val="-1"/>
        </w:rPr>
        <w:t> </w:t>
      </w:r>
      <w:r>
        <w:rPr/>
        <w:t>五年财务概要</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331"/>
        <w:jc w:val="both"/>
      </w:pPr>
      <w:r>
        <w:rPr>
          <w:spacing w:val="-2"/>
        </w:rPr>
        <w:t>本集团最近五年之公布业绩及资产、负债以及少数股东权益概要摘自已刊印之经审核财务报表，刊载如下。本概要并不能构</w:t>
      </w:r>
      <w:r>
        <w:rPr>
          <w:spacing w:val="-66"/>
        </w:rPr>
        <w:t> </w:t>
      </w:r>
      <w:r>
        <w:rPr>
          <w:spacing w:val="-66"/>
        </w:rPr>
      </w:r>
      <w:r>
        <w:rPr>
          <w:spacing w:val="-2"/>
        </w:rPr>
        <w:t>成经审核财务报表的一部分。财务概要乃按香港会计准则编制（</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2010</w:t>
      </w:r>
      <w:r>
        <w:rPr>
          <w:spacing w:val="-2"/>
        </w:rPr>
        <w:t>年度数据按照国际会计准则编制，自</w:t>
      </w:r>
      <w:r>
        <w:rPr>
          <w:rFonts w:ascii="Times New Roman" w:hAnsi="Times New Roman" w:cs="Times New Roman" w:eastAsia="Times New Roman" w:hint="default"/>
          <w:spacing w:val="-2"/>
        </w:rPr>
        <w:t>2011</w:t>
      </w:r>
      <w:r>
        <w:rPr>
          <w:spacing w:val="-2"/>
        </w:rPr>
        <w:t>年度</w:t>
      </w:r>
      <w:r>
        <w:rPr>
          <w:spacing w:val="-55"/>
        </w:rPr>
        <w:t> </w:t>
      </w:r>
      <w:r>
        <w:rPr/>
        <w:t>起按照中国企业会计准则编制）：</w:t>
      </w:r>
    </w:p>
    <w:p>
      <w:pPr>
        <w:pStyle w:val="BodyText"/>
        <w:spacing w:line="240" w:lineRule="auto" w:before="24"/>
        <w:ind w:right="0"/>
        <w:jc w:val="both"/>
      </w:pPr>
      <w:r>
        <w:rPr>
          <w:rFonts w:ascii="Times New Roman" w:hAnsi="Times New Roman" w:cs="Times New Roman" w:eastAsia="Times New Roman" w:hint="default"/>
        </w:rPr>
        <w:t>1</w:t>
      </w:r>
      <w:r>
        <w:rPr/>
        <w:t>、综合业绩</w:t>
      </w:r>
    </w:p>
    <w:p>
      <w:pPr>
        <w:pStyle w:val="BodyText"/>
        <w:tabs>
          <w:tab w:pos="8892" w:val="left" w:leader="none"/>
        </w:tabs>
        <w:spacing w:line="240" w:lineRule="auto" w:before="62"/>
        <w:ind w:left="5292" w:right="0"/>
        <w:jc w:val="left"/>
      </w:pPr>
      <w:r>
        <w:rPr/>
        <w:t>截至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w:t>
        <w:tab/>
        <w:t>单位：万元</w:t>
      </w:r>
    </w:p>
    <w:p>
      <w:pPr>
        <w:spacing w:line="240" w:lineRule="auto" w:before="0"/>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340"/>
        <w:gridCol w:w="1260"/>
        <w:gridCol w:w="1260"/>
        <w:gridCol w:w="1260"/>
        <w:gridCol w:w="1266"/>
        <w:gridCol w:w="1228"/>
        <w:gridCol w:w="1241"/>
      </w:tblGrid>
      <w:tr>
        <w:trPr>
          <w:trHeight w:val="347" w:hRule="exact"/>
        </w:trPr>
        <w:tc>
          <w:tcPr>
            <w:tcW w:w="2340" w:type="dxa"/>
            <w:vMerge w:val="restart"/>
            <w:tcBorders>
              <w:top w:val="single" w:sz="6" w:space="0" w:color="000000"/>
              <w:left w:val="single" w:sz="6" w:space="0" w:color="000000"/>
              <w:right w:val="single" w:sz="6" w:space="0" w:color="000000"/>
            </w:tcBorders>
            <w:shd w:val="clear" w:color="auto" w:fill="D9D9D9"/>
          </w:tcPr>
          <w:p>
            <w:pPr/>
          </w:p>
        </w:tc>
        <w:tc>
          <w:tcPr>
            <w:tcW w:w="12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2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2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49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124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p>
        </w:tc>
      </w:tr>
      <w:tr>
        <w:trPr>
          <w:trHeight w:val="658" w:hRule="exact"/>
        </w:trPr>
        <w:tc>
          <w:tcPr>
            <w:tcW w:w="2340" w:type="dxa"/>
            <w:vMerge/>
            <w:tcBorders>
              <w:left w:val="single" w:sz="6" w:space="0" w:color="000000"/>
              <w:bottom w:val="single" w:sz="6" w:space="0" w:color="000000"/>
              <w:right w:val="single" w:sz="6" w:space="0" w:color="000000"/>
            </w:tcBorders>
            <w:shd w:val="clear" w:color="auto" w:fill="D9D9D9"/>
          </w:tcPr>
          <w:p>
            <w:pPr/>
          </w:p>
        </w:tc>
        <w:tc>
          <w:tcPr>
            <w:tcW w:w="1260" w:type="dxa"/>
            <w:vMerge/>
            <w:tcBorders>
              <w:left w:val="single" w:sz="6" w:space="0" w:color="000000"/>
              <w:bottom w:val="single" w:sz="6" w:space="0" w:color="000000"/>
              <w:right w:val="single" w:sz="6" w:space="0" w:color="000000"/>
            </w:tcBorders>
            <w:shd w:val="clear" w:color="auto" w:fill="D9D9D9"/>
          </w:tcPr>
          <w:p>
            <w:pPr/>
          </w:p>
        </w:tc>
        <w:tc>
          <w:tcPr>
            <w:tcW w:w="1260" w:type="dxa"/>
            <w:vMerge/>
            <w:tcBorders>
              <w:left w:val="single" w:sz="6" w:space="0" w:color="000000"/>
              <w:bottom w:val="single" w:sz="6" w:space="0" w:color="000000"/>
              <w:right w:val="single" w:sz="6" w:space="0" w:color="000000"/>
            </w:tcBorders>
            <w:shd w:val="clear" w:color="auto" w:fill="D9D9D9"/>
          </w:tcPr>
          <w:p>
            <w:pPr/>
          </w:p>
        </w:tc>
        <w:tc>
          <w:tcPr>
            <w:tcW w:w="1260" w:type="dxa"/>
            <w:vMerge/>
            <w:tcBorders>
              <w:left w:val="single" w:sz="6" w:space="0" w:color="000000"/>
              <w:bottom w:val="single" w:sz="6" w:space="0" w:color="000000"/>
              <w:right w:val="single" w:sz="6" w:space="0" w:color="000000"/>
            </w:tcBorders>
            <w:shd w:val="clear" w:color="auto" w:fill="D9D9D9"/>
          </w:tcPr>
          <w:p>
            <w:pPr/>
          </w:p>
        </w:tc>
        <w:tc>
          <w:tcPr>
            <w:tcW w:w="1266" w:type="dxa"/>
            <w:tcBorders>
              <w:top w:val="single" w:sz="10" w:space="0" w:color="000000"/>
              <w:left w:val="single" w:sz="6" w:space="0" w:color="000000"/>
              <w:bottom w:val="single" w:sz="6" w:space="0" w:color="000000"/>
              <w:right w:val="single" w:sz="6" w:space="0" w:color="000000"/>
            </w:tcBorders>
            <w:shd w:val="clear" w:color="auto" w:fill="E0E0E0"/>
          </w:tcPr>
          <w:p>
            <w:pPr>
              <w:pStyle w:val="TableParagraph"/>
              <w:spacing w:line="316" w:lineRule="auto" w:before="16"/>
              <w:ind w:left="445" w:right="84" w:hanging="360"/>
              <w:jc w:val="left"/>
              <w:rPr>
                <w:rFonts w:ascii="宋体" w:hAnsi="宋体" w:cs="宋体" w:eastAsia="宋体" w:hint="default"/>
                <w:sz w:val="18"/>
                <w:szCs w:val="18"/>
              </w:rPr>
            </w:pPr>
            <w:r>
              <w:rPr>
                <w:rFonts w:ascii="宋体" w:hAnsi="宋体" w:cs="宋体" w:eastAsia="宋体" w:hint="default"/>
                <w:sz w:val="18"/>
                <w:szCs w:val="18"/>
              </w:rPr>
              <w:t>中国企业会计 准则</w:t>
            </w:r>
          </w:p>
        </w:tc>
        <w:tc>
          <w:tcPr>
            <w:tcW w:w="1228" w:type="dxa"/>
            <w:tcBorders>
              <w:top w:val="single" w:sz="10" w:space="0" w:color="000000"/>
              <w:left w:val="single" w:sz="6" w:space="0" w:color="000000"/>
              <w:bottom w:val="single" w:sz="6" w:space="0" w:color="000000"/>
              <w:right w:val="single" w:sz="7" w:space="0" w:color="000000"/>
            </w:tcBorders>
            <w:shd w:val="clear" w:color="auto" w:fill="E0E0E0"/>
          </w:tcPr>
          <w:p>
            <w:pPr>
              <w:pStyle w:val="TableParagraph"/>
              <w:spacing w:line="240" w:lineRule="auto" w:before="16"/>
              <w:ind w:left="66" w:right="0"/>
              <w:jc w:val="left"/>
              <w:rPr>
                <w:rFonts w:ascii="宋体" w:hAnsi="宋体" w:cs="宋体" w:eastAsia="宋体" w:hint="default"/>
                <w:sz w:val="18"/>
                <w:szCs w:val="18"/>
              </w:rPr>
            </w:pPr>
            <w:r>
              <w:rPr>
                <w:rFonts w:ascii="宋体" w:hAnsi="宋体" w:cs="宋体" w:eastAsia="宋体" w:hint="default"/>
                <w:sz w:val="18"/>
                <w:szCs w:val="18"/>
              </w:rPr>
              <w:t>国际会计准则</w:t>
            </w:r>
          </w:p>
        </w:tc>
        <w:tc>
          <w:tcPr>
            <w:tcW w:w="1241" w:type="dxa"/>
            <w:vMerge/>
            <w:tcBorders>
              <w:left w:val="single" w:sz="6" w:space="0" w:color="000000"/>
              <w:bottom w:val="single" w:sz="6" w:space="0" w:color="000000"/>
              <w:right w:val="single" w:sz="6" w:space="0" w:color="000000"/>
            </w:tcBorders>
            <w:shd w:val="clear" w:color="auto" w:fill="D9D9D9"/>
          </w:tcPr>
          <w:p>
            <w:pPr/>
          </w:p>
        </w:tc>
      </w:tr>
      <w:tr>
        <w:trPr>
          <w:trHeight w:val="348" w:hRule="exact"/>
        </w:trPr>
        <w:tc>
          <w:tcPr>
            <w:tcW w:w="2340"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2,038,889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1,976,168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1,774,749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1,720,312</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1,709,970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1,481,525</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除税前盈利</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86,629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-1,614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69,899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156,235</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159,781</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120,838</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税项</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17,594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-6,283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11,026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26,070</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26,070</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21,901</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当期利润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71,066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22,103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60,827</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116,334</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119,034</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86,295</w:t>
            </w:r>
          </w:p>
        </w:tc>
      </w:tr>
      <w:tr>
        <w:trPr>
          <w:trHeight w:val="348" w:hRule="exact"/>
        </w:trPr>
        <w:tc>
          <w:tcPr>
            <w:tcW w:w="2340"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-2,030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-17,435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-1,954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13,832</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14,678</w:t>
            </w:r>
          </w:p>
        </w:tc>
        <w:tc>
          <w:tcPr>
            <w:tcW w:w="1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12,643</w:t>
            </w:r>
          </w:p>
        </w:tc>
      </w:tr>
    </w:tbl>
    <w:p>
      <w:pPr>
        <w:pStyle w:val="BodyText"/>
        <w:spacing w:line="240" w:lineRule="auto" w:before="10"/>
        <w:ind w:left="154" w:right="0"/>
        <w:jc w:val="left"/>
      </w:pPr>
      <w:r>
        <w:rPr>
          <w:rFonts w:ascii="Times New Roman" w:hAnsi="Times New Roman" w:cs="Times New Roman" w:eastAsia="Times New Roman" w:hint="default"/>
        </w:rPr>
        <w:t>2</w:t>
      </w:r>
      <w:r>
        <w:rPr/>
        <w:t>、综合资产、负债及少数股东权益</w:t>
      </w:r>
    </w:p>
    <w:p>
      <w:pPr>
        <w:pStyle w:val="BodyText"/>
        <w:tabs>
          <w:tab w:pos="8892" w:val="left" w:leader="none"/>
        </w:tabs>
        <w:spacing w:line="240" w:lineRule="auto" w:before="62"/>
        <w:ind w:left="5292" w:right="0"/>
        <w:jc w:val="left"/>
      </w:pPr>
      <w:r>
        <w:rPr/>
        <w:t>截至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w:t>
        <w:tab/>
        <w:t>单位：万元</w:t>
      </w:r>
    </w:p>
    <w:p>
      <w:pPr>
        <w:spacing w:line="240" w:lineRule="auto" w:before="1"/>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340"/>
        <w:gridCol w:w="1260"/>
        <w:gridCol w:w="1334"/>
        <w:gridCol w:w="1159"/>
        <w:gridCol w:w="1270"/>
        <w:gridCol w:w="1274"/>
        <w:gridCol w:w="1217"/>
      </w:tblGrid>
      <w:tr>
        <w:trPr>
          <w:trHeight w:val="346" w:hRule="exact"/>
        </w:trPr>
        <w:tc>
          <w:tcPr>
            <w:tcW w:w="2340" w:type="dxa"/>
            <w:vMerge w:val="restart"/>
            <w:tcBorders>
              <w:top w:val="single" w:sz="6" w:space="0" w:color="000000"/>
              <w:left w:val="single" w:sz="6" w:space="0" w:color="000000"/>
              <w:right w:val="single" w:sz="6" w:space="0" w:color="000000"/>
            </w:tcBorders>
            <w:shd w:val="clear" w:color="auto" w:fill="D9D9D9"/>
          </w:tcPr>
          <w:p>
            <w:pPr/>
          </w:p>
        </w:tc>
        <w:tc>
          <w:tcPr>
            <w:tcW w:w="1260"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33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15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54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121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p>
        </w:tc>
      </w:tr>
      <w:tr>
        <w:trPr>
          <w:trHeight w:val="659" w:hRule="exact"/>
        </w:trPr>
        <w:tc>
          <w:tcPr>
            <w:tcW w:w="2340" w:type="dxa"/>
            <w:vMerge/>
            <w:tcBorders>
              <w:left w:val="single" w:sz="6" w:space="0" w:color="000000"/>
              <w:bottom w:val="single" w:sz="10" w:space="0" w:color="000000"/>
              <w:right w:val="single" w:sz="6" w:space="0" w:color="000000"/>
            </w:tcBorders>
            <w:shd w:val="clear" w:color="auto" w:fill="D9D9D9"/>
          </w:tcPr>
          <w:p>
            <w:pPr/>
          </w:p>
        </w:tc>
        <w:tc>
          <w:tcPr>
            <w:tcW w:w="1260" w:type="dxa"/>
            <w:vMerge/>
            <w:tcBorders>
              <w:left w:val="single" w:sz="6" w:space="0" w:color="000000"/>
              <w:bottom w:val="single" w:sz="6" w:space="0" w:color="000000"/>
              <w:right w:val="single" w:sz="6" w:space="0" w:color="000000"/>
            </w:tcBorders>
            <w:shd w:val="clear" w:color="auto" w:fill="D9D9D9"/>
          </w:tcPr>
          <w:p>
            <w:pPr/>
          </w:p>
        </w:tc>
        <w:tc>
          <w:tcPr>
            <w:tcW w:w="1334" w:type="dxa"/>
            <w:vMerge/>
            <w:tcBorders>
              <w:left w:val="single" w:sz="6" w:space="0" w:color="000000"/>
              <w:bottom w:val="single" w:sz="6" w:space="0" w:color="000000"/>
              <w:right w:val="single" w:sz="6" w:space="0" w:color="000000"/>
            </w:tcBorders>
            <w:shd w:val="clear" w:color="auto" w:fill="D9D9D9"/>
          </w:tcPr>
          <w:p>
            <w:pPr/>
          </w:p>
        </w:tc>
        <w:tc>
          <w:tcPr>
            <w:tcW w:w="1159" w:type="dxa"/>
            <w:vMerge/>
            <w:tcBorders>
              <w:left w:val="single" w:sz="6" w:space="0" w:color="000000"/>
              <w:bottom w:val="single" w:sz="6" w:space="0" w:color="000000"/>
              <w:right w:val="single" w:sz="6" w:space="0" w:color="000000"/>
            </w:tcBorders>
            <w:shd w:val="clear" w:color="auto" w:fill="D9D9D9"/>
          </w:tcPr>
          <w:p>
            <w:pPr/>
          </w:p>
        </w:tc>
        <w:tc>
          <w:tcPr>
            <w:tcW w:w="12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447" w:right="85" w:hanging="360"/>
              <w:jc w:val="left"/>
              <w:rPr>
                <w:rFonts w:ascii="宋体" w:hAnsi="宋体" w:cs="宋体" w:eastAsia="宋体" w:hint="default"/>
                <w:sz w:val="18"/>
                <w:szCs w:val="18"/>
              </w:rPr>
            </w:pPr>
            <w:r>
              <w:rPr>
                <w:rFonts w:ascii="宋体" w:hAnsi="宋体" w:cs="宋体" w:eastAsia="宋体" w:hint="default"/>
                <w:sz w:val="18"/>
                <w:szCs w:val="18"/>
              </w:rPr>
              <w:t>中国企业会计 准则</w:t>
            </w:r>
          </w:p>
        </w:tc>
        <w:tc>
          <w:tcPr>
            <w:tcW w:w="12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国际会计准则</w:t>
            </w:r>
          </w:p>
        </w:tc>
        <w:tc>
          <w:tcPr>
            <w:tcW w:w="1217" w:type="dxa"/>
            <w:vMerge/>
            <w:tcBorders>
              <w:left w:val="single" w:sz="6" w:space="0" w:color="000000"/>
              <w:bottom w:val="single" w:sz="6" w:space="0" w:color="000000"/>
              <w:right w:val="single" w:sz="6" w:space="0" w:color="000000"/>
            </w:tcBorders>
            <w:shd w:val="clear" w:color="auto" w:fill="D9D9D9"/>
          </w:tcPr>
          <w:p>
            <w:pP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4,752,188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4,772,542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4,563,083</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3,507,713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3,500,113</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2,812,613</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总负债</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3,288,353</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3,338,000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3,064,305</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1,981,693</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2,003,482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1,371,842</w:t>
            </w:r>
          </w:p>
        </w:tc>
      </w:tr>
      <w:tr>
        <w:trPr>
          <w:trHeight w:val="348" w:hRule="exact"/>
        </w:trPr>
        <w:tc>
          <w:tcPr>
            <w:tcW w:w="2340"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59,847</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58,592</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145,915</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172,441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172,342</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173,570</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母公司权益所有者的总权益</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1,403,989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1,375,950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1,352,862</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1,353,579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1,324,289</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1,267,202</w:t>
            </w:r>
          </w:p>
        </w:tc>
      </w:tr>
      <w:tr>
        <w:trPr>
          <w:trHeight w:val="347" w:hRule="exact"/>
        </w:trPr>
        <w:tc>
          <w:tcPr>
            <w:tcW w:w="2340" w:type="dxa"/>
            <w:tcBorders>
              <w:top w:val="single" w:sz="6" w:space="0" w:color="000000"/>
              <w:left w:val="single" w:sz="6" w:space="0" w:color="000000"/>
              <w:bottom w:val="single" w:sz="6" w:space="0" w:color="000000"/>
              <w:right w:val="single" w:sz="6" w:space="0" w:color="000000"/>
            </w:tcBorders>
            <w:shd w:val="clear" w:color="auto" w:fill="E0E0E0"/>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69.20%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69.94%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67.15%</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56.50%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57.24%</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48.77%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五、资产、负债状况分析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after="0" w:line="240" w:lineRule="auto"/>
        <w:jc w:val="left"/>
        <w:sectPr>
          <w:footerReference w:type="default" r:id="rId13"/>
          <w:pgSz w:w="11910" w:h="16840"/>
          <w:pgMar w:footer="1600" w:header="877" w:top="1100" w:bottom="1800" w:left="980" w:right="800"/>
          <w:pgNumType w:start="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BodyText"/>
        <w:spacing w:line="240" w:lineRule="auto" w:before="44"/>
        <w:ind w:left="0" w:right="107"/>
        <w:jc w:val="right"/>
      </w:pPr>
      <w:r>
        <w:rPr/>
        <w:pict>
          <v:shape style="position:absolute;margin-left:55.080002pt;margin-top:-317.64798pt;width:485.4pt;height:388.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2"/>
                    <w:gridCol w:w="1405"/>
                    <w:gridCol w:w="991"/>
                    <w:gridCol w:w="1406"/>
                    <w:gridCol w:w="992"/>
                    <w:gridCol w:w="724"/>
                    <w:gridCol w:w="2873"/>
                  </w:tblGrid>
                  <w:tr>
                    <w:trPr>
                      <w:trHeight w:val="201" w:hRule="exact"/>
                    </w:trPr>
                    <w:tc>
                      <w:tcPr>
                        <w:tcW w:w="1302" w:type="dxa"/>
                        <w:vMerge w:val="restart"/>
                        <w:tcBorders>
                          <w:top w:val="single" w:sz="4" w:space="0" w:color="000000"/>
                          <w:left w:val="single" w:sz="4" w:space="0" w:color="000000"/>
                          <w:right w:val="single" w:sz="4" w:space="0" w:color="000000"/>
                        </w:tcBorders>
                        <w:shd w:val="clear" w:color="auto" w:fill="D3D3D3"/>
                      </w:tcPr>
                      <w:p>
                        <w:pPr/>
                      </w:p>
                    </w:tc>
                    <w:tc>
                      <w:tcPr>
                        <w:tcW w:w="23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3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24" w:type="dxa"/>
                        <w:tcBorders>
                          <w:top w:val="single" w:sz="4" w:space="0" w:color="000000"/>
                          <w:left w:val="single" w:sz="4" w:space="0" w:color="000000"/>
                          <w:bottom w:val="nil" w:sz="6" w:space="0" w:color="auto"/>
                          <w:right w:val="single" w:sz="4" w:space="0" w:color="000000"/>
                        </w:tcBorders>
                        <w:shd w:val="clear" w:color="auto" w:fill="D3D3D3"/>
                      </w:tcPr>
                      <w:p>
                        <w:pPr/>
                      </w:p>
                    </w:tc>
                    <w:tc>
                      <w:tcPr>
                        <w:tcW w:w="2873"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302" w:type="dxa"/>
                        <w:vMerge/>
                        <w:tcBorders>
                          <w:left w:val="single" w:sz="4" w:space="0" w:color="000000"/>
                          <w:bottom w:val="nil" w:sz="6" w:space="0" w:color="auto"/>
                          <w:right w:val="single" w:sz="4" w:space="0" w:color="000000"/>
                        </w:tcBorders>
                        <w:shd w:val="clear" w:color="auto" w:fill="D3D3D3"/>
                      </w:tcPr>
                      <w:p>
                        <w:pPr/>
                      </w:p>
                    </w:tc>
                    <w:tc>
                      <w:tcPr>
                        <w:tcW w:w="2396" w:type="dxa"/>
                        <w:gridSpan w:val="2"/>
                        <w:vMerge/>
                        <w:tcBorders>
                          <w:left w:val="single" w:sz="4" w:space="0" w:color="000000"/>
                          <w:bottom w:val="single" w:sz="4" w:space="0" w:color="000000"/>
                          <w:right w:val="single" w:sz="4" w:space="0" w:color="000000"/>
                        </w:tcBorders>
                        <w:shd w:val="clear" w:color="auto" w:fill="D3D3D3"/>
                      </w:tcPr>
                      <w:p>
                        <w:pPr/>
                      </w:p>
                    </w:tc>
                    <w:tc>
                      <w:tcPr>
                        <w:tcW w:w="2399" w:type="dxa"/>
                        <w:gridSpan w:val="2"/>
                        <w:vMerge/>
                        <w:tcBorders>
                          <w:left w:val="single" w:sz="4" w:space="0" w:color="000000"/>
                          <w:bottom w:val="single" w:sz="4" w:space="0" w:color="000000"/>
                          <w:right w:val="single" w:sz="4" w:space="0" w:color="000000"/>
                        </w:tcBorders>
                        <w:shd w:val="clear" w:color="auto" w:fill="D3D3D3"/>
                      </w:tcPr>
                      <w:p>
                        <w:pPr/>
                      </w:p>
                    </w:tc>
                    <w:tc>
                      <w:tcPr>
                        <w:tcW w:w="72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 w:right="0" w:firstLine="63"/>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73" w:type="dxa"/>
                        <w:vMerge/>
                        <w:tcBorders>
                          <w:left w:val="single" w:sz="4" w:space="0" w:color="000000"/>
                          <w:bottom w:val="nil" w:sz="6" w:space="0" w:color="auto"/>
                          <w:right w:val="single" w:sz="4" w:space="0" w:color="000000"/>
                        </w:tcBorders>
                        <w:shd w:val="clear" w:color="auto" w:fill="D3D3D3"/>
                      </w:tcPr>
                      <w:p>
                        <w:pPr/>
                      </w:p>
                    </w:tc>
                  </w:tr>
                  <w:tr>
                    <w:trPr>
                      <w:trHeight w:val="184" w:hRule="exact"/>
                    </w:trPr>
                    <w:tc>
                      <w:tcPr>
                        <w:tcW w:w="1302" w:type="dxa"/>
                        <w:vMerge w:val="restart"/>
                        <w:tcBorders>
                          <w:top w:val="nil" w:sz="6" w:space="0" w:color="auto"/>
                          <w:left w:val="single" w:sz="4" w:space="0" w:color="000000"/>
                          <w:right w:val="single" w:sz="4" w:space="0" w:color="000000"/>
                        </w:tcBorders>
                        <w:shd w:val="clear" w:color="auto" w:fill="D3D3D3"/>
                      </w:tcPr>
                      <w:p>
                        <w:pPr/>
                      </w:p>
                    </w:tc>
                    <w:tc>
                      <w:tcPr>
                        <w:tcW w:w="1405" w:type="dxa"/>
                        <w:tcBorders>
                          <w:top w:val="single" w:sz="4" w:space="0" w:color="000000"/>
                          <w:left w:val="single" w:sz="4" w:space="0" w:color="000000"/>
                          <w:bottom w:val="nil" w:sz="6" w:space="0" w:color="auto"/>
                          <w:right w:val="single" w:sz="4" w:space="0" w:color="000000"/>
                        </w:tcBorders>
                        <w:shd w:val="clear" w:color="auto" w:fill="D3D3D3"/>
                      </w:tcPr>
                      <w:p>
                        <w:pPr/>
                      </w:p>
                    </w:tc>
                    <w:tc>
                      <w:tcPr>
                        <w:tcW w:w="99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46" w:right="3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6"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46" w:right="41"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4" w:type="dxa"/>
                        <w:vMerge/>
                        <w:tcBorders>
                          <w:left w:val="single" w:sz="4" w:space="0" w:color="000000"/>
                          <w:right w:val="single" w:sz="4" w:space="0" w:color="000000"/>
                        </w:tcBorders>
                        <w:shd w:val="clear" w:color="auto" w:fill="D3D3D3"/>
                      </w:tcPr>
                      <w:p>
                        <w:pPr/>
                      </w:p>
                    </w:tc>
                    <w:tc>
                      <w:tcPr>
                        <w:tcW w:w="287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89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6" w:hRule="exact"/>
                    </w:trPr>
                    <w:tc>
                      <w:tcPr>
                        <w:tcW w:w="1302" w:type="dxa"/>
                        <w:vMerge/>
                        <w:tcBorders>
                          <w:left w:val="single" w:sz="4" w:space="0" w:color="000000"/>
                          <w:bottom w:val="nil" w:sz="6" w:space="0" w:color="auto"/>
                          <w:right w:val="single" w:sz="4" w:space="0" w:color="000000"/>
                        </w:tcBorders>
                        <w:shd w:val="clear" w:color="auto" w:fill="D3D3D3"/>
                      </w:tcPr>
                      <w:p>
                        <w:pPr/>
                      </w:p>
                    </w:tc>
                    <w:tc>
                      <w:tcPr>
                        <w:tcW w:w="14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tcBorders>
                          <w:left w:val="single" w:sz="4" w:space="0" w:color="000000"/>
                          <w:right w:val="single" w:sz="4" w:space="0" w:color="000000"/>
                        </w:tcBorders>
                        <w:shd w:val="clear" w:color="auto" w:fill="D3D3D3"/>
                      </w:tcPr>
                      <w:p>
                        <w:pPr/>
                      </w:p>
                    </w:tc>
                    <w:tc>
                      <w:tcPr>
                        <w:tcW w:w="14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3D3D3"/>
                      </w:tcPr>
                      <w:p>
                        <w:pPr/>
                      </w:p>
                    </w:tc>
                    <w:tc>
                      <w:tcPr>
                        <w:tcW w:w="724" w:type="dxa"/>
                        <w:vMerge/>
                        <w:tcBorders>
                          <w:left w:val="single" w:sz="4" w:space="0" w:color="000000"/>
                          <w:right w:val="single" w:sz="4" w:space="0" w:color="000000"/>
                        </w:tcBorders>
                        <w:shd w:val="clear" w:color="auto" w:fill="D3D3D3"/>
                      </w:tcPr>
                      <w:p>
                        <w:pPr/>
                      </w:p>
                    </w:tc>
                    <w:tc>
                      <w:tcPr>
                        <w:tcW w:w="2873"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02" w:type="dxa"/>
                        <w:vMerge w:val="restart"/>
                        <w:tcBorders>
                          <w:top w:val="nil" w:sz="6" w:space="0" w:color="auto"/>
                          <w:left w:val="single" w:sz="4" w:space="0" w:color="000000"/>
                          <w:right w:val="single" w:sz="4" w:space="0" w:color="000000"/>
                        </w:tcBorders>
                        <w:shd w:val="clear" w:color="auto" w:fill="D3D3D3"/>
                      </w:tcPr>
                      <w:p>
                        <w:pPr/>
                      </w:p>
                    </w:tc>
                    <w:tc>
                      <w:tcPr>
                        <w:tcW w:w="1405" w:type="dxa"/>
                        <w:vMerge/>
                        <w:tcBorders>
                          <w:left w:val="single" w:sz="4" w:space="0" w:color="000000"/>
                          <w:bottom w:val="nil" w:sz="6" w:space="0" w:color="auto"/>
                          <w:right w:val="single" w:sz="4" w:space="0" w:color="000000"/>
                        </w:tcBorders>
                        <w:shd w:val="clear" w:color="auto" w:fill="D3D3D3"/>
                      </w:tcPr>
                      <w:p>
                        <w:pPr/>
                      </w:p>
                    </w:tc>
                    <w:tc>
                      <w:tcPr>
                        <w:tcW w:w="991" w:type="dxa"/>
                        <w:vMerge/>
                        <w:tcBorders>
                          <w:left w:val="single" w:sz="4" w:space="0" w:color="000000"/>
                          <w:right w:val="single" w:sz="4" w:space="0" w:color="000000"/>
                        </w:tcBorders>
                        <w:shd w:val="clear" w:color="auto" w:fill="D3D3D3"/>
                      </w:tcPr>
                      <w:p>
                        <w:pPr/>
                      </w:p>
                    </w:tc>
                    <w:tc>
                      <w:tcPr>
                        <w:tcW w:w="1406" w:type="dxa"/>
                        <w:vMerge/>
                        <w:tcBorders>
                          <w:left w:val="single" w:sz="4" w:space="0" w:color="000000"/>
                          <w:bottom w:val="nil" w:sz="6" w:space="0" w:color="auto"/>
                          <w:right w:val="single" w:sz="4" w:space="0" w:color="000000"/>
                        </w:tcBorders>
                        <w:shd w:val="clear" w:color="auto" w:fill="D3D3D3"/>
                      </w:tcPr>
                      <w:p>
                        <w:pPr/>
                      </w:p>
                    </w:tc>
                    <w:tc>
                      <w:tcPr>
                        <w:tcW w:w="992" w:type="dxa"/>
                        <w:vMerge/>
                        <w:tcBorders>
                          <w:left w:val="single" w:sz="4" w:space="0" w:color="000000"/>
                          <w:right w:val="single" w:sz="4" w:space="0" w:color="000000"/>
                        </w:tcBorders>
                        <w:shd w:val="clear" w:color="auto" w:fill="D3D3D3"/>
                      </w:tcPr>
                      <w:p>
                        <w:pPr/>
                      </w:p>
                    </w:tc>
                    <w:tc>
                      <w:tcPr>
                        <w:tcW w:w="724" w:type="dxa"/>
                        <w:vMerge/>
                        <w:tcBorders>
                          <w:left w:val="single" w:sz="4" w:space="0" w:color="000000"/>
                          <w:bottom w:val="nil" w:sz="6" w:space="0" w:color="auto"/>
                          <w:right w:val="single" w:sz="4" w:space="0" w:color="000000"/>
                        </w:tcBorders>
                        <w:shd w:val="clear" w:color="auto" w:fill="D3D3D3"/>
                      </w:tcPr>
                      <w:p>
                        <w:pPr/>
                      </w:p>
                    </w:tc>
                    <w:tc>
                      <w:tcPr>
                        <w:tcW w:w="2873" w:type="dxa"/>
                        <w:vMerge w:val="restart"/>
                        <w:tcBorders>
                          <w:top w:val="nil" w:sz="6" w:space="0" w:color="auto"/>
                          <w:left w:val="single" w:sz="4" w:space="0" w:color="000000"/>
                          <w:right w:val="single" w:sz="4" w:space="0" w:color="000000"/>
                        </w:tcBorders>
                        <w:shd w:val="clear" w:color="auto" w:fill="D3D3D3"/>
                      </w:tcPr>
                      <w:p>
                        <w:pPr/>
                      </w:p>
                    </w:tc>
                  </w:tr>
                  <w:tr>
                    <w:trPr>
                      <w:trHeight w:val="173" w:hRule="exact"/>
                    </w:trPr>
                    <w:tc>
                      <w:tcPr>
                        <w:tcW w:w="1302" w:type="dxa"/>
                        <w:vMerge/>
                        <w:tcBorders>
                          <w:left w:val="single" w:sz="4" w:space="0" w:color="000000"/>
                          <w:bottom w:val="single" w:sz="4" w:space="0" w:color="000000"/>
                          <w:right w:val="single" w:sz="4" w:space="0" w:color="000000"/>
                        </w:tcBorders>
                        <w:shd w:val="clear" w:color="auto" w:fill="D3D3D3"/>
                      </w:tcPr>
                      <w:p>
                        <w:pPr/>
                      </w:p>
                    </w:tc>
                    <w:tc>
                      <w:tcPr>
                        <w:tcW w:w="1405" w:type="dxa"/>
                        <w:tcBorders>
                          <w:top w:val="nil" w:sz="6" w:space="0" w:color="auto"/>
                          <w:left w:val="single" w:sz="4" w:space="0" w:color="000000"/>
                          <w:bottom w:val="single" w:sz="4" w:space="0" w:color="000000"/>
                          <w:right w:val="single" w:sz="4" w:space="0" w:color="000000"/>
                        </w:tcBorders>
                        <w:shd w:val="clear" w:color="auto" w:fill="D3D3D3"/>
                      </w:tcPr>
                      <w:p>
                        <w:pPr/>
                      </w:p>
                    </w:tc>
                    <w:tc>
                      <w:tcPr>
                        <w:tcW w:w="991" w:type="dxa"/>
                        <w:vMerge/>
                        <w:tcBorders>
                          <w:left w:val="single" w:sz="4" w:space="0" w:color="000000"/>
                          <w:bottom w:val="single" w:sz="4" w:space="0" w:color="000000"/>
                          <w:right w:val="single" w:sz="4" w:space="0" w:color="000000"/>
                        </w:tcBorders>
                        <w:shd w:val="clear" w:color="auto" w:fill="D3D3D3"/>
                      </w:tcPr>
                      <w:p>
                        <w:pPr/>
                      </w:p>
                    </w:tc>
                    <w:tc>
                      <w:tcPr>
                        <w:tcW w:w="1406"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724" w:type="dxa"/>
                        <w:tcBorders>
                          <w:top w:val="nil" w:sz="6" w:space="0" w:color="auto"/>
                          <w:left w:val="single" w:sz="4" w:space="0" w:color="000000"/>
                          <w:bottom w:val="single" w:sz="4" w:space="0" w:color="000000"/>
                          <w:right w:val="single" w:sz="4" w:space="0" w:color="000000"/>
                        </w:tcBorders>
                        <w:shd w:val="clear" w:color="auto" w:fill="D3D3D3"/>
                      </w:tcPr>
                      <w:p>
                        <w:pPr/>
                      </w:p>
                    </w:tc>
                    <w:tc>
                      <w:tcPr>
                        <w:tcW w:w="2873"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13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05"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2,547,729,794.24</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5.36%</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4,456,217,362.86</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9.34%</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-3.98%</w:t>
                        </w:r>
                      </w:p>
                    </w:tc>
                    <w:tc>
                      <w:tcPr>
                        <w:tcW w:w="2873"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主要原因是公司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before="61"/>
                          <w:ind w:left="22" w:right="48"/>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亿元公司债券，年末部分资 金尚未用于归还借款。</w:t>
                        </w:r>
                      </w:p>
                    </w:tc>
                  </w:tr>
                  <w:tr>
                    <w:trPr>
                      <w:trHeight w:val="392" w:hRule="exact"/>
                    </w:trPr>
                    <w:tc>
                      <w:tcPr>
                        <w:tcW w:w="13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05" w:type="dxa"/>
                        <w:vMerge/>
                        <w:tcBorders>
                          <w:left w:val="single" w:sz="10" w:space="0" w:color="D3D3D3"/>
                          <w:right w:val="single" w:sz="4" w:space="0" w:color="000000"/>
                        </w:tcBorders>
                      </w:tcPr>
                      <w:p>
                        <w:pPr/>
                      </w:p>
                    </w:tc>
                    <w:tc>
                      <w:tcPr>
                        <w:tcW w:w="991" w:type="dxa"/>
                        <w:vMerge/>
                        <w:tcBorders>
                          <w:left w:val="single" w:sz="4" w:space="0" w:color="000000"/>
                          <w:right w:val="single" w:sz="4" w:space="0" w:color="000000"/>
                        </w:tcBorders>
                      </w:tcPr>
                      <w:p>
                        <w:pPr/>
                      </w:p>
                    </w:tc>
                    <w:tc>
                      <w:tcPr>
                        <w:tcW w:w="140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24" w:type="dxa"/>
                        <w:vMerge/>
                        <w:tcBorders>
                          <w:left w:val="single" w:sz="4" w:space="0" w:color="000000"/>
                          <w:right w:val="single" w:sz="4" w:space="0" w:color="000000"/>
                        </w:tcBorders>
                      </w:tcPr>
                      <w:p>
                        <w:pPr/>
                      </w:p>
                    </w:tc>
                    <w:tc>
                      <w:tcPr>
                        <w:tcW w:w="2873" w:type="dxa"/>
                        <w:vMerge/>
                        <w:tcBorders>
                          <w:left w:val="single" w:sz="4" w:space="0" w:color="000000"/>
                          <w:right w:val="single" w:sz="4" w:space="0" w:color="000000"/>
                        </w:tcBorders>
                      </w:tcPr>
                      <w:p>
                        <w:pPr/>
                      </w:p>
                    </w:tc>
                  </w:tr>
                  <w:tr>
                    <w:trPr>
                      <w:trHeight w:val="317" w:hRule="exact"/>
                    </w:trPr>
                    <w:tc>
                      <w:tcPr>
                        <w:tcW w:w="13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5" w:type="dxa"/>
                        <w:vMerge/>
                        <w:tcBorders>
                          <w:left w:val="single" w:sz="10" w:space="0" w:color="D3D3D3"/>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24" w:type="dxa"/>
                        <w:vMerge/>
                        <w:tcBorders>
                          <w:left w:val="single" w:sz="4" w:space="0" w:color="000000"/>
                          <w:bottom w:val="single" w:sz="4" w:space="0" w:color="000000"/>
                          <w:right w:val="single" w:sz="4" w:space="0" w:color="000000"/>
                        </w:tcBorders>
                      </w:tcPr>
                      <w:p>
                        <w:pPr/>
                      </w:p>
                    </w:tc>
                    <w:tc>
                      <w:tcPr>
                        <w:tcW w:w="2873" w:type="dxa"/>
                        <w:vMerge/>
                        <w:tcBorders>
                          <w:left w:val="single" w:sz="4" w:space="0" w:color="000000"/>
                          <w:bottom w:val="single" w:sz="4" w:space="0" w:color="000000"/>
                          <w:right w:val="single" w:sz="4" w:space="0" w:color="000000"/>
                        </w:tcBorders>
                      </w:tcPr>
                      <w:p>
                        <w:pPr/>
                      </w:p>
                    </w:tc>
                  </w:tr>
                  <w:tr>
                    <w:trPr>
                      <w:trHeight w:val="161" w:hRule="exact"/>
                    </w:trPr>
                    <w:tc>
                      <w:tcPr>
                        <w:tcW w:w="13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0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3,102,643,083.54</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6.53%</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3,602,955,051.18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7.55%</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-1.02%</w:t>
                        </w:r>
                      </w:p>
                    </w:tc>
                    <w:tc>
                      <w:tcPr>
                        <w:tcW w:w="287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主要原因是公司加大回款力度，应收</w:t>
                        </w:r>
                        <w:r>
                          <w:rPr>
                            <w:rFonts w:ascii="宋体" w:hAnsi="宋体" w:cs="宋体" w:eastAsia="宋体" w:hint="default"/>
                            <w:sz w:val="18"/>
                            <w:szCs w:val="18"/>
                          </w:rPr>
                          <w:t> 账款周转天数减少。</w:t>
                        </w:r>
                      </w:p>
                    </w:tc>
                  </w:tr>
                  <w:tr>
                    <w:trPr>
                      <w:trHeight w:val="392" w:hRule="exact"/>
                    </w:trPr>
                    <w:tc>
                      <w:tcPr>
                        <w:tcW w:w="13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5" w:type="dxa"/>
                        <w:vMerge/>
                        <w:tcBorders>
                          <w:left w:val="single" w:sz="10" w:space="0" w:color="D3D3D3"/>
                          <w:right w:val="single" w:sz="4" w:space="0" w:color="000000"/>
                        </w:tcBorders>
                      </w:tcPr>
                      <w:p>
                        <w:pPr/>
                      </w:p>
                    </w:tc>
                    <w:tc>
                      <w:tcPr>
                        <w:tcW w:w="991" w:type="dxa"/>
                        <w:vMerge/>
                        <w:tcBorders>
                          <w:left w:val="single" w:sz="4" w:space="0" w:color="000000"/>
                          <w:right w:val="single" w:sz="4" w:space="0" w:color="000000"/>
                        </w:tcBorders>
                      </w:tcPr>
                      <w:p>
                        <w:pPr/>
                      </w:p>
                    </w:tc>
                    <w:tc>
                      <w:tcPr>
                        <w:tcW w:w="140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24" w:type="dxa"/>
                        <w:vMerge/>
                        <w:tcBorders>
                          <w:left w:val="single" w:sz="4" w:space="0" w:color="000000"/>
                          <w:right w:val="single" w:sz="4" w:space="0" w:color="000000"/>
                        </w:tcBorders>
                      </w:tcPr>
                      <w:p>
                        <w:pPr/>
                      </w:p>
                    </w:tc>
                    <w:tc>
                      <w:tcPr>
                        <w:tcW w:w="2873" w:type="dxa"/>
                        <w:vMerge/>
                        <w:tcBorders>
                          <w:left w:val="single" w:sz="4" w:space="0" w:color="000000"/>
                          <w:right w:val="single" w:sz="4" w:space="0" w:color="000000"/>
                        </w:tcBorders>
                      </w:tcPr>
                      <w:p>
                        <w:pPr/>
                      </w:p>
                    </w:tc>
                  </w:tr>
                  <w:tr>
                    <w:trPr>
                      <w:trHeight w:val="161" w:hRule="exact"/>
                    </w:trPr>
                    <w:tc>
                      <w:tcPr>
                        <w:tcW w:w="13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5" w:type="dxa"/>
                        <w:vMerge/>
                        <w:tcBorders>
                          <w:left w:val="single" w:sz="10" w:space="0" w:color="D3D3D3"/>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24" w:type="dxa"/>
                        <w:vMerge/>
                        <w:tcBorders>
                          <w:left w:val="single" w:sz="4" w:space="0" w:color="000000"/>
                          <w:bottom w:val="single" w:sz="4" w:space="0" w:color="000000"/>
                          <w:right w:val="single" w:sz="4" w:space="0" w:color="000000"/>
                        </w:tcBorders>
                      </w:tcPr>
                      <w:p>
                        <w:pPr/>
                      </w:p>
                    </w:tc>
                    <w:tc>
                      <w:tcPr>
                        <w:tcW w:w="2873" w:type="dxa"/>
                        <w:vMerge/>
                        <w:tcBorders>
                          <w:left w:val="single" w:sz="4" w:space="0" w:color="000000"/>
                          <w:bottom w:val="single" w:sz="4" w:space="0" w:color="000000"/>
                          <w:right w:val="single" w:sz="4" w:space="0" w:color="000000"/>
                        </w:tcBorders>
                      </w:tcPr>
                      <w:p>
                        <w:pPr/>
                      </w:p>
                    </w:tc>
                  </w:tr>
                  <w:tr>
                    <w:trPr>
                      <w:trHeight w:val="161" w:hRule="exact"/>
                    </w:trPr>
                    <w:tc>
                      <w:tcPr>
                        <w:tcW w:w="13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0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3,725,809,877.25</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7.84%</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4,412,548,700.68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9.25%</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-1.41%</w:t>
                        </w:r>
                      </w:p>
                    </w:tc>
                    <w:tc>
                      <w:tcPr>
                        <w:tcW w:w="287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主要原因是公司加大销售力度，库存</w:t>
                        </w:r>
                        <w:r>
                          <w:rPr>
                            <w:rFonts w:ascii="宋体" w:hAnsi="宋体" w:cs="宋体" w:eastAsia="宋体" w:hint="default"/>
                            <w:sz w:val="18"/>
                            <w:szCs w:val="18"/>
                          </w:rPr>
                          <w:t> 商品减少。</w:t>
                        </w:r>
                      </w:p>
                    </w:tc>
                  </w:tr>
                  <w:tr>
                    <w:trPr>
                      <w:trHeight w:val="392" w:hRule="exact"/>
                    </w:trPr>
                    <w:tc>
                      <w:tcPr>
                        <w:tcW w:w="13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05" w:type="dxa"/>
                        <w:vMerge/>
                        <w:tcBorders>
                          <w:left w:val="single" w:sz="10" w:space="0" w:color="D3D3D3"/>
                          <w:right w:val="single" w:sz="4" w:space="0" w:color="000000"/>
                        </w:tcBorders>
                      </w:tcPr>
                      <w:p>
                        <w:pPr/>
                      </w:p>
                    </w:tc>
                    <w:tc>
                      <w:tcPr>
                        <w:tcW w:w="991" w:type="dxa"/>
                        <w:vMerge/>
                        <w:tcBorders>
                          <w:left w:val="single" w:sz="4" w:space="0" w:color="000000"/>
                          <w:right w:val="single" w:sz="4" w:space="0" w:color="000000"/>
                        </w:tcBorders>
                      </w:tcPr>
                      <w:p>
                        <w:pPr/>
                      </w:p>
                    </w:tc>
                    <w:tc>
                      <w:tcPr>
                        <w:tcW w:w="140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24" w:type="dxa"/>
                        <w:vMerge/>
                        <w:tcBorders>
                          <w:left w:val="single" w:sz="4" w:space="0" w:color="000000"/>
                          <w:right w:val="single" w:sz="4" w:space="0" w:color="000000"/>
                        </w:tcBorders>
                      </w:tcPr>
                      <w:p>
                        <w:pPr/>
                      </w:p>
                    </w:tc>
                    <w:tc>
                      <w:tcPr>
                        <w:tcW w:w="2873" w:type="dxa"/>
                        <w:vMerge/>
                        <w:tcBorders>
                          <w:left w:val="single" w:sz="4" w:space="0" w:color="000000"/>
                          <w:right w:val="single" w:sz="4" w:space="0" w:color="000000"/>
                        </w:tcBorders>
                      </w:tcPr>
                      <w:p>
                        <w:pPr/>
                      </w:p>
                    </w:tc>
                  </w:tr>
                  <w:tr>
                    <w:trPr>
                      <w:trHeight w:val="161" w:hRule="exact"/>
                    </w:trPr>
                    <w:tc>
                      <w:tcPr>
                        <w:tcW w:w="13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5" w:type="dxa"/>
                        <w:vMerge/>
                        <w:tcBorders>
                          <w:left w:val="single" w:sz="10" w:space="0" w:color="D3D3D3"/>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24" w:type="dxa"/>
                        <w:vMerge/>
                        <w:tcBorders>
                          <w:left w:val="single" w:sz="4" w:space="0" w:color="000000"/>
                          <w:bottom w:val="single" w:sz="4" w:space="0" w:color="000000"/>
                          <w:right w:val="single" w:sz="4" w:space="0" w:color="000000"/>
                        </w:tcBorders>
                      </w:tcPr>
                      <w:p>
                        <w:pPr/>
                      </w:p>
                    </w:tc>
                    <w:tc>
                      <w:tcPr>
                        <w:tcW w:w="2873" w:type="dxa"/>
                        <w:vMerge/>
                        <w:tcBorders>
                          <w:left w:val="single" w:sz="4" w:space="0" w:color="000000"/>
                          <w:bottom w:val="single" w:sz="4" w:space="0" w:color="000000"/>
                          <w:right w:val="single" w:sz="4" w:space="0" w:color="000000"/>
                        </w:tcBorders>
                      </w:tcPr>
                      <w:p>
                        <w:pPr/>
                      </w:p>
                    </w:tc>
                  </w:tr>
                  <w:tr>
                    <w:trPr>
                      <w:trHeight w:val="161" w:hRule="exact"/>
                    </w:trPr>
                    <w:tc>
                      <w:tcPr>
                        <w:tcW w:w="13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05"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115,477,214.86</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93" w:right="0"/>
                          <w:jc w:val="left"/>
                          <w:rPr>
                            <w:rFonts w:ascii="Times New Roman" w:hAnsi="Times New Roman" w:cs="Times New Roman" w:eastAsia="Times New Roman" w:hint="default"/>
                            <w:sz w:val="18"/>
                            <w:szCs w:val="18"/>
                          </w:rPr>
                        </w:pPr>
                        <w:r>
                          <w:rPr>
                            <w:rFonts w:ascii="Times New Roman"/>
                            <w:sz w:val="18"/>
                          </w:rPr>
                          <w:t>0.24%</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356,796,777.78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0.75%</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-0.51%</w:t>
                        </w:r>
                      </w:p>
                    </w:tc>
                    <w:tc>
                      <w:tcPr>
                        <w:tcW w:w="287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主要原因是公司处置投资项目减少 长期股权投资。</w:t>
                        </w:r>
                      </w:p>
                    </w:tc>
                  </w:tr>
                  <w:tr>
                    <w:trPr>
                      <w:trHeight w:val="392" w:hRule="exact"/>
                    </w:trPr>
                    <w:tc>
                      <w:tcPr>
                        <w:tcW w:w="13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5" w:type="dxa"/>
                        <w:vMerge/>
                        <w:tcBorders>
                          <w:left w:val="single" w:sz="10" w:space="0" w:color="D3D3D3"/>
                          <w:right w:val="single" w:sz="4" w:space="0" w:color="000000"/>
                        </w:tcBorders>
                      </w:tcPr>
                      <w:p>
                        <w:pPr/>
                      </w:p>
                    </w:tc>
                    <w:tc>
                      <w:tcPr>
                        <w:tcW w:w="991" w:type="dxa"/>
                        <w:vMerge/>
                        <w:tcBorders>
                          <w:left w:val="single" w:sz="4" w:space="0" w:color="000000"/>
                          <w:right w:val="single" w:sz="4" w:space="0" w:color="000000"/>
                        </w:tcBorders>
                      </w:tcPr>
                      <w:p>
                        <w:pPr/>
                      </w:p>
                    </w:tc>
                    <w:tc>
                      <w:tcPr>
                        <w:tcW w:w="140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24" w:type="dxa"/>
                        <w:vMerge/>
                        <w:tcBorders>
                          <w:left w:val="single" w:sz="4" w:space="0" w:color="000000"/>
                          <w:right w:val="single" w:sz="4" w:space="0" w:color="000000"/>
                        </w:tcBorders>
                      </w:tcPr>
                      <w:p>
                        <w:pPr/>
                      </w:p>
                    </w:tc>
                    <w:tc>
                      <w:tcPr>
                        <w:tcW w:w="2873" w:type="dxa"/>
                        <w:vMerge/>
                        <w:tcBorders>
                          <w:left w:val="single" w:sz="4" w:space="0" w:color="000000"/>
                          <w:right w:val="single" w:sz="4" w:space="0" w:color="000000"/>
                        </w:tcBorders>
                      </w:tcPr>
                      <w:p>
                        <w:pPr/>
                      </w:p>
                    </w:tc>
                  </w:tr>
                  <w:tr>
                    <w:trPr>
                      <w:trHeight w:val="161" w:hRule="exact"/>
                    </w:trPr>
                    <w:tc>
                      <w:tcPr>
                        <w:tcW w:w="13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5" w:type="dxa"/>
                        <w:vMerge/>
                        <w:tcBorders>
                          <w:left w:val="single" w:sz="10" w:space="0" w:color="D3D3D3"/>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24" w:type="dxa"/>
                        <w:vMerge/>
                        <w:tcBorders>
                          <w:left w:val="single" w:sz="4" w:space="0" w:color="000000"/>
                          <w:bottom w:val="single" w:sz="4" w:space="0" w:color="000000"/>
                          <w:right w:val="single" w:sz="4" w:space="0" w:color="000000"/>
                        </w:tcBorders>
                      </w:tcPr>
                      <w:p>
                        <w:pPr/>
                      </w:p>
                    </w:tc>
                    <w:tc>
                      <w:tcPr>
                        <w:tcW w:w="2873" w:type="dxa"/>
                        <w:vMerge/>
                        <w:tcBorders>
                          <w:left w:val="single" w:sz="4" w:space="0" w:color="000000"/>
                          <w:bottom w:val="single" w:sz="4" w:space="0" w:color="000000"/>
                          <w:right w:val="single" w:sz="4" w:space="0" w:color="000000"/>
                        </w:tcBorders>
                      </w:tcPr>
                      <w:p>
                        <w:pPr/>
                      </w:p>
                    </w:tc>
                  </w:tr>
                  <w:tr>
                    <w:trPr>
                      <w:trHeight w:val="473" w:hRule="exact"/>
                    </w:trPr>
                    <w:tc>
                      <w:tcPr>
                        <w:tcW w:w="13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405"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21,181,647,488.39</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44.57%</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19,751,339,991.06</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41.39%</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3.18%</w:t>
                        </w:r>
                      </w:p>
                    </w:tc>
                    <w:tc>
                      <w:tcPr>
                        <w:tcW w:w="287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主要原因是公司白牛卡项目转固，以</w:t>
                        </w:r>
                        <w:r>
                          <w:rPr>
                            <w:rFonts w:ascii="宋体" w:hAnsi="宋体" w:cs="宋体" w:eastAsia="宋体" w:hint="default"/>
                            <w:sz w:val="18"/>
                            <w:szCs w:val="18"/>
                          </w:rPr>
                          <w:t> </w:t>
                        </w:r>
                        <w:r>
                          <w:rPr>
                            <w:rFonts w:ascii="宋体" w:hAnsi="宋体" w:cs="宋体" w:eastAsia="宋体" w:hint="default"/>
                            <w:spacing w:val="-5"/>
                            <w:sz w:val="18"/>
                            <w:szCs w:val="18"/>
                          </w:rPr>
                          <w:t>及本期计提折旧、出售子公司延边晨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鸣和武汉晨鸣一厂环保迁建固定资 产转入清理减少。</w:t>
                        </w:r>
                      </w:p>
                    </w:tc>
                  </w:tr>
                  <w:tr>
                    <w:trPr>
                      <w:trHeight w:val="392" w:hRule="exact"/>
                    </w:trPr>
                    <w:tc>
                      <w:tcPr>
                        <w:tcW w:w="13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05" w:type="dxa"/>
                        <w:vMerge/>
                        <w:tcBorders>
                          <w:left w:val="single" w:sz="10" w:space="0" w:color="D3D3D3"/>
                          <w:right w:val="single" w:sz="4" w:space="0" w:color="000000"/>
                        </w:tcBorders>
                      </w:tcPr>
                      <w:p>
                        <w:pPr/>
                      </w:p>
                    </w:tc>
                    <w:tc>
                      <w:tcPr>
                        <w:tcW w:w="991" w:type="dxa"/>
                        <w:vMerge/>
                        <w:tcBorders>
                          <w:left w:val="single" w:sz="4" w:space="0" w:color="000000"/>
                          <w:right w:val="single" w:sz="4" w:space="0" w:color="000000"/>
                        </w:tcBorders>
                      </w:tcPr>
                      <w:p>
                        <w:pPr/>
                      </w:p>
                    </w:tc>
                    <w:tc>
                      <w:tcPr>
                        <w:tcW w:w="140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724" w:type="dxa"/>
                        <w:vMerge/>
                        <w:tcBorders>
                          <w:left w:val="single" w:sz="4" w:space="0" w:color="000000"/>
                          <w:right w:val="single" w:sz="4" w:space="0" w:color="000000"/>
                        </w:tcBorders>
                      </w:tcPr>
                      <w:p>
                        <w:pPr/>
                      </w:p>
                    </w:tc>
                    <w:tc>
                      <w:tcPr>
                        <w:tcW w:w="2873" w:type="dxa"/>
                        <w:vMerge/>
                        <w:tcBorders>
                          <w:left w:val="single" w:sz="4" w:space="0" w:color="000000"/>
                          <w:right w:val="single" w:sz="4" w:space="0" w:color="000000"/>
                        </w:tcBorders>
                      </w:tcPr>
                      <w:p>
                        <w:pPr/>
                      </w:p>
                    </w:tc>
                  </w:tr>
                  <w:tr>
                    <w:trPr>
                      <w:trHeight w:val="473" w:hRule="exact"/>
                    </w:trPr>
                    <w:tc>
                      <w:tcPr>
                        <w:tcW w:w="13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5" w:type="dxa"/>
                        <w:vMerge/>
                        <w:tcBorders>
                          <w:left w:val="single" w:sz="10" w:space="0" w:color="D3D3D3"/>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24" w:type="dxa"/>
                        <w:vMerge/>
                        <w:tcBorders>
                          <w:left w:val="single" w:sz="4" w:space="0" w:color="000000"/>
                          <w:bottom w:val="single" w:sz="4" w:space="0" w:color="000000"/>
                          <w:right w:val="single" w:sz="4" w:space="0" w:color="000000"/>
                        </w:tcBorders>
                      </w:tcPr>
                      <w:p>
                        <w:pPr/>
                      </w:p>
                    </w:tc>
                    <w:tc>
                      <w:tcPr>
                        <w:tcW w:w="2873" w:type="dxa"/>
                        <w:vMerge/>
                        <w:tcBorders>
                          <w:left w:val="single" w:sz="4" w:space="0" w:color="000000"/>
                          <w:bottom w:val="single" w:sz="4" w:space="0" w:color="000000"/>
                          <w:right w:val="single" w:sz="4" w:space="0" w:color="000000"/>
                        </w:tcBorders>
                      </w:tcPr>
                      <w:p>
                        <w:pP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2,870,443,681.49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1,852,478,364.46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主要原因是年末以票据结算的款项 增加以及应收票据贴现减少。</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588,181,647.53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287,309,818.03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主要原因是武汉晨鸣一厂环保迁建 将资产转入清理。</w:t>
                        </w:r>
                      </w:p>
                    </w:tc>
                  </w:tr>
                  <w:tr>
                    <w:trPr>
                      <w:trHeight w:val="714" w:hRule="exact"/>
                    </w:trPr>
                    <w:tc>
                      <w:tcPr>
                        <w:tcW w:w="13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22" w:right="187"/>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507,653,388.38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376,938,086.60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0.79%</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主要原因是受市场影响，部分公司暂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时性亏损计提递延所得税资产。</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before="35"/>
        <w:ind w:right="331"/>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70"/>
        <w:jc w:val="right"/>
      </w:pPr>
      <w:r>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06"/>
        <w:gridCol w:w="1316"/>
        <w:gridCol w:w="1008"/>
        <w:gridCol w:w="1405"/>
        <w:gridCol w:w="1013"/>
        <w:gridCol w:w="743"/>
        <w:gridCol w:w="2891"/>
      </w:tblGrid>
      <w:tr>
        <w:trPr>
          <w:trHeight w:val="200" w:hRule="exact"/>
        </w:trPr>
        <w:tc>
          <w:tcPr>
            <w:tcW w:w="1306" w:type="dxa"/>
            <w:vMerge w:val="restart"/>
            <w:tcBorders>
              <w:top w:val="single" w:sz="4" w:space="0" w:color="000000"/>
              <w:left w:val="single" w:sz="4" w:space="0" w:color="000000"/>
              <w:right w:val="single" w:sz="4" w:space="0" w:color="000000"/>
            </w:tcBorders>
            <w:shd w:val="clear" w:color="auto" w:fill="D3D3D3"/>
          </w:tcPr>
          <w:p>
            <w:pPr/>
          </w:p>
        </w:tc>
        <w:tc>
          <w:tcPr>
            <w:tcW w:w="232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43" w:type="dxa"/>
            <w:tcBorders>
              <w:top w:val="single" w:sz="4" w:space="0" w:color="000000"/>
              <w:left w:val="single" w:sz="4" w:space="0" w:color="000000"/>
              <w:bottom w:val="nil" w:sz="6" w:space="0" w:color="auto"/>
              <w:right w:val="single" w:sz="4" w:space="0" w:color="000000"/>
            </w:tcBorders>
            <w:shd w:val="clear" w:color="auto" w:fill="D3D3D3"/>
          </w:tcPr>
          <w:p>
            <w:pPr/>
          </w:p>
        </w:tc>
        <w:tc>
          <w:tcPr>
            <w:tcW w:w="2891" w:type="dxa"/>
            <w:vMerge w:val="restart"/>
            <w:tcBorders>
              <w:top w:val="single" w:sz="4" w:space="0" w:color="000000"/>
              <w:left w:val="single" w:sz="4" w:space="0" w:color="000000"/>
              <w:right w:val="single" w:sz="4" w:space="0" w:color="000000"/>
            </w:tcBorders>
            <w:shd w:val="clear" w:color="auto" w:fill="D3D3D3"/>
          </w:tcPr>
          <w:p>
            <w:pPr/>
          </w:p>
        </w:tc>
      </w:tr>
      <w:tr>
        <w:trPr>
          <w:trHeight w:val="179" w:hRule="exact"/>
        </w:trPr>
        <w:tc>
          <w:tcPr>
            <w:tcW w:w="1306" w:type="dxa"/>
            <w:vMerge/>
            <w:tcBorders>
              <w:left w:val="single" w:sz="4" w:space="0" w:color="000000"/>
              <w:bottom w:val="nil" w:sz="6" w:space="0" w:color="auto"/>
              <w:right w:val="single" w:sz="4" w:space="0" w:color="000000"/>
            </w:tcBorders>
            <w:shd w:val="clear" w:color="auto" w:fill="D3D3D3"/>
          </w:tcPr>
          <w:p>
            <w:pPr/>
          </w:p>
        </w:tc>
        <w:tc>
          <w:tcPr>
            <w:tcW w:w="2324" w:type="dxa"/>
            <w:gridSpan w:val="2"/>
            <w:vMerge/>
            <w:tcBorders>
              <w:left w:val="single" w:sz="4" w:space="0" w:color="000000"/>
              <w:bottom w:val="single" w:sz="4" w:space="0" w:color="000000"/>
              <w:right w:val="single" w:sz="4" w:space="0" w:color="000000"/>
            </w:tcBorders>
            <w:shd w:val="clear" w:color="auto" w:fill="D3D3D3"/>
          </w:tcPr>
          <w:p>
            <w:pPr/>
          </w:p>
        </w:tc>
        <w:tc>
          <w:tcPr>
            <w:tcW w:w="2418" w:type="dxa"/>
            <w:gridSpan w:val="2"/>
            <w:vMerge/>
            <w:tcBorders>
              <w:left w:val="single" w:sz="4" w:space="0" w:color="000000"/>
              <w:bottom w:val="single" w:sz="4" w:space="0" w:color="000000"/>
              <w:right w:val="single" w:sz="4" w:space="0" w:color="000000"/>
            </w:tcBorders>
            <w:shd w:val="clear" w:color="auto" w:fill="D3D3D3"/>
          </w:tcPr>
          <w:p>
            <w:pPr/>
          </w:p>
        </w:tc>
        <w:tc>
          <w:tcPr>
            <w:tcW w:w="74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18" w:firstLine="73"/>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91" w:type="dxa"/>
            <w:vMerge/>
            <w:tcBorders>
              <w:left w:val="single" w:sz="4" w:space="0" w:color="000000"/>
              <w:bottom w:val="nil" w:sz="6" w:space="0" w:color="auto"/>
              <w:right w:val="single" w:sz="4" w:space="0" w:color="000000"/>
            </w:tcBorders>
            <w:shd w:val="clear" w:color="auto" w:fill="D3D3D3"/>
          </w:tcPr>
          <w:p>
            <w:pPr/>
          </w:p>
        </w:tc>
      </w:tr>
      <w:tr>
        <w:trPr>
          <w:trHeight w:val="184" w:hRule="exact"/>
        </w:trPr>
        <w:tc>
          <w:tcPr>
            <w:tcW w:w="1306" w:type="dxa"/>
            <w:vMerge w:val="restart"/>
            <w:tcBorders>
              <w:top w:val="nil" w:sz="6" w:space="0" w:color="auto"/>
              <w:left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53" w:right="48"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1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4"/>
              <w:ind w:left="157" w:right="49"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43" w:type="dxa"/>
            <w:vMerge/>
            <w:tcBorders>
              <w:left w:val="single" w:sz="4" w:space="0" w:color="000000"/>
              <w:right w:val="single" w:sz="4" w:space="0" w:color="000000"/>
            </w:tcBorders>
            <w:shd w:val="clear" w:color="auto" w:fill="D3D3D3"/>
          </w:tcPr>
          <w:p>
            <w:pPr/>
          </w:p>
        </w:tc>
        <w:tc>
          <w:tcPr>
            <w:tcW w:w="28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89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4" w:hRule="exact"/>
        </w:trPr>
        <w:tc>
          <w:tcPr>
            <w:tcW w:w="1306" w:type="dxa"/>
            <w:vMerge/>
            <w:tcBorders>
              <w:left w:val="single" w:sz="4" w:space="0" w:color="000000"/>
              <w:bottom w:val="nil" w:sz="6" w:space="0" w:color="auto"/>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08" w:type="dxa"/>
            <w:vMerge/>
            <w:tcBorders>
              <w:left w:val="single" w:sz="4" w:space="0" w:color="000000"/>
              <w:right w:val="single" w:sz="4" w:space="0" w:color="000000"/>
            </w:tcBorders>
            <w:shd w:val="clear" w:color="auto" w:fill="D3D3D3"/>
          </w:tcPr>
          <w:p>
            <w:pPr/>
          </w:p>
        </w:tc>
        <w:tc>
          <w:tcPr>
            <w:tcW w:w="14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13" w:type="dxa"/>
            <w:vMerge/>
            <w:tcBorders>
              <w:left w:val="single" w:sz="4" w:space="0" w:color="000000"/>
              <w:right w:val="single" w:sz="4" w:space="0" w:color="000000"/>
            </w:tcBorders>
            <w:shd w:val="clear" w:color="auto" w:fill="D3D3D3"/>
          </w:tcPr>
          <w:p>
            <w:pPr/>
          </w:p>
        </w:tc>
        <w:tc>
          <w:tcPr>
            <w:tcW w:w="743" w:type="dxa"/>
            <w:vMerge/>
            <w:tcBorders>
              <w:left w:val="single" w:sz="4" w:space="0" w:color="000000"/>
              <w:right w:val="single" w:sz="4" w:space="0" w:color="000000"/>
            </w:tcBorders>
            <w:shd w:val="clear" w:color="auto" w:fill="D3D3D3"/>
          </w:tcPr>
          <w:p>
            <w:pPr/>
          </w:p>
        </w:tc>
        <w:tc>
          <w:tcPr>
            <w:tcW w:w="2891"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06" w:type="dxa"/>
            <w:vMerge w:val="restart"/>
            <w:tcBorders>
              <w:top w:val="nil" w:sz="6" w:space="0" w:color="auto"/>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1008" w:type="dxa"/>
            <w:vMerge/>
            <w:tcBorders>
              <w:left w:val="single" w:sz="4" w:space="0" w:color="000000"/>
              <w:right w:val="single" w:sz="4" w:space="0" w:color="000000"/>
            </w:tcBorders>
            <w:shd w:val="clear" w:color="auto" w:fill="D3D3D3"/>
          </w:tcPr>
          <w:p>
            <w:pPr/>
          </w:p>
        </w:tc>
        <w:tc>
          <w:tcPr>
            <w:tcW w:w="1405" w:type="dxa"/>
            <w:vMerge/>
            <w:tcBorders>
              <w:left w:val="single" w:sz="4" w:space="0" w:color="000000"/>
              <w:bottom w:val="nil" w:sz="6" w:space="0" w:color="auto"/>
              <w:right w:val="single" w:sz="4" w:space="0" w:color="000000"/>
            </w:tcBorders>
            <w:shd w:val="clear" w:color="auto" w:fill="D3D3D3"/>
          </w:tcPr>
          <w:p>
            <w:pPr/>
          </w:p>
        </w:tc>
        <w:tc>
          <w:tcPr>
            <w:tcW w:w="1013" w:type="dxa"/>
            <w:vMerge/>
            <w:tcBorders>
              <w:left w:val="single" w:sz="4" w:space="0" w:color="000000"/>
              <w:right w:val="single" w:sz="4" w:space="0" w:color="000000"/>
            </w:tcBorders>
            <w:shd w:val="clear" w:color="auto" w:fill="D3D3D3"/>
          </w:tcPr>
          <w:p>
            <w:pPr/>
          </w:p>
        </w:tc>
        <w:tc>
          <w:tcPr>
            <w:tcW w:w="743" w:type="dxa"/>
            <w:vMerge/>
            <w:tcBorders>
              <w:left w:val="single" w:sz="4" w:space="0" w:color="000000"/>
              <w:bottom w:val="nil" w:sz="6" w:space="0" w:color="auto"/>
              <w:right w:val="single" w:sz="4" w:space="0" w:color="000000"/>
            </w:tcBorders>
            <w:shd w:val="clear" w:color="auto" w:fill="D3D3D3"/>
          </w:tcPr>
          <w:p>
            <w:pPr/>
          </w:p>
        </w:tc>
        <w:tc>
          <w:tcPr>
            <w:tcW w:w="2891" w:type="dxa"/>
            <w:vMerge w:val="restart"/>
            <w:tcBorders>
              <w:top w:val="nil" w:sz="6" w:space="0" w:color="auto"/>
              <w:left w:val="single" w:sz="4" w:space="0" w:color="000000"/>
              <w:right w:val="single" w:sz="4" w:space="0" w:color="000000"/>
            </w:tcBorders>
            <w:shd w:val="clear" w:color="auto" w:fill="D3D3D3"/>
          </w:tcPr>
          <w:p>
            <w:pPr/>
          </w:p>
        </w:tc>
      </w:tr>
      <w:tr>
        <w:trPr>
          <w:trHeight w:val="175" w:hRule="exact"/>
        </w:trPr>
        <w:tc>
          <w:tcPr>
            <w:tcW w:w="1306"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8" w:type="dxa"/>
            <w:vMerge/>
            <w:tcBorders>
              <w:left w:val="single" w:sz="4" w:space="0" w:color="000000"/>
              <w:bottom w:val="single" w:sz="4" w:space="0" w:color="000000"/>
              <w:right w:val="single" w:sz="4" w:space="0" w:color="000000"/>
            </w:tcBorders>
            <w:shd w:val="clear" w:color="auto" w:fill="D3D3D3"/>
          </w:tcPr>
          <w:p>
            <w:pPr/>
          </w:p>
        </w:tc>
        <w:tc>
          <w:tcPr>
            <w:tcW w:w="140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13" w:type="dxa"/>
            <w:vMerge/>
            <w:tcBorders>
              <w:left w:val="single" w:sz="4" w:space="0" w:color="000000"/>
              <w:bottom w:val="single" w:sz="4" w:space="0" w:color="000000"/>
              <w:right w:val="single" w:sz="4" w:space="0" w:color="000000"/>
            </w:tcBorders>
            <w:shd w:val="clear" w:color="auto" w:fill="D3D3D3"/>
          </w:tcPr>
          <w:p>
            <w:pPr/>
          </w:p>
        </w:tc>
        <w:tc>
          <w:tcPr>
            <w:tcW w:w="743" w:type="dxa"/>
            <w:tcBorders>
              <w:top w:val="nil" w:sz="6" w:space="0" w:color="auto"/>
              <w:left w:val="single" w:sz="4" w:space="0" w:color="000000"/>
              <w:bottom w:val="single" w:sz="4" w:space="0" w:color="000000"/>
              <w:right w:val="single" w:sz="4" w:space="0" w:color="000000"/>
            </w:tcBorders>
            <w:shd w:val="clear" w:color="auto" w:fill="D3D3D3"/>
          </w:tcPr>
          <w:p>
            <w:pPr/>
          </w:p>
        </w:tc>
        <w:tc>
          <w:tcPr>
            <w:tcW w:w="2891"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13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9,818,885,237.85</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20.66%</w:t>
            </w:r>
          </w:p>
        </w:tc>
        <w:tc>
          <w:tcPr>
            <w:tcW w:w="140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12,876,398,495.16</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26.98%</w:t>
            </w:r>
          </w:p>
        </w:tc>
        <w:tc>
          <w:tcPr>
            <w:tcW w:w="7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-6.32%</w:t>
            </w:r>
          </w:p>
        </w:tc>
        <w:tc>
          <w:tcPr>
            <w:tcW w:w="289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主要原因是公司为降低融资成本，拓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宽融资渠道，减少通过短期借款融 资。</w:t>
            </w:r>
          </w:p>
        </w:tc>
      </w:tr>
      <w:tr>
        <w:trPr>
          <w:trHeight w:val="391" w:hRule="exact"/>
        </w:trPr>
        <w:tc>
          <w:tcPr>
            <w:tcW w:w="13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16" w:type="dxa"/>
            <w:vMerge/>
            <w:tcBorders>
              <w:left w:val="single" w:sz="9" w:space="0" w:color="D3D3D3"/>
              <w:right w:val="single" w:sz="4" w:space="0" w:color="000000"/>
            </w:tcBorders>
          </w:tcPr>
          <w:p>
            <w:pPr/>
          </w:p>
        </w:tc>
        <w:tc>
          <w:tcPr>
            <w:tcW w:w="1008" w:type="dxa"/>
            <w:vMerge/>
            <w:tcBorders>
              <w:left w:val="single" w:sz="4" w:space="0" w:color="000000"/>
              <w:right w:val="single" w:sz="4" w:space="0" w:color="000000"/>
            </w:tcBorders>
          </w:tcPr>
          <w:p>
            <w:pPr/>
          </w:p>
        </w:tc>
        <w:tc>
          <w:tcPr>
            <w:tcW w:w="1405"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743" w:type="dxa"/>
            <w:vMerge/>
            <w:tcBorders>
              <w:left w:val="single" w:sz="4" w:space="0" w:color="000000"/>
              <w:right w:val="single" w:sz="4" w:space="0" w:color="000000"/>
            </w:tcBorders>
          </w:tcPr>
          <w:p>
            <w:pPr/>
          </w:p>
        </w:tc>
        <w:tc>
          <w:tcPr>
            <w:tcW w:w="2891" w:type="dxa"/>
            <w:vMerge/>
            <w:tcBorders>
              <w:left w:val="single" w:sz="4" w:space="0" w:color="000000"/>
              <w:right w:val="single" w:sz="4" w:space="0" w:color="000000"/>
            </w:tcBorders>
          </w:tcPr>
          <w:p>
            <w:pPr/>
          </w:p>
        </w:tc>
      </w:tr>
      <w:tr>
        <w:trPr>
          <w:trHeight w:val="318" w:hRule="exact"/>
        </w:trPr>
        <w:tc>
          <w:tcPr>
            <w:tcW w:w="130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vMerge/>
            <w:tcBorders>
              <w:left w:val="single" w:sz="9" w:space="0" w:color="D3D3D3"/>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405"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4" w:space="0" w:color="000000"/>
            </w:tcBorders>
          </w:tcPr>
          <w:p>
            <w:pPr/>
          </w:p>
        </w:tc>
        <w:tc>
          <w:tcPr>
            <w:tcW w:w="2891" w:type="dxa"/>
            <w:vMerge/>
            <w:tcBorders>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290,403,790.59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0.61%</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1,285,627,762.07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主要原因是公司开具银行承兑汇票 支付货款减少。</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3,878,735,536.52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8.16%</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17,659,498.56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主要原因是公司发行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亿短期融资 券。</w:t>
            </w:r>
          </w:p>
        </w:tc>
      </w:tr>
    </w:tbl>
    <w:p>
      <w:pPr>
        <w:spacing w:line="240" w:lineRule="auto" w:before="2"/>
        <w:rPr>
          <w:rFonts w:ascii="宋体" w:hAnsi="宋体" w:cs="宋体" w:eastAsia="宋体" w:hint="default"/>
          <w:sz w:val="19"/>
          <w:szCs w:val="19"/>
        </w:rPr>
      </w:pPr>
    </w:p>
    <w:p>
      <w:pPr>
        <w:pStyle w:val="Heading4"/>
        <w:spacing w:line="240" w:lineRule="auto" w:before="35"/>
        <w:ind w:right="331"/>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after="0" w:line="240" w:lineRule="auto"/>
        <w:jc w:val="left"/>
        <w:sectPr>
          <w:pgSz w:w="11910" w:h="16840"/>
          <w:pgMar w:header="877" w:footer="1600" w:top="1100" w:bottom="1800" w:left="980" w:right="960"/>
        </w:sectPr>
      </w:pPr>
    </w:p>
    <w:p>
      <w:pPr>
        <w:spacing w:line="240" w:lineRule="auto" w:before="6"/>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1154"/>
        <w:gridCol w:w="1333"/>
        <w:gridCol w:w="1170"/>
        <w:gridCol w:w="1398"/>
        <w:gridCol w:w="951"/>
        <w:gridCol w:w="1183"/>
        <w:gridCol w:w="1176"/>
        <w:gridCol w:w="1316"/>
      </w:tblGrid>
      <w:tr>
        <w:trPr>
          <w:trHeight w:val="161" w:hRule="exact"/>
        </w:trPr>
        <w:tc>
          <w:tcPr>
            <w:tcW w:w="11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16" w:right="4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9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3" w:right="17"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1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1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项目</w:t>
            </w:r>
          </w:p>
        </w:tc>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70" w:type="dxa"/>
            <w:vMerge/>
            <w:tcBorders>
              <w:left w:val="single" w:sz="4" w:space="0" w:color="000000"/>
              <w:right w:val="single" w:sz="4" w:space="0" w:color="000000"/>
            </w:tcBorders>
            <w:shd w:val="clear" w:color="auto" w:fill="D3D3D3"/>
          </w:tcPr>
          <w:p>
            <w:pPr/>
          </w:p>
        </w:tc>
        <w:tc>
          <w:tcPr>
            <w:tcW w:w="1398" w:type="dxa"/>
            <w:vMerge/>
            <w:tcBorders>
              <w:left w:val="single" w:sz="4" w:space="0" w:color="000000"/>
              <w:right w:val="single" w:sz="4" w:space="0" w:color="000000"/>
            </w:tcBorders>
            <w:shd w:val="clear" w:color="auto" w:fill="D3D3D3"/>
          </w:tcPr>
          <w:p>
            <w:pPr/>
          </w:p>
        </w:tc>
        <w:tc>
          <w:tcPr>
            <w:tcW w:w="951" w:type="dxa"/>
            <w:vMerge/>
            <w:tcBorders>
              <w:left w:val="single" w:sz="4" w:space="0" w:color="000000"/>
              <w:right w:val="single" w:sz="4" w:space="0" w:color="000000"/>
            </w:tcBorders>
            <w:shd w:val="clear" w:color="auto" w:fill="D3D3D3"/>
          </w:tcPr>
          <w:p>
            <w:pPr/>
          </w:p>
        </w:tc>
        <w:tc>
          <w:tcPr>
            <w:tcW w:w="11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2"/>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3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1" w:hRule="exact"/>
        </w:trPr>
        <w:tc>
          <w:tcPr>
            <w:tcW w:w="11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0"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951" w:type="dxa"/>
            <w:vMerge/>
            <w:tcBorders>
              <w:left w:val="single" w:sz="4" w:space="0" w:color="000000"/>
              <w:bottom w:val="single" w:sz="4" w:space="0" w:color="000000"/>
              <w:right w:val="single" w:sz="4" w:space="0" w:color="000000"/>
            </w:tcBorders>
            <w:shd w:val="clear" w:color="auto" w:fill="D3D3D3"/>
          </w:tcPr>
          <w:p>
            <w:pPr/>
          </w:p>
        </w:tc>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1"/>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528"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1"/>
              <w:jc w:val="left"/>
              <w:rPr>
                <w:rFonts w:ascii="宋体" w:hAnsi="宋体" w:cs="宋体" w:eastAsia="宋体" w:hint="default"/>
                <w:sz w:val="18"/>
                <w:szCs w:val="18"/>
              </w:rPr>
            </w:pPr>
            <w:r>
              <w:rPr>
                <w:rFonts w:ascii="宋体" w:hAnsi="宋体" w:cs="宋体" w:eastAsia="宋体" w:hint="default"/>
                <w:sz w:val="18"/>
                <w:szCs w:val="18"/>
              </w:rPr>
              <w:t>消耗性生物资 产</w:t>
            </w:r>
          </w:p>
        </w:tc>
        <w:tc>
          <w:tcPr>
            <w:tcW w:w="1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1,169,269,054.15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11,221,828.76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189,043,642.16</w:t>
            </w:r>
          </w:p>
        </w:tc>
        <w:tc>
          <w:tcPr>
            <w:tcW w:w="9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12,924,958.49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22,385,201.20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1,317,141,123.77</w:t>
            </w:r>
          </w:p>
        </w:tc>
      </w:tr>
      <w:tr>
        <w:trPr>
          <w:trHeight w:val="402" w:hRule="exact"/>
        </w:trPr>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1"/>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1,169,269,054.15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11,221,828.76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189,043,642.16</w:t>
            </w:r>
          </w:p>
        </w:tc>
        <w:tc>
          <w:tcPr>
            <w:tcW w:w="9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12,924,958.49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22,385,201.20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1,317,141,123.77</w:t>
            </w:r>
          </w:p>
        </w:tc>
      </w:tr>
      <w:tr>
        <w:trPr>
          <w:trHeight w:val="402" w:hRule="exact"/>
        </w:trPr>
        <w:tc>
          <w:tcPr>
            <w:tcW w:w="1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1"/>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90"/>
        <w:jc w:val="left"/>
      </w:pPr>
      <w:r>
        <w:rPr/>
        <w:t>报告期内公司主要资产计量属性是否发生重大变化</w:t>
      </w:r>
    </w:p>
    <w:p>
      <w:pPr>
        <w:pStyle w:val="BodyText"/>
        <w:spacing w:line="240" w:lineRule="auto" w:before="117"/>
        <w:ind w:right="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12"/>
        <w:rPr>
          <w:rFonts w:ascii="宋体" w:hAnsi="宋体" w:cs="宋体" w:eastAsia="宋体" w:hint="default"/>
          <w:sz w:val="23"/>
          <w:szCs w:val="23"/>
        </w:rPr>
      </w:pPr>
    </w:p>
    <w:p>
      <w:pPr>
        <w:pStyle w:val="Heading2"/>
        <w:spacing w:line="240" w:lineRule="auto"/>
        <w:ind w:right="90"/>
        <w:jc w:val="left"/>
        <w:rPr>
          <w:b w:val="0"/>
          <w:bCs w:val="0"/>
        </w:rPr>
      </w:pPr>
      <w:r>
        <w:rPr/>
        <w:t>六、核心竞争力分析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80" w:firstLine="360"/>
        <w:jc w:val="left"/>
      </w:pPr>
      <w:r>
        <w:rPr/>
        <w:t>公司是以造林、制浆、造纸为主业的大型企业集团，全国首家A、B、H三种股票上市公司。与同行业其他企业相比，本 公司具有以下优势：</w:t>
      </w:r>
    </w:p>
    <w:p>
      <w:pPr>
        <w:spacing w:line="240" w:lineRule="auto" w:before="2"/>
        <w:rPr>
          <w:rFonts w:ascii="宋体" w:hAnsi="宋体" w:cs="宋体" w:eastAsia="宋体" w:hint="default"/>
          <w:sz w:val="3"/>
          <w:szCs w:val="3"/>
        </w:rPr>
      </w:pPr>
    </w:p>
    <w:p>
      <w:pPr>
        <w:spacing w:line="3873" w:lineRule="exact"/>
        <w:ind w:left="1348" w:right="0" w:firstLine="0"/>
        <w:rPr>
          <w:rFonts w:ascii="宋体" w:hAnsi="宋体" w:cs="宋体" w:eastAsia="宋体" w:hint="default"/>
          <w:sz w:val="20"/>
          <w:szCs w:val="20"/>
        </w:rPr>
      </w:pPr>
      <w:r>
        <w:rPr>
          <w:rFonts w:ascii="宋体" w:hAnsi="宋体" w:cs="宋体" w:eastAsia="宋体" w:hint="default"/>
          <w:position w:val="-76"/>
          <w:sz w:val="20"/>
          <w:szCs w:val="20"/>
        </w:rPr>
        <w:pict>
          <v:group style="width:366.05pt;height:193.65pt;mso-position-horizontal-relative:char;mso-position-vertical-relative:line" coordorigin="0,0" coordsize="7321,3873">
            <v:shape style="position:absolute;left:0;top:0;width:7321;height:3873" type="#_x0000_t75" stroked="false">
              <v:imagedata r:id="rId15" o:title=""/>
            </v:shape>
            <v:shape style="position:absolute;left:3301;top:41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规模优势</w:t>
                    </w:r>
                  </w:p>
                </w:txbxContent>
              </v:textbox>
              <w10:wrap type="none"/>
            </v:shape>
            <v:shape style="position:absolute;left:940;top:97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技术装备优势</w:t>
                    </w:r>
                  </w:p>
                </w:txbxContent>
              </v:textbox>
              <w10:wrap type="none"/>
            </v:shape>
            <v:shape style="position:absolute;left:5484;top:97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产品优势</w:t>
                    </w:r>
                  </w:p>
                </w:txbxContent>
              </v:textbox>
              <w10:wrap type="none"/>
            </v:shape>
            <v:shape style="position:absolute;left:3211;top:1912;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核心竞争力</w:t>
                    </w:r>
                  </w:p>
                </w:txbxContent>
              </v:textbox>
              <w10:wrap type="none"/>
            </v:shape>
            <v:shape style="position:absolute;left:400;top:2247;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科研创新优势</w:t>
                    </w:r>
                  </w:p>
                </w:txbxContent>
              </v:textbox>
              <w10:wrap type="none"/>
            </v:shape>
            <v:shape style="position:absolute;left:6024;top:224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资金优势</w:t>
                    </w:r>
                  </w:p>
                </w:txbxContent>
              </v:textbox>
              <w10:wrap type="none"/>
            </v:shape>
            <v:shape style="position:absolute;left:1911;top:326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综合成本优势</w:t>
                    </w:r>
                  </w:p>
                </w:txbxContent>
              </v:textbox>
              <w10:wrap type="none"/>
            </v:shape>
            <v:shape style="position:absolute;left:4332;top:326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环保治理优势</w:t>
                    </w:r>
                  </w:p>
                </w:txbxContent>
              </v:textbox>
              <w10:wrap type="none"/>
            </v:shape>
          </v:group>
        </w:pict>
      </w:r>
      <w:r>
        <w:rPr>
          <w:rFonts w:ascii="宋体" w:hAnsi="宋体" w:cs="宋体" w:eastAsia="宋体" w:hint="default"/>
          <w:position w:val="-76"/>
          <w:sz w:val="20"/>
          <w:szCs w:val="20"/>
        </w:rPr>
      </w:r>
    </w:p>
    <w:p>
      <w:pPr>
        <w:spacing w:line="240" w:lineRule="auto" w:before="3"/>
        <w:rPr>
          <w:rFonts w:ascii="宋体" w:hAnsi="宋体" w:cs="宋体" w:eastAsia="宋体" w:hint="default"/>
          <w:sz w:val="18"/>
          <w:szCs w:val="18"/>
        </w:rPr>
      </w:pPr>
    </w:p>
    <w:p>
      <w:pPr>
        <w:pStyle w:val="BodyText"/>
        <w:spacing w:line="309" w:lineRule="auto"/>
        <w:ind w:right="189" w:firstLine="360"/>
        <w:jc w:val="both"/>
      </w:pPr>
      <w:r>
        <w:rPr>
          <w:spacing w:val="-2"/>
        </w:rPr>
        <w:t>（</w:t>
      </w:r>
      <w:r>
        <w:rPr>
          <w:rFonts w:ascii="Times New Roman" w:hAnsi="Times New Roman" w:cs="Times New Roman" w:eastAsia="Times New Roman" w:hint="default"/>
          <w:spacing w:val="-2"/>
        </w:rPr>
        <w:t>1</w:t>
      </w:r>
      <w:r>
        <w:rPr>
          <w:spacing w:val="-2"/>
        </w:rPr>
        <w:t>）规模优势。作为中国最大的国有控股造纸企业，通过多年的发展，公司目前已形成年产浆纸超过</w:t>
      </w:r>
      <w:r>
        <w:rPr>
          <w:rFonts w:ascii="Times New Roman" w:hAnsi="Times New Roman" w:cs="Times New Roman" w:eastAsia="Times New Roman" w:hint="default"/>
          <w:spacing w:val="-2"/>
        </w:rPr>
        <w:t>800</w:t>
      </w:r>
      <w:r>
        <w:rPr>
          <w:spacing w:val="-2"/>
        </w:rPr>
        <w:t>万吨的生产能</w:t>
      </w:r>
      <w:r>
        <w:rPr/>
        <w:t> </w:t>
      </w:r>
      <w:r>
        <w:rPr>
          <w:spacing w:val="-2"/>
        </w:rPr>
        <w:t>力，具备与国际造纸企业相抗衡的规模。大规模集中的生产使公司具有明显的经济效益，不仅体现在产品的制造成本上，而</w:t>
      </w:r>
      <w:r>
        <w:rPr>
          <w:spacing w:val="-66"/>
        </w:rPr>
        <w:t> </w:t>
      </w:r>
      <w:r>
        <w:rPr>
          <w:spacing w:val="-66"/>
        </w:rPr>
      </w:r>
      <w:r>
        <w:rPr/>
        <w:t>且公司在原材料采购、产品定价、行业政策制订等方面都具有很强的市场影响力。</w:t>
      </w:r>
    </w:p>
    <w:p>
      <w:pPr>
        <w:pStyle w:val="BodyText"/>
        <w:spacing w:line="314" w:lineRule="auto" w:before="62"/>
        <w:ind w:right="91" w:firstLine="360"/>
        <w:jc w:val="left"/>
      </w:pPr>
      <w:r>
        <w:rPr/>
        <w:t>（</w:t>
      </w:r>
      <w:r>
        <w:rPr>
          <w:rFonts w:ascii="Times New Roman" w:hAnsi="Times New Roman" w:cs="Times New Roman" w:eastAsia="Times New Roman" w:hint="default"/>
        </w:rPr>
        <w:t>2</w:t>
      </w:r>
      <w:r>
        <w:rPr/>
        <w:t>）产品优势。公司在产品规模迅速扩大的同时，产品结构也在不断优化。近年来，公司先后建设了高档铜版纸、高 </w:t>
      </w:r>
      <w:r>
        <w:rPr>
          <w:spacing w:val="-2"/>
        </w:rPr>
        <w:t>档低定量涂布纸、高档白牛卡纸、高档双胶纸等生产线，引进国际领先的技术装备，产品技术含量和附加值较高，毛利率水</w:t>
      </w:r>
      <w:r>
        <w:rPr>
          <w:spacing w:val="-66"/>
        </w:rPr>
        <w:t> </w:t>
      </w:r>
      <w:r>
        <w:rPr>
          <w:spacing w:val="-66"/>
        </w:rPr>
      </w:r>
      <w:r>
        <w:rPr/>
        <w:t>平较高。公司产品结构已由过去的普通胶版纸为主发展成为拥有包括静电纸、双胶纸、轻涂纸、新闻纸、铜版纸、白卡纸、 </w:t>
      </w:r>
      <w:r>
        <w:rPr>
          <w:spacing w:val="-2"/>
        </w:rPr>
        <w:t>生活纸等产品系列的造纸企业，成为中国造纸行业中产品品种最多的公司。未来公司高档产品的比重还将进一步提升。多元</w:t>
      </w:r>
      <w:r>
        <w:rPr>
          <w:spacing w:val="-66"/>
        </w:rPr>
        <w:t> </w:t>
      </w:r>
      <w:r>
        <w:rPr>
          <w:spacing w:val="-66"/>
        </w:rPr>
      </w:r>
      <w:r>
        <w:rPr/>
        <w:t>化、高档化的产品结构不仅使得公司抵御市场风险的能力大大增强，还可以使公司保持相对较强的盈利能力。</w:t>
      </w:r>
    </w:p>
    <w:p>
      <w:pPr>
        <w:pStyle w:val="BodyText"/>
        <w:spacing w:line="312" w:lineRule="auto" w:before="59"/>
        <w:ind w:right="181" w:firstLine="360"/>
        <w:jc w:val="left"/>
      </w:pPr>
      <w:r>
        <w:rPr/>
        <w:t>（</w:t>
      </w:r>
      <w:r>
        <w:rPr>
          <w:rFonts w:ascii="Times New Roman" w:hAnsi="Times New Roman" w:cs="Times New Roman" w:eastAsia="Times New Roman" w:hint="default"/>
        </w:rPr>
        <w:t>3</w:t>
      </w:r>
      <w:r>
        <w:rPr/>
        <w:t>）技术装备优势。公司总体技术装备具有世界先进水平，主要生产设备均引进国际知名的芬兰美卓、奥斯龙、德国 福伊特、奥地利安德里兹和美国</w:t>
      </w:r>
      <w:r>
        <w:rPr>
          <w:rFonts w:ascii="Times New Roman" w:hAnsi="Times New Roman" w:cs="Times New Roman" w:eastAsia="Times New Roman" w:hint="default"/>
        </w:rPr>
        <w:t>ABB</w:t>
      </w:r>
      <w:r>
        <w:rPr/>
        <w:t>等厂家产品，达到国际先进水平，其中包括世界先进的稀释水流浆箱、叠网成型、单 </w:t>
      </w:r>
      <w:r>
        <w:rPr>
          <w:spacing w:val="-2"/>
        </w:rPr>
        <w:t>挂式烘干部、机内薄膜涂布机、非接触式热风干燥和在线双面软密压光机，并配备有在线纸病监测系统、横幅厚度控制系统</w:t>
      </w:r>
      <w:r>
        <w:rPr>
          <w:spacing w:val="-66"/>
        </w:rPr>
        <w:t> </w:t>
      </w:r>
      <w:r>
        <w:rPr>
          <w:spacing w:val="-66"/>
        </w:rPr>
      </w:r>
      <w:r>
        <w:rPr>
          <w:spacing w:val="-2"/>
        </w:rPr>
        <w:t>和智能化质量控制系统等先进的技术装备。公司采用的技术装备集中体现了当今造纸工业技术密集、机电一体的特点。浆料</w:t>
      </w:r>
      <w:r>
        <w:rPr>
          <w:spacing w:val="-66"/>
        </w:rPr>
        <w:t> </w:t>
      </w:r>
      <w:r>
        <w:rPr>
          <w:spacing w:val="-66"/>
        </w:rPr>
      </w:r>
      <w:r>
        <w:rPr>
          <w:spacing w:val="-2"/>
        </w:rPr>
        <w:t>系统的除气技术、湿部化学技术、纸页智能横向控制技术、涂料制备技术、自由喷射上料涂布技术、多压区压力平衡压光技</w:t>
      </w:r>
      <w:r>
        <w:rPr>
          <w:spacing w:val="-66"/>
        </w:rPr>
        <w:t> </w:t>
      </w:r>
      <w:r>
        <w:rPr>
          <w:spacing w:val="-66"/>
        </w:rPr>
      </w:r>
      <w:r>
        <w:rPr/>
        <w:t>术及自主开发的工艺流程，都达到了国际先进水平。</w:t>
      </w:r>
    </w:p>
    <w:p>
      <w:pPr>
        <w:pStyle w:val="BodyText"/>
        <w:spacing w:line="240" w:lineRule="auto" w:before="62"/>
        <w:ind w:left="513" w:right="90"/>
        <w:jc w:val="left"/>
      </w:pPr>
      <w:r>
        <w:rPr/>
        <w:t>（</w:t>
      </w:r>
      <w:r>
        <w:rPr>
          <w:rFonts w:ascii="Times New Roman" w:hAnsi="Times New Roman" w:cs="Times New Roman" w:eastAsia="Times New Roman" w:hint="default"/>
        </w:rPr>
        <w:t>4</w:t>
      </w:r>
      <w:r>
        <w:rPr/>
        <w:t>）科研创新优势。公司发挥自身强大的科研优势，以国家级企业技术中心和博士后科研工作站为依托，构建完善的</w:t>
      </w:r>
    </w:p>
    <w:p>
      <w:pPr>
        <w:spacing w:after="0" w:line="240" w:lineRule="auto"/>
        <w:jc w:val="left"/>
        <w:sectPr>
          <w:footerReference w:type="default" r:id="rId14"/>
          <w:pgSz w:w="11910" w:h="16840"/>
          <w:pgMar w:footer="950" w:header="877" w:top="1100" w:bottom="1140" w:left="980" w:right="940"/>
          <w:pgNumType w:start="22"/>
        </w:sectPr>
      </w:pPr>
    </w:p>
    <w:p>
      <w:pPr>
        <w:spacing w:line="240" w:lineRule="auto" w:before="12"/>
        <w:rPr>
          <w:rFonts w:ascii="宋体" w:hAnsi="宋体" w:cs="宋体" w:eastAsia="宋体" w:hint="default"/>
          <w:sz w:val="21"/>
          <w:szCs w:val="21"/>
        </w:rPr>
      </w:pPr>
      <w:r>
        <w:rPr/>
        <w:pict>
          <v:group style="position:absolute;margin-left:443.940002pt;margin-top:662.799988pt;width:91pt;height:23.4pt;mso-position-horizontal-relative:page;mso-position-vertical-relative:page;z-index:-1456720" coordorigin="8879,13256" coordsize="1820,468">
            <v:shape style="position:absolute;left:8879;top:13256;width:1820;height:468" coordorigin="8879,13256" coordsize="1820,468" path="m8879,13724l10698,13724,10698,13256,8879,13256,8879,13724xe" filled="true" fillcolor="#ffffff" stroked="false">
              <v:path arrowok="t"/>
              <v:fill type="solid"/>
            </v:shape>
            <w10:wrap type="none"/>
          </v:group>
        </w:pict>
      </w:r>
    </w:p>
    <w:p>
      <w:pPr>
        <w:pStyle w:val="BodyText"/>
        <w:spacing w:line="316" w:lineRule="auto" w:before="44"/>
        <w:ind w:right="91"/>
        <w:jc w:val="left"/>
      </w:pPr>
      <w:r>
        <w:rPr/>
        <w:t>知识产权体系，不断加大技术创新能力和科研开发力度，积极开发科技含量高、附加值高的新产品和企业专有技术。同时， </w:t>
      </w:r>
      <w:r>
        <w:rPr>
          <w:spacing w:val="-2"/>
        </w:rPr>
        <w:t>晨鸣纸业技术中心积极与大专院校、科研单位和国际先进企业进行技术合作，形成了立足国内，辐射国际先进造纸研究基地</w:t>
      </w:r>
      <w:r>
        <w:rPr>
          <w:spacing w:val="-66"/>
        </w:rPr>
        <w:t> </w:t>
      </w:r>
      <w:r>
        <w:rPr>
          <w:spacing w:val="-66"/>
        </w:rPr>
      </w:r>
      <w:r>
        <w:rPr/>
        <w:t>的研究开发网络，有力保证了公司在国内同行业科研中的领先地位。</w:t>
      </w:r>
    </w:p>
    <w:p>
      <w:pPr>
        <w:pStyle w:val="BodyText"/>
        <w:spacing w:line="307" w:lineRule="auto" w:before="59"/>
        <w:ind w:right="188" w:firstLine="360"/>
        <w:jc w:val="both"/>
      </w:pPr>
      <w:r>
        <w:rPr/>
        <w:t>（</w:t>
      </w:r>
      <w:r>
        <w:rPr>
          <w:rFonts w:ascii="Times New Roman" w:hAnsi="Times New Roman" w:cs="Times New Roman" w:eastAsia="Times New Roman" w:hint="default"/>
        </w:rPr>
        <w:t>5</w:t>
      </w:r>
      <w:r>
        <w:rPr/>
        <w:t>）综合成本优势。公司拥有较为突出的综合成本优势，主要体现在：一是公司通过严格的管理，优化了生产线运作 </w:t>
      </w:r>
      <w:r>
        <w:rPr>
          <w:spacing w:val="-2"/>
        </w:rPr>
        <w:t>水平，较大幅度减少了跑、冒、滴、漏等资源浪费，公司吨纸能耗也控制在较低的水平；二是公司建成了多条先进的制浆生</w:t>
      </w:r>
      <w:r>
        <w:rPr>
          <w:spacing w:val="-68"/>
        </w:rPr>
        <w:t> </w:t>
      </w:r>
      <w:r>
        <w:rPr>
          <w:spacing w:val="-68"/>
        </w:rPr>
      </w:r>
      <w:r>
        <w:rPr>
          <w:spacing w:val="-2"/>
        </w:rPr>
        <w:t>产线，还通过建设湛江</w:t>
      </w:r>
      <w:r>
        <w:rPr>
          <w:rFonts w:ascii="Times New Roman" w:hAnsi="Times New Roman" w:cs="Times New Roman" w:eastAsia="Times New Roman" w:hint="default"/>
          <w:spacing w:val="-2"/>
        </w:rPr>
        <w:t>70</w:t>
      </w:r>
      <w:r>
        <w:rPr>
          <w:spacing w:val="-2"/>
        </w:rPr>
        <w:t>万吨木浆项目以及黄冈晨鸣林纸一体化项目加大对主要原材料的供应建设；三是公司通过兴建自备</w:t>
      </w:r>
      <w:r>
        <w:rPr>
          <w:spacing w:val="-62"/>
        </w:rPr>
        <w:t> </w:t>
      </w:r>
      <w:r>
        <w:rPr>
          <w:spacing w:val="-62"/>
        </w:rPr>
      </w:r>
      <w:r>
        <w:rPr/>
        <w:t>电厂来保证公司能源供应，降低了成本。</w:t>
      </w:r>
    </w:p>
    <w:p>
      <w:pPr>
        <w:pStyle w:val="BodyText"/>
        <w:spacing w:line="314" w:lineRule="auto" w:before="65"/>
        <w:ind w:right="190" w:firstLine="360"/>
        <w:jc w:val="both"/>
      </w:pPr>
      <w:r>
        <w:rPr/>
        <w:t>（</w:t>
      </w:r>
      <w:r>
        <w:rPr>
          <w:rFonts w:ascii="Times New Roman" w:hAnsi="Times New Roman" w:cs="Times New Roman" w:eastAsia="Times New Roman" w:hint="default"/>
        </w:rPr>
        <w:t>6</w:t>
      </w:r>
      <w:r>
        <w:rPr/>
        <w:t>）资金优势。造纸行业是资金密集型行业，资金是对造纸行业发展最为重要的要素之一。公司具有良好的盈利能力 </w:t>
      </w:r>
      <w:r>
        <w:rPr>
          <w:spacing w:val="-2"/>
        </w:rPr>
        <w:t>和资信状况，长期与银行保持较为稳定的合作关系，使公司具有较为通畅的间接融资能力。公司近年来充分借助间接融资渠</w:t>
      </w:r>
      <w:r>
        <w:rPr>
          <w:spacing w:val="-66"/>
        </w:rPr>
        <w:t> </w:t>
      </w:r>
      <w:r>
        <w:rPr>
          <w:spacing w:val="-66"/>
        </w:rPr>
      </w:r>
      <w:r>
        <w:rPr>
          <w:spacing w:val="-2"/>
        </w:rPr>
        <w:t>道加快发展，在借款增加的同时，保持了较高的净资产收益率，提高了公司的盈利水平，较好的发挥财务杠杆优势，符合实</w:t>
      </w:r>
      <w:r>
        <w:rPr>
          <w:spacing w:val="-66"/>
        </w:rPr>
        <w:t> </w:t>
      </w:r>
      <w:r>
        <w:rPr>
          <w:spacing w:val="-66"/>
        </w:rPr>
      </w:r>
      <w:r>
        <w:rPr>
          <w:spacing w:val="-2"/>
        </w:rPr>
        <w:t>现股东财富最大化的财务目标。公司自上市以来一直保持良好的经营业绩，具备较为完善的法人治理结构，公司先后通过境</w:t>
      </w:r>
      <w:r>
        <w:rPr>
          <w:spacing w:val="-66"/>
        </w:rPr>
        <w:t> </w:t>
      </w:r>
      <w:r>
        <w:rPr>
          <w:spacing w:val="-66"/>
        </w:rPr>
      </w:r>
      <w:r>
        <w:rPr>
          <w:spacing w:val="-2"/>
        </w:rPr>
        <w:t>内外证券市场实现多次融资，且融资获取的资金使用效果良好，市场形象较好，这也使公司具备了较强的通过证券市场直接</w:t>
      </w:r>
      <w:r>
        <w:rPr>
          <w:spacing w:val="-66"/>
        </w:rPr>
        <w:t> </w:t>
      </w:r>
      <w:r>
        <w:rPr>
          <w:spacing w:val="-66"/>
        </w:rPr>
      </w:r>
      <w:r>
        <w:rPr/>
        <w:t>融资的能力。</w:t>
      </w:r>
    </w:p>
    <w:p>
      <w:pPr>
        <w:pStyle w:val="BodyText"/>
        <w:spacing w:line="309" w:lineRule="auto" w:before="61"/>
        <w:ind w:right="190" w:firstLine="290"/>
        <w:jc w:val="both"/>
      </w:pPr>
      <w:r>
        <w:rPr>
          <w:spacing w:val="-2"/>
        </w:rPr>
        <w:t>（</w:t>
      </w:r>
      <w:r>
        <w:rPr>
          <w:rFonts w:ascii="Times New Roman" w:hAnsi="Times New Roman" w:cs="Times New Roman" w:eastAsia="Times New Roman" w:hint="default"/>
          <w:spacing w:val="-2"/>
        </w:rPr>
        <w:t>7</w:t>
      </w:r>
      <w:r>
        <w:rPr>
          <w:spacing w:val="-2"/>
        </w:rPr>
        <w:t>）环保治理能力优势。多年来，公司上下牢固树立起了</w:t>
      </w:r>
      <w:r>
        <w:rPr>
          <w:rFonts w:ascii="Times New Roman" w:hAnsi="Times New Roman" w:cs="Times New Roman" w:eastAsia="Times New Roman" w:hint="default"/>
          <w:spacing w:val="-2"/>
        </w:rPr>
        <w:t>“</w:t>
      </w:r>
      <w:r>
        <w:rPr>
          <w:spacing w:val="-2"/>
        </w:rPr>
        <w:t>规模膨胀、环保先行</w:t>
      </w:r>
      <w:r>
        <w:rPr>
          <w:rFonts w:ascii="Times New Roman" w:hAnsi="Times New Roman" w:cs="Times New Roman" w:eastAsia="Times New Roman" w:hint="default"/>
          <w:spacing w:val="-2"/>
        </w:rPr>
        <w:t>”</w:t>
      </w:r>
      <w:r>
        <w:rPr>
          <w:spacing w:val="-2"/>
        </w:rPr>
        <w:t>的发展意识，做到一手抓环保，一手抓</w:t>
      </w:r>
      <w:r>
        <w:rPr/>
        <w:t> </w:t>
      </w:r>
      <w:r>
        <w:rPr>
          <w:spacing w:val="-2"/>
        </w:rPr>
        <w:t>生产，保证经济效益和环保效益同步提高。公司及控股子公司近年来投资建设了碱回收系统、中段水处理系统、白水回收系</w:t>
      </w:r>
      <w:r>
        <w:rPr>
          <w:spacing w:val="-66"/>
        </w:rPr>
        <w:t> </w:t>
      </w:r>
      <w:r>
        <w:rPr>
          <w:spacing w:val="-66"/>
        </w:rPr>
      </w:r>
      <w:r>
        <w:rPr/>
        <w:t>统、红液综合利用系统以及污水处理厂等污染治理设施，保证了环保设施适应公司的快速扩张速度。</w:t>
      </w:r>
    </w:p>
    <w:p>
      <w:pPr>
        <w:spacing w:line="240" w:lineRule="auto" w:before="0"/>
        <w:rPr>
          <w:rFonts w:ascii="宋体" w:hAnsi="宋体" w:cs="宋体" w:eastAsia="宋体" w:hint="default"/>
          <w:sz w:val="21"/>
          <w:szCs w:val="21"/>
        </w:rPr>
      </w:pPr>
    </w:p>
    <w:p>
      <w:pPr>
        <w:pStyle w:val="Heading2"/>
        <w:spacing w:line="240" w:lineRule="auto"/>
        <w:ind w:right="90"/>
        <w:jc w:val="left"/>
        <w:rPr>
          <w:b w:val="0"/>
          <w:bCs w:val="0"/>
        </w:rPr>
      </w:pPr>
      <w:r>
        <w:rPr/>
        <w:t>七、投资状况分析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232"/>
        <w:gridCol w:w="2958"/>
        <w:gridCol w:w="1362"/>
        <w:gridCol w:w="1829"/>
      </w:tblGrid>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75" w:right="0"/>
              <w:jc w:val="left"/>
              <w:rPr>
                <w:rFonts w:ascii="宋体" w:hAnsi="宋体" w:cs="宋体" w:eastAsia="宋体" w:hint="default"/>
                <w:sz w:val="18"/>
                <w:szCs w:val="18"/>
              </w:rPr>
            </w:pPr>
            <w:r>
              <w:rPr>
                <w:rFonts w:ascii="宋体" w:hAnsi="宋体" w:cs="宋体" w:eastAsia="宋体" w:hint="default"/>
                <w:sz w:val="18"/>
                <w:szCs w:val="18"/>
              </w:rPr>
              <w:t>变动幅度（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519,337,235.00</w:t>
            </w:r>
          </w:p>
        </w:tc>
        <w:tc>
          <w:tcPr>
            <w:tcW w:w="3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669,306,351.20</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-22.41%</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34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3" w:right="98" w:hanging="106"/>
              <w:jc w:val="left"/>
              <w:rPr>
                <w:rFonts w:ascii="宋体" w:hAnsi="宋体" w:cs="宋体" w:eastAsia="宋体" w:hint="default"/>
                <w:sz w:val="18"/>
                <w:szCs w:val="18"/>
              </w:rPr>
            </w:pPr>
            <w:r>
              <w:rPr>
                <w:rFonts w:ascii="宋体" w:hAnsi="宋体" w:cs="宋体" w:eastAsia="宋体" w:hint="default"/>
                <w:sz w:val="18"/>
                <w:szCs w:val="18"/>
              </w:rPr>
              <w:t>上市公司占被投资公 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6"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both"/>
              <w:rPr>
                <w:rFonts w:ascii="宋体" w:hAnsi="宋体" w:cs="宋体" w:eastAsia="宋体" w:hint="default"/>
                <w:sz w:val="18"/>
                <w:szCs w:val="18"/>
              </w:rPr>
            </w:pPr>
            <w:r>
              <w:rPr>
                <w:rFonts w:ascii="宋体" w:hAnsi="宋体" w:cs="宋体" w:eastAsia="宋体" w:hint="default"/>
                <w:sz w:val="18"/>
                <w:szCs w:val="18"/>
              </w:rPr>
              <w:t>育种、育林，土壤改良、林业研究、原料林基地建设； </w:t>
            </w:r>
            <w:r>
              <w:rPr>
                <w:rFonts w:ascii="宋体" w:hAnsi="宋体" w:cs="宋体" w:eastAsia="宋体" w:hint="default"/>
                <w:spacing w:val="-3"/>
                <w:sz w:val="18"/>
                <w:szCs w:val="18"/>
              </w:rPr>
              <w:t>浆厂建设的实施、管理和营运；制造、生产、加工、销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售纸浆及相关产品等。</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91pt;height:15.6pt;mso-position-horizontal-relative:char;mso-position-vertical-relative:line" coordorigin="0,0" coordsize="1820,312">
                  <v:group style="position:absolute;left:0;top:0;width:1820;height:312" coordorigin="0,0" coordsize="1820,312">
                    <v:shape style="position:absolute;left:0;top:0;width:1820;height:312" coordorigin="0,0" coordsize="1820,312" path="m0,312l1819,312,181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湛江晨鸣新型墙体材料有限公司</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新型墙体材料的生产与销售、粉煤灰的综合利用。</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GmbH</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机制纸贸易。</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山东晨鸣纸业集团（富裕）销售有限公司</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销售机制纸、纸板、造纸原料及辅料、造纸机械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r>
        <w:trPr>
          <w:trHeight w:val="1338"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前置许可经营项目：印刷：表格、账簿；一般经营项目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加工、销售：纸及纸制品、塑料制品（不含农膜）、服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装、包装件板；经营国家允许范围内的货物与技术的进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出口业务。</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有关纸业产品的进出口贸易及市场调研等。</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3"/>
                <w:sz w:val="18"/>
                <w:szCs w:val="18"/>
              </w:rPr>
              <w:t>机制纸、纸板、纸浆板、纸制品和造纸原料的生产、加</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4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420"/>
        <w:gridCol w:w="4320"/>
        <w:gridCol w:w="1829"/>
      </w:tblGrid>
      <w:tr>
        <w:trPr>
          <w:trHeight w:val="362" w:hRule="exact"/>
        </w:trPr>
        <w:tc>
          <w:tcPr>
            <w:tcW w:w="3420" w:type="dxa"/>
            <w:tcBorders>
              <w:top w:val="single" w:sz="4" w:space="0" w:color="000000"/>
              <w:left w:val="single" w:sz="4" w:space="0" w:color="000000"/>
              <w:bottom w:val="single" w:sz="4" w:space="0" w:color="000000"/>
              <w:right w:val="single" w:sz="4" w:space="0" w:color="000000"/>
            </w:tcBorders>
          </w:tcPr>
          <w:p>
            <w:pP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工等。</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海城海鸣矿业有限公司</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菱镁石、滑石的加工、销售。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房地产开发、商品房销售。</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307"/>
        <w:gridCol w:w="1147"/>
        <w:gridCol w:w="931"/>
        <w:gridCol w:w="931"/>
        <w:gridCol w:w="1580"/>
        <w:gridCol w:w="1796"/>
      </w:tblGrid>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贷款对象</w:t>
            </w:r>
          </w:p>
        </w:tc>
        <w:tc>
          <w:tcPr>
            <w:tcW w:w="1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担保人或抵押物</w:t>
            </w:r>
          </w:p>
        </w:tc>
        <w:tc>
          <w:tcPr>
            <w:tcW w:w="1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贷款对象资金用途</w:t>
            </w:r>
          </w:p>
        </w:tc>
      </w:tr>
      <w:tr>
        <w:trPr>
          <w:trHeight w:val="402" w:hRule="exact"/>
        </w:trPr>
        <w:tc>
          <w:tcPr>
            <w:tcW w:w="3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补充流动资金</w:t>
            </w:r>
          </w:p>
        </w:tc>
      </w:tr>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委托贷款审批董事会公告披露日期</w:t>
            </w:r>
          </w:p>
        </w:tc>
        <w:tc>
          <w:tcPr>
            <w:tcW w:w="6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委托贷款审批股东会公告披露日期</w:t>
            </w:r>
          </w:p>
        </w:tc>
        <w:tc>
          <w:tcPr>
            <w:tcW w:w="6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7"/>
        <w:gridCol w:w="5479"/>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380,000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177,040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377,340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1"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日发行总额为人民币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亿元的公司债券，债券面值每张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万张，发行价格为每</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元，本次债券票面利率为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w:t>
            </w:r>
            <w:r>
              <w:rPr>
                <w:rFonts w:ascii="宋体" w:hAnsi="宋体" w:cs="宋体" w:eastAsia="宋体" w:hint="default"/>
                <w:sz w:val="18"/>
                <w:szCs w:val="18"/>
              </w:rPr>
              <w:t>，共募集资金人民币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亿元，扣除费用人民币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亿元后可使用的募集资金净额</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亿元。报告期内，使用募集资金人民币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亿元，其中补充流动资金约人民币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亿元，偿还银行借款</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约人民币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14.97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亿元，用于置换银行短期借款。截至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日，累计使用募集资金人民币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37.73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亿元，其中补充</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流动资金约人民币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亿元，偿还银行借款使用募集资金约人民币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 </w:t>
            </w:r>
            <w:r>
              <w:rPr>
                <w:rFonts w:ascii="宋体" w:hAnsi="宋体" w:cs="宋体" w:eastAsia="宋体" w:hint="default"/>
                <w:sz w:val="18"/>
                <w:szCs w:val="18"/>
              </w:rPr>
              <w:t>亿元，主要用于置换短期银行借款。</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69"/>
      </w:tblGrid>
      <w:tr>
        <w:trPr>
          <w:trHeight w:val="1021"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3" w:right="23"/>
              <w:jc w:val="center"/>
              <w:rPr>
                <w:rFonts w:ascii="宋体" w:hAnsi="宋体" w:cs="宋体" w:eastAsia="宋体"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5" w:right="23"/>
              <w:jc w:val="both"/>
              <w:rPr>
                <w:rFonts w:ascii="宋体" w:hAnsi="宋体" w:cs="宋体" w:eastAsia="宋体" w:hint="default"/>
                <w:sz w:val="18"/>
                <w:szCs w:val="18"/>
              </w:rPr>
            </w:pPr>
            <w:r>
              <w:rPr>
                <w:rFonts w:ascii="宋体" w:hAnsi="宋体" w:cs="宋体" w:eastAsia="宋体" w:hint="default"/>
                <w:sz w:val="18"/>
                <w:szCs w:val="18"/>
              </w:rPr>
              <w:t>项目达到 预定可使 用状态日</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5" w:right="11"/>
              <w:jc w:val="both"/>
              <w:rPr>
                <w:rFonts w:ascii="宋体" w:hAnsi="宋体" w:cs="宋体" w:eastAsia="宋体" w:hint="default"/>
                <w:sz w:val="18"/>
                <w:szCs w:val="18"/>
              </w:rPr>
            </w:pPr>
            <w:r>
              <w:rPr>
                <w:rFonts w:ascii="宋体" w:hAnsi="宋体" w:cs="宋体" w:eastAsia="宋体" w:hint="default"/>
                <w:sz w:val="18"/>
                <w:szCs w:val="18"/>
              </w:rPr>
              <w:t>项目可行 性是否发 生重大变</w:t>
            </w:r>
          </w:p>
        </w:tc>
      </w:tr>
    </w:tbl>
    <w:p>
      <w:pPr>
        <w:spacing w:after="0" w:line="316" w:lineRule="auto"/>
        <w:jc w:val="both"/>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758"/>
        <w:gridCol w:w="775"/>
        <w:gridCol w:w="784"/>
        <w:gridCol w:w="780"/>
        <w:gridCol w:w="379"/>
        <w:gridCol w:w="400"/>
        <w:gridCol w:w="784"/>
        <w:gridCol w:w="776"/>
        <w:gridCol w:w="776"/>
        <w:gridCol w:w="788"/>
        <w:gridCol w:w="776"/>
        <w:gridCol w:w="780"/>
      </w:tblGrid>
      <w:tr>
        <w:trPr>
          <w:trHeight w:val="362" w:hRule="exact"/>
        </w:trPr>
        <w:tc>
          <w:tcPr>
            <w:tcW w:w="17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Times New Roman"/>
                <w:sz w:val="18"/>
              </w:rPr>
              <w:t>(2)/(1)</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93"/>
              <w:jc w:val="right"/>
              <w:rPr>
                <w:rFonts w:ascii="宋体" w:hAnsi="宋体" w:cs="宋体" w:eastAsia="宋体" w:hint="default"/>
                <w:sz w:val="18"/>
                <w:szCs w:val="18"/>
              </w:rPr>
            </w:pPr>
            <w:r>
              <w:rPr>
                <w:rFonts w:ascii="宋体" w:hAnsi="宋体" w:cs="宋体" w:eastAsia="宋体" w:hint="default"/>
                <w:sz w:val="18"/>
                <w:szCs w:val="18"/>
              </w:rPr>
              <w:t>化</w:t>
            </w:r>
          </w:p>
        </w:tc>
      </w:tr>
      <w:tr>
        <w:trPr>
          <w:trHeight w:val="402" w:hRule="exact"/>
        </w:trPr>
        <w:tc>
          <w:tcPr>
            <w:tcW w:w="955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归还银行借款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w:t>
            </w:r>
          </w:p>
        </w:tc>
        <w:tc>
          <w:tcPr>
            <w:tcW w:w="7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149,700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350,000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不适用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27,340</w:t>
            </w:r>
          </w:p>
        </w:tc>
        <w:tc>
          <w:tcPr>
            <w:tcW w:w="7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27,340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27,340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不适用</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377,340</w:t>
            </w:r>
          </w:p>
        </w:tc>
        <w:tc>
          <w:tcPr>
            <w:tcW w:w="7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177,040</w:t>
            </w:r>
          </w:p>
        </w:tc>
        <w:tc>
          <w:tcPr>
            <w:tcW w:w="78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377,340</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3D3D3"/>
              <w:bottom w:val="single" w:sz="4" w:space="0" w:color="000000"/>
              <w:right w:val="single" w:sz="10" w:space="0" w:color="D3D3D3"/>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56"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377,340</w:t>
            </w:r>
          </w:p>
        </w:tc>
        <w:tc>
          <w:tcPr>
            <w:tcW w:w="7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177,040</w:t>
            </w:r>
          </w:p>
        </w:tc>
        <w:tc>
          <w:tcPr>
            <w:tcW w:w="78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377,340</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3D3D3"/>
              <w:bottom w:val="single" w:sz="4" w:space="0" w:color="000000"/>
              <w:right w:val="single" w:sz="10" w:space="0" w:color="D3D3D3"/>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477" w:type="dxa"/>
            <w:gridSpan w:val="5"/>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未达到计划进度或预计收益的情况和原因（分具体项目</w:t>
            </w:r>
          </w:p>
        </w:tc>
        <w:tc>
          <w:tcPr>
            <w:tcW w:w="5080" w:type="dxa"/>
            <w:gridSpan w:val="7"/>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47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5080"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47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5080"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47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5080"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47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5080"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27" w:hRule="exact"/>
        </w:trPr>
        <w:tc>
          <w:tcPr>
            <w:tcW w:w="447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5080"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47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5080"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47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5080"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47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5080"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47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募集资金使用及披露中存在的问题或其他情况</w:t>
            </w:r>
          </w:p>
        </w:tc>
        <w:tc>
          <w:tcPr>
            <w:tcW w:w="5080"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主要子公司、参股公司情况</w:t>
      </w:r>
    </w:p>
    <w:p>
      <w:pPr>
        <w:pStyle w:val="BodyText"/>
        <w:spacing w:line="240" w:lineRule="auto" w:before="116"/>
        <w:ind w:left="0" w:right="149"/>
        <w:jc w:val="right"/>
      </w:pPr>
      <w:r>
        <w:rPr/>
        <w:t>单位：万元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267"/>
        <w:gridCol w:w="655"/>
        <w:gridCol w:w="605"/>
        <w:gridCol w:w="1411"/>
        <w:gridCol w:w="868"/>
        <w:gridCol w:w="1001"/>
        <w:gridCol w:w="962"/>
        <w:gridCol w:w="1001"/>
        <w:gridCol w:w="961"/>
        <w:gridCol w:w="962"/>
      </w:tblGrid>
      <w:tr>
        <w:trPr>
          <w:trHeight w:val="714"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1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湛江晨鸣浆纸 有限责任公司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纸浆</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浆、涂布纸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1,262,459.60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386,286.14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427,719.00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59,083.87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46,250.70</w:t>
            </w: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吉林晨鸣纸业 有限责任公司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双胶纸、书写纸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300,062.92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118,219.85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13,707.01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-10,198.14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457.85</w:t>
            </w: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晨鸣（香港）有</w:t>
            </w:r>
            <w:r>
              <w:rPr>
                <w:rFonts w:ascii="宋体" w:hAnsi="宋体" w:cs="宋体" w:eastAsia="宋体" w:hint="default"/>
                <w:sz w:val="18"/>
                <w:szCs w:val="18"/>
              </w:rPr>
              <w:t>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纸品贸 易</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1"/>
                <w:sz w:val="18"/>
                <w:szCs w:val="18"/>
              </w:rPr>
              <w:t>纸品销售、原材料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进口、来料加工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393,009.33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14,246.70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516,895.20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6,473.21</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5,583.38</w:t>
            </w: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山东晨鸣纸业 销售有限公司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纸品贸 易</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纸品销售</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851,729.68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22,389.18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1,520,049.71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25,098.48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18,218.38</w:t>
            </w: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江西晨鸣纸业 有限责任公司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双胶纸、涂布纸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358,934.29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198,823.50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177,484.13</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5,086.12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5,381.08</w:t>
            </w: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山东晨鸣热电 股份有限公司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热电</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1"/>
                <w:sz w:val="18"/>
                <w:szCs w:val="18"/>
              </w:rPr>
              <w:t>电力、热力生产和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销售</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9,955.31</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42,264.57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33,657.39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52,752.43</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7,319.95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7,538.86</w:t>
            </w:r>
          </w:p>
        </w:tc>
      </w:tr>
      <w:tr>
        <w:trPr>
          <w:trHeight w:val="403"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宋体" w:hAnsi="宋体" w:cs="宋体" w:eastAsia="宋体" w:hint="default"/>
                <w:sz w:val="18"/>
                <w:szCs w:val="18"/>
              </w:rPr>
            </w:pPr>
            <w:r>
              <w:rPr>
                <w:rFonts w:ascii="宋体" w:hAnsi="宋体" w:cs="宋体" w:eastAsia="宋体" w:hint="default"/>
                <w:sz w:val="18"/>
                <w:szCs w:val="18"/>
              </w:rPr>
              <w:t>武汉晨鸣汉阳</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书写纸、新闻纸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23" w:right="0"/>
              <w:jc w:val="left"/>
              <w:rPr>
                <w:rFonts w:ascii="Times New Roman" w:hAnsi="Times New Roman" w:cs="Times New Roman" w:eastAsia="Times New Roman" w:hint="default"/>
                <w:sz w:val="18"/>
                <w:szCs w:val="18"/>
              </w:rPr>
            </w:pPr>
            <w:r>
              <w:rPr>
                <w:rFonts w:ascii="Times New Roman"/>
                <w:sz w:val="18"/>
              </w:rPr>
              <w:t>21,136.70</w:t>
            </w:r>
          </w:p>
        </w:tc>
        <w:tc>
          <w:tcPr>
            <w:tcW w:w="100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6"/>
        <w:rPr>
          <w:rFonts w:ascii="宋体" w:hAnsi="宋体" w:cs="宋体" w:eastAsia="宋体" w:hint="default"/>
          <w:sz w:val="24"/>
          <w:szCs w:val="24"/>
        </w:rPr>
      </w:pPr>
      <w:r>
        <w:rPr/>
        <w:pict>
          <v:group style="position:absolute;margin-left:344.940002pt;margin-top:398.829987pt;width:70.350pt;height:35.8pt;mso-position-horizontal-relative:page;mso-position-vertical-relative:page;z-index:-1456696" coordorigin="6899,7977" coordsize="1407,716">
            <v:group style="position:absolute;left:6899;top:8380;width:1407;height:312" coordorigin="6899,8380" coordsize="1407,312">
              <v:shape style="position:absolute;left:6899;top:8380;width:1407;height:312" coordorigin="6899,8380" coordsize="1407,312" path="m6899,8692l8305,8692,8305,8380,6899,8380,6899,8692xe" filled="true" fillcolor="#ffffff" stroked="false">
                <v:path arrowok="t"/>
                <v:fill type="solid"/>
              </v:shape>
            </v:group>
            <v:group style="position:absolute;left:6910;top:7988;width:2;height:392" coordorigin="6910,7988" coordsize="2,392">
              <v:shape style="position:absolute;left:6910;top:7988;width:2;height:392" coordorigin="6910,7988" coordsize="0,392" path="m6910,7988l6910,8380e" filled="false" stroked="true" strokeweight="1.140pt" strokecolor="#ffffff">
                <v:path arrowok="t"/>
              </v:shape>
            </v:group>
            <v:group style="position:absolute;left:6922;top:7987;width:1360;height:393" coordorigin="6922,7987" coordsize="1360,393">
              <v:shape style="position:absolute;left:6922;top:7987;width:1360;height:393" coordorigin="6922,7987" coordsize="1360,393" path="m6922,8380l8281,8380,8281,7987,6922,7987,6922,8380xe" filled="true" fillcolor="#ffffff" stroked="false">
                <v:path arrowok="t"/>
                <v:fill type="solid"/>
              </v:shape>
            </v:group>
            <w10:wrap type="none"/>
          </v:group>
        </w:pict>
      </w:r>
    </w:p>
    <w:tbl>
      <w:tblPr>
        <w:tblW w:w="0" w:type="auto"/>
        <w:jc w:val="left"/>
        <w:tblInd w:w="121" w:type="dxa"/>
        <w:tblLayout w:type="fixed"/>
        <w:tblCellMar>
          <w:top w:w="0" w:type="dxa"/>
          <w:left w:w="0" w:type="dxa"/>
          <w:bottom w:w="0" w:type="dxa"/>
          <w:right w:w="0" w:type="dxa"/>
        </w:tblCellMar>
        <w:tblLook w:val="01E0"/>
      </w:tblPr>
      <w:tblGrid>
        <w:gridCol w:w="1267"/>
        <w:gridCol w:w="655"/>
        <w:gridCol w:w="605"/>
        <w:gridCol w:w="1411"/>
        <w:gridCol w:w="868"/>
        <w:gridCol w:w="1001"/>
        <w:gridCol w:w="962"/>
        <w:gridCol w:w="1001"/>
        <w:gridCol w:w="961"/>
        <w:gridCol w:w="962"/>
      </w:tblGrid>
      <w:tr>
        <w:trPr>
          <w:trHeight w:val="67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2"/>
              <w:jc w:val="left"/>
              <w:rPr>
                <w:rFonts w:ascii="宋体" w:hAnsi="宋体" w:cs="宋体" w:eastAsia="宋体" w:hint="default"/>
                <w:sz w:val="18"/>
                <w:szCs w:val="18"/>
              </w:rPr>
            </w:pPr>
            <w:r>
              <w:rPr>
                <w:rFonts w:ascii="宋体" w:hAnsi="宋体" w:cs="宋体" w:eastAsia="宋体" w:hint="default"/>
                <w:sz w:val="18"/>
                <w:szCs w:val="18"/>
              </w:rPr>
              <w:t>纸业股份有限 公司</w:t>
            </w:r>
          </w:p>
        </w:tc>
        <w:tc>
          <w:tcPr>
            <w:tcW w:w="65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290,425.38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45,383.08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90,456.77</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-26,703.90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-5,239.58</w:t>
            </w: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寿光美伦纸业 有限责任公司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left"/>
              <w:rPr>
                <w:rFonts w:ascii="宋体" w:hAnsi="宋体" w:cs="宋体" w:eastAsia="宋体" w:hint="default"/>
                <w:sz w:val="18"/>
                <w:szCs w:val="18"/>
              </w:rPr>
            </w:pPr>
            <w:r>
              <w:rPr>
                <w:rFonts w:ascii="宋体" w:hAnsi="宋体" w:cs="宋体" w:eastAsia="宋体" w:hint="default"/>
                <w:sz w:val="18"/>
                <w:szCs w:val="18"/>
              </w:rPr>
              <w:t>白牛卡纸、铜版 纸、生活用纸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220,000.00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974,447.03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141,342.59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415,819.09</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-66,039.63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-49,638.75</w:t>
            </w:r>
          </w:p>
        </w:tc>
      </w:tr>
    </w:tbl>
    <w:p>
      <w:pPr>
        <w:pStyle w:val="BodyText"/>
        <w:spacing w:line="240" w:lineRule="auto" w:before="51"/>
        <w:ind w:left="154" w:right="0"/>
        <w:jc w:val="both"/>
      </w:pPr>
      <w:r>
        <w:rPr/>
        <w:t>主要子公司、参股公司情况说明</w:t>
      </w:r>
    </w:p>
    <w:p>
      <w:pPr>
        <w:pStyle w:val="BodyText"/>
        <w:spacing w:line="309" w:lineRule="auto" w:before="116"/>
        <w:ind w:right="151"/>
        <w:jc w:val="both"/>
      </w:pPr>
      <w:r>
        <w:rPr>
          <w:rFonts w:ascii="Times New Roman" w:hAnsi="Times New Roman" w:cs="Times New Roman" w:eastAsia="Times New Roman" w:hint="default"/>
          <w:spacing w:val="-3"/>
        </w:rPr>
        <w:t>1</w:t>
      </w:r>
      <w:r>
        <w:rPr>
          <w:spacing w:val="-3"/>
        </w:rPr>
        <w:t>、吉林晨鸣</w:t>
      </w:r>
      <w:r>
        <w:rPr>
          <w:spacing w:val="-7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0"/>
        </w:rPr>
        <w:t> </w:t>
      </w:r>
      <w:r>
        <w:rPr/>
        <w:t>年环保迁建，全面停产，停工损失和处置资产费用等用搬迁补偿款弥补；武汉晨鸣一厂搬迁，停工损失和 </w:t>
      </w:r>
      <w:r>
        <w:rPr>
          <w:spacing w:val="-2"/>
        </w:rPr>
        <w:t>处置固定资产损失由搬迁补偿款补偿，二厂产品市场不景气，毛利率较低；美伦纸业白牛卡项目转资，全面投产，处于市场</w:t>
      </w:r>
      <w:r>
        <w:rPr>
          <w:spacing w:val="-66"/>
        </w:rPr>
        <w:t> </w:t>
      </w:r>
      <w:r>
        <w:rPr>
          <w:spacing w:val="-66"/>
        </w:rPr>
      </w:r>
      <w:r>
        <w:rPr/>
        <w:t>开发阶段。</w:t>
      </w:r>
    </w:p>
    <w:p>
      <w:pPr>
        <w:pStyle w:val="BodyText"/>
        <w:spacing w:line="302" w:lineRule="auto" w:before="62"/>
        <w:ind w:right="141"/>
        <w:jc w:val="left"/>
      </w:pPr>
      <w:r>
        <w:rPr>
          <w:rFonts w:ascii="Times New Roman" w:hAnsi="Times New Roman" w:cs="Times New Roman" w:eastAsia="Times New Roman" w:hint="default"/>
        </w:rPr>
        <w:t>2</w:t>
      </w:r>
      <w:r>
        <w:rPr/>
        <w:t>、湛江晨鸣主要产品商品浆和高档双胶纸市场较好，毛利率高，收益较好；江西晨鸣加大科研开发力度，被评为高新技术 企业，产品毛利增加。晨鸣热电由于主要原材料煤的价格持续偏低，盈利状况进一步转好。</w:t>
      </w:r>
    </w:p>
    <w:p>
      <w:pPr>
        <w:pStyle w:val="BodyText"/>
        <w:spacing w:line="340" w:lineRule="auto" w:before="69"/>
        <w:ind w:right="3654" w:hanging="1"/>
        <w:jc w:val="left"/>
      </w:pPr>
      <w:r>
        <w:rPr>
          <w:rFonts w:ascii="Times New Roman" w:hAnsi="Times New Roman" w:cs="Times New Roman" w:eastAsia="Times New Roman" w:hint="default"/>
        </w:rPr>
        <w:t>3</w:t>
      </w:r>
      <w:r>
        <w:rPr/>
        <w:t>、销售公司和香港晨鸣由于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年市场回暖，毛利率增加，逐步实现盈利。 报告期内取得和处置子公司的情况</w:t>
      </w:r>
    </w:p>
    <w:p>
      <w:pPr>
        <w:pStyle w:val="BodyText"/>
        <w:spacing w:line="240" w:lineRule="auto" w:before="40"/>
        <w:ind w:right="0"/>
        <w:jc w:val="both"/>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3368"/>
        <w:gridCol w:w="1416"/>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2" w:right="72"/>
              <w:jc w:val="left"/>
              <w:rPr>
                <w:rFonts w:ascii="宋体" w:hAnsi="宋体" w:cs="宋体" w:eastAsia="宋体" w:hint="default"/>
                <w:sz w:val="18"/>
                <w:szCs w:val="18"/>
              </w:rPr>
            </w:pPr>
            <w:r>
              <w:rPr>
                <w:rFonts w:ascii="宋体" w:hAnsi="宋体" w:cs="宋体" w:eastAsia="宋体" w:hint="default"/>
                <w:sz w:val="18"/>
                <w:szCs w:val="18"/>
              </w:rPr>
              <w:t>报告期内取得和 处置子公司方式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GmbH</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加强本公司纸品销售工作，进一步扩大公 司产品在欧洲市场的占有份额，建立更广 泛、更完善的营销网络。</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28"/>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年度净利润为</w:t>
            </w:r>
            <w:r>
              <w:rPr>
                <w:rFonts w:ascii="Times New Roman" w:hAnsi="Times New Roman" w:cs="Times New Roman" w:eastAsia="Times New Roman" w:hint="default"/>
                <w:sz w:val="18"/>
                <w:szCs w:val="18"/>
              </w:rPr>
              <w:t>-1640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充分利用湛江晨鸣已建成的公用工程和辅 助设施等配套资源，实现企业产品多元化 进一步降低成本，增强公司的抗风险能力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341" w:val="left" w:leader="none"/>
              </w:tabs>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w:t>
              <w:tab/>
              <w:t>出资设立</w:t>
            </w:r>
          </w:p>
          <w:p>
            <w:pPr>
              <w:pStyle w:val="TableParagraph"/>
              <w:spacing w:line="240" w:lineRule="auto" w:before="77"/>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年度净利润为</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湛江晨鸣新型墙体材料有限 公司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加强资源综合利用，积极响应国家资源综 合利用政策，同时适应当地市场需求。</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年度净利润为</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根据公司产品高端化的发展战略，进一步 提升高端优势产品比重、提高经济效益。</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处置股权收益为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武汉晨建新型墙体材料有限 责任公司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生产经营需要。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处置股权损失为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武汉星之恋纸业有限公司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生产经营需要。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年业绩无影响。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上海润晨股权投资基金有限 公司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为维护公司和广大股东利益，降低投资风 险，提高资金使用效率。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出售资产对净利润无影响。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吉林晨鸣废旧物资回收有限 公司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生产经营需要。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年业绩无影响。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山东晨鸣纸业集团（富裕）销 售有限公司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为便于业务操作，发挥公司统一销售的优 势，加强市场开发力度。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出资设立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年业绩无影响。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寿光鸿翔印刷包装有限责任 公司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为了延长公司产业链，并增加收入。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收购股权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r>
        <w:trPr>
          <w:trHeight w:val="98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充分利用和发挥湖北浙商在房地产开发领 域的影响力，加快武汉晨鸣老工业厂区改 造，高效率开发利用土地，提升武汉经济</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丧失控制权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2" w:lineRule="auto"/>
              <w:ind w:left="22" w:right="108"/>
              <w:jc w:val="left"/>
              <w:rPr>
                <w:rFonts w:ascii="宋体" w:hAnsi="宋体" w:cs="宋体" w:eastAsia="宋体" w:hint="default"/>
                <w:sz w:val="18"/>
                <w:szCs w:val="18"/>
              </w:rPr>
            </w:pPr>
            <w:r>
              <w:rPr>
                <w:rFonts w:ascii="宋体" w:hAnsi="宋体" w:cs="宋体" w:eastAsia="宋体" w:hint="default"/>
                <w:sz w:val="18"/>
                <w:szCs w:val="18"/>
              </w:rPr>
              <w:t>丧失控制权产生收益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bl>
    <w:p>
      <w:pPr>
        <w:spacing w:after="0" w:line="302" w:lineRule="auto"/>
        <w:jc w:val="left"/>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3368"/>
        <w:gridCol w:w="1416"/>
        <w:gridCol w:w="2392"/>
      </w:tblGrid>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92"/>
              <w:jc w:val="left"/>
              <w:rPr>
                <w:rFonts w:ascii="宋体" w:hAnsi="宋体" w:cs="宋体" w:eastAsia="宋体" w:hint="default"/>
                <w:sz w:val="18"/>
                <w:szCs w:val="18"/>
              </w:rPr>
            </w:pPr>
            <w:r>
              <w:rPr>
                <w:rFonts w:ascii="宋体" w:hAnsi="宋体" w:cs="宋体" w:eastAsia="宋体" w:hint="default"/>
                <w:sz w:val="18"/>
                <w:szCs w:val="18"/>
              </w:rPr>
              <w:t>技术开发区整体环境，拓宽公司产业链， 增强公司的持续盈利能力。</w:t>
            </w:r>
          </w:p>
        </w:tc>
        <w:tc>
          <w:tcPr>
            <w:tcW w:w="141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2"/>
        <w:gridCol w:w="1594"/>
        <w:gridCol w:w="1000"/>
        <w:gridCol w:w="2186"/>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计划投资总额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本报告期投入金额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1" w:right="71" w:hanging="180"/>
              <w:jc w:val="left"/>
              <w:rPr>
                <w:rFonts w:ascii="宋体" w:hAnsi="宋体" w:cs="宋体" w:eastAsia="宋体" w:hint="default"/>
                <w:sz w:val="18"/>
                <w:szCs w:val="18"/>
              </w:rPr>
            </w:pPr>
            <w:r>
              <w:rPr>
                <w:rFonts w:ascii="宋体" w:hAnsi="宋体" w:cs="宋体" w:eastAsia="宋体" w:hint="default"/>
                <w:sz w:val="18"/>
                <w:szCs w:val="18"/>
              </w:rPr>
              <w:t>截至报告期末累计 实际投入金额</w:t>
            </w:r>
          </w:p>
        </w:tc>
        <w:tc>
          <w:tcPr>
            <w:tcW w:w="1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万吨白牛卡项目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257,827.22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报告期内转资，处在市场开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发阶段。</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吉林晨鸣迁建</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93,690.83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221,857.03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月试生产，截至 本报告期末，尚未转资。</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江西晨鸣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 档包装纸项目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183,000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12,262.54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12,262.54</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菱镁矿开采</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26,694.06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46,305.95</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万吨纸杯原纸项 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132,300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31,376.06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31,376.06</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万吨高级文化纸 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309,700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28,495.90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28,495.90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黄冈晨鸣林纸一体 化项目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348,510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13,079.53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未完工</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1,513,510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202,476.62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611,204.23</w:t>
            </w:r>
          </w:p>
        </w:tc>
        <w:tc>
          <w:tcPr>
            <w:tcW w:w="1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临时公告披露的指定网站查询索引</w:t>
            </w:r>
          </w:p>
        </w:tc>
        <w:tc>
          <w:tcPr>
            <w:tcW w:w="6372"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八、</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left="154" w:right="0"/>
        <w:jc w:val="left"/>
      </w:pPr>
      <w:r>
        <w:rPr/>
        <w:t>预测年初至下一报告期期末的累计净利润可能为亏损或者与上年同期相比发生大幅度变动的警示及原因说明</w:t>
      </w:r>
    </w:p>
    <w:p>
      <w:pPr>
        <w:pStyle w:val="BodyText"/>
        <w:spacing w:line="240" w:lineRule="auto" w:before="116"/>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九、公司控制的特殊目的主体情况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报告期内，公司不存在控制下的特殊目的主体。</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十、公司未来发展的展望</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15" w:right="0"/>
        <w:jc w:val="left"/>
        <w:rPr>
          <w:b w:val="0"/>
          <w:bCs w:val="0"/>
        </w:rPr>
      </w:pPr>
      <w:r>
        <w:rPr>
          <w:rFonts w:ascii="Times New Roman" w:hAnsi="Times New Roman" w:cs="Times New Roman" w:eastAsia="Times New Roman" w:hint="default"/>
        </w:rPr>
        <w:t>1</w:t>
      </w:r>
      <w:r>
        <w:rPr/>
        <w:t>、行业竞争格局和发展趋势</w:t>
      </w:r>
      <w:r>
        <w:rPr>
          <w:b w:val="0"/>
          <w:bCs w:val="0"/>
        </w:rPr>
      </w:r>
    </w:p>
    <w:p>
      <w:pPr>
        <w:pStyle w:val="BodyText"/>
        <w:spacing w:line="314" w:lineRule="auto" w:before="46"/>
        <w:ind w:right="150" w:firstLine="360"/>
        <w:jc w:val="both"/>
      </w:pPr>
      <w:r>
        <w:rPr>
          <w:spacing w:val="-2"/>
        </w:rPr>
        <w:t>公司所处的行业为轻工造纸业，作为与国民经济和社会事业发展关系十分密切的重要基础原材料产业，造纸产业具有资</w:t>
      </w:r>
      <w:r>
        <w:rPr/>
        <w:t> </w:t>
      </w:r>
      <w:r>
        <w:rPr>
          <w:spacing w:val="-2"/>
        </w:rPr>
        <w:t>金技术密集、规模效益显著等特点，其增长率与</w:t>
      </w:r>
      <w:r>
        <w:rPr>
          <w:rFonts w:ascii="Times New Roman" w:hAnsi="Times New Roman" w:cs="Times New Roman" w:eastAsia="Times New Roman" w:hint="default"/>
          <w:spacing w:val="-2"/>
        </w:rPr>
        <w:t>GDP</w:t>
      </w:r>
      <w:r>
        <w:rPr>
          <w:spacing w:val="-2"/>
        </w:rPr>
        <w:t>增长率有很强的正相关性。从国际、国内的经济发展环境来看，世界多</w:t>
      </w:r>
      <w:r>
        <w:rPr>
          <w:spacing w:val="-67"/>
        </w:rPr>
        <w:t> </w:t>
      </w:r>
      <w:r>
        <w:rPr>
          <w:spacing w:val="-67"/>
        </w:rPr>
      </w:r>
      <w:r>
        <w:rPr>
          <w:spacing w:val="-2"/>
        </w:rPr>
        <w:t>极化、经济全球化深入发展，产业结构正在进行新一轮调整，各国普遍重视实体经济发展，科学技术孕育重大突破；国家继</w:t>
      </w:r>
      <w:r>
        <w:rPr>
          <w:spacing w:val="-66"/>
        </w:rPr>
        <w:t> </w:t>
      </w:r>
      <w:r>
        <w:rPr>
          <w:spacing w:val="-66"/>
        </w:rPr>
      </w:r>
      <w:r>
        <w:rPr>
          <w:spacing w:val="-2"/>
        </w:rPr>
        <w:t>续实施积极的财政政策和稳健的货币政策，国民经济将保持平稳较快发展，造纸行业所面临的发展条件在逐步向好。从行业</w:t>
      </w:r>
      <w:r>
        <w:rPr>
          <w:spacing w:val="-66"/>
        </w:rPr>
        <w:t> </w:t>
      </w:r>
      <w:r>
        <w:rPr>
          <w:spacing w:val="-66"/>
        </w:rPr>
      </w:r>
      <w:r>
        <w:rPr>
          <w:spacing w:val="-2"/>
        </w:rPr>
        <w:t>本身来说，</w:t>
      </w:r>
      <w:r>
        <w:rPr>
          <w:rFonts w:ascii="Times New Roman" w:hAnsi="Times New Roman" w:cs="Times New Roman" w:eastAsia="Times New Roman" w:hint="default"/>
          <w:spacing w:val="-2"/>
        </w:rPr>
        <w:t>2013</w:t>
      </w:r>
      <w:r>
        <w:rPr>
          <w:spacing w:val="-2"/>
        </w:rPr>
        <w:t>年以来，国内造纸行业下游需求增速仍处于低位，内需持续较弱，造纸行业整体盈利水平在低位徘徊，但从</w:t>
      </w:r>
    </w:p>
    <w:p>
      <w:pPr>
        <w:spacing w:after="0" w:line="314" w:lineRule="auto"/>
        <w:jc w:val="both"/>
        <w:sectPr>
          <w:pgSz w:w="11910" w:h="16840"/>
          <w:pgMar w:header="877" w:footer="950" w:top="1100" w:bottom="1140" w:left="980" w:right="980"/>
        </w:sectPr>
      </w:pPr>
    </w:p>
    <w:p>
      <w:pPr>
        <w:spacing w:line="240" w:lineRule="auto" w:before="12"/>
        <w:rPr>
          <w:rFonts w:ascii="宋体" w:hAnsi="宋体" w:cs="宋体" w:eastAsia="宋体" w:hint="default"/>
          <w:sz w:val="21"/>
          <w:szCs w:val="21"/>
        </w:rPr>
      </w:pPr>
    </w:p>
    <w:p>
      <w:pPr>
        <w:pStyle w:val="BodyText"/>
        <w:spacing w:line="307" w:lineRule="auto" w:before="44"/>
        <w:ind w:right="93"/>
        <w:jc w:val="left"/>
      </w:pPr>
      <w:r>
        <w:rPr>
          <w:spacing w:val="-6"/>
        </w:rPr>
        <w:t>长远看，造纸行业所面临的发展条件在逐步向好。国家发改委、工信部、国家林业局联合印发《造纸工业发展</w:t>
      </w:r>
      <w:r>
        <w:rPr>
          <w:rFonts w:ascii="Times New Roman" w:hAnsi="Times New Roman" w:cs="Times New Roman" w:eastAsia="Times New Roman" w:hint="default"/>
          <w:spacing w:val="-6"/>
        </w:rPr>
        <w:t>“</w:t>
      </w:r>
      <w:r>
        <w:rPr>
          <w:spacing w:val="-6"/>
        </w:rPr>
        <w:t>十二五</w:t>
      </w:r>
      <w:r>
        <w:rPr>
          <w:rFonts w:ascii="Times New Roman" w:hAnsi="Times New Roman" w:cs="Times New Roman" w:eastAsia="Times New Roman" w:hint="default"/>
          <w:spacing w:val="-6"/>
        </w:rPr>
        <w:t>”</w:t>
      </w:r>
      <w:r>
        <w:rPr>
          <w:spacing w:val="-6"/>
        </w:rPr>
        <w:t>规划》，</w:t>
      </w:r>
      <w:r>
        <w:rPr>
          <w:spacing w:val="-85"/>
        </w:rPr>
        <w:t> </w:t>
      </w:r>
      <w:r>
        <w:rPr>
          <w:spacing w:val="-85"/>
        </w:rPr>
      </w:r>
      <w:r>
        <w:rPr/>
        <w:t>明确指出</w:t>
      </w:r>
      <w:r>
        <w:rPr>
          <w:rFonts w:ascii="Times New Roman" w:hAnsi="Times New Roman" w:cs="Times New Roman" w:eastAsia="Times New Roman" w:hint="default"/>
        </w:rPr>
        <w:t>“</w:t>
      </w:r>
      <w:r>
        <w:rPr/>
        <w:t>控制总量、促进集中、优化原料、节能减排</w:t>
      </w:r>
      <w:r>
        <w:rPr>
          <w:rFonts w:ascii="Times New Roman" w:hAnsi="Times New Roman" w:cs="Times New Roman" w:eastAsia="Times New Roman" w:hint="default"/>
        </w:rPr>
        <w:t>”</w:t>
      </w:r>
      <w:r>
        <w:rPr/>
        <w:t>的大方向，公司有望长期受益。淘汰落后产能以及日趋严格的环保政 </w:t>
      </w:r>
      <w:r>
        <w:rPr>
          <w:spacing w:val="-2"/>
        </w:rPr>
        <w:t>策将使部分中小企业退出市场，从而部分缓解新增产能对行业供给造成的压力。造纸行业供给增长放缓及淘汰落后产能促进</w:t>
      </w:r>
      <w:r>
        <w:rPr>
          <w:spacing w:val="-64"/>
        </w:rPr>
        <w:t> </w:t>
      </w:r>
      <w:r>
        <w:rPr>
          <w:spacing w:val="-64"/>
        </w:rPr>
      </w:r>
      <w:r>
        <w:rPr/>
        <w:t>了行业集中度的提高，有利于企业的自主提价行为。</w:t>
      </w:r>
    </w:p>
    <w:p>
      <w:pPr>
        <w:pStyle w:val="BodyText"/>
        <w:spacing w:line="316" w:lineRule="auto" w:before="67"/>
        <w:ind w:right="108" w:firstLine="360"/>
        <w:jc w:val="both"/>
      </w:pPr>
      <w:r>
        <w:rPr/>
        <w:t>近年来公司致力于林浆纸一体化发展，产业链较长，纸种比较全面。报告期内，在前景较好的纸种上进行了产能扩张， 公司发展道路符合整个造纸工业发展规划要求，同时公司成立财务公司、融资租赁公司以及进行菱镁矿开采等，介入金融、 能源等领域，拓宽了产业链，产业布局更加合理，竞争实力和发展后劲将进一步增强。随着经济形势好转，行业逐渐复苏， 公司业绩将会出现稳步增长，公司未来业绩值得期待。</w:t>
      </w:r>
    </w:p>
    <w:p>
      <w:pPr>
        <w:spacing w:line="240" w:lineRule="auto" w:before="5"/>
        <w:rPr>
          <w:rFonts w:ascii="宋体" w:hAnsi="宋体" w:cs="宋体" w:eastAsia="宋体" w:hint="default"/>
          <w:sz w:val="26"/>
          <w:szCs w:val="26"/>
        </w:rPr>
      </w:pPr>
    </w:p>
    <w:p>
      <w:pPr>
        <w:pStyle w:val="Heading4"/>
        <w:spacing w:line="240" w:lineRule="auto"/>
        <w:ind w:left="515" w:right="90"/>
        <w:jc w:val="left"/>
        <w:rPr>
          <w:b w:val="0"/>
          <w:bCs w:val="0"/>
        </w:rPr>
      </w:pPr>
      <w:r>
        <w:rPr>
          <w:rFonts w:ascii="Times New Roman" w:hAnsi="Times New Roman" w:cs="Times New Roman" w:eastAsia="Times New Roman" w:hint="default"/>
        </w:rPr>
        <w:t>2</w:t>
      </w:r>
      <w:r>
        <w:rPr/>
        <w:t>、公司发展战略</w:t>
      </w:r>
      <w:r>
        <w:rPr>
          <w:b w:val="0"/>
          <w:bCs w:val="0"/>
        </w:rPr>
      </w:r>
    </w:p>
    <w:p>
      <w:pPr>
        <w:pStyle w:val="BodyText"/>
        <w:spacing w:line="300" w:lineRule="auto" w:before="87"/>
        <w:ind w:right="188" w:firstLine="290"/>
        <w:jc w:val="both"/>
      </w:pPr>
      <w:r>
        <w:rPr/>
        <w:t>（</w:t>
      </w:r>
      <w:r>
        <w:rPr>
          <w:rFonts w:ascii="Times New Roman" w:hAnsi="Times New Roman" w:cs="Times New Roman" w:eastAsia="Times New Roman" w:hint="default"/>
        </w:rPr>
        <w:t>1</w:t>
      </w:r>
      <w:r>
        <w:rPr/>
        <w:t>）调整产品结构，重点发展高端纸品。公司</w:t>
      </w:r>
      <w:r>
        <w:rPr>
          <w:rFonts w:ascii="Times New Roman" w:hAnsi="Times New Roman" w:cs="Times New Roman" w:eastAsia="Times New Roman" w:hint="default"/>
        </w:rPr>
        <w:t>80</w:t>
      </w:r>
      <w:r>
        <w:rPr/>
        <w:t>万吨高档低定量铜版纸项目、</w:t>
      </w:r>
      <w:r>
        <w:rPr>
          <w:rFonts w:ascii="Times New Roman" w:hAnsi="Times New Roman" w:cs="Times New Roman" w:eastAsia="Times New Roman" w:hint="default"/>
        </w:rPr>
        <w:t>45</w:t>
      </w:r>
      <w:r>
        <w:rPr/>
        <w:t>万吨高级文化纸项目、</w:t>
      </w:r>
      <w:r>
        <w:rPr>
          <w:rFonts w:ascii="Times New Roman" w:hAnsi="Times New Roman" w:cs="Times New Roman" w:eastAsia="Times New Roman" w:hint="default"/>
        </w:rPr>
        <w:t>60</w:t>
      </w:r>
      <w:r>
        <w:rPr/>
        <w:t>万吨高档涂</w:t>
      </w:r>
      <w:r>
        <w:rPr>
          <w:spacing w:val="1"/>
        </w:rPr>
        <w:t> </w:t>
      </w:r>
      <w:r>
        <w:rPr>
          <w:spacing w:val="-1"/>
        </w:rPr>
        <w:t>布白牛卡纸项目已经建成投产，并陆续投资建设了</w:t>
      </w:r>
      <w:r>
        <w:rPr>
          <w:rFonts w:ascii="Times New Roman" w:hAnsi="Times New Roman" w:cs="Times New Roman" w:eastAsia="Times New Roman" w:hint="default"/>
          <w:spacing w:val="-1"/>
        </w:rPr>
        <w:t>13.6</w:t>
      </w:r>
      <w:r>
        <w:rPr>
          <w:spacing w:val="-1"/>
        </w:rPr>
        <w:t>万吨高档生活纸项目、</w:t>
      </w:r>
      <w:r>
        <w:rPr>
          <w:rFonts w:ascii="Times New Roman" w:hAnsi="Times New Roman" w:cs="Times New Roman" w:eastAsia="Times New Roman" w:hint="default"/>
          <w:spacing w:val="-1"/>
        </w:rPr>
        <w:t>35</w:t>
      </w:r>
      <w:r>
        <w:rPr>
          <w:spacing w:val="-1"/>
        </w:rPr>
        <w:t>万吨高档包装纸项目、</w:t>
      </w:r>
      <w:r>
        <w:rPr>
          <w:rFonts w:ascii="Times New Roman" w:hAnsi="Times New Roman" w:cs="Times New Roman" w:eastAsia="Times New Roman" w:hint="default"/>
          <w:spacing w:val="-1"/>
        </w:rPr>
        <w:t>19</w:t>
      </w:r>
      <w:r>
        <w:rPr>
          <w:spacing w:val="-1"/>
        </w:rPr>
        <w:t>万吨高档文化纸和</w:t>
      </w:r>
      <w:r>
        <w:rPr>
          <w:spacing w:val="-73"/>
        </w:rPr>
        <w:t> </w:t>
      </w:r>
      <w:r>
        <w:rPr>
          <w:rFonts w:ascii="Times New Roman" w:hAnsi="Times New Roman" w:cs="Times New Roman" w:eastAsia="Times New Roman" w:hint="default"/>
        </w:rPr>
        <w:t>18</w:t>
      </w:r>
      <w:r>
        <w:rPr/>
        <w:t>万吨纸杯原纸项目等，公司将以此为契机进一步提高产品档次，力争在未来一段时间内逐步步入国际造纸先进行列。</w:t>
      </w:r>
    </w:p>
    <w:p>
      <w:pPr>
        <w:pStyle w:val="BodyText"/>
        <w:spacing w:line="300" w:lineRule="auto" w:before="51"/>
        <w:ind w:right="190" w:firstLine="360"/>
        <w:jc w:val="both"/>
      </w:pPr>
      <w:r>
        <w:rPr/>
        <w:t>（</w:t>
      </w:r>
      <w:r>
        <w:rPr>
          <w:rFonts w:ascii="Times New Roman" w:hAnsi="Times New Roman" w:cs="Times New Roman" w:eastAsia="Times New Roman" w:hint="default"/>
        </w:rPr>
        <w:t>2</w:t>
      </w:r>
      <w:r>
        <w:rPr/>
        <w:t>）解决制约公司发展的原材料瓶颈，提高产品成本控制能力。公司以建设湛江木浆项目及配套原料林基地和黄冈晨 </w:t>
      </w:r>
      <w:r>
        <w:rPr>
          <w:spacing w:val="-2"/>
        </w:rPr>
        <w:t>鸣木桨项目及配套原料林基地建设为重点，打造</w:t>
      </w:r>
      <w:r>
        <w:rPr>
          <w:rFonts w:ascii="Times New Roman" w:hAnsi="Times New Roman" w:cs="Times New Roman" w:eastAsia="Times New Roman" w:hint="default"/>
          <w:spacing w:val="-2"/>
        </w:rPr>
        <w:t>“</w:t>
      </w:r>
      <w:r>
        <w:rPr>
          <w:spacing w:val="-2"/>
        </w:rPr>
        <w:t>林浆纸一体化</w:t>
      </w:r>
      <w:r>
        <w:rPr>
          <w:rFonts w:ascii="Times New Roman" w:hAnsi="Times New Roman" w:cs="Times New Roman" w:eastAsia="Times New Roman" w:hint="default"/>
          <w:spacing w:val="-2"/>
        </w:rPr>
        <w:t>”</w:t>
      </w:r>
      <w:r>
        <w:rPr>
          <w:spacing w:val="-2"/>
        </w:rPr>
        <w:t>的产业链，从而摆脱上游资源对公司的制约，增强公司的可</w:t>
      </w:r>
      <w:r>
        <w:rPr>
          <w:spacing w:val="-44"/>
        </w:rPr>
        <w:t> </w:t>
      </w:r>
      <w:r>
        <w:rPr>
          <w:spacing w:val="-44"/>
        </w:rPr>
      </w:r>
      <w:r>
        <w:rPr/>
        <w:t>持续发展能力。</w:t>
      </w:r>
    </w:p>
    <w:p>
      <w:pPr>
        <w:pStyle w:val="BodyText"/>
        <w:spacing w:line="309" w:lineRule="auto" w:before="31"/>
        <w:ind w:left="154" w:right="190" w:firstLine="359"/>
        <w:jc w:val="both"/>
      </w:pPr>
      <w:r>
        <w:rPr/>
        <w:t>（</w:t>
      </w:r>
      <w:r>
        <w:rPr>
          <w:rFonts w:ascii="Times New Roman" w:hAnsi="Times New Roman" w:cs="Times New Roman" w:eastAsia="Times New Roman" w:hint="default"/>
        </w:rPr>
        <w:t>3</w:t>
      </w:r>
      <w:r>
        <w:rPr/>
        <w:t>）高度重视环保建设，以</w:t>
      </w:r>
      <w:r>
        <w:rPr>
          <w:rFonts w:ascii="Times New Roman" w:hAnsi="Times New Roman" w:cs="Times New Roman" w:eastAsia="Times New Roman" w:hint="default"/>
        </w:rPr>
        <w:t>“</w:t>
      </w:r>
      <w:r>
        <w:rPr/>
        <w:t>节能减排、和谐发展</w:t>
      </w:r>
      <w:r>
        <w:rPr>
          <w:rFonts w:ascii="Times New Roman" w:hAnsi="Times New Roman" w:cs="Times New Roman" w:eastAsia="Times New Roman" w:hint="default"/>
        </w:rPr>
        <w:t>”</w:t>
      </w:r>
      <w:r>
        <w:rPr/>
        <w:t>为目标。随着国家新环保标准的实施、环保治理力度的加大，公司 </w:t>
      </w:r>
      <w:r>
        <w:rPr>
          <w:spacing w:val="-2"/>
        </w:rPr>
        <w:t>将大力发展循环经济，以废物交换、循环利用，最大限度地提高资源利用率，同时加大环保项目建设力度，切实保证公司废</w:t>
      </w:r>
      <w:r>
        <w:rPr>
          <w:spacing w:val="-66"/>
        </w:rPr>
        <w:t> </w:t>
      </w:r>
      <w:r>
        <w:rPr>
          <w:spacing w:val="-66"/>
        </w:rPr>
      </w:r>
      <w:r>
        <w:rPr/>
        <w:t>弃物的达标排放。</w:t>
      </w:r>
    </w:p>
    <w:p>
      <w:pPr>
        <w:pStyle w:val="BodyText"/>
        <w:spacing w:line="300" w:lineRule="auto" w:before="24"/>
        <w:ind w:left="154" w:right="198" w:firstLine="360"/>
        <w:jc w:val="both"/>
      </w:pPr>
      <w:r>
        <w:rPr/>
        <w:t>（</w:t>
      </w:r>
      <w:r>
        <w:rPr>
          <w:rFonts w:ascii="Times New Roman" w:hAnsi="Times New Roman" w:cs="Times New Roman" w:eastAsia="Times New Roman" w:hint="default"/>
        </w:rPr>
        <w:t>4</w:t>
      </w:r>
      <w:r>
        <w:rPr/>
        <w:t>）加强技术创新与人才培养。与国际造纸企业比较，目前技术与人才两个方面是薄弱环节，一方面公司将坚持内培 外引，提高队伍素质；另一方面坚持科技兴企，增强自主创新能力。</w:t>
      </w:r>
    </w:p>
    <w:p>
      <w:pPr>
        <w:pStyle w:val="BodyText"/>
        <w:spacing w:line="309" w:lineRule="auto" w:before="72"/>
        <w:ind w:right="188" w:firstLine="290"/>
        <w:jc w:val="both"/>
      </w:pPr>
      <w:r>
        <w:rPr>
          <w:spacing w:val="-2"/>
        </w:rPr>
        <w:t>（</w:t>
      </w:r>
      <w:r>
        <w:rPr>
          <w:rFonts w:ascii="Times New Roman" w:hAnsi="Times New Roman" w:cs="Times New Roman" w:eastAsia="Times New Roman" w:hint="default"/>
          <w:spacing w:val="-2"/>
        </w:rPr>
        <w:t>5</w:t>
      </w:r>
      <w:r>
        <w:rPr>
          <w:spacing w:val="-2"/>
        </w:rPr>
        <w:t>）提升企业管理，提高运行质量。一是践行</w:t>
      </w:r>
      <w:r>
        <w:rPr>
          <w:rFonts w:ascii="Times New Roman" w:hAnsi="Times New Roman" w:cs="Times New Roman" w:eastAsia="Times New Roman" w:hint="default"/>
          <w:spacing w:val="-2"/>
        </w:rPr>
        <w:t>“</w:t>
      </w:r>
      <w:r>
        <w:rPr>
          <w:spacing w:val="-2"/>
        </w:rPr>
        <w:t>用制度管人，按标准做事</w:t>
      </w:r>
      <w:r>
        <w:rPr>
          <w:rFonts w:ascii="Times New Roman" w:hAnsi="Times New Roman" w:cs="Times New Roman" w:eastAsia="Times New Roman" w:hint="default"/>
          <w:spacing w:val="-2"/>
        </w:rPr>
        <w:t>”</w:t>
      </w:r>
      <w:r>
        <w:rPr>
          <w:spacing w:val="-2"/>
        </w:rPr>
        <w:t>的管理理念，完善各项制度和流程，增强制度</w:t>
      </w:r>
      <w:r>
        <w:rPr/>
        <w:t> </w:t>
      </w:r>
      <w:r>
        <w:rPr>
          <w:spacing w:val="-2"/>
        </w:rPr>
        <w:t>执行力；二是提高设备自动化和管理信息化水平，按国际先进企业标准实现定岗定员；三是深化薪酬制度改革，完善绩效考</w:t>
      </w:r>
      <w:r>
        <w:rPr>
          <w:spacing w:val="-66"/>
        </w:rPr>
        <w:t> </w:t>
      </w:r>
      <w:r>
        <w:rPr>
          <w:spacing w:val="-66"/>
        </w:rPr>
      </w:r>
      <w:r>
        <w:rPr/>
        <w:t>核体系，设立多种晋升通道和职级；四是强化管理人员管理意识，提高发现和解决问题的能力。</w:t>
      </w:r>
    </w:p>
    <w:p>
      <w:pPr>
        <w:pStyle w:val="BodyText"/>
        <w:spacing w:line="314" w:lineRule="auto" w:before="62"/>
        <w:ind w:right="91" w:firstLine="290"/>
        <w:jc w:val="left"/>
      </w:pPr>
      <w:r>
        <w:rPr/>
        <w:t>（</w:t>
      </w:r>
      <w:r>
        <w:rPr>
          <w:rFonts w:ascii="Times New Roman" w:hAnsi="Times New Roman" w:cs="Times New Roman" w:eastAsia="Times New Roman" w:hint="default"/>
        </w:rPr>
        <w:t>6</w:t>
      </w:r>
      <w:r>
        <w:rPr/>
        <w:t>）开拓国内外市场，拓展发展空间。一是实施积极合理的营销策略，根据市场变化及时调整产品结构，通过创新的</w:t>
      </w:r>
      <w:r>
        <w:rPr>
          <w:spacing w:val="1"/>
        </w:rPr>
        <w:t> </w:t>
      </w:r>
      <w:r>
        <w:rPr>
          <w:spacing w:val="-2"/>
        </w:rPr>
        <w:t>营销、创新的服务，进一步扩大国内外市场份额；二是加强营销管理，依托管理咨询机构，率先在销售系统推行新的管理模</w:t>
      </w:r>
      <w:r>
        <w:rPr>
          <w:spacing w:val="-66"/>
        </w:rPr>
        <w:t> </w:t>
      </w:r>
      <w:r>
        <w:rPr>
          <w:spacing w:val="-66"/>
        </w:rPr>
      </w:r>
      <w:r>
        <w:rPr/>
        <w:t>式，调整产品公司管理架构，强化市场细分管理，加大培训力度，打造业务素质过硬的销售队伍；三是健全国际营销网络， </w:t>
      </w:r>
      <w:r>
        <w:rPr>
          <w:spacing w:val="-2"/>
        </w:rPr>
        <w:t>强化海外销售力量，扩大出口份额；四是开展电子商务，加快虚拟终端市场建设，开展面向客户的电子商务业务，通过网络</w:t>
      </w:r>
      <w:r>
        <w:rPr>
          <w:spacing w:val="-66"/>
        </w:rPr>
        <w:t> </w:t>
      </w:r>
      <w:r>
        <w:rPr>
          <w:spacing w:val="-66"/>
        </w:rPr>
      </w:r>
      <w:r>
        <w:rPr/>
        <w:t>营销拓宽销售渠道。</w:t>
      </w:r>
    </w:p>
    <w:p>
      <w:pPr>
        <w:spacing w:line="240" w:lineRule="auto" w:before="0"/>
        <w:rPr>
          <w:rFonts w:ascii="宋体" w:hAnsi="宋体" w:cs="宋体" w:eastAsia="宋体" w:hint="default"/>
          <w:sz w:val="18"/>
          <w:szCs w:val="18"/>
        </w:rPr>
      </w:pPr>
    </w:p>
    <w:p>
      <w:pPr>
        <w:pStyle w:val="Heading4"/>
        <w:spacing w:line="240" w:lineRule="auto" w:before="151"/>
        <w:ind w:left="515" w:right="9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年经营计划</w:t>
      </w:r>
      <w:r>
        <w:rPr>
          <w:b w:val="0"/>
          <w:bCs w:val="0"/>
        </w:rPr>
      </w:r>
    </w:p>
    <w:p>
      <w:pPr>
        <w:pStyle w:val="BodyText"/>
        <w:spacing w:line="316" w:lineRule="auto" w:before="87"/>
        <w:ind w:left="154" w:right="98" w:firstLine="360"/>
        <w:jc w:val="both"/>
      </w:pPr>
      <w:r>
        <w:rPr>
          <w:spacing w:val="-2"/>
        </w:rPr>
        <w:t>（一）企业管理。一是牢牢树立、坚决执行“打造团队、严细管理、业务精湛、创出佳绩”的工作方针。二是在企业管</w:t>
      </w:r>
      <w:r>
        <w:rPr/>
        <w:t> </w:t>
      </w:r>
      <w:r>
        <w:rPr>
          <w:spacing w:val="-2"/>
        </w:rPr>
        <w:t>理方面主要采取以下四项措施：①对现有管理制度重新修订完善，做到简单、有效、易行，为严细管理创造基本条件。②抓</w:t>
      </w:r>
      <w:r>
        <w:rPr>
          <w:spacing w:val="-68"/>
        </w:rPr>
        <w:t> </w:t>
      </w:r>
      <w:r>
        <w:rPr>
          <w:spacing w:val="-68"/>
        </w:rPr>
      </w:r>
      <w:r>
        <w:rPr>
          <w:spacing w:val="-3"/>
        </w:rPr>
        <w:t>好团队建设。遵循编制好培训材料、严格考试、合格上岗、不合格淘汰的原则。③加强严细管理，在</w:t>
      </w:r>
      <w:r>
        <w:rPr>
          <w:rFonts w:ascii="Times New Roman" w:hAnsi="Times New Roman" w:cs="Times New Roman" w:eastAsia="Times New Roman" w:hint="default"/>
          <w:spacing w:val="-3"/>
        </w:rPr>
        <w:t>“</w:t>
      </w:r>
      <w:r>
        <w:rPr>
          <w:spacing w:val="-3"/>
        </w:rPr>
        <w:t>严</w:t>
      </w:r>
      <w:r>
        <w:rPr>
          <w:rFonts w:ascii="Times New Roman" w:hAnsi="Times New Roman" w:cs="Times New Roman" w:eastAsia="Times New Roman" w:hint="default"/>
          <w:spacing w:val="-3"/>
        </w:rPr>
        <w:t>”</w:t>
      </w:r>
      <w:r>
        <w:rPr>
          <w:spacing w:val="-3"/>
        </w:rPr>
        <w:t>与</w:t>
      </w:r>
      <w:r>
        <w:rPr>
          <w:rFonts w:ascii="Times New Roman" w:hAnsi="Times New Roman" w:cs="Times New Roman" w:eastAsia="Times New Roman" w:hint="default"/>
          <w:spacing w:val="-3"/>
        </w:rPr>
        <w:t>“</w:t>
      </w:r>
      <w:r>
        <w:rPr>
          <w:spacing w:val="-3"/>
        </w:rPr>
        <w:t>细</w:t>
      </w:r>
      <w:r>
        <w:rPr>
          <w:rFonts w:ascii="Times New Roman" w:hAnsi="Times New Roman" w:cs="Times New Roman" w:eastAsia="Times New Roman" w:hint="default"/>
          <w:spacing w:val="-3"/>
        </w:rPr>
        <w:t>”</w:t>
      </w:r>
      <w:r>
        <w:rPr>
          <w:spacing w:val="-3"/>
        </w:rPr>
        <w:t>上做好文章。</w:t>
      </w:r>
    </w:p>
    <w:p>
      <w:pPr>
        <w:pStyle w:val="BodyText"/>
        <w:spacing w:line="240" w:lineRule="auto"/>
        <w:ind w:left="154" w:right="90"/>
        <w:jc w:val="left"/>
      </w:pPr>
      <w:r>
        <w:rPr/>
        <w:t>④完善激励机制，创新激励办法，推行竞争上岗，进一步调动干部员工的积极性。</w:t>
      </w:r>
    </w:p>
    <w:p>
      <w:pPr>
        <w:pStyle w:val="BodyText"/>
        <w:spacing w:line="319" w:lineRule="auto" w:before="115"/>
        <w:ind w:left="154" w:right="188" w:firstLine="360"/>
        <w:jc w:val="both"/>
      </w:pPr>
      <w:r>
        <w:rPr>
          <w:spacing w:val="-2"/>
        </w:rPr>
        <w:t>（二）经营管理。通过优化产品结构，增加高效益区域投放等来增加效益；借鉴先进企业营销激励办法，完善绩效考核</w:t>
      </w:r>
      <w:r>
        <w:rPr/>
        <w:t> </w:t>
      </w:r>
      <w:r>
        <w:rPr>
          <w:spacing w:val="-2"/>
        </w:rPr>
        <w:t>方案，体现多劳多得，充分激发销售积极性；完善制度，严格控制风险，对业务操作中以谋取私利为目的形成风险，损害公</w:t>
      </w:r>
      <w:r>
        <w:rPr>
          <w:spacing w:val="-68"/>
        </w:rPr>
        <w:t> </w:t>
      </w:r>
      <w:r>
        <w:rPr>
          <w:spacing w:val="-68"/>
        </w:rPr>
      </w:r>
      <w:r>
        <w:rPr>
          <w:spacing w:val="-2"/>
        </w:rPr>
        <w:t>司利益构成犯罪的追究刑事责任；通过研究市场，及时制定销售策略等措施降低库存，降低资金占用，赢得市场主动；加强</w:t>
      </w:r>
      <w:r>
        <w:rPr>
          <w:spacing w:val="-66"/>
        </w:rPr>
        <w:t> </w:t>
      </w:r>
      <w:r>
        <w:rPr>
          <w:spacing w:val="-66"/>
        </w:rPr>
      </w:r>
      <w:r>
        <w:rPr/>
        <w:t>新产品推广，对热敏纸、格拉辛纸等高附加值产品建立专业销售队伍，增加公司收益。</w:t>
      </w:r>
    </w:p>
    <w:p>
      <w:pPr>
        <w:pStyle w:val="BodyText"/>
        <w:spacing w:line="312" w:lineRule="auto" w:before="56"/>
        <w:ind w:left="154" w:right="90" w:firstLine="360"/>
        <w:jc w:val="left"/>
      </w:pPr>
      <w:r>
        <w:rPr>
          <w:spacing w:val="-4"/>
        </w:rPr>
        <w:t>（三）生产管理。一是高度重视改造投产项目和新建投产项目的运营，对公司</w:t>
      </w:r>
      <w:r>
        <w:rPr>
          <w:rFonts w:ascii="Times New Roman" w:hAnsi="Times New Roman" w:cs="Times New Roman" w:eastAsia="Times New Roman" w:hint="default"/>
          <w:spacing w:val="-4"/>
        </w:rPr>
        <w:t>80</w:t>
      </w:r>
      <w:r>
        <w:rPr>
          <w:spacing w:val="-4"/>
        </w:rPr>
        <w:t>万吨铜版纸项目、</w:t>
      </w:r>
      <w:r>
        <w:rPr>
          <w:rFonts w:ascii="Times New Roman" w:hAnsi="Times New Roman" w:cs="Times New Roman" w:eastAsia="Times New Roman" w:hint="default"/>
          <w:spacing w:val="-4"/>
        </w:rPr>
        <w:t>60</w:t>
      </w:r>
      <w:r>
        <w:rPr>
          <w:spacing w:val="-4"/>
        </w:rPr>
        <w:t>万吨白牛卡纸项目、</w:t>
      </w:r>
      <w:r>
        <w:rPr/>
        <w:t> </w:t>
      </w:r>
      <w:r>
        <w:rPr>
          <w:spacing w:val="-2"/>
        </w:rPr>
        <w:t>吉林晨鸣环保迁建项目、美伦造纸助剂项目、武汉特种纸改造及生活纸项目重点管理，尽快形成效益增长点。二是抓好产品</w:t>
      </w:r>
      <w:r>
        <w:rPr>
          <w:spacing w:val="-66"/>
        </w:rPr>
        <w:t> </w:t>
      </w:r>
      <w:r>
        <w:rPr>
          <w:spacing w:val="-66"/>
        </w:rPr>
      </w:r>
      <w:r>
        <w:rPr>
          <w:spacing w:val="-2"/>
        </w:rPr>
        <w:t>结构调整和新产品开发工作。完成格拉辛纸、热敏纸等新产品开发，丰富产品结构，提高应对市场能力，并对新产品及高附</w:t>
      </w:r>
      <w:r>
        <w:rPr>
          <w:spacing w:val="-66"/>
        </w:rPr>
        <w:t> </w:t>
      </w:r>
      <w:r>
        <w:rPr>
          <w:spacing w:val="-66"/>
        </w:rPr>
      </w:r>
      <w:r>
        <w:rPr>
          <w:spacing w:val="-2"/>
        </w:rPr>
        <w:t>加值产品增加销售。三是抓好技术研发与技术应用工作，提高核心竞争力。研究使用纤维增强和填料改性技术、新型胶粘剂</w:t>
      </w:r>
    </w:p>
    <w:p>
      <w:pPr>
        <w:spacing w:after="0" w:line="312"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19" w:lineRule="auto" w:before="44"/>
        <w:ind w:right="90"/>
        <w:jc w:val="left"/>
      </w:pPr>
      <w:r>
        <w:rPr>
          <w:spacing w:val="-2"/>
        </w:rPr>
        <w:t>替代技术等，降低成本，增加效益。四是严抓设备基础管理，杜绝大的设备责任事故。五是继续落实定岗定员工作。通过岗</w:t>
      </w:r>
      <w:r>
        <w:rPr>
          <w:spacing w:val="-68"/>
        </w:rPr>
        <w:t> </w:t>
      </w:r>
      <w:r>
        <w:rPr>
          <w:spacing w:val="-68"/>
        </w:rPr>
      </w:r>
      <w:r>
        <w:rPr/>
        <w:t>位合并和自动化改进，降低人工成本。</w:t>
      </w:r>
    </w:p>
    <w:p>
      <w:pPr>
        <w:pStyle w:val="BodyText"/>
        <w:spacing w:line="314" w:lineRule="auto" w:before="55"/>
        <w:ind w:right="85" w:firstLine="360"/>
        <w:jc w:val="left"/>
      </w:pPr>
      <w:r>
        <w:rPr>
          <w:spacing w:val="-2"/>
        </w:rPr>
        <w:t>（四）项目管理。一是根据“精心规划、铸造精品、争创进度、效益验证”的项目建设方针，对原有的项目管理制度进</w:t>
      </w:r>
      <w:r>
        <w:rPr/>
        <w:t> </w:t>
      </w:r>
      <w:r>
        <w:rPr>
          <w:spacing w:val="-2"/>
        </w:rPr>
        <w:t>行修订完善，使各项制度充分体现方针精神。二是提高项目人员专业技能，走出去学习，请进来培训。三是从前期论证到过</w:t>
      </w:r>
      <w:r>
        <w:rPr>
          <w:spacing w:val="-66"/>
        </w:rPr>
        <w:t> </w:t>
      </w:r>
      <w:r>
        <w:rPr>
          <w:spacing w:val="-66"/>
        </w:rPr>
      </w:r>
      <w:r>
        <w:rPr/>
        <w:t>程管控、从土建单位招标到设备供货商选择等都从严要求，确保工程整体质量。四是明确项目节点及质量目标，责任到人， </w:t>
      </w:r>
      <w:r>
        <w:rPr>
          <w:spacing w:val="-3"/>
        </w:rPr>
        <w:t>严明奖惩。重点做好以下几项工作：①对江西晨鸣</w:t>
      </w:r>
      <w:r>
        <w:rPr>
          <w:rFonts w:ascii="Times New Roman" w:hAnsi="Times New Roman" w:cs="Times New Roman" w:eastAsia="Times New Roman" w:hint="default"/>
          <w:spacing w:val="-3"/>
        </w:rPr>
        <w:t>35</w:t>
      </w:r>
      <w:r>
        <w:rPr>
          <w:spacing w:val="-3"/>
        </w:rPr>
        <w:t>万吨高档包装纸、湛江晨鸣</w:t>
      </w:r>
      <w:r>
        <w:rPr>
          <w:rFonts w:ascii="Times New Roman" w:hAnsi="Times New Roman" w:cs="Times New Roman" w:eastAsia="Times New Roman" w:hint="default"/>
          <w:spacing w:val="-3"/>
        </w:rPr>
        <w:t>18</w:t>
      </w:r>
      <w:r>
        <w:rPr>
          <w:spacing w:val="-3"/>
        </w:rPr>
        <w:t>万吨纸杯原纸及</w:t>
      </w:r>
      <w:r>
        <w:rPr>
          <w:rFonts w:ascii="Times New Roman" w:hAnsi="Times New Roman" w:cs="Times New Roman" w:eastAsia="Times New Roman" w:hint="default"/>
          <w:spacing w:val="-3"/>
        </w:rPr>
        <w:t>19</w:t>
      </w:r>
      <w:r>
        <w:rPr>
          <w:spacing w:val="-3"/>
        </w:rPr>
        <w:t>万吨文化纸等在建项目，</w:t>
      </w:r>
      <w:r>
        <w:rPr/>
        <w:t> </w:t>
      </w:r>
      <w:r>
        <w:rPr>
          <w:spacing w:val="-2"/>
        </w:rPr>
        <w:t>抓好节点管控与考核，严格质量与成本控制，确保按时投产。②对黄冈晨鸣林浆纸一体化等正在规划审批的项目，要反复论</w:t>
      </w:r>
      <w:r>
        <w:rPr>
          <w:spacing w:val="-66"/>
        </w:rPr>
        <w:t> </w:t>
      </w:r>
      <w:r>
        <w:rPr>
          <w:spacing w:val="-66"/>
        </w:rPr>
      </w:r>
      <w:r>
        <w:rPr/>
        <w:t>证，优化方案，确保项目成为世界一流的精品工程。</w:t>
      </w:r>
    </w:p>
    <w:p>
      <w:pPr>
        <w:pStyle w:val="BodyText"/>
        <w:spacing w:line="316" w:lineRule="auto" w:before="60"/>
        <w:ind w:right="188" w:firstLine="360"/>
        <w:jc w:val="both"/>
      </w:pPr>
      <w:r>
        <w:rPr>
          <w:spacing w:val="-2"/>
        </w:rPr>
        <w:t>（五）其他重要工作。一是加快财务公司筹建，确保按时开业运营；二是申办融资租赁公司，充分利用境外资金，降低</w:t>
      </w:r>
      <w:r>
        <w:rPr/>
        <w:t> </w:t>
      </w:r>
      <w:r>
        <w:rPr>
          <w:spacing w:val="-2"/>
        </w:rPr>
        <w:t>融资成本；三是通过扩大境外资金使用量、拓展融资渠道、提高资金使用效率等措施，降低财务费用；四是通过进出口公司</w:t>
      </w:r>
      <w:r>
        <w:rPr>
          <w:spacing w:val="-66"/>
        </w:rPr>
        <w:t> </w:t>
      </w:r>
      <w:r>
        <w:rPr>
          <w:spacing w:val="-66"/>
        </w:rPr>
      </w:r>
      <w:r>
        <w:rPr>
          <w:spacing w:val="-2"/>
        </w:rPr>
        <w:t>加大贸易量，开发源头客户，与优质客户建立战略合作关系，控制优质货源等措施，实现经济效益；五是通过降低库存，推</w:t>
      </w:r>
      <w:r>
        <w:rPr>
          <w:spacing w:val="-67"/>
        </w:rPr>
        <w:t> </w:t>
      </w:r>
      <w:r>
        <w:rPr>
          <w:spacing w:val="-67"/>
        </w:rPr>
      </w:r>
      <w:r>
        <w:rPr/>
        <w:t>广厂商银业务、提高合同履约率等降低资金占用，降低财务成本。</w:t>
      </w:r>
    </w:p>
    <w:p>
      <w:pPr>
        <w:spacing w:line="240" w:lineRule="auto" w:before="5"/>
        <w:rPr>
          <w:rFonts w:ascii="宋体" w:hAnsi="宋体" w:cs="宋体" w:eastAsia="宋体" w:hint="default"/>
          <w:sz w:val="23"/>
          <w:szCs w:val="23"/>
        </w:rPr>
      </w:pPr>
    </w:p>
    <w:p>
      <w:pPr>
        <w:pStyle w:val="Heading4"/>
        <w:spacing w:line="240" w:lineRule="auto"/>
        <w:ind w:left="515" w:right="90"/>
        <w:jc w:val="left"/>
        <w:rPr>
          <w:b w:val="0"/>
          <w:bCs w:val="0"/>
        </w:rPr>
      </w:pPr>
      <w:r>
        <w:rPr>
          <w:rFonts w:ascii="Times New Roman" w:hAnsi="Times New Roman" w:cs="Times New Roman" w:eastAsia="Times New Roman" w:hint="default"/>
        </w:rPr>
        <w:t>4</w:t>
      </w:r>
      <w:r>
        <w:rPr/>
        <w:t>、未来的资金需求、资金来源及使用计划情况</w:t>
      </w:r>
      <w:r>
        <w:rPr>
          <w:b w:val="0"/>
          <w:bCs w:val="0"/>
        </w:rPr>
      </w:r>
    </w:p>
    <w:p>
      <w:pPr>
        <w:pStyle w:val="BodyText"/>
        <w:spacing w:line="316" w:lineRule="auto" w:before="46"/>
        <w:ind w:left="154" w:right="90" w:firstLine="360"/>
        <w:jc w:val="left"/>
      </w:pPr>
      <w:r>
        <w:rPr>
          <w:spacing w:val="-2"/>
        </w:rPr>
        <w:t>公司部分新建项目因市场原因还未能及时发挥盈利能力，公司目前借贷规模较大，国家存贷款利率的波动将直接使公司</w:t>
      </w:r>
      <w:r>
        <w:rPr/>
        <w:t> 承担的利息总额发动波动，进而影响公司盈利水平。为此，公司明确了以下措施：</w:t>
      </w:r>
    </w:p>
    <w:p>
      <w:pPr>
        <w:pStyle w:val="BodyText"/>
        <w:spacing w:line="316" w:lineRule="auto" w:before="18"/>
        <w:ind w:right="91" w:firstLine="360"/>
        <w:jc w:val="left"/>
      </w:pPr>
      <w:r>
        <w:rPr/>
        <w:t>一是进一步健全国际营销网络，完善海外公司组织结构，调整销售渠道，通过进出口公司加大贸易量，开发源头客户， </w:t>
      </w:r>
      <w:r>
        <w:rPr>
          <w:spacing w:val="-2"/>
        </w:rPr>
        <w:t>与优质客户建立战略合作关系，控制优质货源等措施，实现经济效益。通过降低库存，推广厂商银业务、提高合同履约率等</w:t>
      </w:r>
      <w:r>
        <w:rPr>
          <w:spacing w:val="-66"/>
        </w:rPr>
        <w:t> </w:t>
      </w:r>
      <w:r>
        <w:rPr>
          <w:spacing w:val="-66"/>
        </w:rPr>
      </w:r>
      <w:r>
        <w:rPr/>
        <w:t>降低资金占用，降低财务成本。</w:t>
      </w:r>
    </w:p>
    <w:p>
      <w:pPr>
        <w:pStyle w:val="BodyText"/>
        <w:spacing w:line="316" w:lineRule="auto" w:before="18"/>
        <w:ind w:right="90" w:firstLine="360"/>
        <w:jc w:val="left"/>
      </w:pPr>
      <w:r>
        <w:rPr>
          <w:spacing w:val="-2"/>
        </w:rPr>
        <w:t>二是推进跨境融资进度，充分利用香港市场融资平台，增加香港晨鸣授信额度，通过扩大境外资金使用量、拓展融资渠</w:t>
      </w:r>
      <w:r>
        <w:rPr/>
        <w:t> 道、提高资金使用效率等措施，降低财务费用。</w:t>
      </w:r>
    </w:p>
    <w:p>
      <w:pPr>
        <w:pStyle w:val="BodyText"/>
        <w:spacing w:line="316" w:lineRule="auto" w:before="18"/>
        <w:ind w:right="90" w:firstLine="360"/>
        <w:jc w:val="left"/>
      </w:pPr>
      <w:r>
        <w:rPr>
          <w:spacing w:val="-4"/>
        </w:rPr>
        <w:t>三是加快财务公司筹建，加强集团资金集中管理、提高资金使用效率，进一步提升集团的资金结算、管理与投融资水平，</w:t>
      </w:r>
      <w:r>
        <w:rPr/>
        <w:t> 降低融资成本。</w:t>
      </w:r>
    </w:p>
    <w:p>
      <w:pPr>
        <w:pStyle w:val="BodyText"/>
        <w:spacing w:line="316" w:lineRule="auto" w:before="18"/>
        <w:ind w:left="514" w:right="90"/>
        <w:jc w:val="left"/>
      </w:pPr>
      <w:r>
        <w:rPr>
          <w:spacing w:val="-4"/>
        </w:rPr>
        <w:t>四是成立融资租赁公司，推进公司多元化发展，进一步拓展公司业务范围，培育新的利润增长点，提升公司抗风险能力。</w:t>
      </w:r>
      <w:r>
        <w:rPr>
          <w:spacing w:val="-54"/>
        </w:rPr>
        <w:t> </w:t>
      </w:r>
      <w:r>
        <w:rPr>
          <w:spacing w:val="-54"/>
        </w:rPr>
      </w:r>
      <w:r>
        <w:rPr>
          <w:spacing w:val="-2"/>
        </w:rPr>
        <w:t>五是多方拓展融资渠道，与金融机构建立战略合作关系，发挥各子公司的地域优势，储备好低成本金融机构授信额度资</w:t>
      </w:r>
    </w:p>
    <w:p>
      <w:pPr>
        <w:pStyle w:val="BodyText"/>
        <w:spacing w:line="240" w:lineRule="auto" w:before="18"/>
        <w:ind w:left="154" w:right="90"/>
        <w:jc w:val="left"/>
      </w:pPr>
      <w:r>
        <w:rPr/>
        <w:t>源。</w:t>
      </w:r>
    </w:p>
    <w:p>
      <w:pPr>
        <w:spacing w:line="240" w:lineRule="auto" w:before="0"/>
        <w:rPr>
          <w:rFonts w:ascii="宋体" w:hAnsi="宋体" w:cs="宋体" w:eastAsia="宋体" w:hint="default"/>
          <w:sz w:val="18"/>
          <w:szCs w:val="18"/>
        </w:rPr>
      </w:pPr>
    </w:p>
    <w:p>
      <w:pPr>
        <w:pStyle w:val="Heading4"/>
        <w:spacing w:line="240" w:lineRule="auto" w:before="128"/>
        <w:ind w:left="515" w:right="90"/>
        <w:jc w:val="left"/>
        <w:rPr>
          <w:b w:val="0"/>
          <w:bCs w:val="0"/>
        </w:rPr>
      </w:pPr>
      <w:r>
        <w:rPr>
          <w:rFonts w:ascii="Times New Roman" w:hAnsi="Times New Roman" w:cs="Times New Roman" w:eastAsia="Times New Roman" w:hint="default"/>
        </w:rPr>
        <w:t>5</w:t>
      </w:r>
      <w:r>
        <w:rPr/>
        <w:t>、可能面对的风险及对策</w:t>
      </w:r>
      <w:r>
        <w:rPr>
          <w:b w:val="0"/>
          <w:bCs w:val="0"/>
        </w:rPr>
      </w:r>
    </w:p>
    <w:p>
      <w:pPr>
        <w:pStyle w:val="BodyText"/>
        <w:spacing w:line="316" w:lineRule="auto" w:before="87"/>
        <w:ind w:right="90" w:firstLine="360"/>
        <w:jc w:val="left"/>
      </w:pPr>
      <w:r>
        <w:rPr>
          <w:spacing w:val="-4"/>
        </w:rPr>
        <w:t>造纸行业作为国民经济的基础原材料工业，行业整体效益与国家宏观经济景气程度有较大相关性，表现出较强的周期性。</w:t>
      </w:r>
      <w:r>
        <w:rPr/>
        <w:t> </w:t>
      </w:r>
      <w:r>
        <w:rPr>
          <w:spacing w:val="-2"/>
        </w:rPr>
        <w:t>国家宏观经济景气程度将较大程度影响纸产品的市场需求量，进而影响产品价格和原材料成本，最终影响本公司在内的造纸</w:t>
      </w:r>
      <w:r>
        <w:rPr>
          <w:spacing w:val="-64"/>
        </w:rPr>
        <w:t> </w:t>
      </w:r>
      <w:r>
        <w:rPr>
          <w:spacing w:val="-64"/>
        </w:rPr>
      </w:r>
      <w:r>
        <w:rPr>
          <w:spacing w:val="-2"/>
        </w:rPr>
        <w:t>企业的经营业绩。未来我国宏观经济走向仍存在一定的不确定性和复杂性，公司仍面临盈利水平受到宏观经济波动影响的风</w:t>
      </w:r>
      <w:r>
        <w:rPr>
          <w:spacing w:val="-64"/>
        </w:rPr>
        <w:t> </w:t>
      </w:r>
      <w:r>
        <w:rPr>
          <w:spacing w:val="-64"/>
        </w:rPr>
      </w:r>
      <w:r>
        <w:rPr/>
        <w:t>险。</w:t>
      </w:r>
    </w:p>
    <w:p>
      <w:pPr>
        <w:pStyle w:val="BodyText"/>
        <w:spacing w:line="309" w:lineRule="auto" w:before="57"/>
        <w:ind w:right="190" w:firstLine="354"/>
        <w:jc w:val="both"/>
      </w:pPr>
      <w:r>
        <w:rPr>
          <w:rFonts w:ascii="宋体" w:hAnsi="宋体" w:cs="宋体" w:eastAsia="宋体" w:hint="default"/>
          <w:b/>
          <w:bCs/>
          <w:spacing w:val="-2"/>
        </w:rPr>
        <w:t>经营风险。</w:t>
      </w:r>
      <w:r>
        <w:rPr>
          <w:spacing w:val="-2"/>
        </w:rPr>
        <w:t>公司生产主要原材料为木浆和废纸。公司产品多为高档纸，且国家鼓励加大木浆使用比例，故木浆占生产成</w:t>
      </w:r>
      <w:r>
        <w:rPr/>
        <w:t> </w:t>
      </w:r>
      <w:r>
        <w:rPr>
          <w:spacing w:val="-1"/>
        </w:rPr>
        <w:t>本的比重较高，约占</w:t>
      </w:r>
      <w:r>
        <w:rPr>
          <w:rFonts w:ascii="Times New Roman" w:hAnsi="Times New Roman" w:cs="Times New Roman" w:eastAsia="Times New Roman" w:hint="default"/>
          <w:spacing w:val="-1"/>
        </w:rPr>
        <w:t>70%</w:t>
      </w:r>
      <w:r>
        <w:rPr>
          <w:spacing w:val="-1"/>
        </w:rPr>
        <w:t>；废纸仅在一些低端产品中应用，约占总采购额的</w:t>
      </w:r>
      <w:r>
        <w:rPr>
          <w:rFonts w:ascii="Times New Roman" w:hAnsi="Times New Roman" w:cs="Times New Roman" w:eastAsia="Times New Roman" w:hint="default"/>
          <w:spacing w:val="-1"/>
        </w:rPr>
        <w:t>20%</w:t>
      </w:r>
      <w:r>
        <w:rPr>
          <w:spacing w:val="-1"/>
        </w:rPr>
        <w:t>。木浆、废纸市场价格波动较大，影响公司</w:t>
      </w:r>
      <w:r>
        <w:rPr>
          <w:spacing w:val="-58"/>
        </w:rPr>
        <w:t> </w:t>
      </w:r>
      <w:r>
        <w:rPr>
          <w:spacing w:val="-58"/>
        </w:rPr>
      </w:r>
      <w:r>
        <w:rPr/>
        <w:t>机制纸产品的生产成本，对公司业绩产生影响。</w:t>
      </w:r>
    </w:p>
    <w:p>
      <w:pPr>
        <w:pStyle w:val="BodyText"/>
        <w:spacing w:line="300" w:lineRule="auto" w:before="24"/>
        <w:ind w:right="197" w:firstLine="354"/>
        <w:jc w:val="left"/>
      </w:pPr>
      <w:r>
        <w:rPr/>
        <w:t>为此，公司以建设湛江木浆项目及配套原料林基地和黄冈晨鸣木桨项目及配套原料林基地建设为重点，打造</w:t>
      </w:r>
      <w:r>
        <w:rPr>
          <w:rFonts w:ascii="Times New Roman" w:hAnsi="Times New Roman" w:cs="Times New Roman" w:eastAsia="Times New Roman" w:hint="default"/>
        </w:rPr>
        <w:t>“</w:t>
      </w:r>
      <w:r>
        <w:rPr/>
        <w:t>林浆纸一 体化</w:t>
      </w:r>
      <w:r>
        <w:rPr>
          <w:rFonts w:ascii="Times New Roman" w:hAnsi="Times New Roman" w:cs="Times New Roman" w:eastAsia="Times New Roman" w:hint="default"/>
        </w:rPr>
        <w:t>”</w:t>
      </w:r>
      <w:r>
        <w:rPr/>
        <w:t>的产业链，从而摆脱上游资源对公司的制约，增强公司的可持续发展能力。</w:t>
      </w:r>
    </w:p>
    <w:p>
      <w:pPr>
        <w:pStyle w:val="BodyText"/>
        <w:spacing w:line="309" w:lineRule="auto" w:before="13"/>
        <w:ind w:right="188" w:firstLine="354"/>
        <w:jc w:val="both"/>
      </w:pPr>
      <w:r>
        <w:rPr>
          <w:rFonts w:ascii="宋体" w:hAnsi="宋体" w:cs="宋体" w:eastAsia="宋体" w:hint="default"/>
          <w:b/>
          <w:bCs/>
        </w:rPr>
        <w:t>行业风险。</w:t>
      </w:r>
      <w:r>
        <w:rPr/>
        <w:t>随着国民经济快速增长、经济全球化和中国加入</w:t>
      </w:r>
      <w:r>
        <w:rPr>
          <w:rFonts w:ascii="Times New Roman" w:hAnsi="Times New Roman" w:cs="Times New Roman" w:eastAsia="Times New Roman" w:hint="default"/>
        </w:rPr>
        <w:t>WTO</w:t>
      </w:r>
      <w:r>
        <w:rPr/>
        <w:t>，我国造纸行业竞争日趋激烈。国内企业在经过多年 </w:t>
      </w:r>
      <w:r>
        <w:rPr>
          <w:spacing w:val="-2"/>
        </w:rPr>
        <w:t>发展后具备了一定的规模实力和资金实力，进一步扩大企业规模、提高技术水平、提升产品档次，同行业企业纷纷上马新项</w:t>
      </w:r>
      <w:r>
        <w:rPr>
          <w:spacing w:val="-66"/>
        </w:rPr>
        <w:t> </w:t>
      </w:r>
      <w:r>
        <w:rPr>
          <w:spacing w:val="-66"/>
        </w:rPr>
      </w:r>
      <w:r>
        <w:rPr>
          <w:spacing w:val="-2"/>
        </w:rPr>
        <w:t>目，引进先进设备、扩大产能、加强销售；国外知名造纸企业也通过独资、合资的方式将生产基地直接设立在中国，凭借其</w:t>
      </w:r>
      <w:r>
        <w:rPr>
          <w:spacing w:val="-68"/>
        </w:rPr>
        <w:t> </w:t>
      </w:r>
      <w:r>
        <w:rPr>
          <w:spacing w:val="-68"/>
        </w:rPr>
      </w:r>
      <w:r>
        <w:rPr/>
        <w:t>规模、技术等方面的优势直接参与国内市场竞争；此外，中国加入</w:t>
      </w:r>
      <w:r>
        <w:rPr>
          <w:rFonts w:ascii="Times New Roman" w:hAnsi="Times New Roman" w:cs="Times New Roman" w:eastAsia="Times New Roman" w:hint="default"/>
        </w:rPr>
        <w:t>WTO</w:t>
      </w:r>
      <w:r>
        <w:rPr/>
        <w:t>后关税减让导致国际市场冲击进一步加剧。国内造 纸行业市场竞争加剧，会对公司未来经营业绩产生一定影响。</w:t>
      </w:r>
    </w:p>
    <w:p>
      <w:pPr>
        <w:pStyle w:val="BodyText"/>
        <w:spacing w:line="360" w:lineRule="auto" w:before="24"/>
        <w:ind w:left="515" w:right="90" w:hanging="8"/>
        <w:jc w:val="left"/>
      </w:pPr>
      <w:r>
        <w:rPr/>
        <w:t>为此，公司抓好技术研发与技术应用工作，重点发展高端纸品，提高核心竞争力。 </w:t>
      </w:r>
      <w:r>
        <w:rPr>
          <w:rFonts w:ascii="宋体" w:hAnsi="宋体" w:cs="宋体" w:eastAsia="宋体" w:hint="default"/>
          <w:b/>
          <w:bCs/>
          <w:spacing w:val="-2"/>
        </w:rPr>
        <w:t>政策风险。</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日，国家发改委、工信部和国家林业局联合发布的《造纸工业发展</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规划》，对造纸工</w:t>
      </w:r>
    </w:p>
    <w:p>
      <w:pPr>
        <w:spacing w:after="0" w:line="360"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12" w:lineRule="auto" w:before="44"/>
        <w:ind w:right="99"/>
        <w:jc w:val="left"/>
      </w:pPr>
      <w:r>
        <w:rPr>
          <w:spacing w:val="-3"/>
        </w:rPr>
        <w:t>业</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期间发展的指导思想、基本原则、发展目标、主要任务、重点工程、政策措施和规划实施做出了明确规定。目前，</w:t>
      </w:r>
      <w:r>
        <w:rPr>
          <w:spacing w:val="-79"/>
        </w:rPr>
        <w:t> </w:t>
      </w:r>
      <w:r>
        <w:rPr>
          <w:spacing w:val="-79"/>
        </w:rPr>
      </w:r>
      <w:r>
        <w:rPr>
          <w:spacing w:val="-2"/>
        </w:rPr>
        <w:t>行业已进入重要转型期，过去支撑造纸工业高速发展的模式，现正面临资源和环境方面双重压力。从我国政策导向来看，我</w:t>
      </w:r>
      <w:r>
        <w:rPr>
          <w:spacing w:val="-66"/>
        </w:rPr>
        <w:t> </w:t>
      </w:r>
      <w:r>
        <w:rPr>
          <w:spacing w:val="-66"/>
        </w:rPr>
      </w:r>
      <w:r>
        <w:rPr>
          <w:spacing w:val="-2"/>
        </w:rPr>
        <w:t>国将通过优化造纸产业布局和原料结构、产品结构，转变增长方式，构建林业和造纸业结合、循环节约的现代造纸行业，会</w:t>
      </w:r>
      <w:r>
        <w:rPr>
          <w:spacing w:val="-66"/>
        </w:rPr>
        <w:t> </w:t>
      </w:r>
      <w:r>
        <w:rPr>
          <w:spacing w:val="-66"/>
        </w:rPr>
      </w:r>
      <w:r>
        <w:rPr/>
        <w:t>对公司经营业绩产生一定的影响。</w:t>
      </w:r>
    </w:p>
    <w:p>
      <w:pPr>
        <w:pStyle w:val="BodyText"/>
        <w:spacing w:line="357" w:lineRule="auto" w:before="62"/>
        <w:ind w:left="515" w:right="189"/>
        <w:jc w:val="left"/>
      </w:pPr>
      <w:r>
        <w:rPr/>
        <w:t>淘汰落后产能以及日趋严格的环保政策将使部分中小企业退出市场，公司有望长期收益。 </w:t>
      </w:r>
      <w:r>
        <w:rPr>
          <w:rFonts w:ascii="宋体" w:hAnsi="宋体" w:cs="宋体" w:eastAsia="宋体" w:hint="default"/>
          <w:b/>
          <w:bCs/>
          <w:spacing w:val="-2"/>
        </w:rPr>
        <w:t>环保风险。</w:t>
      </w:r>
      <w:r>
        <w:rPr>
          <w:spacing w:val="-2"/>
        </w:rPr>
        <w:t>造纸行业属污染行业，随着全社会和全行业环保意识的提高，造纸行业环保政策频出且日趋严厉，多管齐下</w:t>
      </w:r>
    </w:p>
    <w:p>
      <w:pPr>
        <w:pStyle w:val="BodyText"/>
        <w:spacing w:line="224" w:lineRule="exact"/>
        <w:ind w:left="154" w:right="0"/>
        <w:jc w:val="left"/>
      </w:pPr>
      <w:r>
        <w:rPr/>
        <w:t>进行产业调整，造纸行业进入重要转型发展期，排放标准的提高势必加大公司环保成本，标准的提高可能会导致企业规模扩</w:t>
      </w:r>
    </w:p>
    <w:p>
      <w:pPr>
        <w:pStyle w:val="BodyText"/>
        <w:spacing w:line="357" w:lineRule="auto" w:before="77"/>
        <w:ind w:left="515" w:right="90" w:hanging="362"/>
        <w:jc w:val="left"/>
      </w:pPr>
      <w:r>
        <w:rPr/>
        <w:t>张趋缓，从而影响生产经营。 </w:t>
      </w:r>
      <w:r>
        <w:rPr>
          <w:spacing w:val="-2"/>
        </w:rPr>
        <w:t>公司始终以</w:t>
      </w:r>
      <w:r>
        <w:rPr>
          <w:rFonts w:ascii="Times New Roman" w:hAnsi="Times New Roman" w:cs="Times New Roman" w:eastAsia="Times New Roman" w:hint="default"/>
          <w:spacing w:val="-2"/>
        </w:rPr>
        <w:t>“</w:t>
      </w:r>
      <w:r>
        <w:rPr>
          <w:spacing w:val="-2"/>
        </w:rPr>
        <w:t>节能减排、和谐发展</w:t>
      </w:r>
      <w:r>
        <w:rPr>
          <w:rFonts w:ascii="Times New Roman" w:hAnsi="Times New Roman" w:cs="Times New Roman" w:eastAsia="Times New Roman" w:hint="default"/>
          <w:spacing w:val="-2"/>
        </w:rPr>
        <w:t>”</w:t>
      </w:r>
      <w:r>
        <w:rPr>
          <w:spacing w:val="-2"/>
        </w:rPr>
        <w:t>为目标，公司将大力发展循环经济，以废物交换、循环利用，最大限度地提高资源利</w:t>
      </w:r>
    </w:p>
    <w:p>
      <w:pPr>
        <w:pStyle w:val="BodyText"/>
        <w:spacing w:line="202" w:lineRule="exact"/>
        <w:ind w:left="154" w:right="90"/>
        <w:jc w:val="left"/>
      </w:pPr>
      <w:r>
        <w:rPr/>
        <w:t>用率，同时加大环保项目建设力度，切实保证公司废弃物的达标排放。</w:t>
      </w:r>
    </w:p>
    <w:p>
      <w:pPr>
        <w:pStyle w:val="BodyText"/>
        <w:spacing w:line="316" w:lineRule="auto" w:before="115"/>
        <w:ind w:left="154" w:right="189" w:firstLine="361"/>
        <w:jc w:val="both"/>
      </w:pPr>
      <w:r>
        <w:rPr>
          <w:rFonts w:ascii="宋体" w:hAnsi="宋体" w:cs="宋体" w:eastAsia="宋体" w:hint="default"/>
          <w:b/>
          <w:bCs/>
          <w:spacing w:val="-2"/>
        </w:rPr>
        <w:t>利率风险。</w:t>
      </w:r>
      <w:r>
        <w:rPr>
          <w:spacing w:val="-2"/>
        </w:rPr>
        <w:t>近年来，人民币贷款基准利率水平变动幅度较大，影响了公司债务融资的成本，中国人民银行未来可能根据</w:t>
      </w:r>
      <w:r>
        <w:rPr/>
        <w:t> 宏观经济形势变化继续调整基准利率水平，并可能导致公司财务费用产生较大波动，从而对经营业绩产生一定影响。</w:t>
      </w:r>
    </w:p>
    <w:p>
      <w:pPr>
        <w:pStyle w:val="BodyText"/>
        <w:spacing w:line="360" w:lineRule="auto" w:before="18"/>
        <w:ind w:left="515" w:right="90"/>
        <w:jc w:val="left"/>
      </w:pPr>
      <w:r>
        <w:rPr/>
        <w:t>公司财务部门将持续监控集团利率水平。 </w:t>
      </w:r>
      <w:r>
        <w:rPr>
          <w:rFonts w:ascii="宋体" w:hAnsi="宋体" w:cs="宋体" w:eastAsia="宋体" w:hint="default"/>
          <w:b/>
          <w:bCs/>
          <w:spacing w:val="-2"/>
        </w:rPr>
        <w:t>汇率风险。</w:t>
      </w:r>
      <w:r>
        <w:rPr>
          <w:spacing w:val="-2"/>
        </w:rPr>
        <w:t>人民币的价值受国内和国际经济、政治形势和货币供求关系的影响。作为进出口企业，未来人民币针对其他</w:t>
      </w:r>
    </w:p>
    <w:p>
      <w:pPr>
        <w:pStyle w:val="BodyText"/>
        <w:spacing w:line="222" w:lineRule="exact"/>
        <w:ind w:left="154" w:right="0"/>
        <w:jc w:val="left"/>
      </w:pPr>
      <w:r>
        <w:rPr/>
        <w:t>货币的汇率变动将对公司的经营业绩产生一定影响。公司外币交易主要以美元计价，原材料进口、产品出口、拥有美元借款</w:t>
      </w:r>
    </w:p>
    <w:p>
      <w:pPr>
        <w:pStyle w:val="BodyText"/>
        <w:spacing w:line="357" w:lineRule="auto" w:before="77"/>
        <w:ind w:left="515" w:right="1709" w:hanging="362"/>
        <w:jc w:val="left"/>
      </w:pPr>
      <w:r>
        <w:rPr/>
        <w:t>等业务均面临一定的汇率变动风险。 公司财务部门负责监控集团外币交易和外币资产及负债的规模，以最大程度降低面临的汇率风险。</w:t>
      </w:r>
    </w:p>
    <w:p>
      <w:pPr>
        <w:spacing w:line="240" w:lineRule="auto" w:before="4"/>
        <w:rPr>
          <w:rFonts w:ascii="宋体" w:hAnsi="宋体" w:cs="宋体" w:eastAsia="宋体" w:hint="default"/>
          <w:sz w:val="18"/>
          <w:szCs w:val="18"/>
        </w:rPr>
      </w:pPr>
    </w:p>
    <w:p>
      <w:pPr>
        <w:pStyle w:val="Heading2"/>
        <w:spacing w:line="240" w:lineRule="auto"/>
        <w:ind w:right="90"/>
        <w:jc w:val="left"/>
        <w:rPr>
          <w:b w:val="0"/>
          <w:bCs w:val="0"/>
        </w:rPr>
      </w:pPr>
      <w:r>
        <w:rPr/>
        <w:t>十一、董事会、监事会对会计师事务所本报告期“非标准审计报告”的说明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0"/>
        <w:jc w:val="left"/>
      </w:pPr>
      <w:r>
        <w:rPr/>
        <w:t>瑞华会计师事务所已对本公司</w:t>
      </w:r>
      <w:r>
        <w:rPr>
          <w:rFonts w:ascii="Times New Roman" w:hAnsi="Times New Roman" w:cs="Times New Roman" w:eastAsia="Times New Roman" w:hint="default"/>
        </w:rPr>
        <w:t>2013</w:t>
      </w:r>
      <w:r>
        <w:rPr/>
        <w:t>年度财务报告进行审计，并出具了标准无保留意见的审计报告。</w:t>
      </w:r>
    </w:p>
    <w:p>
      <w:pPr>
        <w:spacing w:line="240" w:lineRule="auto" w:before="1"/>
        <w:rPr>
          <w:rFonts w:ascii="宋体" w:hAnsi="宋体" w:cs="宋体" w:eastAsia="宋体" w:hint="default"/>
          <w:sz w:val="24"/>
          <w:szCs w:val="24"/>
        </w:rPr>
      </w:pPr>
    </w:p>
    <w:p>
      <w:pPr>
        <w:pStyle w:val="Heading2"/>
        <w:spacing w:line="240" w:lineRule="auto"/>
        <w:ind w:right="90"/>
        <w:jc w:val="left"/>
        <w:rPr>
          <w:b w:val="0"/>
          <w:bCs w:val="0"/>
        </w:rPr>
      </w:pPr>
      <w:r>
        <w:rPr/>
        <w:t>十二、与上年度财务报告相比，会计政策、会计估计和核算方法发生变化的情况说明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01" w:firstLine="360"/>
        <w:jc w:val="both"/>
      </w:pPr>
      <w:r>
        <w:rPr/>
        <w:t>根据《关于印发〈企业会计准则第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公允价值计量〉的通知》（财会</w:t>
      </w:r>
      <w:r>
        <w:rPr>
          <w:rFonts w:ascii="Times New Roman" w:hAnsi="Times New Roman" w:cs="Times New Roman" w:eastAsia="Times New Roman" w:hint="default"/>
        </w:rPr>
        <w:t>[2014]6</w:t>
      </w:r>
      <w:r>
        <w:rPr/>
        <w:t>号）、《关于印发修订〈企业会计 </w:t>
      </w:r>
      <w:r>
        <w:rPr>
          <w:spacing w:val="-2"/>
        </w:rPr>
        <w:t>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财务报表列报〉的通知》（财会</w:t>
      </w:r>
      <w:r>
        <w:rPr>
          <w:rFonts w:ascii="Times New Roman" w:hAnsi="Times New Roman" w:cs="Times New Roman" w:eastAsia="Times New Roman" w:hint="default"/>
          <w:spacing w:val="-2"/>
        </w:rPr>
        <w:t>[2014]7</w:t>
      </w:r>
      <w:r>
        <w:rPr>
          <w:spacing w:val="-2"/>
        </w:rPr>
        <w:t>号）、《关于印发修订〈企业会计准则第</w:t>
      </w:r>
      <w:r>
        <w:rPr>
          <w:rFonts w:ascii="Times New Roman" w:hAnsi="Times New Roman" w:cs="Times New Roman" w:eastAsia="Times New Roman" w:hint="default"/>
          <w:spacing w:val="-2"/>
        </w:rPr>
        <w:t>9</w:t>
      </w:r>
      <w:r>
        <w:rPr>
          <w:spacing w:val="-2"/>
        </w:rPr>
        <w:t>号</w:t>
      </w:r>
      <w:r>
        <w:rPr>
          <w:rFonts w:ascii="Times New Roman" w:hAnsi="Times New Roman" w:cs="Times New Roman" w:eastAsia="Times New Roman" w:hint="default"/>
          <w:spacing w:val="-2"/>
        </w:rPr>
        <w:t>——</w:t>
      </w:r>
      <w:r>
        <w:rPr>
          <w:spacing w:val="-2"/>
        </w:rPr>
        <w:t>职工薪酬〉的通知》</w:t>
      </w:r>
    </w:p>
    <w:p>
      <w:pPr>
        <w:pStyle w:val="BodyText"/>
        <w:spacing w:line="240" w:lineRule="auto" w:before="13"/>
        <w:ind w:right="90"/>
        <w:jc w:val="left"/>
      </w:pPr>
      <w:r>
        <w:rPr/>
        <w:t>（财会</w:t>
      </w:r>
      <w:r>
        <w:rPr>
          <w:rFonts w:ascii="Times New Roman" w:hAnsi="Times New Roman" w:cs="Times New Roman" w:eastAsia="Times New Roman" w:hint="default"/>
        </w:rPr>
        <w:t>[2014]8</w:t>
      </w:r>
      <w:r>
        <w:rPr/>
        <w:t>号）、《关于印发修订〈企业会计准则第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合并财务报表〉的通知》（财会</w:t>
      </w:r>
      <w:r>
        <w:rPr>
          <w:rFonts w:ascii="Times New Roman" w:hAnsi="Times New Roman" w:cs="Times New Roman" w:eastAsia="Times New Roman" w:hint="default"/>
        </w:rPr>
        <w:t>[2014]10</w:t>
      </w:r>
      <w:r>
        <w:rPr/>
        <w:t>号）、《关于印发</w:t>
      </w:r>
    </w:p>
    <w:p>
      <w:pPr>
        <w:pStyle w:val="BodyText"/>
        <w:spacing w:line="300" w:lineRule="auto" w:before="62"/>
        <w:ind w:right="189"/>
        <w:jc w:val="both"/>
      </w:pPr>
      <w:r>
        <w:rPr>
          <w:spacing w:val="-2"/>
        </w:rPr>
        <w:t>〈企业会计准则第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合营安排〉的通知》（财会</w:t>
      </w:r>
      <w:r>
        <w:rPr>
          <w:rFonts w:ascii="Times New Roman" w:hAnsi="Times New Roman" w:cs="Times New Roman" w:eastAsia="Times New Roman" w:hint="default"/>
          <w:spacing w:val="-2"/>
        </w:rPr>
        <w:t>[2014]11</w:t>
      </w:r>
      <w:r>
        <w:rPr>
          <w:spacing w:val="-2"/>
        </w:rPr>
        <w:t>号）的规定，鼓励在境外上市的企业提前执行上述</w:t>
      </w:r>
      <w:r>
        <w:rPr>
          <w:rFonts w:ascii="Times New Roman" w:hAnsi="Times New Roman" w:cs="Times New Roman" w:eastAsia="Times New Roman" w:hint="default"/>
          <w:spacing w:val="-2"/>
        </w:rPr>
        <w:t>5</w:t>
      </w:r>
      <w:r>
        <w:rPr>
          <w:spacing w:val="-2"/>
        </w:rPr>
        <w:t>项于</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7"/>
        </w:rPr>
        <w:t> </w:t>
      </w:r>
      <w:r>
        <w:rPr/>
        <w:t>年内新发布或修订的会计准则。据此，经本公司第七届第四次董事会决议，本集团自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日起提前执行上述</w:t>
      </w:r>
      <w:r>
        <w:rPr>
          <w:rFonts w:ascii="Times New Roman" w:hAnsi="Times New Roman" w:cs="Times New Roman" w:eastAsia="Times New Roman" w:hint="default"/>
        </w:rPr>
        <w:t>5</w:t>
      </w:r>
      <w:r>
        <w:rPr/>
        <w:t>项会计</w:t>
      </w:r>
      <w:r>
        <w:rPr>
          <w:spacing w:val="-85"/>
        </w:rPr>
        <w:t> </w:t>
      </w:r>
      <w:r>
        <w:rPr>
          <w:spacing w:val="-85"/>
        </w:rPr>
      </w:r>
      <w:r>
        <w:rPr/>
        <w:t>准则。</w:t>
      </w:r>
    </w:p>
    <w:p>
      <w:pPr>
        <w:pStyle w:val="BodyText"/>
        <w:spacing w:line="240" w:lineRule="auto" w:before="31"/>
        <w:ind w:left="514" w:right="90"/>
        <w:jc w:val="left"/>
      </w:pPr>
      <w:r>
        <w:rPr/>
        <w:t>本集团执行上述会计准则导致会计政策的变化对本期财务报表不产生影响。</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十三、报告期内发生重大会计差错更正需追溯重述的情况说明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90"/>
        <w:jc w:val="left"/>
      </w:pPr>
      <w:r>
        <w:rPr/>
        <w:t>本报告期内无重大会计差错更正而追溯重述的情况。</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十四、与上年度财务报告相比，合并报表范围发生变化的情况说明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line="300" w:lineRule="auto" w:before="0"/>
        <w:ind w:left="513" w:right="90" w:hanging="9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、与上年相比本年新增合并单位</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家，详细情况如下：</w:t>
      </w:r>
      <w:r>
        <w:rPr>
          <w:rFonts w:ascii="宋体" w:hAnsi="宋体" w:cs="宋体" w:eastAsia="宋体" w:hint="default"/>
          <w:b/>
          <w:bCs/>
          <w:spacing w:val="1"/>
          <w:w w:val="99"/>
          <w:sz w:val="18"/>
          <w:szCs w:val="18"/>
        </w:rPr>
        <w:t> </w:t>
      </w:r>
      <w:r>
        <w:rPr>
          <w:rFonts w:ascii="宋体" w:hAnsi="宋体" w:cs="宋体" w:eastAsia="宋体" w:hint="default"/>
          <w:spacing w:val="-1"/>
          <w:sz w:val="18"/>
          <w:szCs w:val="18"/>
        </w:rPr>
        <w:t>报告期内，公司通过投资设立新增四家公司，分别是晨鸣</w:t>
      </w:r>
      <w:r>
        <w:rPr>
          <w:rFonts w:ascii="Times New Roman" w:hAnsi="Times New Roman" w:cs="Times New Roman" w:eastAsia="Times New Roman" w:hint="default"/>
          <w:spacing w:val="-1"/>
          <w:sz w:val="18"/>
          <w:szCs w:val="18"/>
        </w:rPr>
        <w:t>GmbH</w:t>
      </w:r>
      <w:r>
        <w:rPr>
          <w:rFonts w:ascii="宋体" w:hAnsi="宋体" w:cs="宋体" w:eastAsia="宋体" w:hint="default"/>
          <w:spacing w:val="-1"/>
          <w:sz w:val="18"/>
          <w:szCs w:val="18"/>
        </w:rPr>
        <w:t>、湛江美伦浆纸有限公司、湛江晨鸣新型墙体材料有限</w:t>
      </w:r>
    </w:p>
    <w:p>
      <w:pPr>
        <w:pStyle w:val="BodyText"/>
        <w:spacing w:line="240" w:lineRule="auto" w:before="13"/>
        <w:ind w:right="90"/>
        <w:jc w:val="left"/>
      </w:pPr>
      <w:r>
        <w:rPr/>
        <w:t>公司和山东晨鸣纸业集团（富裕）销售有限公司；非同一控制下并购寿光鸿翔印刷包装有限责任公司。</w:t>
      </w:r>
    </w:p>
    <w:p>
      <w:pPr>
        <w:pStyle w:val="BodyText"/>
        <w:spacing w:line="309" w:lineRule="auto" w:before="76"/>
        <w:ind w:right="189" w:firstLine="360"/>
        <w:jc w:val="both"/>
      </w:pPr>
      <w:r>
        <w:rPr/>
        <w:t>（1）为了加强本公司纸品销售工作，进一步扩大公司产品在欧洲市场的占有份额，建立更广泛、更完善的营销网络， </w:t>
      </w:r>
      <w:r>
        <w:rPr>
          <w:spacing w:val="-1"/>
        </w:rPr>
        <w:t>公司决定成立德国销售公司。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7</w:t>
      </w:r>
      <w:r>
        <w:rPr>
          <w:spacing w:val="-1"/>
        </w:rPr>
        <w:t>日，公司收到商务部批准的《企业境外投资证书》，批准成立晨鸣</w:t>
      </w:r>
      <w:r>
        <w:rPr>
          <w:rFonts w:ascii="Times New Roman" w:hAnsi="Times New Roman" w:cs="Times New Roman" w:eastAsia="Times New Roman" w:hint="default"/>
          <w:spacing w:val="-1"/>
        </w:rPr>
        <w:t>GmbH</w:t>
      </w:r>
      <w:r>
        <w:rPr>
          <w:spacing w:val="-1"/>
        </w:rPr>
        <w:t>，注册资</w:t>
      </w:r>
      <w:r>
        <w:rPr>
          <w:spacing w:val="-68"/>
        </w:rPr>
        <w:t> </w:t>
      </w:r>
      <w:r>
        <w:rPr>
          <w:spacing w:val="-68"/>
        </w:rPr>
      </w:r>
      <w:r>
        <w:rPr/>
        <w:t>本为</w:t>
      </w:r>
      <w:r>
        <w:rPr>
          <w:rFonts w:ascii="Times New Roman" w:hAnsi="Times New Roman" w:cs="Times New Roman" w:eastAsia="Times New Roman" w:hint="default"/>
        </w:rPr>
        <w:t>2.5</w:t>
      </w:r>
      <w:r>
        <w:rPr/>
        <w:t>万欧元，并将根据新公司的运营情况及时追加投资，自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月份纳入公司合并报表范围。</w:t>
      </w:r>
    </w:p>
    <w:p>
      <w:pPr>
        <w:spacing w:after="0" w:line="309" w:lineRule="auto"/>
        <w:jc w:val="both"/>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09" w:lineRule="auto" w:before="44"/>
        <w:ind w:right="188" w:firstLine="360"/>
        <w:jc w:val="both"/>
      </w:pPr>
      <w:r>
        <w:rPr/>
        <w:t>（2）为充分利用湛江晨鸣已建成的公用工程和附属设施等配套资源，能够实现企业产品多元化，进一步降低成本，增 </w:t>
      </w:r>
      <w:r>
        <w:rPr>
          <w:spacing w:val="-4"/>
        </w:rPr>
        <w:t>强公司的抗风险能力，公司六届董事会第五次临时会议审议通过《关于成立湛江美伦浆纸有限公司的议案》，注册资本</w:t>
      </w:r>
      <w:r>
        <w:rPr>
          <w:rFonts w:ascii="Times New Roman" w:hAnsi="Times New Roman" w:cs="Times New Roman" w:eastAsia="Times New Roman" w:hint="default"/>
          <w:spacing w:val="-4"/>
        </w:rPr>
        <w:t>10,000</w:t>
      </w:r>
      <w:r>
        <w:rPr>
          <w:rFonts w:ascii="Times New Roman" w:hAnsi="Times New Roman" w:cs="Times New Roman" w:eastAsia="Times New Roman" w:hint="default"/>
          <w:spacing w:val="-29"/>
        </w:rPr>
        <w:t> </w:t>
      </w:r>
      <w:r>
        <w:rPr/>
        <w:t>万元，自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月纳入公司合并报表范围。</w:t>
      </w:r>
    </w:p>
    <w:p>
      <w:pPr>
        <w:pStyle w:val="BodyText"/>
        <w:spacing w:line="316" w:lineRule="auto" w:before="5"/>
        <w:ind w:right="198" w:firstLine="360"/>
        <w:jc w:val="both"/>
      </w:pPr>
      <w:r>
        <w:rPr/>
        <w:t>（3）为加强资源综合利用，积极响应国家资源综合利用政策，同时适应当地市场需求，决定由公司全资子公司湛江晨 鸣出资成立湛江晨鸣新型墙体材料有限公司，注册资本</w:t>
      </w:r>
      <w:r>
        <w:rPr>
          <w:rFonts w:ascii="Times New Roman" w:hAnsi="Times New Roman" w:cs="Times New Roman" w:eastAsia="Times New Roman" w:hint="default"/>
        </w:rPr>
        <w:t>1,000</w:t>
      </w:r>
      <w:r>
        <w:rPr/>
        <w:t>万元，自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月份纳入公司合并报表范围。</w:t>
      </w:r>
    </w:p>
    <w:p>
      <w:pPr>
        <w:pStyle w:val="BodyText"/>
        <w:spacing w:line="309" w:lineRule="auto"/>
        <w:ind w:right="198" w:firstLine="360"/>
        <w:jc w:val="both"/>
      </w:pPr>
      <w:r>
        <w:rPr/>
        <w:t>（4）为延长本公司产业链，降低成品纸包装成本，增加收入，公司七届董事会第二次临时会议审议通过了《关于收购 鸿翔印刷股权的议案》，公司分别与宋培军、田长智、张波签订了《股权转让协议》，以人民币</w:t>
      </w:r>
      <w:r>
        <w:rPr>
          <w:rFonts w:ascii="Times New Roman" w:hAnsi="Times New Roman" w:cs="Times New Roman" w:eastAsia="Times New Roman" w:hint="default"/>
        </w:rPr>
        <w:t>273</w:t>
      </w:r>
      <w:r>
        <w:rPr/>
        <w:t>万元收购寿光鸿翔印刷 包装有限责任公司</w:t>
      </w:r>
      <w:r>
        <w:rPr>
          <w:rFonts w:ascii="Times New Roman" w:hAnsi="Times New Roman" w:cs="Times New Roman" w:eastAsia="Times New Roman" w:hint="default"/>
        </w:rPr>
        <w:t>100%</w:t>
      </w:r>
      <w:r>
        <w:rPr/>
        <w:t>的股权。本次收购股权的交易价格以鸿翔印刷</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日为基准日的评估价值作价得出。</w:t>
      </w:r>
    </w:p>
    <w:p>
      <w:pPr>
        <w:pStyle w:val="BodyText"/>
        <w:spacing w:line="316" w:lineRule="auto" w:before="5"/>
        <w:ind w:right="198" w:firstLine="360"/>
        <w:jc w:val="both"/>
      </w:pPr>
      <w:r>
        <w:rPr/>
        <w:t>（5）为便于业务操作，发挥集团统一销售优势，加强市场开发力度，公司七届董事会第二次临时会议审议通过了《关 于成立富裕销售公司的议案》，注册资本</w:t>
      </w:r>
      <w:r>
        <w:rPr>
          <w:rFonts w:ascii="Times New Roman" w:hAnsi="Times New Roman" w:cs="Times New Roman" w:eastAsia="Times New Roman" w:hint="default"/>
        </w:rPr>
        <w:t>100</w:t>
      </w:r>
      <w:r>
        <w:rPr/>
        <w:t>万元，自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月纳入公司合并报表范围。</w:t>
      </w:r>
    </w:p>
    <w:p>
      <w:pPr>
        <w:spacing w:line="300" w:lineRule="auto" w:before="0"/>
        <w:ind w:left="513" w:right="90" w:hanging="9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、与上年相比本年减少合并单位</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家，详细情况如下：</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报告期内，延边晨鸣纸业有限公司、武汉晨建新型墙体材料有限责任公司、上海润晨股权投资基金有限公司、武汉晨鸣</w:t>
      </w:r>
    </w:p>
    <w:p>
      <w:pPr>
        <w:pStyle w:val="BodyText"/>
        <w:spacing w:line="316" w:lineRule="auto" w:before="31"/>
        <w:ind w:right="90"/>
        <w:jc w:val="left"/>
      </w:pPr>
      <w:r>
        <w:rPr>
          <w:spacing w:val="-2"/>
        </w:rPr>
        <w:t>万兴置业有限公司为本期因出售股权而丧失控制权，从而不再纳入合并范围；武汉星之恋纸业有限公司、吉林晨鸣废旧物资</w:t>
      </w:r>
      <w:r>
        <w:rPr>
          <w:spacing w:val="-66"/>
        </w:rPr>
        <w:t> </w:t>
      </w:r>
      <w:r>
        <w:rPr>
          <w:spacing w:val="-66"/>
        </w:rPr>
      </w:r>
      <w:r>
        <w:rPr/>
        <w:t>回收有限公司为本期根据实际经营需要注销，从而不再纳入合并范围。</w:t>
      </w:r>
    </w:p>
    <w:p>
      <w:pPr>
        <w:pStyle w:val="BodyText"/>
        <w:spacing w:line="300" w:lineRule="auto" w:before="18"/>
        <w:ind w:right="217" w:firstLine="35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日，公司六届董事会第十七次会议审议通过了</w:t>
      </w:r>
      <w:r>
        <w:rPr>
          <w:rFonts w:ascii="Times New Roman" w:hAnsi="Times New Roman" w:cs="Times New Roman" w:eastAsia="Times New Roman" w:hint="default"/>
        </w:rPr>
        <w:t>“</w:t>
      </w:r>
      <w:r>
        <w:rPr/>
        <w:t>关于出售上海润晨股权的议案</w:t>
      </w:r>
      <w:r>
        <w:rPr>
          <w:rFonts w:ascii="Times New Roman" w:hAnsi="Times New Roman" w:cs="Times New Roman" w:eastAsia="Times New Roman" w:hint="default"/>
        </w:rPr>
        <w:t>”</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 司与上海锐宝环保科技有限公司签署了股权转让合同，向其转让上海润晨股权投资基金有限公司</w:t>
      </w:r>
      <w:r>
        <w:rPr>
          <w:rFonts w:ascii="Times New Roman" w:hAnsi="Times New Roman" w:cs="Times New Roman" w:eastAsia="Times New Roman" w:hint="default"/>
        </w:rPr>
        <w:t>98.36%</w:t>
      </w:r>
      <w:r>
        <w:rPr/>
        <w:t>股权，转让价款为 </w:t>
      </w:r>
      <w:r>
        <w:rPr>
          <w:rFonts w:ascii="Times New Roman" w:hAnsi="Times New Roman" w:cs="Times New Roman" w:eastAsia="Times New Roman" w:hint="default"/>
        </w:rPr>
        <w:t>30,091.60</w:t>
      </w:r>
      <w:r>
        <w:rPr/>
        <w:t>万元，自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日起，公司对上海润晨不再控制，不再纳入合并报表范围。</w:t>
      </w:r>
    </w:p>
    <w:p>
      <w:pPr>
        <w:pStyle w:val="BodyText"/>
        <w:spacing w:line="300" w:lineRule="auto" w:before="13"/>
        <w:ind w:right="191" w:firstLine="36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日，公司与延边石岘白麓纸业股份有限公司和延边国有资产投资管理有限公司签订股权转让合同，向</w:t>
      </w:r>
      <w:r>
        <w:rPr/>
        <w:t> </w:t>
      </w:r>
      <w:r>
        <w:rPr>
          <w:spacing w:val="-1"/>
        </w:rPr>
        <w:t>其转让公司持有延边晨鸣纸业有限公司</w:t>
      </w:r>
      <w:r>
        <w:rPr>
          <w:rFonts w:ascii="Times New Roman" w:hAnsi="Times New Roman" w:cs="Times New Roman" w:eastAsia="Times New Roman" w:hint="default"/>
          <w:spacing w:val="-1"/>
        </w:rPr>
        <w:t>49%</w:t>
      </w:r>
      <w:r>
        <w:rPr>
          <w:spacing w:val="-1"/>
        </w:rPr>
        <w:t>和</w:t>
      </w:r>
      <w:r>
        <w:rPr>
          <w:rFonts w:ascii="Times New Roman" w:hAnsi="Times New Roman" w:cs="Times New Roman" w:eastAsia="Times New Roman" w:hint="default"/>
          <w:spacing w:val="-1"/>
        </w:rPr>
        <w:t>51%</w:t>
      </w:r>
      <w:r>
        <w:rPr>
          <w:spacing w:val="-1"/>
        </w:rPr>
        <w:t>股权，转让价款为</w:t>
      </w:r>
      <w:r>
        <w:rPr>
          <w:rFonts w:ascii="Times New Roman" w:hAnsi="Times New Roman" w:cs="Times New Roman" w:eastAsia="Times New Roman" w:hint="default"/>
          <w:spacing w:val="-1"/>
        </w:rPr>
        <w:t>5,400</w:t>
      </w:r>
      <w:r>
        <w:rPr>
          <w:spacing w:val="-1"/>
        </w:rPr>
        <w:t>万元和</w:t>
      </w:r>
      <w:r>
        <w:rPr>
          <w:rFonts w:ascii="Times New Roman" w:hAnsi="Times New Roman" w:cs="Times New Roman" w:eastAsia="Times New Roman" w:hint="default"/>
          <w:spacing w:val="-1"/>
        </w:rPr>
        <w:t>5,600</w:t>
      </w:r>
      <w:r>
        <w:rPr>
          <w:spacing w:val="-1"/>
        </w:rPr>
        <w:t>万元，自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日公司对延边晨</w:t>
      </w:r>
      <w:r>
        <w:rPr>
          <w:spacing w:val="-52"/>
        </w:rPr>
        <w:t> </w:t>
      </w:r>
      <w:r>
        <w:rPr/>
        <w:t>鸣不再控制，不再将其纳入合并报表范围。</w:t>
      </w:r>
    </w:p>
    <w:p>
      <w:pPr>
        <w:pStyle w:val="BodyText"/>
        <w:spacing w:line="300" w:lineRule="auto" w:before="31"/>
        <w:ind w:right="90" w:firstLine="360"/>
        <w:jc w:val="left"/>
      </w:pPr>
      <w:r>
        <w:rPr>
          <w:spacing w:val="-4"/>
        </w:rPr>
        <w:t>（</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31</w:t>
      </w:r>
      <w:r>
        <w:rPr>
          <w:spacing w:val="-4"/>
        </w:rPr>
        <w:t>日，公司控股子公司武汉晨鸣汉阳纸业股份有限公司与湖北中建昊华环保有限公司签订股权转让合同，</w:t>
      </w:r>
      <w:r>
        <w:rPr/>
        <w:t> 向其转让武汉晨鸣汉阳纸业股份有限公司持有的武汉晨建新型墙体材料有限责任公司</w:t>
      </w:r>
      <w:r>
        <w:rPr>
          <w:rFonts w:ascii="Times New Roman" w:hAnsi="Times New Roman" w:cs="Times New Roman" w:eastAsia="Times New Roman" w:hint="default"/>
        </w:rPr>
        <w:t>51%</w:t>
      </w:r>
      <w:r>
        <w:rPr/>
        <w:t>股权，转让价款</w:t>
      </w:r>
      <w:r>
        <w:rPr>
          <w:rFonts w:ascii="Times New Roman" w:hAnsi="Times New Roman" w:cs="Times New Roman" w:eastAsia="Times New Roman" w:hint="default"/>
        </w:rPr>
        <w:t>510</w:t>
      </w:r>
      <w:r>
        <w:rPr/>
        <w:t>万元，公司对 晨建公司不再控制，不再将其纳入合并报表范围。</w:t>
      </w:r>
    </w:p>
    <w:p>
      <w:pPr>
        <w:pStyle w:val="BodyText"/>
        <w:spacing w:line="307" w:lineRule="auto" w:before="31"/>
        <w:ind w:right="188" w:firstLine="360"/>
        <w:jc w:val="both"/>
      </w:pP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日，公司七届董事会第二次临时会议审议通过了《关于武汉晨鸣和湖北浙商合作开发房地产项目的议</w:t>
      </w:r>
      <w:r>
        <w:rPr/>
        <w:t> 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日，公司子公司武汉晨鸣汉阳纸业股份有限公司、武汉晨鸣万兴置业有限公司（以下简称</w:t>
      </w:r>
      <w:r>
        <w:rPr>
          <w:rFonts w:ascii="Times New Roman" w:hAnsi="Times New Roman" w:cs="Times New Roman" w:eastAsia="Times New Roman" w:hint="default"/>
        </w:rPr>
        <w:t>“</w:t>
      </w:r>
      <w:r>
        <w:rPr/>
        <w:t>项目公司</w:t>
      </w:r>
      <w:r>
        <w:rPr>
          <w:rFonts w:ascii="Times New Roman" w:hAnsi="Times New Roman" w:cs="Times New Roman" w:eastAsia="Times New Roman" w:hint="default"/>
        </w:rPr>
        <w:t>”</w:t>
      </w:r>
      <w:r>
        <w:rPr/>
        <w:t>） </w:t>
      </w:r>
      <w:r>
        <w:rPr>
          <w:spacing w:val="-2"/>
        </w:rPr>
        <w:t>与湖北浙商万兴投资有限公司签署了《房地产合作开发框架合同》、《房地产合作开发框架合同》补充协议，项目公司由公</w:t>
      </w:r>
      <w:r>
        <w:rPr>
          <w:spacing w:val="-67"/>
        </w:rPr>
        <w:t> </w:t>
      </w:r>
      <w:r>
        <w:rPr>
          <w:spacing w:val="-67"/>
        </w:rPr>
      </w:r>
      <w:r>
        <w:rPr/>
        <w:t>司子公司武汉晨鸣之全资子公司变更为控股</w:t>
      </w:r>
      <w:r>
        <w:rPr>
          <w:rFonts w:ascii="Times New Roman" w:hAnsi="Times New Roman" w:cs="Times New Roman" w:eastAsia="Times New Roman" w:hint="default"/>
        </w:rPr>
        <w:t>40%</w:t>
      </w:r>
      <w:r>
        <w:rPr/>
        <w:t>之联营企业，公司对项目公司不再控制，不再将其纳入合并报表范围。</w:t>
      </w:r>
    </w:p>
    <w:p>
      <w:pPr>
        <w:pStyle w:val="BodyText"/>
        <w:spacing w:line="300" w:lineRule="auto" w:before="7"/>
        <w:ind w:left="154" w:right="191" w:firstLine="360"/>
        <w:jc w:val="both"/>
      </w:pPr>
      <w:r>
        <w:rPr>
          <w:spacing w:val="-4"/>
        </w:rPr>
        <w:t>（</w:t>
      </w:r>
      <w:r>
        <w:rPr>
          <w:rFonts w:ascii="Times New Roman" w:hAnsi="Times New Roman" w:cs="Times New Roman" w:eastAsia="Times New Roman" w:hint="default"/>
          <w:spacing w:val="-4"/>
        </w:rPr>
        <w:t>5</w:t>
      </w:r>
      <w:r>
        <w:rPr>
          <w:spacing w:val="-4"/>
        </w:rPr>
        <w:t>）吉林晨鸣废旧物资回收有限公司多年已无业务发生，为节省相关费用支出，经吉林晨鸣董事会审议同意注销。</w:t>
      </w:r>
      <w:r>
        <w:rPr>
          <w:rFonts w:ascii="Times New Roman" w:hAnsi="Times New Roman" w:cs="Times New Roman" w:eastAsia="Times New Roman" w:hint="default"/>
          <w:spacing w:val="-4"/>
        </w:rPr>
        <w:t>2013</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日吉林废旧资产、负债并入吉林晨鸣核算，自</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日吉林废旧注销登记之日起，公司不再将其纳入合并报表</w:t>
      </w:r>
      <w:r>
        <w:rPr>
          <w:spacing w:val="-57"/>
        </w:rPr>
        <w:t> </w:t>
      </w:r>
      <w:r>
        <w:rPr>
          <w:spacing w:val="-57"/>
        </w:rPr>
      </w:r>
      <w:r>
        <w:rPr/>
        <w:t>范围。</w:t>
      </w:r>
    </w:p>
    <w:p>
      <w:pPr>
        <w:pStyle w:val="BodyText"/>
        <w:spacing w:line="300" w:lineRule="auto" w:before="72"/>
        <w:ind w:left="154" w:right="188" w:firstLine="360"/>
        <w:jc w:val="both"/>
      </w:pPr>
      <w:r>
        <w:rPr/>
        <w:t>（</w:t>
      </w:r>
      <w:r>
        <w:rPr>
          <w:rFonts w:ascii="Times New Roman" w:hAnsi="Times New Roman" w:cs="Times New Roman" w:eastAsia="Times New Roman" w:hint="default"/>
        </w:rPr>
        <w:t>6</w:t>
      </w:r>
      <w:r>
        <w:rPr/>
        <w:t>）根据公司战略规划及生产经营需要，生活用纸项目转移到武汉晨鸣投资建设，为减少相关费用支出，经武汉晨鸣 第五届董事会第十四次会议审议，同意注销武汉星之恋纸业有限公司，相关注销手续已于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日办理完毕。自武汉</w:t>
      </w:r>
      <w:r>
        <w:rPr>
          <w:spacing w:val="-84"/>
        </w:rPr>
        <w:t> </w:t>
      </w:r>
      <w:r>
        <w:rPr>
          <w:spacing w:val="-84"/>
        </w:rPr>
      </w:r>
      <w:r>
        <w:rPr/>
        <w:t>星之恋纸业有限公司注销登记之日起，公司不再将其纳入合并报表范围。</w:t>
      </w:r>
    </w:p>
    <w:p>
      <w:pPr>
        <w:spacing w:line="240" w:lineRule="auto" w:before="9"/>
        <w:rPr>
          <w:rFonts w:ascii="宋体" w:hAnsi="宋体" w:cs="宋体" w:eastAsia="宋体" w:hint="default"/>
          <w:sz w:val="21"/>
          <w:szCs w:val="21"/>
        </w:rPr>
      </w:pPr>
    </w:p>
    <w:p>
      <w:pPr>
        <w:pStyle w:val="Heading2"/>
        <w:spacing w:line="240" w:lineRule="auto"/>
        <w:ind w:right="90"/>
        <w:jc w:val="left"/>
        <w:rPr>
          <w:b w:val="0"/>
          <w:bCs w:val="0"/>
        </w:rPr>
      </w:pPr>
      <w:r>
        <w:rPr/>
        <w:t>十五、公司利润分配及分红派息情况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0"/>
        <w:jc w:val="left"/>
      </w:pPr>
      <w:r>
        <w:rPr/>
        <w:t>报告期内利润分配政策特别是现金分红政策的制定、执行或调整情况</w:t>
      </w:r>
    </w:p>
    <w:p>
      <w:pPr>
        <w:pStyle w:val="BodyText"/>
        <w:spacing w:line="338" w:lineRule="auto" w:before="117"/>
        <w:ind w:left="514" w:right="9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根据中国证券监督管理委员会、深圳证券交易所和中国证券监督管理委员会山东监管局的有关规定，结合公司实际情况，</w:t>
      </w:r>
    </w:p>
    <w:p>
      <w:pPr>
        <w:pStyle w:val="BodyText"/>
        <w:spacing w:line="309" w:lineRule="auto" w:before="2"/>
        <w:ind w:left="154" w:right="90"/>
        <w:jc w:val="left"/>
      </w:pPr>
      <w:r>
        <w:rPr/>
        <w:t>对现金分红政策进行了进一步的细化，明确了分红决策机制及分红监督约束机制，修订了《公司章程》中的利润分配政策， 并分别经</w:t>
      </w:r>
      <w:r>
        <w:rPr>
          <w:spacing w:val="-46"/>
        </w:rPr>
        <w:t> </w:t>
      </w:r>
      <w:r>
        <w:rPr>
          <w:rFonts w:ascii="Times New Roman" w:hAnsi="Times New Roman" w:cs="Times New Roman" w:eastAsia="Times New Roman" w:hint="default"/>
        </w:rPr>
        <w:t>2012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日召开的第六届董事会第十三次会议和</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日召开的</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年第二次临时股东大会审议 通过，独立董事相应发表了独立意见。</w:t>
      </w:r>
    </w:p>
    <w:p>
      <w:pPr>
        <w:pStyle w:val="BodyText"/>
        <w:spacing w:line="338" w:lineRule="auto" w:before="63"/>
        <w:ind w:left="514" w:right="90" w:hanging="1"/>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年度股东大会审议通过的《</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年度利润分配方案》已于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日实施完成。 </w:t>
      </w:r>
      <w:r>
        <w:rPr>
          <w:spacing w:val="-2"/>
        </w:rPr>
        <w:t>公司严格按照《公司章程》执行利润分配政策，公司现金分红政策制定及执行均符合《公司章程》的规定和股东大会决</w:t>
      </w:r>
    </w:p>
    <w:p>
      <w:pPr>
        <w:spacing w:after="0" w:line="338"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spacing w:val="-2"/>
        </w:rPr>
        <w:t>议的要求，分红标准和比例明确和清晰，相关的决策程序和机制完备，独立董事的职责明确，能发挥应有的作用，中小股东</w:t>
      </w:r>
      <w:r>
        <w:rPr>
          <w:spacing w:val="-66"/>
        </w:rPr>
        <w:t> </w:t>
      </w:r>
      <w:r>
        <w:rPr>
          <w:spacing w:val="-66"/>
        </w:rPr>
      </w:r>
      <w:r>
        <w:rPr/>
        <w:t>有充分表达意见和诉求的机会，中小股东的合法权益得到了充分维护。</w:t>
      </w:r>
    </w:p>
    <w:p>
      <w:pPr>
        <w:spacing w:line="240" w:lineRule="auto" w:before="6"/>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6277"/>
        <w:gridCol w:w="3280"/>
      </w:tblGrid>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153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153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153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1537"/>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27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80" w:type="dxa"/>
            <w:tcBorders>
              <w:top w:val="single" w:sz="4" w:space="0" w:color="000000"/>
              <w:left w:val="single" w:sz="23" w:space="0" w:color="FFFFFF"/>
              <w:bottom w:val="single" w:sz="4" w:space="0" w:color="000000"/>
              <w:right w:val="single" w:sz="4" w:space="0" w:color="000000"/>
            </w:tcBorders>
          </w:tcPr>
          <w:p>
            <w:pPr>
              <w:pStyle w:val="TableParagraph"/>
              <w:tabs>
                <w:tab w:pos="1526" w:val="left" w:leader="none"/>
              </w:tabs>
              <w:spacing w:line="240" w:lineRule="auto" w:before="51"/>
              <w:ind w:left="-169" w:right="1537"/>
              <w:jc w:val="right"/>
              <w:rPr>
                <w:rFonts w:ascii="宋体" w:hAnsi="宋体" w:cs="宋体" w:eastAsia="宋体" w:hint="default"/>
                <w:sz w:val="18"/>
                <w:szCs w:val="18"/>
              </w:rPr>
            </w:pPr>
            <w:r>
              <w:rPr>
                <w:rFonts w:ascii="宋体" w:hAnsi="宋体" w:cs="宋体" w:eastAsia="宋体" w:hint="default"/>
                <w:sz w:val="18"/>
                <w:szCs w:val="18"/>
              </w:rPr>
              <w:t>：</w:t>
              <w:tab/>
              <w:t>是</w:t>
            </w:r>
          </w:p>
        </w:tc>
      </w:tr>
      <w:tr>
        <w:trPr>
          <w:trHeight w:val="403"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right="1537"/>
              <w:jc w:val="righ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2"/>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00" w:lineRule="auto" w:before="101"/>
        <w:ind w:left="514"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年度利润分配预案 以分红派息股权登记日股份数为基数，向全体股东每</w:t>
      </w:r>
      <w:r>
        <w:rPr>
          <w:rFonts w:ascii="Times New Roman" w:hAnsi="Times New Roman" w:cs="Times New Roman" w:eastAsia="Times New Roman" w:hint="default"/>
        </w:rPr>
        <w:t>10</w:t>
      </w:r>
      <w:r>
        <w:rPr/>
        <w:t>股派发人民币现金红利</w:t>
      </w:r>
      <w:r>
        <w:rPr>
          <w:rFonts w:ascii="Times New Roman" w:hAnsi="Times New Roman" w:cs="Times New Roman" w:eastAsia="Times New Roman" w:hint="default"/>
        </w:rPr>
        <w:t>3.00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w:t>
      </w:r>
    </w:p>
    <w:p>
      <w:pPr>
        <w:pStyle w:val="BodyText"/>
        <w:spacing w:line="300" w:lineRule="auto" w:before="13"/>
        <w:ind w:left="154" w:right="0"/>
        <w:jc w:val="left"/>
      </w:pPr>
      <w:r>
        <w:rPr>
          <w:spacing w:val="-2"/>
        </w:rPr>
        <w:t>股份</w:t>
      </w:r>
      <w:r>
        <w:rPr>
          <w:rFonts w:ascii="Times New Roman" w:hAnsi="Times New Roman" w:cs="Times New Roman" w:eastAsia="Times New Roman" w:hint="default"/>
          <w:spacing w:val="-2"/>
        </w:rPr>
        <w:t>1,975,471,967</w:t>
      </w:r>
      <w:r>
        <w:rPr>
          <w:spacing w:val="-2"/>
        </w:rPr>
        <w:t>股计算，</w:t>
      </w:r>
      <w:r>
        <w:rPr>
          <w:rFonts w:ascii="Times New Roman" w:hAnsi="Times New Roman" w:cs="Times New Roman" w:eastAsia="Times New Roman" w:hint="default"/>
          <w:spacing w:val="-2"/>
        </w:rPr>
        <w:t>2013</w:t>
      </w:r>
      <w:r>
        <w:rPr>
          <w:spacing w:val="-2"/>
        </w:rPr>
        <w:t>年度共派发人民币现金红利</w:t>
      </w:r>
      <w:r>
        <w:rPr>
          <w:rFonts w:ascii="Times New Roman" w:hAnsi="Times New Roman" w:cs="Times New Roman" w:eastAsia="Times New Roman" w:hint="default"/>
          <w:spacing w:val="-2"/>
        </w:rPr>
        <w:t>592,641,590.10</w:t>
      </w:r>
      <w:r>
        <w:rPr>
          <w:spacing w:val="-2"/>
        </w:rPr>
        <w:t>元（含税），占</w:t>
      </w:r>
      <w:r>
        <w:rPr>
          <w:rFonts w:ascii="Times New Roman" w:hAnsi="Times New Roman" w:cs="Times New Roman" w:eastAsia="Times New Roman" w:hint="default"/>
          <w:spacing w:val="-2"/>
        </w:rPr>
        <w:t>2013</w:t>
      </w:r>
      <w:r>
        <w:rPr>
          <w:spacing w:val="-2"/>
        </w:rPr>
        <w:t>年按照企业会计准则编制的合</w:t>
      </w:r>
      <w:r>
        <w:rPr>
          <w:spacing w:val="-36"/>
        </w:rPr>
        <w:t> </w:t>
      </w:r>
      <w:r>
        <w:rPr/>
        <w:t>并报表中归属于上市公司股东的净利润的比率为</w:t>
      </w:r>
      <w:r>
        <w:rPr>
          <w:rFonts w:ascii="Times New Roman" w:hAnsi="Times New Roman" w:cs="Times New Roman" w:eastAsia="Times New Roman" w:hint="default"/>
        </w:rPr>
        <w:t>83.39%</w:t>
      </w:r>
      <w:r>
        <w:rPr/>
        <w:t>。</w:t>
      </w:r>
    </w:p>
    <w:p>
      <w:pPr>
        <w:pStyle w:val="BodyText"/>
        <w:spacing w:line="240" w:lineRule="auto" w:before="13"/>
        <w:ind w:left="51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年度利润分配方案</w:t>
      </w:r>
    </w:p>
    <w:p>
      <w:pPr>
        <w:pStyle w:val="BodyText"/>
        <w:spacing w:line="300" w:lineRule="auto" w:before="62"/>
        <w:ind w:left="154" w:right="128" w:firstLine="359"/>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2012</w:t>
      </w:r>
      <w:r>
        <w:rPr/>
        <w:t>年度股东大会，审议通过了</w:t>
      </w:r>
      <w:r>
        <w:rPr>
          <w:rFonts w:ascii="Times New Roman" w:hAnsi="Times New Roman" w:cs="Times New Roman" w:eastAsia="Times New Roman" w:hint="default"/>
        </w:rPr>
        <w:t>2012</w:t>
      </w:r>
      <w:r>
        <w:rPr/>
        <w:t>年度利润分配方案，公司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日的注册资本总 额为</w:t>
      </w:r>
      <w:r>
        <w:rPr>
          <w:rFonts w:ascii="Times New Roman" w:hAnsi="Times New Roman" w:cs="Times New Roman" w:eastAsia="Times New Roman" w:hint="default"/>
        </w:rPr>
        <w:t>2,062,045,941</w:t>
      </w:r>
      <w:r>
        <w:rPr/>
        <w:t>股，扣除公司回购</w:t>
      </w:r>
      <w:r>
        <w:rPr>
          <w:rFonts w:ascii="Times New Roman" w:hAnsi="Times New Roman" w:cs="Times New Roman" w:eastAsia="Times New Roman" w:hint="default"/>
        </w:rPr>
        <w:t>B</w:t>
      </w:r>
      <w:r>
        <w:rPr/>
        <w:t>股尚未注销的库存股</w:t>
      </w:r>
      <w:r>
        <w:rPr>
          <w:rFonts w:ascii="Times New Roman" w:hAnsi="Times New Roman" w:cs="Times New Roman" w:eastAsia="Times New Roman" w:hint="default"/>
        </w:rPr>
        <w:t>86,573,974</w:t>
      </w:r>
      <w:r>
        <w:rPr/>
        <w:t>股，因此参与本次分配的股本总额为</w:t>
      </w:r>
      <w:r>
        <w:rPr>
          <w:rFonts w:ascii="Times New Roman" w:hAnsi="Times New Roman" w:cs="Times New Roman" w:eastAsia="Times New Roman" w:hint="default"/>
        </w:rPr>
        <w:t>1,975,471,967</w:t>
      </w:r>
      <w:r>
        <w:rPr/>
        <w:t>股， </w:t>
      </w:r>
      <w:r>
        <w:rPr>
          <w:spacing w:val="-4"/>
        </w:rPr>
        <w:t>以</w:t>
      </w:r>
      <w:r>
        <w:rPr>
          <w:rFonts w:ascii="Times New Roman" w:hAnsi="Times New Roman" w:cs="Times New Roman" w:eastAsia="Times New Roman" w:hint="default"/>
          <w:spacing w:val="-4"/>
        </w:rPr>
        <w:t>1,975,471,967</w:t>
      </w:r>
      <w:r>
        <w:rPr>
          <w:spacing w:val="-4"/>
        </w:rPr>
        <w:t>股为基数，向股东每</w:t>
      </w:r>
      <w:r>
        <w:rPr>
          <w:rFonts w:ascii="Times New Roman" w:hAnsi="Times New Roman" w:cs="Times New Roman" w:eastAsia="Times New Roman" w:hint="default"/>
          <w:spacing w:val="-4"/>
        </w:rPr>
        <w:t>10</w:t>
      </w:r>
      <w:r>
        <w:rPr>
          <w:spacing w:val="-4"/>
        </w:rPr>
        <w:t>股派发现金红利人民币</w:t>
      </w:r>
      <w:r>
        <w:rPr>
          <w:rFonts w:ascii="Times New Roman" w:hAnsi="Times New Roman" w:cs="Times New Roman" w:eastAsia="Times New Roman" w:hint="default"/>
          <w:spacing w:val="-4"/>
        </w:rPr>
        <w:t>0.60</w:t>
      </w:r>
      <w:r>
        <w:rPr>
          <w:spacing w:val="-4"/>
        </w:rPr>
        <w:t>元（含税）。本次分配共派发现金红利人民币</w:t>
      </w:r>
      <w:r>
        <w:rPr>
          <w:rFonts w:ascii="Times New Roman" w:hAnsi="Times New Roman" w:cs="Times New Roman" w:eastAsia="Times New Roman" w:hint="default"/>
          <w:spacing w:val="-4"/>
        </w:rPr>
        <w:t>118,528,318.02</w:t>
      </w:r>
      <w:r>
        <w:rPr>
          <w:rFonts w:ascii="Times New Roman" w:hAnsi="Times New Roman" w:cs="Times New Roman" w:eastAsia="Times New Roman" w:hint="default"/>
          <w:spacing w:val="26"/>
        </w:rPr>
        <w:t> </w:t>
      </w:r>
      <w:r>
        <w:rPr/>
        <w:t>元（含税）。</w:t>
      </w:r>
    </w:p>
    <w:p>
      <w:pPr>
        <w:pStyle w:val="BodyText"/>
        <w:spacing w:line="240" w:lineRule="auto" w:before="31"/>
        <w:ind w:left="51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t>年度利润分配方案</w:t>
      </w:r>
    </w:p>
    <w:p>
      <w:pPr>
        <w:pStyle w:val="BodyText"/>
        <w:spacing w:line="240" w:lineRule="auto" w:before="63"/>
        <w:ind w:left="514" w:right="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日，公司召开</w:t>
      </w:r>
      <w:r>
        <w:rPr>
          <w:rFonts w:ascii="Times New Roman" w:hAnsi="Times New Roman" w:cs="Times New Roman" w:eastAsia="Times New Roman" w:hint="default"/>
          <w:spacing w:val="2"/>
        </w:rPr>
        <w:t>2011</w:t>
      </w:r>
      <w:r>
        <w:rPr>
          <w:spacing w:val="2"/>
        </w:rPr>
        <w:t>年度股东大会，审议通过了</w:t>
      </w:r>
      <w:r>
        <w:rPr>
          <w:rFonts w:ascii="Times New Roman" w:hAnsi="Times New Roman" w:cs="Times New Roman" w:eastAsia="Times New Roman" w:hint="default"/>
          <w:spacing w:val="2"/>
        </w:rPr>
        <w:t>2011</w:t>
      </w:r>
      <w:r>
        <w:rPr>
          <w:spacing w:val="2"/>
        </w:rPr>
        <w:t>年度利润分配方案：以公司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p>
    <w:p>
      <w:pPr>
        <w:pStyle w:val="BodyText"/>
        <w:spacing w:line="240" w:lineRule="auto" w:before="62"/>
        <w:ind w:left="154" w:right="0"/>
        <w:jc w:val="left"/>
        <w:rPr>
          <w:rFonts w:ascii="Times New Roman" w:hAnsi="Times New Roman" w:cs="Times New Roman" w:eastAsia="Times New Roman" w:hint="default"/>
        </w:rPr>
      </w:pPr>
      <w:r>
        <w:rPr>
          <w:rFonts w:ascii="Times New Roman" w:hAnsi="Times New Roman" w:cs="Times New Roman" w:eastAsia="Times New Roman" w:hint="default"/>
        </w:rPr>
        <w:t>2,062,045,941</w:t>
      </w:r>
      <w:r>
        <w:rPr/>
        <w:t>股为基数，向全体股东每</w:t>
      </w:r>
      <w:r>
        <w:rPr>
          <w:rFonts w:ascii="Times New Roman" w:hAnsi="Times New Roman" w:cs="Times New Roman" w:eastAsia="Times New Roman" w:hint="default"/>
        </w:rPr>
        <w:t>10</w:t>
      </w:r>
      <w:r>
        <w:rPr/>
        <w:t>股派发人民币现金红利</w:t>
      </w:r>
      <w:r>
        <w:rPr>
          <w:rFonts w:ascii="Times New Roman" w:hAnsi="Times New Roman" w:cs="Times New Roman" w:eastAsia="Times New Roman" w:hint="default"/>
        </w:rPr>
        <w:t>1.5</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，本次分配共派发人民币现金红利</w:t>
      </w:r>
      <w:r>
        <w:rPr>
          <w:rFonts w:ascii="Times New Roman" w:hAnsi="Times New Roman" w:cs="Times New Roman" w:eastAsia="Times New Roman" w:hint="default"/>
        </w:rPr>
        <w:t>309,306,891.20</w:t>
      </w:r>
    </w:p>
    <w:p>
      <w:pPr>
        <w:pStyle w:val="BodyText"/>
        <w:spacing w:line="360" w:lineRule="auto" w:before="62"/>
        <w:ind w:right="7611"/>
        <w:jc w:val="left"/>
      </w:pPr>
      <w:r>
        <w:rPr/>
        <w:t>元（含税）。 公司近三年现金分红情况表</w:t>
      </w:r>
    </w:p>
    <w:p>
      <w:pPr>
        <w:pStyle w:val="BodyText"/>
        <w:spacing w:line="240" w:lineRule="auto" w:before="27"/>
        <w:ind w:left="0" w:right="15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162" w:hRule="exact"/>
        </w:trPr>
        <w:tc>
          <w:tcPr>
            <w:tcW w:w="2380"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6"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303"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0" w:hRule="exact"/>
        </w:trPr>
        <w:tc>
          <w:tcPr>
            <w:tcW w:w="2380"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592,641,590.10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710,655,331.72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83.39%</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118,528,318.02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221,034,822.54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53.62%</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309,306,891.20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608,271,256.29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50.85%</w:t>
            </w: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十六、本报告期利润分配及资本公积金转增股本预案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9"/>
        <w:gridCol w:w="5879"/>
      </w:tblGrid>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7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7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7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1,975,471,967</w:t>
            </w:r>
          </w:p>
        </w:tc>
      </w:tr>
      <w:tr>
        <w:trPr>
          <w:trHeight w:val="403" w:hRule="exact"/>
        </w:trPr>
        <w:tc>
          <w:tcPr>
            <w:tcW w:w="36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7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592,641,590.10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706"/>
        <w:gridCol w:w="5862"/>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4,741,638,941.58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8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公司积极推进现金分红方式，在现金流满足公司正常经营和长期发展的前提下，公司应当采取现金方式分配股利。最近三</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年以现金方式累计分配的利润应不少于最近三年实现的年均可分配利润的百分之三十。</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年度利润分配预案详细情况请参阅本章节、十五。</w:t>
            </w:r>
          </w:p>
        </w:tc>
      </w:tr>
    </w:tbl>
    <w:p>
      <w:pPr>
        <w:spacing w:line="240" w:lineRule="auto" w:before="2"/>
        <w:rPr>
          <w:rFonts w:ascii="宋体" w:hAnsi="宋体" w:cs="宋体" w:eastAsia="宋体" w:hint="default"/>
          <w:b/>
          <w:bCs/>
          <w:sz w:val="18"/>
          <w:szCs w:val="18"/>
        </w:rPr>
      </w:pPr>
    </w:p>
    <w:p>
      <w:pPr>
        <w:pStyle w:val="Heading2"/>
        <w:spacing w:line="240" w:lineRule="auto" w:before="26"/>
        <w:ind w:right="90"/>
        <w:jc w:val="left"/>
        <w:rPr>
          <w:b w:val="0"/>
          <w:bCs w:val="0"/>
        </w:rPr>
      </w:pPr>
      <w:r>
        <w:rPr/>
        <w:t>十七、社会责任情况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54" w:right="189" w:firstLine="360"/>
        <w:jc w:val="both"/>
      </w:pPr>
      <w:r>
        <w:rPr>
          <w:spacing w:val="-2"/>
        </w:rPr>
        <w:t>公司按照《公司法》、《证券法》、《公司章程》和其他有关法律法规的要求，结合公司实际，建立了规范的法人治理</w:t>
      </w:r>
      <w:r>
        <w:rPr/>
        <w:t> </w:t>
      </w:r>
      <w:r>
        <w:rPr>
          <w:spacing w:val="-2"/>
        </w:rPr>
        <w:t>结构，股东大会、董事会、监事会和总经理负责的经理层权责分明，建立了所有权、经营权分离，决策权、执行权、监督权</w:t>
      </w:r>
      <w:r>
        <w:rPr>
          <w:spacing w:val="-67"/>
        </w:rPr>
        <w:t> </w:t>
      </w:r>
      <w:r>
        <w:rPr>
          <w:spacing w:val="-67"/>
        </w:rPr>
      </w:r>
      <w:r>
        <w:rPr>
          <w:spacing w:val="-2"/>
        </w:rPr>
        <w:t>分立，股东大会、董事会、监事会并存的法人制衡管理机制。严格规定了股东大会、董事会、监事会、总经理的权利、义务</w:t>
      </w:r>
      <w:r>
        <w:rPr>
          <w:spacing w:val="-67"/>
        </w:rPr>
        <w:t> </w:t>
      </w:r>
      <w:r>
        <w:rPr>
          <w:spacing w:val="-67"/>
        </w:rPr>
      </w:r>
      <w:r>
        <w:rPr>
          <w:spacing w:val="-2"/>
        </w:rPr>
        <w:t>及职责范围。公司重视履行社会责任，超越了把利润作为唯一目标的理念，在生产经营和业务发展的过程中，在为股东创造</w:t>
      </w:r>
      <w:r>
        <w:rPr>
          <w:spacing w:val="-66"/>
        </w:rPr>
        <w:t> </w:t>
      </w:r>
      <w:r>
        <w:rPr>
          <w:spacing w:val="-66"/>
        </w:rPr>
      </w:r>
      <w:r>
        <w:rPr>
          <w:spacing w:val="-2"/>
        </w:rPr>
        <w:t>价值的同时，顺应国家和社会的全面发展，努力做到经济效益与社会效益、短期利益与长期利益、自身发展与社会发展相互</w:t>
      </w:r>
      <w:r>
        <w:rPr>
          <w:spacing w:val="-66"/>
        </w:rPr>
        <w:t> </w:t>
      </w:r>
      <w:r>
        <w:rPr>
          <w:spacing w:val="-66"/>
        </w:rPr>
      </w:r>
      <w:r>
        <w:rPr/>
        <w:t>协调，实现公司与员工、公司与社会、公司与环境的健康和谐发展。</w:t>
      </w:r>
    </w:p>
    <w:p>
      <w:pPr>
        <w:pStyle w:val="BodyText"/>
        <w:spacing w:line="316" w:lineRule="auto" w:before="18"/>
        <w:ind w:right="189" w:firstLine="360"/>
        <w:jc w:val="both"/>
      </w:pPr>
      <w:r>
        <w:rPr>
          <w:spacing w:val="-2"/>
        </w:rPr>
        <w:t>公司在追求股东利益最大化的同时，高度重视对债权人合法权益的保护，严格按照与债权人签订的合同履行债务，及时</w:t>
      </w:r>
      <w:r>
        <w:rPr/>
        <w:t> </w:t>
      </w:r>
      <w:r>
        <w:rPr>
          <w:spacing w:val="-2"/>
        </w:rPr>
        <w:t>通报与其相关的重大信息，积极保障债权人的知情权。公司在各项重大经营决策过程中，充分考虑债权人的合法权益，特别</w:t>
      </w:r>
      <w:r>
        <w:rPr>
          <w:spacing w:val="-66"/>
        </w:rPr>
        <w:t> </w:t>
      </w:r>
      <w:r>
        <w:rPr>
          <w:spacing w:val="-66"/>
        </w:rPr>
      </w:r>
      <w:r>
        <w:rPr/>
        <w:t>是在财务方面努力保持公司财务稳健政策，保证公司财务安全。</w:t>
      </w:r>
    </w:p>
    <w:p>
      <w:pPr>
        <w:pStyle w:val="BodyText"/>
        <w:spacing w:line="304" w:lineRule="auto" w:before="18"/>
        <w:ind w:left="154" w:right="90" w:firstLine="359"/>
        <w:jc w:val="left"/>
      </w:pPr>
      <w:r>
        <w:rPr/>
        <w:t>公司坚持</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，在扩张规模、做大做强的同时，大力实施人才成长战略，完善用人机制，制订完善培训计划和目 </w:t>
      </w:r>
      <w:r>
        <w:rPr>
          <w:spacing w:val="-4"/>
        </w:rPr>
        <w:t>标，做好人才引进和培养，真心实意地关心、理解、尊重、爱护人才，努力为各类人才营造一个良好的工作环境和生活环境，</w:t>
      </w:r>
      <w:r>
        <w:rPr>
          <w:spacing w:val="-44"/>
        </w:rPr>
        <w:t> </w:t>
      </w:r>
      <w:r>
        <w:rPr>
          <w:spacing w:val="-44"/>
        </w:rPr>
      </w:r>
      <w:r>
        <w:rPr>
          <w:spacing w:val="-3"/>
        </w:rPr>
        <w:t>鼓励人才脱颖而出。用人机制上，坚持把合适的人放到合适的岗位。积极搭建人才成长平台，为优秀人才创造条件，建立</w:t>
      </w:r>
      <w:r>
        <w:rPr>
          <w:rFonts w:ascii="Times New Roman" w:hAnsi="Times New Roman" w:cs="Times New Roman" w:eastAsia="Times New Roman" w:hint="default"/>
          <w:spacing w:val="-3"/>
        </w:rPr>
        <w:t>“</w:t>
      </w:r>
      <w:r>
        <w:rPr>
          <w:spacing w:val="-3"/>
        </w:rPr>
        <w:t>公</w:t>
      </w:r>
      <w:r>
        <w:rPr/>
        <w:t> 开、公平、公正</w:t>
      </w:r>
      <w:r>
        <w:rPr>
          <w:rFonts w:ascii="Times New Roman" w:hAnsi="Times New Roman" w:cs="Times New Roman" w:eastAsia="Times New Roman" w:hint="default"/>
        </w:rPr>
        <w:t>”</w:t>
      </w:r>
      <w:r>
        <w:rPr/>
        <w:t>的竞争上岗机制，在竞争中选拔人才，在竞争中启用人才，在竞争中锻炼人才。增强员工的归属感，最大 限度地激发出员工的工作热情和工作积极性，让每位员工实现个人职业提升与企业发展的高度和谐统一，形成</w:t>
      </w:r>
      <w:r>
        <w:rPr>
          <w:rFonts w:ascii="Times New Roman" w:hAnsi="Times New Roman" w:cs="Times New Roman" w:eastAsia="Times New Roman" w:hint="default"/>
        </w:rPr>
        <w:t>“</w:t>
      </w:r>
      <w:r>
        <w:rPr/>
        <w:t>人才荟萃， 人尽其才</w:t>
      </w:r>
      <w:r>
        <w:rPr>
          <w:rFonts w:ascii="Times New Roman" w:hAnsi="Times New Roman" w:cs="Times New Roman" w:eastAsia="Times New Roman" w:hint="default"/>
        </w:rPr>
        <w:t>”</w:t>
      </w:r>
      <w:r>
        <w:rPr/>
        <w:t>的良好局面，充分发挥各类人才的聪明才智，不断为公司科学、健康、持续发展增添生机和活力。</w:t>
      </w:r>
    </w:p>
    <w:p>
      <w:pPr>
        <w:pStyle w:val="BodyText"/>
        <w:spacing w:line="314" w:lineRule="auto" w:before="50"/>
        <w:ind w:left="154" w:right="189" w:firstLine="360"/>
        <w:jc w:val="both"/>
      </w:pPr>
      <w:r>
        <w:rPr>
          <w:spacing w:val="-2"/>
        </w:rPr>
        <w:t>公司以打造纸业精品，真诚回报社会为企业使命，以建设国际一流企业为目标，矢志不渝走科学创新发展之路，不断创</w:t>
      </w:r>
      <w:r>
        <w:rPr/>
        <w:t> </w:t>
      </w:r>
      <w:r>
        <w:rPr>
          <w:spacing w:val="-2"/>
        </w:rPr>
        <w:t>新企业管理，提升产品质量，加大新产品研发力度，生产社会需求的高质量、高科技含量的纸业产品，全力打造民族纸业品</w:t>
      </w:r>
      <w:r>
        <w:rPr>
          <w:spacing w:val="-66"/>
        </w:rPr>
        <w:t> </w:t>
      </w:r>
      <w:r>
        <w:rPr>
          <w:spacing w:val="-66"/>
        </w:rPr>
      </w:r>
      <w:r>
        <w:rPr/>
        <w:t>牌的精品工程，创造环保、质优的社会财富。真诚回报社会，是晨鸣人积极履行社会责任的最好诠释，是</w:t>
      </w:r>
      <w:r>
        <w:rPr>
          <w:rFonts w:ascii="Times New Roman" w:hAnsi="Times New Roman" w:cs="Times New Roman" w:eastAsia="Times New Roman" w:hint="default"/>
        </w:rPr>
        <w:t>“</w:t>
      </w:r>
      <w:r>
        <w:rPr/>
        <w:t>打造纸业精品</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spacing w:val="-2"/>
        </w:rPr>
        <w:t>的高层次价值体现。晨鸣人在实现利益的同时，坚持发展成果与社会共享，努力追求与社会发展的和谐统一，不断推动社会</w:t>
      </w:r>
      <w:r>
        <w:rPr>
          <w:spacing w:val="-66"/>
        </w:rPr>
        <w:t> </w:t>
      </w:r>
      <w:r>
        <w:rPr>
          <w:spacing w:val="-66"/>
        </w:rPr>
      </w:r>
      <w:r>
        <w:rPr/>
        <w:t>经济的发展和进步，以优异业绩回报社会、奉献社会。</w:t>
      </w:r>
    </w:p>
    <w:p>
      <w:pPr>
        <w:pStyle w:val="BodyText"/>
        <w:spacing w:line="312" w:lineRule="auto" w:before="59"/>
        <w:ind w:left="154" w:right="111" w:firstLine="359"/>
        <w:jc w:val="left"/>
      </w:pPr>
      <w:r>
        <w:rPr>
          <w:rFonts w:ascii="Times New Roman" w:hAnsi="Times New Roman" w:cs="Times New Roman" w:eastAsia="Times New Roman" w:hint="default"/>
        </w:rPr>
        <w:t>“</w:t>
      </w:r>
      <w:r>
        <w:rPr/>
        <w:t>诚信双赢，共创未来</w:t>
      </w:r>
      <w:r>
        <w:rPr>
          <w:rFonts w:ascii="Times New Roman" w:hAnsi="Times New Roman" w:cs="Times New Roman" w:eastAsia="Times New Roman" w:hint="default"/>
        </w:rPr>
        <w:t>”</w:t>
      </w:r>
      <w:r>
        <w:rPr/>
        <w:t>是晨鸣人对社会和广大客户最庄严的承诺。是企业适应市场竞争要求，占领市场制高点的法宝， </w:t>
      </w:r>
      <w:r>
        <w:rPr>
          <w:spacing w:val="-2"/>
        </w:rPr>
        <w:t>是企业取得更大发展的基石。晨鸣人始终将诚信作为习惯，将双赢作为方向，将心比心，站在客户的角度考虑问题，坚持诚</w:t>
      </w:r>
      <w:r>
        <w:rPr>
          <w:spacing w:val="-66"/>
        </w:rPr>
        <w:t> </w:t>
      </w:r>
      <w:r>
        <w:rPr>
          <w:spacing w:val="-66"/>
        </w:rPr>
      </w:r>
      <w:r>
        <w:rPr>
          <w:spacing w:val="-2"/>
        </w:rPr>
        <w:t>信管理、诚信经营、诚信服务，发挥品牌效应，不断提升产品质量和服务水平，赢得客户和合作伙伴的真正信任和更长远的</w:t>
      </w:r>
      <w:r>
        <w:rPr>
          <w:spacing w:val="-66"/>
        </w:rPr>
        <w:t> </w:t>
      </w:r>
      <w:r>
        <w:rPr>
          <w:spacing w:val="-66"/>
        </w:rPr>
      </w:r>
      <w:r>
        <w:rPr/>
        <w:t>合作，实现经济效益和社会效益的有效统一。</w:t>
      </w:r>
    </w:p>
    <w:p>
      <w:pPr>
        <w:pStyle w:val="BodyText"/>
        <w:spacing w:line="319" w:lineRule="auto" w:before="61"/>
        <w:ind w:left="154" w:right="90" w:firstLine="360"/>
        <w:jc w:val="left"/>
      </w:pPr>
      <w:r>
        <w:rPr>
          <w:spacing w:val="-2"/>
        </w:rPr>
        <w:t>公司致力于建设绿色生态、持续发展的国际一流造纸企业，作为国内造纸龙头企业，公司在多年发展过程中，始终把发</w:t>
      </w:r>
      <w:r>
        <w:rPr/>
        <w:t> 展绿色生态纸业作为自己的目标，积极淘汰落后产能，上马高效、节能、环保的国际一流高端生产线，促进企业转型升级。 同时，高标准、高质量上马环保设施，大力发展原料林基地，都突出体现出了建设绿色生态、发展循环经济这一理念。</w:t>
      </w:r>
    </w:p>
    <w:p>
      <w:pPr>
        <w:pStyle w:val="BodyText"/>
        <w:spacing w:line="314" w:lineRule="auto" w:before="56"/>
        <w:ind w:left="154" w:right="90" w:firstLine="360"/>
        <w:jc w:val="left"/>
      </w:pPr>
      <w:r>
        <w:rPr>
          <w:spacing w:val="-2"/>
        </w:rPr>
        <w:t>公司坚持</w:t>
      </w:r>
      <w:r>
        <w:rPr>
          <w:rFonts w:ascii="Times New Roman" w:hAnsi="Times New Roman" w:cs="Times New Roman" w:eastAsia="Times New Roman" w:hint="default"/>
          <w:spacing w:val="-2"/>
        </w:rPr>
        <w:t>“</w:t>
      </w:r>
      <w:r>
        <w:rPr>
          <w:spacing w:val="-2"/>
        </w:rPr>
        <w:t>诚信为本、共赢共存</w:t>
      </w:r>
      <w:r>
        <w:rPr>
          <w:rFonts w:ascii="Times New Roman" w:hAnsi="Times New Roman" w:cs="Times New Roman" w:eastAsia="Times New Roman" w:hint="default"/>
          <w:spacing w:val="-2"/>
        </w:rPr>
        <w:t>”</w:t>
      </w:r>
      <w:r>
        <w:rPr>
          <w:spacing w:val="-2"/>
        </w:rPr>
        <w:t>的核心价值观，晨鸣人坚持以诚信作为发展基石，用诚信打造公司的金字招牌，把品牌</w:t>
      </w:r>
      <w:r>
        <w:rPr/>
        <w:t> </w:t>
      </w:r>
      <w:r>
        <w:rPr>
          <w:spacing w:val="-2"/>
        </w:rPr>
        <w:t>信誉放在经营首位，秉承客户至上、质量第一的原则，不断提高产品质量和提供优质服务，谋求建立一种信任、和谐的社会</w:t>
      </w:r>
      <w:r>
        <w:rPr>
          <w:spacing w:val="-66"/>
        </w:rPr>
        <w:t> </w:t>
      </w:r>
      <w:r>
        <w:rPr>
          <w:spacing w:val="-66"/>
        </w:rPr>
      </w:r>
      <w:r>
        <w:rPr/>
        <w:t>关系，树立良好的企业形象。晨鸣人以高度的社会责任感，投身于民族造纸业的振兴之路，参与市场竞争，寻求发展空间， </w:t>
      </w:r>
      <w:r>
        <w:rPr>
          <w:spacing w:val="-2"/>
        </w:rPr>
        <w:t>实现与客户、员工、社会的资源共享，互惠互利，实现共同进步、共同发展。达到环境效益、社会效益与经济效益的共赢战</w:t>
      </w:r>
      <w:r>
        <w:rPr>
          <w:spacing w:val="-72"/>
        </w:rPr>
        <w:t> </w:t>
      </w:r>
      <w:r>
        <w:rPr>
          <w:spacing w:val="-72"/>
        </w:rPr>
      </w:r>
      <w:r>
        <w:rPr/>
        <w:t>略。</w:t>
      </w:r>
    </w:p>
    <w:p>
      <w:pPr>
        <w:spacing w:after="0" w:line="314"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07" w:lineRule="auto" w:before="44"/>
        <w:ind w:right="90" w:firstLine="360"/>
        <w:jc w:val="left"/>
      </w:pPr>
      <w:r>
        <w:rPr>
          <w:spacing w:val="-2"/>
        </w:rPr>
        <w:t>晨鸣人坚持在为社会创造财富的同时，以为子孙后代留下一片蓝天碧水为理念，实现企业与环境、资源相协调发展，走</w:t>
      </w:r>
      <w:r>
        <w:rPr/>
        <w:t> </w:t>
      </w:r>
      <w:r>
        <w:rPr>
          <w:rFonts w:ascii="Times New Roman" w:hAnsi="Times New Roman" w:cs="Times New Roman" w:eastAsia="Times New Roman" w:hint="default"/>
        </w:rPr>
        <w:t>“</w:t>
      </w:r>
      <w:r>
        <w:rPr/>
        <w:t>林浆纸一体化</w:t>
      </w:r>
      <w:r>
        <w:rPr>
          <w:rFonts w:ascii="Times New Roman" w:hAnsi="Times New Roman" w:cs="Times New Roman" w:eastAsia="Times New Roman" w:hint="default"/>
        </w:rPr>
        <w:t>”</w:t>
      </w:r>
      <w:r>
        <w:rPr/>
        <w:t>道路，发展循环经济，打造绿色生态纸业，达到人与自然和谐共处，赢得社会的支持和关心，为企业持续健 康发展创造有利条件。始终坚持</w:t>
      </w:r>
      <w:r>
        <w:rPr>
          <w:rFonts w:ascii="Times New Roman" w:hAnsi="Times New Roman" w:cs="Times New Roman" w:eastAsia="Times New Roman" w:hint="default"/>
        </w:rPr>
        <w:t>“</w:t>
      </w:r>
      <w:r>
        <w:rPr/>
        <w:t>规模膨胀，环保先行</w:t>
      </w:r>
      <w:r>
        <w:rPr>
          <w:rFonts w:ascii="Times New Roman" w:hAnsi="Times New Roman" w:cs="Times New Roman" w:eastAsia="Times New Roman" w:hint="default"/>
        </w:rPr>
        <w:t>”</w:t>
      </w:r>
      <w:r>
        <w:rPr/>
        <w:t>的指导思想，把污染治理作为企业的</w:t>
      </w:r>
      <w:r>
        <w:rPr>
          <w:rFonts w:ascii="Times New Roman" w:hAnsi="Times New Roman" w:cs="Times New Roman" w:eastAsia="Times New Roman" w:hint="default"/>
        </w:rPr>
        <w:t>“</w:t>
      </w:r>
      <w:r>
        <w:rPr/>
        <w:t>生命工程</w:t>
      </w:r>
      <w:r>
        <w:rPr>
          <w:rFonts w:ascii="Times New Roman" w:hAnsi="Times New Roman" w:cs="Times New Roman" w:eastAsia="Times New Roman" w:hint="default"/>
        </w:rPr>
        <w:t>”</w:t>
      </w:r>
      <w:r>
        <w:rPr/>
        <w:t>来抓，紧紧依靠科技 </w:t>
      </w:r>
      <w:r>
        <w:rPr>
          <w:spacing w:val="-2"/>
        </w:rPr>
        <w:t>创新，全面推行清洁生产和资源循环利用。近年来，累计投资</w:t>
      </w:r>
      <w:r>
        <w:rPr>
          <w:rFonts w:ascii="Times New Roman" w:hAnsi="Times New Roman" w:cs="Times New Roman" w:eastAsia="Times New Roman" w:hint="default"/>
          <w:spacing w:val="-2"/>
        </w:rPr>
        <w:t>30</w:t>
      </w:r>
      <w:r>
        <w:rPr>
          <w:spacing w:val="-2"/>
        </w:rPr>
        <w:t>多亿元，引进当前世界上最先进的环保技术，配套建设了碱</w:t>
      </w:r>
      <w:r>
        <w:rPr>
          <w:spacing w:val="-65"/>
        </w:rPr>
        <w:t> </w:t>
      </w:r>
      <w:r>
        <w:rPr>
          <w:spacing w:val="-65"/>
        </w:rPr>
      </w:r>
      <w:r>
        <w:rPr/>
        <w:t>回收、中段水、中水回用等环保项目。整体治理能力达到日处理</w:t>
      </w:r>
      <w:r>
        <w:rPr>
          <w:rFonts w:ascii="Times New Roman" w:hAnsi="Times New Roman" w:cs="Times New Roman" w:eastAsia="Times New Roman" w:hint="default"/>
        </w:rPr>
        <w:t>450</w:t>
      </w:r>
      <w:r>
        <w:rPr/>
        <w:t>吨自制浆黑液配套</w:t>
      </w:r>
      <w:r>
        <w:rPr>
          <w:rFonts w:ascii="Times New Roman" w:hAnsi="Times New Roman" w:cs="Times New Roman" w:eastAsia="Times New Roman" w:hint="default"/>
        </w:rPr>
        <w:t>3000kWh</w:t>
      </w:r>
      <w:r>
        <w:rPr/>
        <w:t>发电机组的碱回收、日处理</w:t>
      </w:r>
      <w:r>
        <w:rPr>
          <w:spacing w:val="-85"/>
        </w:rPr>
        <w:t> </w:t>
      </w:r>
      <w:r>
        <w:rPr>
          <w:spacing w:val="-85"/>
        </w:rPr>
      </w:r>
      <w:r>
        <w:rPr>
          <w:rFonts w:ascii="Times New Roman" w:hAnsi="Times New Roman" w:cs="Times New Roman" w:eastAsia="Times New Roman" w:hint="default"/>
        </w:rPr>
        <w:t>13.5</w:t>
      </w:r>
      <w:r>
        <w:rPr/>
        <w:t>万立方米中段水、日处理</w:t>
      </w:r>
      <w:r>
        <w:rPr>
          <w:rFonts w:ascii="Times New Roman" w:hAnsi="Times New Roman" w:cs="Times New Roman" w:eastAsia="Times New Roman" w:hint="default"/>
        </w:rPr>
        <w:t>13</w:t>
      </w:r>
      <w:r>
        <w:rPr/>
        <w:t>万方中水回用，各项排放指标优于相关控制标准。公司在全国同行业率先通过</w:t>
      </w:r>
      <w:r>
        <w:rPr>
          <w:rFonts w:ascii="Times New Roman" w:hAnsi="Times New Roman" w:cs="Times New Roman" w:eastAsia="Times New Roman" w:hint="default"/>
        </w:rPr>
        <w:t>ISO14001</w:t>
      </w:r>
      <w:r>
        <w:rPr/>
        <w:t>环境 </w:t>
      </w:r>
      <w:r>
        <w:rPr>
          <w:spacing w:val="-2"/>
        </w:rPr>
        <w:t>管理体系认证，先后荣获山东省环境友好企业、山东省循环经济示范企业、山东省节约增效先进单位、山东省资源综合利用</w:t>
      </w:r>
      <w:r>
        <w:rPr>
          <w:spacing w:val="-66"/>
        </w:rPr>
        <w:t> </w:t>
      </w:r>
      <w:r>
        <w:rPr>
          <w:spacing w:val="-66"/>
        </w:rPr>
      </w:r>
      <w:r>
        <w:rPr>
          <w:spacing w:val="-4"/>
        </w:rPr>
        <w:t>先进单位等荣誉称号，实现了经济效益和环境保护的协调发展、同步提高。公司将进一步加强环保建设，加大科研攻关力度，</w:t>
      </w:r>
      <w:r>
        <w:rPr>
          <w:spacing w:val="-46"/>
        </w:rPr>
        <w:t> </w:t>
      </w:r>
      <w:r>
        <w:rPr>
          <w:spacing w:val="-46"/>
        </w:rPr>
      </w:r>
      <w:r>
        <w:rPr/>
        <w:t>抓好环保设施运行，全面强化监督管理，实现生产、生态同步，企业健康稳定发展。</w:t>
      </w:r>
    </w:p>
    <w:p>
      <w:pPr>
        <w:pStyle w:val="BodyText"/>
        <w:spacing w:line="309" w:lineRule="auto" w:before="64"/>
        <w:ind w:left="154" w:right="188" w:firstLine="360"/>
        <w:jc w:val="both"/>
      </w:pPr>
      <w:r>
        <w:rPr>
          <w:spacing w:val="-2"/>
        </w:rPr>
        <w:t>尚善行善，已经成为公司的一种精神。多年来，在重大的突发自然灾难面前，善举从未缺席。爱心与责任，不仅仅体现</w:t>
      </w:r>
      <w:r>
        <w:rPr/>
        <w:t> </w:t>
      </w:r>
      <w:r>
        <w:rPr>
          <w:spacing w:val="-2"/>
        </w:rPr>
        <w:t>在面对灾难慷慨解囊，积极投身公益事业、回报桑梓也是公司一直追求的心愿。近年来，公司用于慈善的资金额度达到</w:t>
      </w:r>
      <w:r>
        <w:rPr>
          <w:rFonts w:ascii="Times New Roman" w:hAnsi="Times New Roman" w:cs="Times New Roman" w:eastAsia="Times New Roman" w:hint="default"/>
          <w:spacing w:val="-2"/>
        </w:rPr>
        <w:t>2000</w:t>
      </w:r>
      <w:r>
        <w:rPr>
          <w:rFonts w:ascii="Times New Roman" w:hAnsi="Times New Roman" w:cs="Times New Roman" w:eastAsia="Times New Roman" w:hint="default"/>
          <w:spacing w:val="-18"/>
        </w:rPr>
        <w:t> </w:t>
      </w:r>
      <w:r>
        <w:rPr/>
        <w:t>万元以上，被评为“最具爱心慈善企业”。</w:t>
      </w:r>
    </w:p>
    <w:p>
      <w:pPr>
        <w:pStyle w:val="BodyText"/>
        <w:spacing w:line="240" w:lineRule="auto" w:before="65"/>
        <w:ind w:left="154" w:right="90"/>
        <w:jc w:val="left"/>
      </w:pPr>
      <w:r>
        <w:rPr/>
        <w:t>上市公司及其子公司是否属于国家环境保护部门规定的重污染行业</w:t>
      </w:r>
    </w:p>
    <w:p>
      <w:pPr>
        <w:pStyle w:val="BodyText"/>
        <w:spacing w:line="240" w:lineRule="auto" w:before="116"/>
        <w:ind w:left="154" w:right="90"/>
        <w:jc w:val="left"/>
      </w:pPr>
      <w:r>
        <w:rPr/>
        <w:t>√ 是 □ 否</w:t>
      </w:r>
    </w:p>
    <w:p>
      <w:pPr>
        <w:pStyle w:val="BodyText"/>
        <w:spacing w:line="240" w:lineRule="auto" w:before="115"/>
        <w:ind w:left="154" w:right="90"/>
        <w:jc w:val="left"/>
      </w:pPr>
      <w:r>
        <w:rPr>
          <w:rFonts w:ascii="Times New Roman" w:hAnsi="Times New Roman" w:cs="Times New Roman" w:eastAsia="Times New Roman" w:hint="default"/>
        </w:rPr>
        <w:t>1</w:t>
      </w:r>
      <w:r>
        <w:rPr/>
        <w:t>、报告期内，公司未发生重大的环境问题及整改情况。</w:t>
      </w:r>
    </w:p>
    <w:p>
      <w:pPr>
        <w:pStyle w:val="BodyText"/>
        <w:spacing w:line="240" w:lineRule="auto" w:before="62"/>
        <w:ind w:left="154" w:right="90"/>
        <w:jc w:val="left"/>
      </w:pPr>
      <w:r>
        <w:rPr>
          <w:rFonts w:ascii="Times New Roman" w:hAnsi="Times New Roman" w:cs="Times New Roman" w:eastAsia="Times New Roman" w:hint="default"/>
        </w:rPr>
        <w:t>2</w:t>
      </w:r>
      <w:r>
        <w:rPr/>
        <w:t>、报告期内，公司废水、废气、厂界噪声等主要污染物达标排放。</w:t>
      </w:r>
    </w:p>
    <w:p>
      <w:pPr>
        <w:pStyle w:val="BodyText"/>
        <w:spacing w:line="240" w:lineRule="auto" w:before="62"/>
        <w:ind w:left="154" w:right="90"/>
        <w:jc w:val="left"/>
      </w:pPr>
      <w:r>
        <w:rPr>
          <w:rFonts w:ascii="Times New Roman" w:hAnsi="Times New Roman" w:cs="Times New Roman" w:eastAsia="Times New Roman" w:hint="default"/>
        </w:rPr>
        <w:t>3</w:t>
      </w:r>
      <w:r>
        <w:rPr/>
        <w:t>、报告期内，公司环保设施正常运行。</w:t>
      </w:r>
    </w:p>
    <w:p>
      <w:pPr>
        <w:pStyle w:val="BodyText"/>
        <w:spacing w:line="312" w:lineRule="auto" w:before="62"/>
        <w:ind w:left="154" w:right="90"/>
        <w:jc w:val="left"/>
      </w:pPr>
      <w:r>
        <w:rPr>
          <w:rFonts w:ascii="Times New Roman" w:hAnsi="Times New Roman" w:cs="Times New Roman" w:eastAsia="Times New Roman" w:hint="default"/>
        </w:rPr>
        <w:t>4</w:t>
      </w:r>
      <w:r>
        <w:rPr/>
        <w:t>、报告期内，公司按照《清洁生产促进法》和《环境信息公开办法（试行）》的相关要求，结合本公司实际已编制环境污 </w:t>
      </w:r>
      <w:r>
        <w:rPr>
          <w:spacing w:val="-2"/>
        </w:rPr>
        <w:t>染事故应急预案、危废事故应急预案、放射源事故应急预案。并已在公司网站环保板块及时更新企业主要污染物达标排放数</w:t>
      </w:r>
      <w:r>
        <w:rPr>
          <w:spacing w:val="-66"/>
        </w:rPr>
        <w:t> </w:t>
      </w:r>
      <w:r>
        <w:rPr>
          <w:spacing w:val="-66"/>
        </w:rPr>
      </w:r>
      <w:r>
        <w:rPr/>
        <w:t>据，公司的环保工作历年来一直走在全国同行业的前列。 </w:t>
      </w:r>
      <w:r>
        <w:rPr>
          <w:rFonts w:ascii="Times New Roman" w:hAnsi="Times New Roman" w:cs="Times New Roman" w:eastAsia="Times New Roman" w:hint="default"/>
          <w:spacing w:val="-2"/>
        </w:rPr>
        <w:t>5</w:t>
      </w:r>
      <w:r>
        <w:rPr>
          <w:spacing w:val="-2"/>
        </w:rPr>
        <w:t>、报告期内，公司环保设施与生产设施同步稳定运行。目前运行的环保设施主要有厌氧反应器、初沉池、曝气池、二沉池、</w:t>
      </w:r>
      <w:r>
        <w:rPr>
          <w:spacing w:val="-65"/>
        </w:rPr>
        <w:t> </w:t>
      </w:r>
      <w:r>
        <w:rPr>
          <w:spacing w:val="-65"/>
        </w:rPr>
      </w:r>
      <w:r>
        <w:rPr>
          <w:spacing w:val="-2"/>
        </w:rPr>
        <w:t>污泥浓缩机、深度处理工程（废水处理）；脱硫脱硝装置、静电除尘器（废气处理）；设施均设立专门岗位，由专人管理及</w:t>
      </w:r>
      <w:r>
        <w:rPr>
          <w:spacing w:val="-69"/>
        </w:rPr>
        <w:t> </w:t>
      </w:r>
      <w:r>
        <w:rPr>
          <w:spacing w:val="-69"/>
        </w:rPr>
      </w:r>
      <w:r>
        <w:rPr/>
        <w:t>维护保养，运行，检修等记录齐全，运行正常。</w:t>
      </w:r>
    </w:p>
    <w:p>
      <w:pPr>
        <w:pStyle w:val="BodyText"/>
        <w:spacing w:line="240" w:lineRule="auto" w:before="63"/>
        <w:ind w:left="154" w:right="90"/>
        <w:jc w:val="left"/>
      </w:pPr>
      <w:r>
        <w:rPr/>
        <w:t>上市公司及其子公司是否存在其他重大社会安全问题</w:t>
      </w:r>
    </w:p>
    <w:p>
      <w:pPr>
        <w:pStyle w:val="BodyText"/>
        <w:spacing w:line="338" w:lineRule="auto" w:before="117"/>
        <w:ind w:left="154" w:right="783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报告期内是否被行政处罚</w:t>
      </w:r>
    </w:p>
    <w:p>
      <w:pPr>
        <w:pStyle w:val="BodyText"/>
        <w:spacing w:line="240" w:lineRule="auto" w:before="43"/>
        <w:ind w:left="154" w:right="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spacing w:line="240" w:lineRule="auto" w:before="0"/>
        <w:rPr>
          <w:rFonts w:ascii="宋体" w:hAnsi="宋体" w:cs="宋体" w:eastAsia="宋体" w:hint="default"/>
          <w:sz w:val="24"/>
          <w:szCs w:val="24"/>
        </w:rPr>
      </w:pPr>
    </w:p>
    <w:p>
      <w:pPr>
        <w:pStyle w:val="Heading2"/>
        <w:spacing w:line="240" w:lineRule="auto"/>
        <w:ind w:right="90"/>
        <w:jc w:val="left"/>
        <w:rPr>
          <w:b w:val="0"/>
          <w:bCs w:val="0"/>
        </w:rPr>
      </w:pPr>
      <w:r>
        <w:rPr/>
        <w:t>十八、报告期内接待调研、沟通、采访等活动登记表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514"/>
        <w:gridCol w:w="1039"/>
        <w:gridCol w:w="911"/>
        <w:gridCol w:w="911"/>
        <w:gridCol w:w="2736"/>
        <w:gridCol w:w="2582"/>
      </w:tblGrid>
      <w:tr>
        <w:trPr>
          <w:trHeight w:val="714" w:hRule="exact"/>
        </w:trPr>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1" w:right="8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2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民生通惠资产管理有限公司</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公司近期生产经营情况及行业发 展情况</w:t>
            </w: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光大保德信基金管理有限公司</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公司近期生产经营情况及行业发 展情况</w:t>
            </w: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太平洋资产管理有限责任公司、平</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安资产管理有限责任公司</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公司近期生产经营情况及行业发 展情况</w:t>
            </w: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渣打银行（香港）有限公司</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公司近期生产经营情况及行业发 展情况</w:t>
            </w: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嘉实基金管理有限公司</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公司近期生产经营情况及行业发 展情况</w:t>
            </w:r>
          </w:p>
        </w:tc>
      </w:tr>
    </w:tbl>
    <w:p>
      <w:pPr>
        <w:spacing w:after="0" w:line="316" w:lineRule="auto"/>
        <w:jc w:val="left"/>
        <w:rPr>
          <w:rFonts w:ascii="宋体" w:hAnsi="宋体" w:cs="宋体" w:eastAsia="宋体" w:hint="default"/>
          <w:sz w:val="18"/>
          <w:szCs w:val="18"/>
        </w:rPr>
        <w:sectPr>
          <w:pgSz w:w="11910" w:h="16840"/>
          <w:pgMar w:header="877" w:footer="950" w:top="1100" w:bottom="1140" w:left="980" w:right="94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1514"/>
        <w:gridCol w:w="1039"/>
        <w:gridCol w:w="911"/>
        <w:gridCol w:w="911"/>
        <w:gridCol w:w="2736"/>
        <w:gridCol w:w="2582"/>
      </w:tblGrid>
      <w:tr>
        <w:trPr>
          <w:trHeight w:val="71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景林资产管理公司</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公司近期生产经营情况及行业发 展情况</w:t>
            </w: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麦格理基金管理香港有限公司</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公司近期生产经营情况及行业发 展情况</w:t>
            </w:r>
          </w:p>
        </w:tc>
      </w:tr>
      <w:tr>
        <w:trPr>
          <w:trHeight w:val="714"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德信证券投资信托股份有限公司、 海通国际证券有限公司</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公司近期生产经营情况及行业发 展情况</w:t>
            </w:r>
          </w:p>
        </w:tc>
      </w:tr>
      <w:tr>
        <w:trPr>
          <w:trHeight w:val="402" w:hRule="exact"/>
        </w:trPr>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保健时报</w:t>
            </w:r>
          </w:p>
        </w:tc>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公司的发展历程及目前情况</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十九、</w:t>
      </w:r>
      <w:r>
        <w:rPr>
          <w:spacing w:val="-2"/>
        </w:rPr>
        <w:t> </w:t>
      </w:r>
      <w:r>
        <w:rPr/>
        <w:t>按香港《证券及期货条例》，董事、监事及最高行政人员之证券权益</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151" w:firstLine="360"/>
        <w:jc w:val="left"/>
      </w:pP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日，公司各董事、监事及最高行政人员在公司或其相联法团（定义见《证券及期货条例》第</w:t>
      </w:r>
      <w:r>
        <w:rPr>
          <w:rFonts w:ascii="Times New Roman" w:hAnsi="Times New Roman" w:cs="Times New Roman" w:eastAsia="Times New Roman" w:hint="default"/>
        </w:rPr>
        <w:t>XV</w:t>
      </w:r>
      <w:r>
        <w:rPr/>
        <w:t>部）持 有的权益，根据《证券及期货条例》第</w:t>
      </w:r>
      <w:r>
        <w:rPr>
          <w:rFonts w:ascii="Times New Roman" w:hAnsi="Times New Roman" w:cs="Times New Roman" w:eastAsia="Times New Roman" w:hint="default"/>
        </w:rPr>
        <w:t>352</w:t>
      </w:r>
      <w:r>
        <w:rPr/>
        <w:t>如下：</w:t>
      </w:r>
    </w:p>
    <w:p>
      <w:pPr>
        <w:pStyle w:val="BodyText"/>
        <w:spacing w:line="240" w:lineRule="auto" w:before="52"/>
        <w:ind w:right="0"/>
        <w:jc w:val="left"/>
      </w:pPr>
      <w:r>
        <w:rPr/>
        <w:t>公司</w:t>
      </w:r>
    </w:p>
    <w:p>
      <w:pPr>
        <w:spacing w:line="240" w:lineRule="auto" w:before="12"/>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251"/>
        <w:gridCol w:w="3478"/>
        <w:gridCol w:w="3929"/>
      </w:tblGrid>
      <w:tr>
        <w:trPr>
          <w:trHeight w:val="414" w:hRule="exact"/>
        </w:trPr>
        <w:tc>
          <w:tcPr>
            <w:tcW w:w="22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39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报告期末持有股份（</w:t>
            </w:r>
            <w:r>
              <w:rPr>
                <w:rFonts w:ascii="Times New Roman" w:hAnsi="Times New Roman" w:cs="Times New Roman" w:eastAsia="Times New Roman" w:hint="default"/>
                <w:sz w:val="18"/>
                <w:szCs w:val="18"/>
              </w:rPr>
              <w:t>A</w:t>
            </w:r>
            <w:r>
              <w:rPr>
                <w:rFonts w:ascii="宋体" w:hAnsi="宋体" w:cs="宋体" w:eastAsia="宋体" w:hint="default"/>
                <w:sz w:val="18"/>
                <w:szCs w:val="18"/>
              </w:rPr>
              <w:t>股）数量（股）</w:t>
            </w:r>
          </w:p>
        </w:tc>
      </w:tr>
      <w:tr>
        <w:trPr>
          <w:trHeight w:val="427" w:hRule="exact"/>
        </w:trPr>
        <w:tc>
          <w:tcPr>
            <w:tcW w:w="96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陈洪国</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董事长及总经理</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6,334,527</w:t>
            </w:r>
          </w:p>
        </w:tc>
      </w:tr>
      <w:tr>
        <w:trPr>
          <w:trHeight w:val="426"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执行董事及副董事长</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2,423,640</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471,818</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437,433</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628,915</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123,007</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w:t>
            </w:r>
          </w:p>
        </w:tc>
      </w:tr>
      <w:tr>
        <w:trPr>
          <w:trHeight w:val="426"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96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26"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39,606</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王菊</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w:t>
            </w:r>
          </w:p>
        </w:tc>
      </w:tr>
      <w:tr>
        <w:trPr>
          <w:trHeight w:val="427" w:hRule="exact"/>
        </w:trPr>
        <w:tc>
          <w:tcPr>
            <w:tcW w:w="2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54" w:right="0"/>
        <w:jc w:val="left"/>
      </w:pPr>
      <w:r>
        <w:rPr/>
        <w:t>相联法团</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414"/>
        <w:gridCol w:w="1060"/>
        <w:gridCol w:w="2846"/>
        <w:gridCol w:w="1483"/>
        <w:gridCol w:w="1188"/>
        <w:gridCol w:w="1667"/>
      </w:tblGrid>
      <w:tr>
        <w:trPr>
          <w:trHeight w:val="428" w:hRule="exact"/>
        </w:trPr>
        <w:tc>
          <w:tcPr>
            <w:tcW w:w="14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4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28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875" w:right="0"/>
              <w:jc w:val="left"/>
              <w:rPr>
                <w:rFonts w:ascii="宋体" w:hAnsi="宋体" w:cs="宋体" w:eastAsia="宋体" w:hint="default"/>
                <w:sz w:val="18"/>
                <w:szCs w:val="18"/>
              </w:rPr>
            </w:pPr>
            <w:r>
              <w:rPr>
                <w:rFonts w:ascii="宋体" w:hAnsi="宋体" w:cs="宋体" w:eastAsia="宋体" w:hint="default"/>
                <w:sz w:val="18"/>
                <w:szCs w:val="18"/>
              </w:rPr>
              <w:t>相联法团名称</w:t>
            </w:r>
          </w:p>
        </w:tc>
        <w:tc>
          <w:tcPr>
            <w:tcW w:w="14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3" w:right="0"/>
              <w:jc w:val="left"/>
              <w:rPr>
                <w:rFonts w:ascii="宋体" w:hAnsi="宋体" w:cs="宋体" w:eastAsia="宋体" w:hint="default"/>
                <w:sz w:val="18"/>
                <w:szCs w:val="18"/>
              </w:rPr>
            </w:pPr>
            <w:r>
              <w:rPr>
                <w:rFonts w:ascii="宋体" w:hAnsi="宋体" w:cs="宋体" w:eastAsia="宋体" w:hint="default"/>
                <w:sz w:val="18"/>
                <w:szCs w:val="18"/>
              </w:rPr>
              <w:t>报告期初持有股份</w:t>
            </w:r>
          </w:p>
        </w:tc>
        <w:tc>
          <w:tcPr>
            <w:tcW w:w="1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25" w:right="0"/>
              <w:jc w:val="left"/>
              <w:rPr>
                <w:rFonts w:ascii="宋体" w:hAnsi="宋体" w:cs="宋体" w:eastAsia="宋体" w:hint="default"/>
                <w:sz w:val="18"/>
                <w:szCs w:val="18"/>
              </w:rPr>
            </w:pPr>
            <w:r>
              <w:rPr>
                <w:rFonts w:ascii="宋体" w:hAnsi="宋体" w:cs="宋体" w:eastAsia="宋体" w:hint="default"/>
                <w:sz w:val="18"/>
                <w:szCs w:val="18"/>
              </w:rPr>
              <w:t>期内变动</w:t>
            </w:r>
          </w:p>
        </w:tc>
        <w:tc>
          <w:tcPr>
            <w:tcW w:w="16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5" w:right="0"/>
              <w:jc w:val="left"/>
              <w:rPr>
                <w:rFonts w:ascii="宋体" w:hAnsi="宋体" w:cs="宋体" w:eastAsia="宋体" w:hint="default"/>
                <w:sz w:val="18"/>
                <w:szCs w:val="18"/>
              </w:rPr>
            </w:pPr>
            <w:r>
              <w:rPr>
                <w:rFonts w:ascii="宋体" w:hAnsi="宋体" w:cs="宋体" w:eastAsia="宋体" w:hint="default"/>
                <w:sz w:val="18"/>
                <w:szCs w:val="18"/>
              </w:rPr>
              <w:t>报告期末持有股份数</w:t>
            </w:r>
          </w:p>
        </w:tc>
      </w:tr>
    </w:tbl>
    <w:p>
      <w:pPr>
        <w:spacing w:after="0" w:line="240" w:lineRule="auto"/>
        <w:jc w:val="left"/>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217" w:type="dxa"/>
        <w:tblLayout w:type="fixed"/>
        <w:tblCellMar>
          <w:top w:w="0" w:type="dxa"/>
          <w:left w:w="0" w:type="dxa"/>
          <w:bottom w:w="0" w:type="dxa"/>
          <w:right w:w="0" w:type="dxa"/>
        </w:tblCellMar>
        <w:tblLook w:val="01E0"/>
      </w:tblPr>
      <w:tblGrid>
        <w:gridCol w:w="1414"/>
        <w:gridCol w:w="1060"/>
        <w:gridCol w:w="2846"/>
        <w:gridCol w:w="1483"/>
        <w:gridCol w:w="1188"/>
        <w:gridCol w:w="1667"/>
      </w:tblGrid>
      <w:tr>
        <w:trPr>
          <w:trHeight w:val="386" w:hRule="exact"/>
        </w:trPr>
        <w:tc>
          <w:tcPr>
            <w:tcW w:w="1414"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060"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284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283"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1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w:t>
            </w:r>
          </w:p>
        </w:tc>
        <w:tc>
          <w:tcPr>
            <w:tcW w:w="16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sz w:val="18"/>
                <w:szCs w:val="18"/>
              </w:rPr>
              <w:t>量（股）</w:t>
            </w:r>
          </w:p>
        </w:tc>
      </w:tr>
      <w:tr>
        <w:trPr>
          <w:trHeight w:val="428" w:hRule="exact"/>
        </w:trPr>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9"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0" w:right="0"/>
              <w:jc w:val="left"/>
              <w:rPr>
                <w:rFonts w:ascii="宋体" w:hAnsi="宋体" w:cs="宋体" w:eastAsia="宋体" w:hint="default"/>
                <w:sz w:val="18"/>
                <w:szCs w:val="18"/>
              </w:rPr>
            </w:pPr>
            <w:r>
              <w:rPr>
                <w:rFonts w:ascii="宋体" w:hAnsi="宋体" w:cs="宋体" w:eastAsia="宋体" w:hint="default"/>
                <w:sz w:val="18"/>
                <w:szCs w:val="18"/>
              </w:rPr>
              <w:t>寿光晨鸣控股有限公司（注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64" w:right="0"/>
              <w:jc w:val="left"/>
              <w:rPr>
                <w:rFonts w:ascii="Times New Roman" w:hAnsi="Times New Roman" w:cs="Times New Roman" w:eastAsia="Times New Roman" w:hint="default"/>
                <w:sz w:val="18"/>
                <w:szCs w:val="18"/>
              </w:rPr>
            </w:pPr>
            <w:r>
              <w:rPr>
                <w:rFonts w:ascii="Times New Roman"/>
                <w:sz w:val="18"/>
              </w:rPr>
              <w:t>231,000,000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8" w:right="0"/>
              <w:jc w:val="left"/>
              <w:rPr>
                <w:rFonts w:ascii="Times New Roman" w:hAnsi="Times New Roman" w:cs="Times New Roman" w:eastAsia="Times New Roman" w:hint="default"/>
                <w:sz w:val="18"/>
                <w:szCs w:val="18"/>
              </w:rPr>
            </w:pPr>
            <w:r>
              <w:rPr>
                <w:rFonts w:ascii="Times New Roman"/>
                <w:sz w:val="18"/>
              </w:rPr>
              <w:t>231,000,000</w:t>
            </w:r>
          </w:p>
        </w:tc>
      </w:tr>
    </w:tbl>
    <w:p>
      <w:pPr>
        <w:pStyle w:val="BodyText"/>
        <w:spacing w:line="338" w:lineRule="auto" w:before="51"/>
        <w:ind w:left="593" w:right="271"/>
        <w:jc w:val="left"/>
      </w:pPr>
      <w:r>
        <w:rPr/>
        <w:t>注</w:t>
      </w:r>
      <w:r>
        <w:rPr>
          <w:rFonts w:ascii="Times New Roman" w:hAnsi="Times New Roman" w:cs="Times New Roman" w:eastAsia="Times New Roman" w:hint="default"/>
        </w:rPr>
        <w:t>1</w:t>
      </w:r>
      <w:r>
        <w:rPr/>
        <w:t>：除其个人持有</w:t>
      </w:r>
      <w:r>
        <w:rPr>
          <w:rFonts w:ascii="Times New Roman" w:hAnsi="Times New Roman" w:cs="Times New Roman" w:eastAsia="Times New Roman" w:hint="default"/>
        </w:rPr>
        <w:t>6,334,527</w:t>
      </w:r>
      <w:r>
        <w:rPr/>
        <w:t>股</w:t>
      </w:r>
      <w:r>
        <w:rPr>
          <w:rFonts w:ascii="Times New Roman" w:hAnsi="Times New Roman" w:cs="Times New Roman" w:eastAsia="Times New Roman" w:hint="default"/>
        </w:rPr>
        <w:t>A</w:t>
      </w:r>
      <w:r>
        <w:rPr/>
        <w:t>股外，陈洪国被视作持有其配偶李雪芹所持有的</w:t>
      </w:r>
      <w:r>
        <w:rPr>
          <w:rFonts w:ascii="Times New Roman" w:hAnsi="Times New Roman" w:cs="Times New Roman" w:eastAsia="Times New Roman" w:hint="default"/>
        </w:rPr>
        <w:t>429,348</w:t>
      </w:r>
      <w:r>
        <w:rPr/>
        <w:t>股</w:t>
      </w:r>
      <w:r>
        <w:rPr>
          <w:rFonts w:ascii="Times New Roman" w:hAnsi="Times New Roman" w:cs="Times New Roman" w:eastAsia="Times New Roman" w:hint="default"/>
        </w:rPr>
        <w:t>A</w:t>
      </w:r>
      <w:r>
        <w:rPr/>
        <w:t>股之权益。 注</w:t>
      </w:r>
      <w:r>
        <w:rPr>
          <w:rFonts w:ascii="Times New Roman" w:hAnsi="Times New Roman" w:cs="Times New Roman" w:eastAsia="Times New Roman" w:hint="default"/>
        </w:rPr>
        <w:t>2</w:t>
      </w:r>
      <w:r>
        <w:rPr/>
        <w:t>：陈洪国及其配偶李雪芹共持有寿光市恒联企业投资有限公司（以下简称</w:t>
      </w:r>
      <w:r>
        <w:rPr>
          <w:rFonts w:ascii="Times New Roman" w:hAnsi="Times New Roman" w:cs="Times New Roman" w:eastAsia="Times New Roman" w:hint="default"/>
        </w:rPr>
        <w:t>“</w:t>
      </w:r>
      <w:r>
        <w:rPr/>
        <w:t>寿光恒联</w:t>
      </w:r>
      <w:r>
        <w:rPr>
          <w:rFonts w:ascii="Times New Roman" w:hAnsi="Times New Roman" w:cs="Times New Roman" w:eastAsia="Times New Roman" w:hint="default"/>
        </w:rPr>
        <w:t>”</w:t>
      </w:r>
      <w:r>
        <w:rPr/>
        <w:t>）</w:t>
      </w:r>
      <w:r>
        <w:rPr>
          <w:rFonts w:ascii="Times New Roman" w:hAnsi="Times New Roman" w:cs="Times New Roman" w:eastAsia="Times New Roman" w:hint="default"/>
        </w:rPr>
        <w:t>43%</w:t>
      </w:r>
      <w:r>
        <w:rPr/>
        <w:t>股权，故寿光恒联被视</w:t>
      </w:r>
    </w:p>
    <w:p>
      <w:pPr>
        <w:pStyle w:val="BodyText"/>
        <w:spacing w:line="230" w:lineRule="exact"/>
        <w:ind w:left="234" w:right="271"/>
        <w:jc w:val="left"/>
      </w:pPr>
      <w:r>
        <w:rPr/>
        <w:t>为由陈洪国所控制，因此寿光恒联持有晨鸣控股之</w:t>
      </w:r>
      <w:r>
        <w:rPr>
          <w:rFonts w:ascii="Times New Roman" w:hAnsi="Times New Roman" w:cs="Times New Roman" w:eastAsia="Times New Roman" w:hint="default"/>
        </w:rPr>
        <w:t>231,000,000</w:t>
      </w:r>
      <w:r>
        <w:rPr/>
        <w:t>股股份（约占晨鸣控股总股本的</w:t>
      </w:r>
      <w:r>
        <w:rPr>
          <w:rFonts w:ascii="Times New Roman" w:hAnsi="Times New Roman" w:cs="Times New Roman" w:eastAsia="Times New Roman" w:hint="default"/>
        </w:rPr>
        <w:t>13.71%</w:t>
      </w:r>
      <w:r>
        <w:rPr/>
        <w:t>）亦被视为由陈洪国</w:t>
      </w:r>
    </w:p>
    <w:p>
      <w:pPr>
        <w:pStyle w:val="BodyText"/>
        <w:spacing w:line="240" w:lineRule="auto" w:before="64"/>
        <w:ind w:left="234" w:right="271"/>
        <w:jc w:val="left"/>
      </w:pPr>
      <w:r>
        <w:rPr/>
        <w:t>持有。</w:t>
      </w:r>
    </w:p>
    <w:p>
      <w:pPr>
        <w:pStyle w:val="BodyText"/>
        <w:spacing w:line="300" w:lineRule="auto" w:before="116"/>
        <w:ind w:left="234" w:right="140" w:firstLine="360"/>
        <w:jc w:val="both"/>
      </w:pPr>
      <w:r>
        <w:rPr>
          <w:spacing w:val="-2"/>
        </w:rPr>
        <w:t>除上述所披露者，于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日，公司各董事、监事及最高行政人员概无在公司或其相关法团的股份、相关股份及</w:t>
      </w:r>
      <w:r>
        <w:rPr/>
        <w:t> 债券证中拥有须记录于公司根据《证券及期货条例》第</w:t>
      </w:r>
      <w:r>
        <w:rPr>
          <w:rFonts w:ascii="Times New Roman" w:hAnsi="Times New Roman" w:cs="Times New Roman" w:eastAsia="Times New Roman" w:hint="default"/>
        </w:rPr>
        <w:t>352</w:t>
      </w:r>
      <w:r>
        <w:rPr/>
        <w:t>条规定须予备存的登记册的权益或淡仓，或根据香港联交所上市 </w:t>
      </w:r>
      <w:r>
        <w:rPr>
          <w:spacing w:val="-3"/>
        </w:rPr>
        <w:t>规则（以下简称</w:t>
      </w:r>
      <w:r>
        <w:rPr>
          <w:rFonts w:ascii="Times New Roman" w:hAnsi="Times New Roman" w:cs="Times New Roman" w:eastAsia="Times New Roman" w:hint="default"/>
          <w:spacing w:val="-3"/>
        </w:rPr>
        <w:t>“</w:t>
      </w:r>
      <w:r>
        <w:rPr>
          <w:spacing w:val="-3"/>
        </w:rPr>
        <w:t>香港上市规则</w:t>
      </w:r>
      <w:r>
        <w:rPr>
          <w:rFonts w:ascii="Times New Roman" w:hAnsi="Times New Roman" w:cs="Times New Roman" w:eastAsia="Times New Roman" w:hint="default"/>
          <w:spacing w:val="-3"/>
        </w:rPr>
        <w:t>”</w:t>
      </w:r>
      <w:r>
        <w:rPr>
          <w:spacing w:val="-3"/>
        </w:rPr>
        <w:t>）附录十《上市公司董事进行证券交易的标准守则》须通知公司及香港联交所的权益或淡仓。</w:t>
      </w:r>
    </w:p>
    <w:p>
      <w:pPr>
        <w:pStyle w:val="BodyText"/>
        <w:spacing w:line="302" w:lineRule="auto" w:before="51"/>
        <w:ind w:left="234" w:right="229" w:firstLine="360"/>
        <w:jc w:val="both"/>
      </w:pPr>
      <w:r>
        <w:rPr>
          <w:spacing w:val="-2"/>
        </w:rPr>
        <w:t>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日，公司各董事、监事及最高行政人员或彼等之配偶或</w:t>
      </w:r>
      <w:r>
        <w:rPr>
          <w:rFonts w:ascii="Times New Roman" w:hAnsi="Times New Roman" w:cs="Times New Roman" w:eastAsia="Times New Roman" w:hint="default"/>
          <w:spacing w:val="-2"/>
        </w:rPr>
        <w:t>18</w:t>
      </w:r>
      <w:r>
        <w:rPr>
          <w:spacing w:val="-2"/>
        </w:rPr>
        <w:t>岁以下的子女概无持有可以认购公司或其相联</w:t>
      </w:r>
      <w:r>
        <w:rPr/>
        <w:t> 法团的股本或债权证之权利，彼等亦无行使任何该等权利。</w:t>
      </w:r>
    </w:p>
    <w:p>
      <w:pPr>
        <w:spacing w:line="240" w:lineRule="auto" w:before="5"/>
        <w:rPr>
          <w:rFonts w:ascii="宋体" w:hAnsi="宋体" w:cs="宋体" w:eastAsia="宋体" w:hint="default"/>
          <w:sz w:val="21"/>
          <w:szCs w:val="21"/>
        </w:rPr>
      </w:pPr>
    </w:p>
    <w:p>
      <w:pPr>
        <w:pStyle w:val="Heading2"/>
        <w:spacing w:line="240" w:lineRule="auto"/>
        <w:ind w:left="234" w:right="271"/>
        <w:jc w:val="left"/>
        <w:rPr>
          <w:b w:val="0"/>
          <w:bCs w:val="0"/>
        </w:rPr>
      </w:pPr>
      <w:r>
        <w:rPr/>
        <w:t>二十、按香港《证券及期货条例》，公司主要股东和其它人士之股份或债券证权益</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234" w:right="229" w:firstLine="359"/>
        <w:jc w:val="both"/>
      </w:pPr>
      <w:r>
        <w:rPr>
          <w:spacing w:val="-5"/>
        </w:rPr>
        <w:t>于</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日，公司董事、监事或最高行政人员以外的人士，在公司股份及相关股份中拥有的权益或淡仓，根据《证</w:t>
      </w:r>
      <w:r>
        <w:rPr>
          <w:spacing w:val="1"/>
        </w:rPr>
        <w:t> </w:t>
      </w:r>
      <w:r>
        <w:rPr/>
        <w:t>券及期货条例》第</w:t>
      </w:r>
      <w:r>
        <w:rPr>
          <w:rFonts w:ascii="Times New Roman" w:hAnsi="Times New Roman" w:cs="Times New Roman" w:eastAsia="Times New Roman" w:hint="default"/>
        </w:rPr>
        <w:t>336</w:t>
      </w:r>
      <w:r>
        <w:rPr/>
        <w:t>条规定须备存的登记册所记录者如下：</w:t>
      </w:r>
    </w:p>
    <w:p>
      <w:pPr>
        <w:spacing w:line="240" w:lineRule="auto" w:before="1"/>
        <w:rPr>
          <w:rFonts w:ascii="宋体" w:hAnsi="宋体" w:cs="宋体" w:eastAsia="宋体" w:hint="default"/>
          <w:sz w:val="3"/>
          <w:szCs w:val="3"/>
        </w:rPr>
      </w:pPr>
    </w:p>
    <w:tbl>
      <w:tblPr>
        <w:tblW w:w="0" w:type="auto"/>
        <w:jc w:val="left"/>
        <w:tblInd w:w="226" w:type="dxa"/>
        <w:tblLayout w:type="fixed"/>
        <w:tblCellMar>
          <w:top w:w="0" w:type="dxa"/>
          <w:left w:w="0" w:type="dxa"/>
          <w:bottom w:w="0" w:type="dxa"/>
          <w:right w:w="0" w:type="dxa"/>
        </w:tblCellMar>
        <w:tblLook w:val="01E0"/>
      </w:tblPr>
      <w:tblGrid>
        <w:gridCol w:w="3923"/>
        <w:gridCol w:w="2743"/>
        <w:gridCol w:w="1458"/>
        <w:gridCol w:w="1534"/>
      </w:tblGrid>
      <w:tr>
        <w:trPr>
          <w:trHeight w:val="426" w:hRule="exact"/>
        </w:trPr>
        <w:tc>
          <w:tcPr>
            <w:tcW w:w="392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74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734" w:right="0"/>
              <w:jc w:val="left"/>
              <w:rPr>
                <w:rFonts w:ascii="宋体" w:hAnsi="宋体" w:cs="宋体" w:eastAsia="宋体" w:hint="default"/>
                <w:sz w:val="18"/>
                <w:szCs w:val="18"/>
              </w:rPr>
            </w:pPr>
            <w:r>
              <w:rPr>
                <w:rFonts w:ascii="宋体" w:hAnsi="宋体" w:cs="宋体" w:eastAsia="宋体" w:hint="default"/>
                <w:sz w:val="18"/>
                <w:szCs w:val="18"/>
              </w:rPr>
              <w:t>持股数目（股）</w:t>
            </w:r>
          </w:p>
        </w:tc>
        <w:tc>
          <w:tcPr>
            <w:tcW w:w="299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603" w:right="0"/>
              <w:jc w:val="left"/>
              <w:rPr>
                <w:rFonts w:ascii="宋体" w:hAnsi="宋体" w:cs="宋体" w:eastAsia="宋体" w:hint="default"/>
                <w:sz w:val="18"/>
                <w:szCs w:val="18"/>
              </w:rPr>
            </w:pPr>
            <w:r>
              <w:rPr>
                <w:rFonts w:ascii="宋体" w:hAnsi="宋体" w:cs="宋体" w:eastAsia="宋体" w:hint="default"/>
                <w:sz w:val="18"/>
                <w:szCs w:val="18"/>
              </w:rPr>
              <w:t>概约持股百分比（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3923" w:type="dxa"/>
            <w:vMerge/>
            <w:tcBorders>
              <w:left w:val="single" w:sz="6" w:space="0" w:color="000000"/>
              <w:bottom w:val="single" w:sz="6" w:space="0" w:color="000000"/>
              <w:right w:val="single" w:sz="6" w:space="0" w:color="000000"/>
            </w:tcBorders>
            <w:shd w:val="clear" w:color="auto" w:fill="D9D9D9"/>
          </w:tcPr>
          <w:p>
            <w:pPr/>
          </w:p>
        </w:tc>
        <w:tc>
          <w:tcPr>
            <w:tcW w:w="2743" w:type="dxa"/>
            <w:vMerge/>
            <w:tcBorders>
              <w:left w:val="single" w:sz="6" w:space="0" w:color="000000"/>
              <w:bottom w:val="single" w:sz="6" w:space="0" w:color="000000"/>
              <w:right w:val="single" w:sz="6" w:space="0" w:color="000000"/>
            </w:tcBorders>
            <w:shd w:val="clear" w:color="auto" w:fill="D9D9D9"/>
          </w:tcPr>
          <w:p>
            <w:pPr/>
          </w:p>
        </w:tc>
        <w:tc>
          <w:tcPr>
            <w:tcW w:w="14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61" w:right="0"/>
              <w:jc w:val="left"/>
              <w:rPr>
                <w:rFonts w:ascii="宋体" w:hAnsi="宋体" w:cs="宋体" w:eastAsia="宋体" w:hint="default"/>
                <w:sz w:val="18"/>
                <w:szCs w:val="18"/>
              </w:rPr>
            </w:pPr>
            <w:r>
              <w:rPr>
                <w:rFonts w:ascii="宋体" w:hAnsi="宋体" w:cs="宋体" w:eastAsia="宋体" w:hint="default"/>
                <w:sz w:val="18"/>
                <w:szCs w:val="18"/>
              </w:rPr>
              <w:t>占总股本</w:t>
            </w:r>
          </w:p>
        </w:tc>
        <w:tc>
          <w:tcPr>
            <w:tcW w:w="15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99" w:right="0"/>
              <w:jc w:val="left"/>
              <w:rPr>
                <w:rFonts w:ascii="宋体" w:hAnsi="宋体" w:cs="宋体" w:eastAsia="宋体" w:hint="default"/>
                <w:sz w:val="18"/>
                <w:szCs w:val="18"/>
              </w:rPr>
            </w:pPr>
            <w:r>
              <w:rPr>
                <w:rFonts w:ascii="宋体" w:hAnsi="宋体" w:cs="宋体" w:eastAsia="宋体" w:hint="default"/>
                <w:sz w:val="18"/>
                <w:szCs w:val="18"/>
              </w:rPr>
              <w:t>占类别股</w:t>
            </w:r>
          </w:p>
        </w:tc>
      </w:tr>
      <w:tr>
        <w:trPr>
          <w:trHeight w:val="427" w:hRule="exact"/>
        </w:trPr>
        <w:tc>
          <w:tcPr>
            <w:tcW w:w="3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206,403,657A</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L</w:t>
            </w:r>
            <w:r>
              <w:rPr>
                <w:rFonts w:ascii="宋体" w:hAnsi="宋体" w:cs="宋体" w:eastAsia="宋体" w:hint="default"/>
                <w:spacing w:val="-1"/>
                <w:sz w:val="18"/>
                <w:szCs w:val="18"/>
              </w:rPr>
              <w:t>）</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10.45</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18.54</w:t>
            </w:r>
          </w:p>
        </w:tc>
      </w:tr>
      <w:tr>
        <w:trPr>
          <w:trHeight w:val="427" w:hRule="exact"/>
        </w:trPr>
        <w:tc>
          <w:tcPr>
            <w:tcW w:w="3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广发证券股份有限公司约定购回转用账户</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86,600,000A</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L</w:t>
            </w:r>
            <w:r>
              <w:rPr>
                <w:rFonts w:ascii="宋体" w:hAnsi="宋体" w:cs="宋体" w:eastAsia="宋体" w:hint="default"/>
                <w:spacing w:val="-1"/>
                <w:sz w:val="18"/>
                <w:szCs w:val="18"/>
              </w:rPr>
              <w:t>）</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4.38</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7.78</w:t>
            </w:r>
          </w:p>
        </w:tc>
      </w:tr>
      <w:tr>
        <w:trPr>
          <w:trHeight w:val="427" w:hRule="exact"/>
        </w:trPr>
        <w:tc>
          <w:tcPr>
            <w:tcW w:w="3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2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35,570,000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w:t>
            </w:r>
            <w:r>
              <w:rPr>
                <w:rFonts w:ascii="宋体" w:hAnsi="宋体" w:cs="宋体" w:eastAsia="宋体" w:hint="default"/>
                <w:sz w:val="18"/>
                <w:szCs w:val="18"/>
              </w:rPr>
              <w:t>股（</w:t>
            </w:r>
            <w:r>
              <w:rPr>
                <w:rFonts w:ascii="Times New Roman" w:hAnsi="Times New Roman" w:cs="Times New Roman" w:eastAsia="Times New Roman" w:hint="default"/>
                <w:sz w:val="18"/>
                <w:szCs w:val="18"/>
              </w:rPr>
              <w:t>L</w:t>
            </w:r>
            <w:r>
              <w:rPr>
                <w:rFonts w:ascii="宋体" w:hAnsi="宋体" w:cs="宋体" w:eastAsia="宋体" w:hint="default"/>
                <w:sz w:val="18"/>
                <w:szCs w:val="18"/>
              </w:rPr>
              <w:t>）</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1.80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9.09</w:t>
            </w:r>
          </w:p>
        </w:tc>
      </w:tr>
    </w:tbl>
    <w:p>
      <w:pPr>
        <w:pStyle w:val="BodyText"/>
        <w:tabs>
          <w:tab w:pos="2013" w:val="left" w:leader="none"/>
          <w:tab w:pos="4241" w:val="left" w:leader="none"/>
        </w:tabs>
        <w:spacing w:line="319" w:lineRule="auto" w:before="51"/>
        <w:ind w:left="233" w:right="238"/>
        <w:jc w:val="left"/>
      </w:pPr>
      <w:r>
        <w:rPr>
          <w:rFonts w:ascii="Times New Roman" w:hAnsi="Times New Roman" w:cs="Times New Roman" w:eastAsia="Times New Roman" w:hint="default"/>
        </w:rPr>
        <w:t>(L) –</w:t>
      </w:r>
      <w:r>
        <w:rPr>
          <w:rFonts w:ascii="Times New Roman" w:hAnsi="Times New Roman" w:cs="Times New Roman" w:eastAsia="Times New Roman" w:hint="default"/>
          <w:spacing w:val="27"/>
        </w:rPr>
        <w:t> </w:t>
      </w:r>
      <w:r>
        <w:rPr/>
        <w:t>好仓</w:t>
        <w:tab/>
      </w:r>
      <w:r>
        <w:rPr>
          <w:rFonts w:ascii="Times New Roman" w:hAnsi="Times New Roman" w:cs="Times New Roman" w:eastAsia="Times New Roman" w:hint="default"/>
        </w:rPr>
        <w:t>(S) –</w:t>
      </w:r>
      <w:r>
        <w:rPr>
          <w:rFonts w:ascii="Times New Roman" w:hAnsi="Times New Roman" w:cs="Times New Roman" w:eastAsia="Times New Roman" w:hint="default"/>
          <w:spacing w:val="25"/>
        </w:rPr>
        <w:t> </w:t>
      </w:r>
      <w:r>
        <w:rPr/>
        <w:t>淡仓</w:t>
        <w:tab/>
      </w:r>
      <w:r>
        <w:rPr>
          <w:rFonts w:ascii="Times New Roman" w:hAnsi="Times New Roman" w:cs="Times New Roman" w:eastAsia="Times New Roman" w:hint="default"/>
        </w:rPr>
        <w:t>(P) –</w:t>
      </w:r>
      <w:r>
        <w:rPr>
          <w:rFonts w:ascii="Times New Roman" w:hAnsi="Times New Roman" w:cs="Times New Roman" w:eastAsia="Times New Roman" w:hint="default"/>
          <w:spacing w:val="24"/>
        </w:rPr>
        <w:t> </w:t>
      </w:r>
      <w:r>
        <w:rPr/>
        <w:t>可供借出的股份 除上述所披露者，于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日，在根据《证券及期货条例》第</w:t>
      </w:r>
      <w:r>
        <w:rPr>
          <w:rFonts w:ascii="Times New Roman" w:hAnsi="Times New Roman" w:cs="Times New Roman" w:eastAsia="Times New Roman" w:hint="default"/>
        </w:rPr>
        <w:t>336</w:t>
      </w:r>
      <w:r>
        <w:rPr/>
        <w:t>条规定须备存的登记册中，并无其它人在公司股份 及相关股份中拥有权益或淡仓的记录。</w:t>
      </w:r>
    </w:p>
    <w:p>
      <w:pPr>
        <w:spacing w:line="240" w:lineRule="auto" w:before="6"/>
        <w:rPr>
          <w:rFonts w:ascii="宋体" w:hAnsi="宋体" w:cs="宋体" w:eastAsia="宋体" w:hint="default"/>
          <w:sz w:val="20"/>
          <w:szCs w:val="20"/>
        </w:rPr>
      </w:pPr>
    </w:p>
    <w:p>
      <w:pPr>
        <w:pStyle w:val="Heading2"/>
        <w:spacing w:line="240" w:lineRule="auto"/>
        <w:ind w:left="234" w:right="271"/>
        <w:jc w:val="left"/>
        <w:rPr>
          <w:b w:val="0"/>
          <w:bCs w:val="0"/>
        </w:rPr>
      </w:pPr>
      <w:r>
        <w:rPr/>
        <w:t>二十一、竞争业务的权益</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33" w:right="0" w:firstLine="360"/>
        <w:jc w:val="left"/>
      </w:pPr>
      <w:r>
        <w:rPr>
          <w:spacing w:val="-2"/>
        </w:rPr>
        <w:t>本公司董事或控股股东概无于与本公司及其任何附属公司业务竞争或可能竞争的业务中拥有权益，又或与或可能与本公</w:t>
      </w:r>
      <w:r>
        <w:rPr/>
        <w:t> 司及其任何附属公司。</w:t>
      </w:r>
    </w:p>
    <w:p>
      <w:pPr>
        <w:spacing w:line="240" w:lineRule="auto" w:before="6"/>
        <w:rPr>
          <w:rFonts w:ascii="宋体" w:hAnsi="宋体" w:cs="宋体" w:eastAsia="宋体" w:hint="default"/>
          <w:sz w:val="20"/>
          <w:szCs w:val="20"/>
        </w:rPr>
      </w:pPr>
    </w:p>
    <w:p>
      <w:pPr>
        <w:pStyle w:val="Heading2"/>
        <w:spacing w:line="240" w:lineRule="auto"/>
        <w:ind w:left="234" w:right="271"/>
        <w:jc w:val="left"/>
        <w:rPr>
          <w:b w:val="0"/>
          <w:bCs w:val="0"/>
        </w:rPr>
      </w:pPr>
      <w:r>
        <w:rPr/>
        <w:t>二十二、董事于重要合约的权益</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34" w:right="271" w:firstLine="360"/>
        <w:jc w:val="left"/>
      </w:pPr>
      <w:r>
        <w:rPr/>
        <w:t>本公司或其附属公司概无订立董事直接或间接拥有重大利益且于财政年度结束时或于报告期内任何时间仍然有效的任</w:t>
      </w:r>
      <w:r>
        <w:rPr>
          <w:spacing w:val="2"/>
        </w:rPr>
        <w:t> </w:t>
      </w:r>
      <w:r>
        <w:rPr/>
        <w:t>何重大合约。</w:t>
      </w:r>
    </w:p>
    <w:p>
      <w:pPr>
        <w:spacing w:line="240" w:lineRule="auto" w:before="6"/>
        <w:rPr>
          <w:rFonts w:ascii="宋体" w:hAnsi="宋体" w:cs="宋体" w:eastAsia="宋体" w:hint="default"/>
          <w:sz w:val="20"/>
          <w:szCs w:val="20"/>
        </w:rPr>
      </w:pPr>
    </w:p>
    <w:p>
      <w:pPr>
        <w:pStyle w:val="Heading2"/>
        <w:spacing w:line="240" w:lineRule="auto"/>
        <w:ind w:left="234" w:right="271"/>
        <w:jc w:val="left"/>
        <w:rPr>
          <w:b w:val="0"/>
          <w:bCs w:val="0"/>
        </w:rPr>
      </w:pPr>
      <w:r>
        <w:rPr/>
        <w:t>二十三、董事、高级管理人员酬金及五位最高薪酬人士</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234" w:right="0" w:firstLine="360"/>
        <w:jc w:val="left"/>
      </w:pPr>
      <w:r>
        <w:rPr>
          <w:spacing w:val="-2"/>
        </w:rPr>
        <w:t>董事、高级管理人员酬金及本公司或及其附属公司五位最高薪酬人士的详情分别载于第八节、三和第十一节、九部分内</w:t>
      </w:r>
      <w:r>
        <w:rPr/>
        <w:t> 容。</w:t>
      </w:r>
    </w:p>
    <w:p>
      <w:pPr>
        <w:pStyle w:val="BodyText"/>
        <w:spacing w:line="240" w:lineRule="auto" w:before="56"/>
        <w:ind w:left="594" w:right="271"/>
        <w:jc w:val="left"/>
      </w:pPr>
      <w:r>
        <w:rPr/>
        <w:t>于2013年度，本公司高级管理人员（包含董事、监事及高级管理人员）共有30人，高级管理人员薪酬介乎以下范围：</w:t>
      </w:r>
    </w:p>
    <w:p>
      <w:pPr>
        <w:spacing w:line="240" w:lineRule="auto" w:before="9"/>
        <w:rPr>
          <w:rFonts w:ascii="宋体" w:hAnsi="宋体" w:cs="宋体" w:eastAsia="宋体" w:hint="default"/>
          <w:sz w:val="7"/>
          <w:szCs w:val="7"/>
        </w:rPr>
      </w:pPr>
    </w:p>
    <w:p>
      <w:pPr>
        <w:spacing w:line="421"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93.7pt;height:21.1pt;mso-position-horizontal-relative:char;mso-position-vertical-relative:line" coordorigin="0,0" coordsize="9874,422">
            <v:group style="position:absolute;left:14;top:14;width:104;height:392" coordorigin="14,14" coordsize="104,392">
              <v:shape style="position:absolute;left:14;top:14;width:104;height:392" coordorigin="14,14" coordsize="104,392" path="m14,406l118,406,118,14,14,14,14,406xe" filled="true" fillcolor="#cccccc" stroked="false">
                <v:path arrowok="t"/>
                <v:fill type="solid"/>
              </v:shape>
            </v:group>
            <v:group style="position:absolute;left:4829;top:14;width:104;height:392" coordorigin="4829,14" coordsize="104,392">
              <v:shape style="position:absolute;left:4829;top:14;width:104;height:392" coordorigin="4829,14" coordsize="104,392" path="m4932,14l4829,14,4829,406,4932,406,4932,14xe" filled="true" fillcolor="#cccccc" stroked="false">
                <v:path arrowok="t"/>
                <v:fill type="solid"/>
              </v:shape>
            </v:group>
            <v:group style="position:absolute;left:118;top:14;width:4712;height:392" coordorigin="118,14" coordsize="4712,392">
              <v:shape style="position:absolute;left:118;top:14;width:4712;height:392" coordorigin="118,14" coordsize="4712,392" path="m118,406l4829,406,4829,14,118,14,118,406xe" filled="true" fillcolor="#cccccc" stroked="false">
                <v:path arrowok="t"/>
                <v:fill type="solid"/>
              </v:shape>
            </v:group>
            <v:group style="position:absolute;left:4942;top:14;width:104;height:392" coordorigin="4942,14" coordsize="104,392">
              <v:shape style="position:absolute;left:4942;top:14;width:104;height:392" coordorigin="4942,14" coordsize="104,392" path="m4942,406l5045,406,5045,14,4942,14,4942,406xe" filled="true" fillcolor="#cccccc" stroked="false">
                <v:path arrowok="t"/>
                <v:fill type="solid"/>
              </v:shape>
            </v:group>
            <v:group style="position:absolute;left:9756;top:14;width:104;height:392" coordorigin="9756,14" coordsize="104,392">
              <v:shape style="position:absolute;left:9756;top:14;width:104;height:392" coordorigin="9756,14" coordsize="104,392" path="m9859,14l9756,14,9756,406,9859,406,9859,14xe" filled="true" fillcolor="#cccccc" stroked="false">
                <v:path arrowok="t"/>
                <v:fill type="solid"/>
              </v:shape>
            </v:group>
            <v:group style="position:absolute;left:5045;top:14;width:4712;height:392" coordorigin="5045,14" coordsize="4712,392">
              <v:shape style="position:absolute;left:5045;top:14;width:4712;height:392" coordorigin="5045,14" coordsize="4712,392" path="m5045,406l9756,406,9756,14,5045,14,5045,406xe" filled="true" fillcolor="#cccccc" stroked="false">
                <v:path arrowok="t"/>
                <v:fill type="solid"/>
              </v:shape>
            </v:group>
            <v:group style="position:absolute;left:5;top:10;width:9864;height:2" coordorigin="5,10" coordsize="9864,2">
              <v:shape style="position:absolute;left:5;top:10;width:9864;height:2" coordorigin="5,10" coordsize="9864,0" path="m5,10l9869,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pt" strokecolor="#000000">
                <v:path arrowok="t"/>
              </v:shape>
            </v:group>
            <v:group style="position:absolute;left:5;top:412;width:4928;height:2" coordorigin="5,412" coordsize="4928,2">
              <v:shape style="position:absolute;left:5;top:412;width:4928;height:2" coordorigin="5,412" coordsize="4928,0" path="m5,412l4932,412e" filled="false" stroked="true" strokeweight=".48pt" strokecolor="#000000">
                <v:path arrowok="t"/>
              </v:shape>
            </v:group>
            <v:group style="position:absolute;left:4937;top:14;width:2;height:402" coordorigin="4937,14" coordsize="2,402">
              <v:shape style="position:absolute;left:4937;top:14;width:2;height:402" coordorigin="4937,14" coordsize="0,402" path="m4937,14l4937,416e" filled="false" stroked="true" strokeweight=".48pt" strokecolor="#000000">
                <v:path arrowok="t"/>
              </v:shape>
            </v:group>
            <v:group style="position:absolute;left:4942;top:412;width:4918;height:2" coordorigin="4942,412" coordsize="4918,2">
              <v:shape style="position:absolute;left:4942;top:412;width:4918;height:2" coordorigin="4942,412" coordsize="4918,0" path="m4942,412l9859,412e" filled="false" stroked="true" strokeweight=".48pt" strokecolor="#000000">
                <v:path arrowok="t"/>
              </v:shape>
            </v:group>
            <v:group style="position:absolute;left:9864;top:5;width:2;height:412" coordorigin="9864,5" coordsize="2,412">
              <v:shape style="position:absolute;left:9864;top:5;width:2;height:412" coordorigin="9864,5" coordsize="0,412" path="m9864,5l9864,416e" filled="false" stroked="true" strokeweight=".48pt" strokecolor="#000000">
                <v:path arrowok="t"/>
              </v:shape>
              <v:shape style="position:absolute;left:10;top:10;width:4928;height:402" type="#_x0000_t202" filled="false" stroked="false">
                <v:textbox inset="0,0,0,0">
                  <w:txbxContent>
                    <w:p>
                      <w:pPr>
                        <w:spacing w:before="56"/>
                        <w:ind w:left="108" w:right="0" w:firstLine="0"/>
                        <w:jc w:val="left"/>
                        <w:rPr>
                          <w:rFonts w:ascii="宋体" w:hAnsi="宋体" w:cs="宋体" w:eastAsia="宋体" w:hint="default"/>
                          <w:sz w:val="18"/>
                          <w:szCs w:val="18"/>
                        </w:rPr>
                      </w:pPr>
                      <w:r>
                        <w:rPr>
                          <w:rFonts w:ascii="宋体" w:hAnsi="宋体" w:cs="宋体" w:eastAsia="宋体" w:hint="default"/>
                          <w:sz w:val="18"/>
                          <w:szCs w:val="18"/>
                        </w:rPr>
                        <w:t>薪酬范围</w:t>
                      </w:r>
                    </w:p>
                  </w:txbxContent>
                </v:textbox>
                <w10:wrap type="none"/>
              </v:shape>
              <v:shape style="position:absolute;left:504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人数</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877" w:footer="950" w:top="1100" w:bottom="1140" w:left="900" w:right="90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927"/>
        <w:gridCol w:w="4927"/>
      </w:tblGrid>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492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w:t>
            </w:r>
          </w:p>
        </w:tc>
      </w:tr>
    </w:tbl>
    <w:p>
      <w:pPr>
        <w:spacing w:line="240" w:lineRule="auto" w:before="2"/>
        <w:rPr>
          <w:rFonts w:ascii="宋体" w:hAnsi="宋体" w:cs="宋体" w:eastAsia="宋体" w:hint="default"/>
          <w:sz w:val="18"/>
          <w:szCs w:val="18"/>
        </w:rPr>
      </w:pPr>
    </w:p>
    <w:p>
      <w:pPr>
        <w:pStyle w:val="Heading2"/>
        <w:spacing w:line="240" w:lineRule="auto" w:before="26"/>
        <w:ind w:left="214" w:right="0"/>
        <w:jc w:val="left"/>
        <w:rPr>
          <w:b w:val="0"/>
          <w:bCs w:val="0"/>
        </w:rPr>
      </w:pPr>
      <w:r>
        <w:rPr/>
        <w:t>二十四、董事购买股份或债券的权利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213" w:right="0" w:firstLine="360"/>
        <w:jc w:val="left"/>
      </w:pPr>
      <w:r>
        <w:rPr>
          <w:spacing w:val="-2"/>
        </w:rPr>
        <w:t>于本年度任何时间，本公司或其任何附属公司概无订立任何安排致使董事可透过购入本公司或任何其它法人团体的股份</w:t>
      </w:r>
      <w:r>
        <w:rPr/>
        <w:t> 或债券而获益。</w:t>
      </w:r>
    </w:p>
    <w:p>
      <w:pPr>
        <w:spacing w:line="240" w:lineRule="auto" w:before="7"/>
        <w:rPr>
          <w:rFonts w:ascii="宋体" w:hAnsi="宋体" w:cs="宋体" w:eastAsia="宋体" w:hint="default"/>
          <w:sz w:val="20"/>
          <w:szCs w:val="20"/>
        </w:rPr>
      </w:pPr>
    </w:p>
    <w:p>
      <w:pPr>
        <w:pStyle w:val="Heading2"/>
        <w:spacing w:line="240" w:lineRule="auto"/>
        <w:ind w:left="214" w:right="0"/>
        <w:jc w:val="left"/>
        <w:rPr>
          <w:b w:val="0"/>
          <w:bCs w:val="0"/>
        </w:rPr>
      </w:pPr>
      <w:r>
        <w:rPr/>
        <w:t>二十五、拨入储备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74" w:right="0"/>
        <w:jc w:val="left"/>
      </w:pPr>
      <w:r>
        <w:rPr/>
        <w:t>根据公司法规定，本公司的实缴盈余可派发予股东。本公司于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日可用作现金分派及或可作实物分配的储备</w:t>
      </w:r>
    </w:p>
    <w:p>
      <w:pPr>
        <w:pStyle w:val="BodyText"/>
        <w:spacing w:line="302" w:lineRule="auto" w:before="62"/>
        <w:ind w:left="214" w:right="0" w:hanging="1"/>
        <w:jc w:val="left"/>
      </w:pPr>
      <w:r>
        <w:rPr>
          <w:spacing w:val="-2"/>
        </w:rPr>
        <w:t>（包括本公司的实缴盈余）为人民币</w:t>
      </w:r>
      <w:r>
        <w:rPr>
          <w:rFonts w:ascii="Times New Roman" w:hAnsi="Times New Roman" w:cs="Times New Roman" w:eastAsia="Times New Roman" w:hint="default"/>
          <w:spacing w:val="-2"/>
        </w:rPr>
        <w:t>5,379,887,056.23</w:t>
      </w:r>
      <w:r>
        <w:rPr>
          <w:spacing w:val="-2"/>
        </w:rPr>
        <w:t>元。（</w:t>
      </w:r>
      <w:r>
        <w:rPr>
          <w:rFonts w:ascii="Times New Roman" w:hAnsi="Times New Roman" w:cs="Times New Roman" w:eastAsia="Times New Roman" w:hint="default"/>
          <w:spacing w:val="-2"/>
        </w:rPr>
        <w:t>2012</w:t>
      </w:r>
      <w:r>
        <w:rPr>
          <w:spacing w:val="-2"/>
        </w:rPr>
        <w:t>年：人民币</w:t>
      </w:r>
      <w:r>
        <w:rPr>
          <w:rFonts w:ascii="Times New Roman" w:hAnsi="Times New Roman" w:cs="Times New Roman" w:eastAsia="Times New Roman" w:hint="default"/>
          <w:spacing w:val="-2"/>
        </w:rPr>
        <w:t>4,766,116,549.03</w:t>
      </w:r>
      <w:r>
        <w:rPr>
          <w:spacing w:val="-2"/>
        </w:rPr>
        <w:t>元），载于财务报告第十一节第</w:t>
      </w:r>
      <w:r>
        <w:rPr>
          <w:spacing w:val="-34"/>
        </w:rPr>
        <w:t> </w:t>
      </w:r>
      <w:r>
        <w:rPr>
          <w:spacing w:val="-34"/>
        </w:rPr>
      </w:r>
      <w:r>
        <w:rPr/>
        <w:t>二部分、财务报表。</w:t>
      </w:r>
    </w:p>
    <w:p>
      <w:pPr>
        <w:spacing w:line="240" w:lineRule="auto" w:before="6"/>
        <w:rPr>
          <w:rFonts w:ascii="宋体" w:hAnsi="宋体" w:cs="宋体" w:eastAsia="宋体" w:hint="default"/>
          <w:sz w:val="21"/>
          <w:szCs w:val="21"/>
        </w:rPr>
      </w:pPr>
    </w:p>
    <w:p>
      <w:pPr>
        <w:pStyle w:val="Heading2"/>
        <w:spacing w:line="240" w:lineRule="auto"/>
        <w:ind w:left="214" w:right="0"/>
        <w:jc w:val="left"/>
        <w:rPr>
          <w:b w:val="0"/>
          <w:bCs w:val="0"/>
        </w:rPr>
      </w:pPr>
      <w:r>
        <w:rPr/>
        <w:t>二十六、购买、出售和赎回股份</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214" w:right="0" w:firstLine="359"/>
        <w:jc w:val="left"/>
      </w:pPr>
      <w:r>
        <w:rPr/>
        <w:t>载至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日止年度内，本公司于深圳证券交易所以总额</w:t>
      </w:r>
      <w:r>
        <w:rPr>
          <w:rFonts w:ascii="Times New Roman" w:hAnsi="Times New Roman" w:cs="Times New Roman" w:eastAsia="Times New Roman" w:hint="default"/>
        </w:rPr>
        <w:t>330,911,185.31</w:t>
      </w:r>
      <w:r>
        <w:rPr/>
        <w:t>港币（即为购买股份支付的平圴价为每</w:t>
      </w:r>
      <w:r>
        <w:rPr>
          <w:spacing w:val="1"/>
        </w:rPr>
        <w:t> </w:t>
      </w:r>
      <w:r>
        <w:rPr/>
        <w:t>股</w:t>
      </w:r>
      <w:r>
        <w:rPr>
          <w:rFonts w:ascii="Times New Roman" w:hAnsi="Times New Roman" w:cs="Times New Roman" w:eastAsia="Times New Roman" w:hint="default"/>
        </w:rPr>
        <w:t>3.8223</w:t>
      </w:r>
      <w:r>
        <w:rPr/>
        <w:t>港币）购回合共</w:t>
      </w:r>
      <w:r>
        <w:rPr>
          <w:rFonts w:ascii="Times New Roman" w:hAnsi="Times New Roman" w:cs="Times New Roman" w:eastAsia="Times New Roman" w:hint="default"/>
        </w:rPr>
        <w:t>86,573,974</w:t>
      </w:r>
      <w:r>
        <w:rPr/>
        <w:t>股</w:t>
      </w:r>
      <w:r>
        <w:rPr>
          <w:rFonts w:ascii="Times New Roman" w:hAnsi="Times New Roman" w:cs="Times New Roman" w:eastAsia="Times New Roman" w:hint="default"/>
        </w:rPr>
        <w:t>B</w:t>
      </w:r>
      <w:r>
        <w:rPr/>
        <w:t>股，所有该等股份已于购回后注销。</w:t>
      </w:r>
    </w:p>
    <w:p>
      <w:pPr>
        <w:pStyle w:val="BodyText"/>
        <w:spacing w:line="288" w:lineRule="auto" w:before="55"/>
        <w:ind w:left="213" w:right="0" w:firstLine="360"/>
        <w:jc w:val="left"/>
      </w:pPr>
      <w:r>
        <w:rPr>
          <w:spacing w:val="-3"/>
        </w:rPr>
        <w:t>载至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日止年度内，本公司于香港联交所以总额</w:t>
      </w:r>
      <w:r>
        <w:rPr>
          <w:rFonts w:ascii="Times New Roman" w:hAnsi="Times New Roman" w:cs="Times New Roman" w:eastAsia="Times New Roman" w:hint="default"/>
          <w:spacing w:val="-3"/>
        </w:rPr>
        <w:t>39,230,260</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
        </w:rPr>
        <w:t>00</w:t>
      </w:r>
      <w:r>
        <w:rPr>
          <w:spacing w:val="-3"/>
        </w:rPr>
        <w:t>港币（即为购买股份支付的平圴价为每股</w:t>
      </w:r>
      <w:r>
        <w:rPr>
          <w:rFonts w:ascii="Times New Roman" w:hAnsi="Times New Roman" w:cs="Times New Roman" w:eastAsia="Times New Roman" w:hint="default"/>
          <w:spacing w:val="-3"/>
        </w:rPr>
        <w:t>3.4159</w:t>
      </w:r>
      <w:r>
        <w:rPr>
          <w:rFonts w:ascii="Times New Roman" w:hAnsi="Times New Roman" w:cs="Times New Roman" w:eastAsia="Times New Roman" w:hint="default"/>
        </w:rPr>
        <w:t> </w:t>
      </w:r>
      <w:r>
        <w:rPr/>
        <w:t>港币）购回合共</w:t>
      </w:r>
      <w:r>
        <w:rPr>
          <w:rFonts w:ascii="Times New Roman" w:hAnsi="Times New Roman" w:cs="Times New Roman" w:eastAsia="Times New Roman" w:hint="default"/>
        </w:rPr>
        <w:t>11,484,500</w:t>
      </w:r>
      <w:r>
        <w:rPr/>
        <w:t>股</w:t>
      </w:r>
      <w:r>
        <w:rPr>
          <w:rFonts w:ascii="Times New Roman" w:hAnsi="Times New Roman" w:cs="Times New Roman" w:eastAsia="Times New Roman" w:hint="default"/>
        </w:rPr>
        <w:t>H</w:t>
      </w:r>
      <w:r>
        <w:rPr/>
        <w:t>股，该等股份于购回后尚未注销。</w:t>
      </w:r>
    </w:p>
    <w:p>
      <w:pPr>
        <w:pStyle w:val="BodyText"/>
        <w:spacing w:line="240" w:lineRule="auto" w:before="62"/>
        <w:ind w:left="573" w:right="0"/>
        <w:jc w:val="left"/>
      </w:pPr>
      <w:r>
        <w:rPr/>
        <w:t>除以上披露外，报告期内，本公司或其任何子公司概无购买、出售或赎回本公司任何上市证券。</w:t>
      </w:r>
    </w:p>
    <w:p>
      <w:pPr>
        <w:spacing w:line="240" w:lineRule="auto" w:before="1"/>
        <w:rPr>
          <w:rFonts w:ascii="宋体" w:hAnsi="宋体" w:cs="宋体" w:eastAsia="宋体" w:hint="default"/>
          <w:sz w:val="25"/>
          <w:szCs w:val="25"/>
        </w:rPr>
      </w:pPr>
    </w:p>
    <w:p>
      <w:pPr>
        <w:pStyle w:val="Heading2"/>
        <w:spacing w:line="240" w:lineRule="auto"/>
        <w:ind w:left="214" w:right="0"/>
        <w:jc w:val="left"/>
        <w:rPr>
          <w:b w:val="0"/>
          <w:bCs w:val="0"/>
        </w:rPr>
      </w:pPr>
      <w:r>
        <w:rPr/>
        <w:t>二十七、优先购股权</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根据</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及中国法律，并无规定公司需对现有的股东按其持股比例给予他们优先购买公司新股的权利。</w:t>
      </w:r>
    </w:p>
    <w:p>
      <w:pPr>
        <w:spacing w:line="240" w:lineRule="auto" w:before="0"/>
        <w:rPr>
          <w:rFonts w:ascii="宋体" w:hAnsi="宋体" w:cs="宋体" w:eastAsia="宋体" w:hint="default"/>
          <w:sz w:val="24"/>
          <w:szCs w:val="24"/>
        </w:rPr>
      </w:pPr>
    </w:p>
    <w:p>
      <w:pPr>
        <w:pStyle w:val="Heading2"/>
        <w:spacing w:line="240" w:lineRule="auto"/>
        <w:ind w:left="214" w:right="0"/>
        <w:jc w:val="left"/>
        <w:rPr>
          <w:b w:val="0"/>
          <w:bCs w:val="0"/>
        </w:rPr>
      </w:pPr>
      <w:r>
        <w:rPr/>
        <w:t>二十八、充足公众持股量</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于本年报日期，根据本公司可得的公开资料及据董事所知，本公司已维持香港上市规则所规定的充足公众持股量。</w:t>
      </w:r>
    </w:p>
    <w:p>
      <w:pPr>
        <w:spacing w:line="240" w:lineRule="auto" w:before="1"/>
        <w:rPr>
          <w:rFonts w:ascii="宋体" w:hAnsi="宋体" w:cs="宋体" w:eastAsia="宋体" w:hint="default"/>
          <w:sz w:val="25"/>
          <w:szCs w:val="25"/>
        </w:rPr>
      </w:pPr>
    </w:p>
    <w:p>
      <w:pPr>
        <w:pStyle w:val="Heading2"/>
        <w:spacing w:line="240" w:lineRule="auto"/>
        <w:ind w:left="214" w:right="0"/>
        <w:jc w:val="left"/>
        <w:rPr>
          <w:b w:val="0"/>
          <w:bCs w:val="0"/>
        </w:rPr>
      </w:pPr>
      <w:r>
        <w:rPr/>
        <w:t>二十九、审核委员会之审阅</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日止年度的经审核综合财务报表，已由本公司审核委员会审阅。</w:t>
      </w:r>
    </w:p>
    <w:p>
      <w:pPr>
        <w:spacing w:after="0" w:line="240" w:lineRule="auto"/>
        <w:jc w:val="left"/>
        <w:sectPr>
          <w:pgSz w:w="11910" w:h="16840"/>
          <w:pgMar w:header="877" w:footer="950" w:top="1100" w:bottom="1140" w:left="920" w:right="900"/>
        </w:sectPr>
      </w:pPr>
    </w:p>
    <w:p>
      <w:pPr>
        <w:spacing w:line="240" w:lineRule="auto" w:before="8"/>
        <w:rPr>
          <w:rFonts w:ascii="宋体" w:hAnsi="宋体" w:cs="宋体" w:eastAsia="宋体" w:hint="default"/>
          <w:sz w:val="19"/>
          <w:szCs w:val="19"/>
        </w:rPr>
      </w:pPr>
    </w:p>
    <w:p>
      <w:pPr>
        <w:pStyle w:val="Heading2"/>
        <w:spacing w:line="240" w:lineRule="auto" w:before="26"/>
        <w:ind w:right="90"/>
        <w:jc w:val="left"/>
        <w:rPr>
          <w:b w:val="0"/>
          <w:bCs w:val="0"/>
        </w:rPr>
      </w:pPr>
      <w:r>
        <w:rPr/>
        <w:t>三十、持续经营基准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88" w:firstLine="300"/>
        <w:jc w:val="both"/>
      </w:pPr>
      <w:r>
        <w:rPr>
          <w:spacing w:val="-1"/>
        </w:rPr>
        <w:t>公司是以造林、制浆、造纸为主业的大型企业集团，具有规模、产品、技术装备、科研创新、综合成本、资金及环保治</w:t>
      </w:r>
      <w:r>
        <w:rPr/>
        <w:t> </w:t>
      </w:r>
      <w:r>
        <w:rPr>
          <w:spacing w:val="-2"/>
        </w:rPr>
        <w:t>理能力等方面的优势。近年来公司致力于林浆纸一体化发展，产业链较长，纸种比较全面，公司发展道路符合整个造纸工业</w:t>
      </w:r>
      <w:r>
        <w:rPr>
          <w:spacing w:val="-66"/>
        </w:rPr>
        <w:t> </w:t>
      </w:r>
      <w:r>
        <w:rPr>
          <w:spacing w:val="-66"/>
        </w:rPr>
      </w:r>
      <w:r>
        <w:rPr>
          <w:spacing w:val="-2"/>
        </w:rPr>
        <w:t>发展规划要求，同时公司成立财务公司、融资租赁公司以及进行菱镁矿开采等，介入金融、能源领域，拓宽了产业链，产业</w:t>
      </w:r>
      <w:r>
        <w:rPr>
          <w:spacing w:val="-68"/>
        </w:rPr>
        <w:t> </w:t>
      </w:r>
      <w:r>
        <w:rPr>
          <w:spacing w:val="-68"/>
        </w:rPr>
      </w:r>
      <w:r>
        <w:rPr/>
        <w:t>布局更加合理，可持续经营能力进一步增强。</w:t>
      </w:r>
    </w:p>
    <w:p>
      <w:pPr>
        <w:pStyle w:val="BodyText"/>
        <w:spacing w:line="319" w:lineRule="auto" w:before="55"/>
        <w:ind w:right="188" w:firstLine="300"/>
        <w:jc w:val="both"/>
      </w:pPr>
      <w:r>
        <w:rPr>
          <w:spacing w:val="-1"/>
        </w:rPr>
        <w:t>公司具有很好的持续盈利能力，2013年度公司实现营业收入203.89亿元，归属上市公司股东的净利润为7.11亿元，经营</w:t>
      </w:r>
      <w:r>
        <w:rPr/>
        <w:t> 活动产生的现金流净额为11.23亿元。同时，公司公司一贯重视股东的利益和回报，连续多年高比例现金分红。随着经济形</w:t>
      </w:r>
      <w:r>
        <w:rPr>
          <w:spacing w:val="-83"/>
        </w:rPr>
        <w:t> </w:t>
      </w:r>
      <w:r>
        <w:rPr>
          <w:spacing w:val="-83"/>
        </w:rPr>
      </w:r>
      <w:r>
        <w:rPr/>
        <w:t>势的好转，未来公司业绩值得期待。</w:t>
      </w:r>
    </w:p>
    <w:p>
      <w:pPr>
        <w:pStyle w:val="BodyText"/>
        <w:spacing w:line="316" w:lineRule="auto" w:before="56"/>
        <w:ind w:right="88" w:firstLine="360"/>
        <w:jc w:val="left"/>
      </w:pPr>
      <w:r>
        <w:rPr>
          <w:spacing w:val="-3"/>
        </w:rPr>
        <w:t>另外，截至2013年12月末，公司在各大金融机构中共获得449亿元的综合授信额度，其中尚未使用的授信额度为310亿元，</w:t>
      </w:r>
      <w:r>
        <w:rPr/>
        <w:t> 对公司经营发展起到较大的支持作用。公司作为A、B、H上市企业，拥有畅通的融资渠道，集团财务公司的筹建，将加强集</w:t>
      </w:r>
      <w:r>
        <w:rPr>
          <w:spacing w:val="-83"/>
        </w:rPr>
        <w:t> </w:t>
      </w:r>
      <w:r>
        <w:rPr>
          <w:spacing w:val="-83"/>
        </w:rPr>
      </w:r>
      <w:r>
        <w:rPr>
          <w:spacing w:val="-2"/>
        </w:rPr>
        <w:t>团资金集中管理、提高资金使用效率，进一步提升集团的资金结算、管理与投融资水平，降低融资成本，改善公司的负债结</w:t>
      </w:r>
      <w:r>
        <w:rPr>
          <w:spacing w:val="-66"/>
        </w:rPr>
        <w:t> </w:t>
      </w:r>
      <w:r>
        <w:rPr>
          <w:spacing w:val="-66"/>
        </w:rPr>
      </w:r>
      <w:r>
        <w:rPr/>
        <w:t>构。</w:t>
      </w:r>
    </w:p>
    <w:p>
      <w:pPr>
        <w:pStyle w:val="BodyText"/>
        <w:spacing w:line="316" w:lineRule="auto" w:before="18"/>
        <w:ind w:left="513" w:right="271"/>
        <w:jc w:val="left"/>
      </w:pPr>
      <w:r>
        <w:rPr/>
        <w:t>审计师对公司2013年度财务报告以持续经营为基础编制，并出具了标准无保留的审计意见（请参阅财务报告部分）。 故公司董事会认为公司具有良好的持续经营能力。</w:t>
      </w:r>
    </w:p>
    <w:p>
      <w:pPr>
        <w:spacing w:line="240" w:lineRule="auto" w:before="10"/>
        <w:rPr>
          <w:rFonts w:ascii="宋体" w:hAnsi="宋体" w:cs="宋体" w:eastAsia="宋体" w:hint="default"/>
          <w:sz w:val="20"/>
          <w:szCs w:val="20"/>
        </w:rPr>
      </w:pPr>
    </w:p>
    <w:p>
      <w:pPr>
        <w:pStyle w:val="Heading2"/>
        <w:spacing w:line="240" w:lineRule="auto"/>
        <w:ind w:right="90"/>
        <w:jc w:val="left"/>
        <w:rPr>
          <w:b w:val="0"/>
          <w:bCs w:val="0"/>
        </w:rPr>
      </w:pPr>
      <w:r>
        <w:rPr/>
        <w:t>三十一、暂停过户登记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88" w:firstLine="360"/>
        <w:jc w:val="both"/>
      </w:pPr>
      <w:r>
        <w:rPr>
          <w:spacing w:val="-2"/>
        </w:rPr>
        <w:t>本公司将由</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7</w:t>
      </w:r>
      <w:r>
        <w:rPr>
          <w:spacing w:val="-2"/>
        </w:rPr>
        <w:t>日（星期一）至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日（星期五）（包括首尾两日）暂停办理股份过户登记手续，于该期</w:t>
      </w:r>
      <w:r>
        <w:rPr/>
        <w:t> </w:t>
      </w:r>
      <w:r>
        <w:rPr>
          <w:spacing w:val="-2"/>
        </w:rPr>
        <w:t>间内本公司将概不会办理股份过户手续。为确定有权出席于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05</w:t>
      </w:r>
      <w:r>
        <w:rPr>
          <w:spacing w:val="-2"/>
        </w:rPr>
        <w:t>月</w:t>
      </w:r>
      <w:r>
        <w:rPr>
          <w:rFonts w:ascii="Times New Roman" w:hAnsi="Times New Roman" w:cs="Times New Roman" w:eastAsia="Times New Roman" w:hint="default"/>
          <w:spacing w:val="-2"/>
        </w:rPr>
        <w:t>09</w:t>
      </w:r>
      <w:r>
        <w:rPr>
          <w:spacing w:val="-2"/>
        </w:rPr>
        <w:t>日（星期五）举行之股东周年大会并于会上投票之</w:t>
      </w:r>
      <w:r>
        <w:rPr>
          <w:spacing w:val="-58"/>
        </w:rPr>
        <w:t> </w:t>
      </w:r>
      <w:r>
        <w:rPr>
          <w:spacing w:val="-58"/>
        </w:rPr>
      </w:r>
      <w:r>
        <w:rPr/>
        <w:t>股东之身份，所有股份过户文件连同有关股票必须不迟于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日（星期五）下午</w:t>
      </w:r>
      <w:r>
        <w:rPr>
          <w:rFonts w:ascii="Times New Roman" w:hAnsi="Times New Roman" w:cs="Times New Roman" w:eastAsia="Times New Roman" w:hint="default"/>
        </w:rPr>
        <w:t>4</w:t>
      </w:r>
      <w:r>
        <w:rPr/>
        <w:t>时</w:t>
      </w:r>
      <w:r>
        <w:rPr>
          <w:rFonts w:ascii="Times New Roman" w:hAnsi="Times New Roman" w:cs="Times New Roman" w:eastAsia="Times New Roman" w:hint="default"/>
        </w:rPr>
        <w:t>30</w:t>
      </w:r>
      <w:r>
        <w:rPr/>
        <w:t>分送达本公司的股份过户香港</w:t>
      </w:r>
      <w:r>
        <w:rPr>
          <w:spacing w:val="-84"/>
        </w:rPr>
        <w:t> </w:t>
      </w:r>
      <w:r>
        <w:rPr>
          <w:spacing w:val="-84"/>
        </w:rPr>
      </w:r>
      <w:r>
        <w:rPr/>
        <w:t>中央证券登记有限公司，地址为香港湾仔皇后大道东</w:t>
      </w:r>
      <w:r>
        <w:rPr>
          <w:rFonts w:ascii="Times New Roman" w:hAnsi="Times New Roman" w:cs="Times New Roman" w:eastAsia="Times New Roman" w:hint="default"/>
        </w:rPr>
        <w:t>183</w:t>
      </w:r>
      <w:r>
        <w:rPr/>
        <w:t>号合和中心</w:t>
      </w:r>
      <w:r>
        <w:rPr>
          <w:rFonts w:ascii="Times New Roman" w:hAnsi="Times New Roman" w:cs="Times New Roman" w:eastAsia="Times New Roman" w:hint="default"/>
        </w:rPr>
        <w:t>17</w:t>
      </w:r>
      <w:r>
        <w:rPr/>
        <w:t>楼</w:t>
      </w:r>
      <w:r>
        <w:rPr>
          <w:rFonts w:ascii="Times New Roman" w:hAnsi="Times New Roman" w:cs="Times New Roman" w:eastAsia="Times New Roman" w:hint="default"/>
        </w:rPr>
        <w:t>1712-1716</w:t>
      </w:r>
      <w:r>
        <w:rPr/>
        <w:t>室。</w:t>
      </w:r>
    </w:p>
    <w:p>
      <w:pPr>
        <w:spacing w:after="0" w:line="300" w:lineRule="auto"/>
        <w:jc w:val="both"/>
        <w:sectPr>
          <w:pgSz w:w="11910" w:h="16840"/>
          <w:pgMar w:header="877" w:footer="950" w:top="1100" w:bottom="1140" w:left="980" w:right="940"/>
        </w:sectPr>
      </w:pPr>
    </w:p>
    <w:p>
      <w:pPr>
        <w:spacing w:line="240" w:lineRule="auto" w:before="0"/>
        <w:rPr>
          <w:rFonts w:ascii="宋体" w:hAnsi="宋体" w:cs="宋体" w:eastAsia="宋体" w:hint="default"/>
          <w:sz w:val="20"/>
          <w:szCs w:val="20"/>
        </w:rPr>
      </w:pPr>
      <w:r>
        <w:rPr/>
        <w:pict>
          <v:group style="position:absolute;margin-left:231.779999pt;margin-top:662.76001pt;width:93.5pt;height:33.25pt;mso-position-horizontal-relative:page;mso-position-vertical-relative:page;z-index:-1456600" coordorigin="4636,13255" coordsize="1870,665">
            <v:group style="position:absolute;left:4636;top:13255;width:814;height:312" coordorigin="4636,13255" coordsize="814,312">
              <v:shape style="position:absolute;left:4636;top:13255;width:814;height:312" coordorigin="4636,13255" coordsize="814,312" path="m4636,13567l5449,13567,5449,13255,4636,13255,4636,13567xe" filled="true" fillcolor="#ffffff" stroked="false">
                <v:path arrowok="t"/>
                <v:fill type="solid"/>
              </v:shape>
            </v:group>
            <v:group style="position:absolute;left:5506;top:13567;width:1000;height:353" coordorigin="5506,13567" coordsize="1000,353">
              <v:shape style="position:absolute;left:5506;top:13567;width:1000;height:353" coordorigin="5506,13567" coordsize="1000,353" path="m5506,13920l6505,13920,6505,13567,5506,13567,5506,13920xe" filled="true" fillcolor="#ffffff" stroked="false">
                <v:path arrowok="t"/>
                <v:fill type="solid"/>
              </v:shape>
            </v:group>
            <w10:wrap type="none"/>
          </v:group>
        </w:pict>
      </w:r>
      <w:r>
        <w:rPr/>
        <w:pict>
          <v:group style="position:absolute;margin-left:230.639999pt;margin-top:737.460022pt;width:43.05pt;height:25.45pt;mso-position-horizontal-relative:page;mso-position-vertical-relative:page;z-index:-1456576" coordorigin="4613,14749" coordsize="861,509">
            <v:group style="position:absolute;left:4613;top:15102;width:861;height:156" coordorigin="4613,15102" coordsize="861,156">
              <v:shape style="position:absolute;left:4613;top:15102;width:861;height:156" coordorigin="4613,15102" coordsize="861,156" path="m4613,15258l5473,15258,5473,15102,4613,15102,4613,15258xe" filled="true" fillcolor="#ffffff" stroked="false">
                <v:path arrowok="t"/>
                <v:fill type="solid"/>
              </v:shape>
            </v:group>
            <v:group style="position:absolute;left:4636;top:14749;width:814;height:353" coordorigin="4636,14749" coordsize="814,353">
              <v:shape style="position:absolute;left:4636;top:14749;width:814;height:353" coordorigin="4636,14749" coordsize="814,353" path="m4636,15102l5449,15102,5449,14749,4636,14749,4636,15102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702" w:right="3701"/>
        <w:jc w:val="center"/>
        <w:rPr>
          <w:b w:val="0"/>
          <w:bCs w:val="0"/>
        </w:rPr>
      </w:pPr>
      <w:bookmarkStart w:name="_bookmark5" w:id="6"/>
      <w:bookmarkEnd w:id="6"/>
      <w:r>
        <w:rPr>
          <w:b w:val="0"/>
          <w:bCs w:val="0"/>
        </w:rPr>
      </w:r>
      <w:r>
        <w:rPr/>
        <w:t>第六节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711"/>
        <w:jc w:val="left"/>
      </w:pPr>
      <w:r>
        <w:rPr/>
        <w:t>□ 适用 √ 不适用 本报告期公司无重大诉讼、仲裁事项。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二、媒体质疑情况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20"/>
        <w:gridCol w:w="3240"/>
        <w:gridCol w:w="2009"/>
      </w:tblGrid>
      <w:tr>
        <w:trPr>
          <w:trHeight w:val="402" w:hRule="exact"/>
        </w:trPr>
        <w:tc>
          <w:tcPr>
            <w:tcW w:w="4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3" w:right="0"/>
              <w:jc w:val="left"/>
              <w:rPr>
                <w:rFonts w:ascii="宋体" w:hAnsi="宋体" w:cs="宋体" w:eastAsia="宋体" w:hint="default"/>
                <w:sz w:val="18"/>
                <w:szCs w:val="18"/>
              </w:rPr>
            </w:pPr>
            <w:r>
              <w:rPr>
                <w:rFonts w:ascii="宋体" w:hAnsi="宋体" w:cs="宋体" w:eastAsia="宋体" w:hint="default"/>
                <w:sz w:val="18"/>
                <w:szCs w:val="18"/>
              </w:rPr>
              <w:t>媒体质疑事项说明</w:t>
            </w:r>
          </w:p>
        </w:tc>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针对媒体质疑“公司涉嫌排污、在建工程延迟转固以及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依靠政府补助度日”事项的澄清</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2013-016</w:t>
            </w:r>
          </w:p>
        </w:tc>
      </w:tr>
      <w:tr>
        <w:trPr>
          <w:trHeight w:val="1027"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公司针对“工业和信息化部公告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年首批工业行业</w:t>
            </w:r>
          </w:p>
          <w:p>
            <w:pPr>
              <w:pStyle w:val="TableParagraph"/>
              <w:spacing w:line="302" w:lineRule="auto" w:before="63"/>
              <w:ind w:left="22" w:right="100"/>
              <w:jc w:val="left"/>
              <w:rPr>
                <w:rFonts w:ascii="宋体" w:hAnsi="宋体" w:cs="宋体" w:eastAsia="宋体" w:hint="default"/>
                <w:sz w:val="18"/>
                <w:szCs w:val="18"/>
              </w:rPr>
            </w:pPr>
            <w:r>
              <w:rPr>
                <w:rFonts w:ascii="宋体" w:hAnsi="宋体" w:cs="宋体" w:eastAsia="宋体" w:hint="default"/>
                <w:sz w:val="18"/>
                <w:szCs w:val="18"/>
              </w:rPr>
              <w:t>淘汰落后产能企业名单，公司及子公司共有 </w:t>
            </w:r>
            <w:r>
              <w:rPr>
                <w:rFonts w:ascii="Times New Roman" w:hAnsi="Times New Roman" w:cs="Times New Roman" w:eastAsia="Times New Roman" w:hint="default"/>
                <w:sz w:val="18"/>
                <w:szCs w:val="18"/>
              </w:rPr>
              <w:t>28.42 </w:t>
            </w:r>
            <w:r>
              <w:rPr>
                <w:rFonts w:ascii="宋体" w:hAnsi="宋体" w:cs="宋体" w:eastAsia="宋体" w:hint="default"/>
                <w:sz w:val="18"/>
                <w:szCs w:val="18"/>
              </w:rPr>
              <w:t>万 吨产能被纳入名单”处理情况的说明</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2013-062</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0"/>
        <w:jc w:val="left"/>
      </w:pPr>
      <w:r>
        <w:rPr/>
        <w:t>报告期内，公司无破产重整相关事项。</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81"/>
        <w:gridCol w:w="870"/>
        <w:gridCol w:w="1045"/>
        <w:gridCol w:w="1080"/>
        <w:gridCol w:w="473"/>
        <w:gridCol w:w="870"/>
        <w:gridCol w:w="870"/>
        <w:gridCol w:w="870"/>
      </w:tblGrid>
      <w:tr>
        <w:trPr>
          <w:trHeight w:val="1650"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58" w:right="80"/>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8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0" w:right="72"/>
              <w:jc w:val="center"/>
              <w:rPr>
                <w:rFonts w:ascii="宋体" w:hAnsi="宋体" w:cs="宋体" w:eastAsia="宋体" w:hint="default"/>
                <w:sz w:val="18"/>
                <w:szCs w:val="18"/>
              </w:rPr>
            </w:pPr>
            <w:r>
              <w:rPr>
                <w:rFonts w:ascii="宋体" w:hAnsi="宋体" w:cs="宋体" w:eastAsia="宋体" w:hint="default"/>
                <w:sz w:val="18"/>
                <w:szCs w:val="18"/>
              </w:rPr>
              <w:t>对公司损益 的影响（注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该资产为上 市公司贡献 的净利润占 净利润总额 的比率</w:t>
            </w:r>
            <w:r>
              <w:rPr>
                <w:rFonts w:ascii="Times New Roman" w:hAnsi="Times New Roman" w:cs="Times New Roman" w:eastAsia="Times New Roman" w:hint="default"/>
                <w:sz w:val="18"/>
                <w:szCs w:val="18"/>
              </w:rPr>
              <w:t>(%)</w:t>
            </w:r>
          </w:p>
        </w:tc>
        <w:tc>
          <w:tcPr>
            <w:tcW w:w="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51" w:right="49"/>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81" w:type="dxa"/>
            <w:tcBorders>
              <w:top w:val="single" w:sz="4" w:space="0" w:color="000000"/>
              <w:left w:val="single" w:sz="4" w:space="0" w:color="000000"/>
              <w:bottom w:val="nil" w:sz="6" w:space="0" w:color="auto"/>
              <w:right w:val="single" w:sz="13" w:space="0" w:color="FFFFFF"/>
            </w:tcBorders>
          </w:tcPr>
          <w:p>
            <w:pPr/>
          </w:p>
        </w:tc>
        <w:tc>
          <w:tcPr>
            <w:tcW w:w="870" w:type="dxa"/>
            <w:tcBorders>
              <w:top w:val="single" w:sz="4" w:space="0" w:color="000000"/>
              <w:left w:val="single" w:sz="13" w:space="0" w:color="FFFFFF"/>
              <w:bottom w:val="nil" w:sz="6" w:space="0" w:color="auto"/>
              <w:right w:val="single" w:sz="9" w:space="0" w:color="FFFFFF"/>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能进一步</w:t>
            </w:r>
          </w:p>
        </w:tc>
        <w:tc>
          <w:tcPr>
            <w:tcW w:w="1045"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该资产处于</w:t>
            </w:r>
          </w:p>
        </w:tc>
        <w:tc>
          <w:tcPr>
            <w:tcW w:w="1080" w:type="dxa"/>
            <w:tcBorders>
              <w:top w:val="single" w:sz="4" w:space="0" w:color="000000"/>
              <w:left w:val="single" w:sz="4" w:space="0" w:color="000000"/>
              <w:bottom w:val="nil" w:sz="6" w:space="0" w:color="auto"/>
              <w:right w:val="single" w:sz="4" w:space="0" w:color="000000"/>
            </w:tcBorders>
          </w:tcPr>
          <w:p>
            <w:pPr/>
          </w:p>
        </w:tc>
        <w:tc>
          <w:tcPr>
            <w:tcW w:w="473"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延边石岘 白麓纸业 股份有限 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6350mm</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纸机设备</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20,400</w:t>
            </w:r>
          </w:p>
        </w:tc>
        <w:tc>
          <w:tcPr>
            <w:tcW w:w="881" w:type="dxa"/>
            <w:tcBorders>
              <w:top w:val="nil" w:sz="6" w:space="0" w:color="auto"/>
              <w:left w:val="single" w:sz="4" w:space="0" w:color="000000"/>
              <w:bottom w:val="nil" w:sz="6" w:space="0" w:color="auto"/>
              <w:right w:val="single" w:sz="13" w:space="0" w:color="FFFFFF"/>
            </w:tcBorders>
          </w:tcPr>
          <w:p>
            <w:pPr>
              <w:pStyle w:val="TableParagraph"/>
              <w:spacing w:line="316" w:lineRule="auto" w:before="11"/>
              <w:ind w:left="22" w:right="-33"/>
              <w:jc w:val="left"/>
              <w:rPr>
                <w:rFonts w:ascii="宋体" w:hAnsi="宋体" w:cs="宋体" w:eastAsia="宋体" w:hint="default"/>
                <w:sz w:val="18"/>
                <w:szCs w:val="18"/>
              </w:rPr>
            </w:pPr>
            <w:r>
              <w:rPr>
                <w:rFonts w:ascii="宋体" w:hAnsi="宋体" w:cs="宋体" w:eastAsia="宋体" w:hint="default"/>
                <w:sz w:val="18"/>
                <w:szCs w:val="18"/>
              </w:rPr>
              <w:t>资产产权 </w:t>
            </w:r>
            <w:r>
              <w:rPr>
                <w:rFonts w:ascii="宋体" w:hAnsi="宋体" w:cs="宋体" w:eastAsia="宋体" w:hint="default"/>
                <w:spacing w:val="-18"/>
                <w:sz w:val="18"/>
                <w:szCs w:val="18"/>
              </w:rPr>
              <w:t>已过户，债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权债务已 </w:t>
            </w:r>
            <w:r>
              <w:rPr>
                <w:rFonts w:ascii="宋体" w:hAnsi="宋体" w:cs="宋体" w:eastAsia="宋体" w:hint="default"/>
                <w:spacing w:val="-6"/>
                <w:sz w:val="18"/>
                <w:szCs w:val="18"/>
              </w:rPr>
              <w:t>全部转移。</w:t>
            </w:r>
            <w:r>
              <w:rPr>
                <w:rFonts w:ascii="宋体" w:hAnsi="宋体" w:cs="宋体" w:eastAsia="宋体" w:hint="default"/>
                <w:sz w:val="18"/>
                <w:szCs w:val="18"/>
              </w:rPr>
            </w:r>
          </w:p>
        </w:tc>
        <w:tc>
          <w:tcPr>
            <w:tcW w:w="870" w:type="dxa"/>
            <w:tcBorders>
              <w:top w:val="nil" w:sz="6" w:space="0" w:color="auto"/>
              <w:left w:val="single" w:sz="13" w:space="0" w:color="FFFFFF"/>
              <w:bottom w:val="nil" w:sz="6" w:space="0" w:color="auto"/>
              <w:right w:val="single" w:sz="9" w:space="0" w:color="FFFFFF"/>
            </w:tcBorders>
          </w:tcPr>
          <w:p>
            <w:pPr>
              <w:pStyle w:val="TableParagraph"/>
              <w:spacing w:line="316" w:lineRule="auto" w:before="10"/>
              <w:ind w:right="26"/>
              <w:jc w:val="left"/>
              <w:rPr>
                <w:rFonts w:ascii="宋体" w:hAnsi="宋体" w:cs="宋体" w:eastAsia="宋体" w:hint="default"/>
                <w:sz w:val="18"/>
                <w:szCs w:val="18"/>
              </w:rPr>
            </w:pPr>
            <w:r>
              <w:rPr>
                <w:rFonts w:ascii="宋体" w:hAnsi="宋体" w:cs="宋体" w:eastAsia="宋体" w:hint="default"/>
                <w:sz w:val="18"/>
                <w:szCs w:val="18"/>
              </w:rPr>
              <w:t>发挥公司 现有装备 </w:t>
            </w:r>
            <w:r>
              <w:rPr>
                <w:rFonts w:ascii="宋体" w:hAnsi="宋体" w:cs="宋体" w:eastAsia="宋体" w:hint="default"/>
                <w:spacing w:val="-18"/>
                <w:sz w:val="18"/>
                <w:szCs w:val="18"/>
              </w:rPr>
              <w:t>优势，同时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能够节约</w:t>
            </w:r>
          </w:p>
        </w:tc>
        <w:tc>
          <w:tcPr>
            <w:tcW w:w="1045" w:type="dxa"/>
            <w:tcBorders>
              <w:top w:val="nil" w:sz="6" w:space="0" w:color="auto"/>
              <w:left w:val="single" w:sz="9" w:space="0" w:color="FFFFFF"/>
              <w:bottom w:val="nil" w:sz="6" w:space="0" w:color="auto"/>
              <w:right w:val="single" w:sz="4" w:space="0" w:color="000000"/>
            </w:tcBorders>
          </w:tcPr>
          <w:p>
            <w:pPr>
              <w:pStyle w:val="TableParagraph"/>
              <w:spacing w:line="316" w:lineRule="auto" w:before="10"/>
              <w:ind w:left="4" w:right="22"/>
              <w:jc w:val="left"/>
              <w:rPr>
                <w:rFonts w:ascii="宋体" w:hAnsi="宋体" w:cs="宋体" w:eastAsia="宋体" w:hint="default"/>
                <w:sz w:val="18"/>
                <w:szCs w:val="18"/>
              </w:rPr>
            </w:pPr>
            <w:r>
              <w:rPr>
                <w:rFonts w:ascii="宋体" w:hAnsi="宋体" w:cs="宋体" w:eastAsia="宋体" w:hint="default"/>
                <w:sz w:val="18"/>
                <w:szCs w:val="18"/>
              </w:rPr>
              <w:t>安装调试阶 </w:t>
            </w:r>
            <w:r>
              <w:rPr>
                <w:rFonts w:ascii="宋体" w:hAnsi="宋体" w:cs="宋体" w:eastAsia="宋体" w:hint="default"/>
                <w:spacing w:val="-14"/>
                <w:sz w:val="18"/>
                <w:szCs w:val="18"/>
              </w:rPr>
              <w:t>段，对报告期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财务状况和 经营成果无</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9"/>
              <w:jc w:val="both"/>
              <w:rPr>
                <w:rFonts w:ascii="宋体" w:hAnsi="宋体" w:cs="宋体" w:eastAsia="宋体" w:hint="default"/>
                <w:sz w:val="18"/>
                <w:szCs w:val="18"/>
              </w:rPr>
            </w:pPr>
            <w:r>
              <w:rPr>
                <w:rFonts w:ascii="宋体" w:hAnsi="宋体" w:cs="宋体" w:eastAsia="宋体" w:hint="default"/>
                <w:spacing w:val="24"/>
                <w:sz w:val="18"/>
                <w:szCs w:val="18"/>
              </w:rPr>
              <w:t>该资产处在</w:t>
            </w:r>
            <w:r>
              <w:rPr>
                <w:rFonts w:ascii="宋体" w:hAnsi="宋体" w:cs="宋体" w:eastAsia="宋体" w:hint="default"/>
                <w:spacing w:val="-86"/>
                <w:sz w:val="18"/>
                <w:szCs w:val="18"/>
              </w:rPr>
              <w:t> </w:t>
            </w:r>
            <w:r>
              <w:rPr>
                <w:rFonts w:ascii="宋体" w:hAnsi="宋体" w:cs="宋体" w:eastAsia="宋体" w:hint="default"/>
                <w:spacing w:val="24"/>
                <w:sz w:val="18"/>
                <w:szCs w:val="18"/>
              </w:rPr>
              <w:t>安装调试阶</w:t>
            </w:r>
            <w:r>
              <w:rPr>
                <w:rFonts w:ascii="宋体" w:hAnsi="宋体" w:cs="宋体" w:eastAsia="宋体" w:hint="default"/>
                <w:spacing w:val="-86"/>
                <w:sz w:val="18"/>
                <w:szCs w:val="18"/>
              </w:rPr>
              <w:t> </w:t>
            </w:r>
            <w:r>
              <w:rPr>
                <w:rFonts w:ascii="宋体" w:hAnsi="宋体" w:cs="宋体" w:eastAsia="宋体" w:hint="default"/>
                <w:sz w:val="18"/>
                <w:szCs w:val="18"/>
              </w:rPr>
              <w:t>段。</w:t>
            </w:r>
          </w:p>
        </w:tc>
        <w:tc>
          <w:tcPr>
            <w:tcW w:w="4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6">
              <w:r>
                <w:rPr>
                  <w:rFonts w:ascii="Times New Roman"/>
                  <w:sz w:val="18"/>
                </w:rPr>
                <w:t>http://www</w:t>
              </w:r>
            </w:hyperlink>
          </w:p>
          <w:p>
            <w:pPr>
              <w:pStyle w:val="TableParagraph"/>
              <w:spacing w:line="362" w:lineRule="auto" w:before="104"/>
              <w:ind w:left="23" w:right="112"/>
              <w:jc w:val="left"/>
              <w:rPr>
                <w:rFonts w:ascii="Times New Roman" w:hAnsi="Times New Roman" w:cs="Times New Roman" w:eastAsia="Times New Roman" w:hint="default"/>
                <w:sz w:val="18"/>
                <w:szCs w:val="18"/>
              </w:rPr>
            </w:pPr>
            <w:r>
              <w:rPr>
                <w:rFonts w:ascii="Times New Roman"/>
                <w:sz w:val="18"/>
              </w:rPr>
              <w:t>.cninfo.co m.cn</w:t>
            </w:r>
          </w:p>
        </w:tc>
      </w:tr>
      <w:tr>
        <w:trPr>
          <w:trHeight w:val="356"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81" w:type="dxa"/>
            <w:tcBorders>
              <w:top w:val="nil" w:sz="6" w:space="0" w:color="auto"/>
              <w:left w:val="single" w:sz="4" w:space="0" w:color="000000"/>
              <w:bottom w:val="single" w:sz="4" w:space="0" w:color="000000"/>
              <w:right w:val="single" w:sz="13" w:space="0" w:color="FFFFFF"/>
            </w:tcBorders>
          </w:tcPr>
          <w:p>
            <w:pPr/>
          </w:p>
        </w:tc>
        <w:tc>
          <w:tcPr>
            <w:tcW w:w="870" w:type="dxa"/>
            <w:tcBorders>
              <w:top w:val="nil" w:sz="6" w:space="0" w:color="auto"/>
              <w:left w:val="single" w:sz="13" w:space="0" w:color="FFFFFF"/>
              <w:bottom w:val="single" w:sz="4" w:space="0" w:color="000000"/>
              <w:right w:val="single" w:sz="9" w:space="0" w:color="FFFFFF"/>
            </w:tcBorders>
          </w:tcPr>
          <w:p>
            <w:pPr>
              <w:pStyle w:val="TableParagraph"/>
              <w:spacing w:line="240" w:lineRule="auto" w:before="10"/>
              <w:ind w:right="-28"/>
              <w:jc w:val="left"/>
              <w:rPr>
                <w:rFonts w:ascii="宋体" w:hAnsi="宋体" w:cs="宋体" w:eastAsia="宋体" w:hint="default"/>
                <w:sz w:val="18"/>
                <w:szCs w:val="18"/>
              </w:rPr>
            </w:pPr>
            <w:r>
              <w:rPr>
                <w:rFonts w:ascii="宋体" w:hAnsi="宋体" w:cs="宋体" w:eastAsia="宋体" w:hint="default"/>
                <w:spacing w:val="-6"/>
                <w:sz w:val="18"/>
                <w:szCs w:val="18"/>
              </w:rPr>
              <w:t>购置成本。</w:t>
            </w:r>
            <w:r>
              <w:rPr>
                <w:rFonts w:ascii="宋体" w:hAnsi="宋体" w:cs="宋体" w:eastAsia="宋体" w:hint="default"/>
                <w:sz w:val="18"/>
                <w:szCs w:val="18"/>
              </w:rPr>
            </w:r>
          </w:p>
        </w:tc>
        <w:tc>
          <w:tcPr>
            <w:tcW w:w="1045" w:type="dxa"/>
            <w:tcBorders>
              <w:top w:val="nil" w:sz="6" w:space="0" w:color="auto"/>
              <w:left w:val="single" w:sz="9" w:space="0" w:color="FFFFFF"/>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080" w:type="dxa"/>
            <w:tcBorders>
              <w:top w:val="nil" w:sz="6" w:space="0" w:color="auto"/>
              <w:left w:val="single" w:sz="4" w:space="0" w:color="000000"/>
              <w:bottom w:val="single" w:sz="4" w:space="0" w:color="000000"/>
              <w:right w:val="single" w:sz="4" w:space="0" w:color="000000"/>
            </w:tcBorders>
          </w:tcPr>
          <w:p>
            <w:pPr/>
          </w:p>
        </w:tc>
        <w:tc>
          <w:tcPr>
            <w:tcW w:w="473"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宋培军、 田长智及 张波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5"/>
              <w:jc w:val="both"/>
              <w:rPr>
                <w:rFonts w:ascii="宋体" w:hAnsi="宋体" w:cs="宋体" w:eastAsia="宋体" w:hint="default"/>
                <w:sz w:val="18"/>
                <w:szCs w:val="18"/>
              </w:rPr>
            </w:pPr>
            <w:r>
              <w:rPr>
                <w:rFonts w:ascii="宋体" w:hAnsi="宋体" w:cs="宋体" w:eastAsia="宋体" w:hint="default"/>
                <w:sz w:val="18"/>
                <w:szCs w:val="18"/>
              </w:rPr>
              <w:t>寿光鸿翔 印刷包装 有限责任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273</w:t>
            </w:r>
          </w:p>
        </w:tc>
        <w:tc>
          <w:tcPr>
            <w:tcW w:w="88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资产产权 </w:t>
            </w:r>
            <w:r>
              <w:rPr>
                <w:rFonts w:ascii="宋体" w:hAnsi="宋体" w:cs="宋体" w:eastAsia="宋体" w:hint="default"/>
                <w:spacing w:val="-18"/>
                <w:sz w:val="18"/>
                <w:szCs w:val="18"/>
              </w:rPr>
              <w:t>已过户，债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权债务已 全部转移</w:t>
            </w:r>
          </w:p>
        </w:tc>
        <w:tc>
          <w:tcPr>
            <w:tcW w:w="87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right="128"/>
              <w:jc w:val="left"/>
              <w:rPr>
                <w:rFonts w:ascii="宋体" w:hAnsi="宋体" w:cs="宋体" w:eastAsia="宋体" w:hint="default"/>
                <w:sz w:val="18"/>
                <w:szCs w:val="18"/>
              </w:rPr>
            </w:pPr>
            <w:r>
              <w:rPr>
                <w:rFonts w:ascii="宋体" w:hAnsi="宋体" w:cs="宋体" w:eastAsia="宋体" w:hint="default"/>
                <w:sz w:val="18"/>
                <w:szCs w:val="18"/>
              </w:rPr>
              <w:t>延长公司 产业链并</w:t>
            </w:r>
          </w:p>
          <w:p>
            <w:pPr>
              <w:pStyle w:val="TableParagraph"/>
              <w:spacing w:line="196" w:lineRule="exact" w:before="20"/>
              <w:ind w:right="0"/>
              <w:jc w:val="left"/>
              <w:rPr>
                <w:rFonts w:ascii="宋体" w:hAnsi="宋体" w:cs="宋体" w:eastAsia="宋体" w:hint="default"/>
                <w:sz w:val="18"/>
                <w:szCs w:val="18"/>
              </w:rPr>
            </w:pPr>
            <w:r>
              <w:rPr>
                <w:rFonts w:ascii="宋体" w:hAnsi="宋体" w:cs="宋体" w:eastAsia="宋体" w:hint="default"/>
                <w:sz w:val="18"/>
                <w:szCs w:val="18"/>
              </w:rPr>
              <w:t>增加收入</w:t>
            </w:r>
          </w:p>
          <w:p>
            <w:pPr>
              <w:pStyle w:val="TableParagraph"/>
              <w:spacing w:line="196" w:lineRule="exact"/>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1" w:right="121"/>
              <w:jc w:val="both"/>
              <w:rPr>
                <w:rFonts w:ascii="宋体" w:hAnsi="宋体" w:cs="宋体" w:eastAsia="宋体" w:hint="default"/>
                <w:sz w:val="18"/>
                <w:szCs w:val="18"/>
              </w:rPr>
            </w:pPr>
            <w:r>
              <w:rPr>
                <w:rFonts w:ascii="宋体" w:hAnsi="宋体" w:cs="宋体" w:eastAsia="宋体" w:hint="default"/>
                <w:sz w:val="18"/>
                <w:szCs w:val="18"/>
              </w:rPr>
              <w:t>收购鸿翔印 刷股权影响 公司净利润 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1.52%</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6">
              <w:r>
                <w:rPr>
                  <w:rFonts w:ascii="Times New Roman"/>
                  <w:sz w:val="18"/>
                </w:rPr>
                <w:t>http://www</w:t>
              </w:r>
            </w:hyperlink>
          </w:p>
          <w:p>
            <w:pPr>
              <w:pStyle w:val="TableParagraph"/>
              <w:spacing w:line="362" w:lineRule="auto" w:before="104"/>
              <w:ind w:left="23" w:right="112"/>
              <w:jc w:val="left"/>
              <w:rPr>
                <w:rFonts w:ascii="Times New Roman" w:hAnsi="Times New Roman" w:cs="Times New Roman" w:eastAsia="Times New Roman" w:hint="default"/>
                <w:sz w:val="18"/>
                <w:szCs w:val="18"/>
              </w:rPr>
            </w:pPr>
            <w:r>
              <w:rPr>
                <w:rFonts w:ascii="Times New Roman"/>
                <w:sz w:val="18"/>
              </w:rPr>
              <w:t>.cninfo.co m.cn</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b/>
          <w:bCs/>
          <w:sz w:val="24"/>
          <w:szCs w:val="24"/>
        </w:rPr>
      </w:pPr>
      <w:r>
        <w:rPr/>
        <w:pict>
          <v:group style="position:absolute;margin-left:281.940002pt;margin-top:297.200012pt;width:35.550pt;height:54.6pt;mso-position-horizontal-relative:page;mso-position-vertical-relative:page;z-index:-1456552" coordorigin="5639,5944" coordsize="711,1092">
            <v:shape style="position:absolute;left:5639;top:5944;width:711;height:1092" coordorigin="5639,5944" coordsize="711,1092" path="m5639,7036l6349,7036,6349,5944,5639,5944,5639,7036xe" filled="true" fillcolor="#ffffff" stroked="false">
              <v:path arrowok="t"/>
              <v:fill type="solid"/>
            </v:shape>
            <w10:wrap type="none"/>
          </v:group>
        </w:pict>
      </w:r>
      <w:r>
        <w:rPr/>
        <w:pict>
          <v:group style="position:absolute;margin-left:281.940002pt;margin-top:426.5pt;width:35.550pt;height:54.6pt;mso-position-horizontal-relative:page;mso-position-vertical-relative:page;z-index:-1456528" coordorigin="5639,8530" coordsize="711,1092">
            <v:shape style="position:absolute;left:5639;top:8530;width:711;height:1092" coordorigin="5639,8530" coordsize="711,1092" path="m5639,9622l6349,9622,6349,8530,5639,8530,5639,9622xe" filled="true" fillcolor="#ffffff" stroked="false">
              <v:path arrowok="t"/>
              <v:fill type="solid"/>
            </v:shape>
            <w10:wrap type="none"/>
          </v:group>
        </w:pict>
      </w:r>
      <w:r>
        <w:rPr/>
        <w:pict>
          <v:group style="position:absolute;margin-left:281.940002pt;margin-top:622.299988pt;width:35.550pt;height:46.8pt;mso-position-horizontal-relative:page;mso-position-vertical-relative:page;z-index:-1456504" coordorigin="5639,12446" coordsize="711,936">
            <v:shape style="position:absolute;left:5639;top:12446;width:711;height:936" coordorigin="5639,12446" coordsize="711,936" path="m5639,13382l6349,13382,6349,12446,5639,12446,5639,13382xe" filled="true" fillcolor="#ffffff" stroked="false">
              <v:path arrowok="t"/>
              <v:fill type="solid"/>
            </v:shape>
            <w10:wrap type="none"/>
          </v:group>
        </w:pict>
      </w:r>
      <w:r>
        <w:rPr/>
        <w:pict>
          <v:group style="position:absolute;margin-left:281.940002pt;margin-top:727.099976pt;width:35.550pt;height:38.1pt;mso-position-horizontal-relative:page;mso-position-vertical-relative:page;z-index:-1456480" coordorigin="5639,14542" coordsize="711,762">
            <v:shape style="position:absolute;left:5639;top:14542;width:711;height:762" coordorigin="5639,14542" coordsize="711,762" path="m5639,15304l6349,15304,6349,14542,5639,14542,5639,1530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1056"/>
        <w:gridCol w:w="1080"/>
        <w:gridCol w:w="473"/>
        <w:gridCol w:w="870"/>
        <w:gridCol w:w="870"/>
        <w:gridCol w:w="870"/>
      </w:tblGrid>
      <w:tr>
        <w:trPr>
          <w:trHeight w:val="674"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的股 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4"/>
        <w:gridCol w:w="684"/>
        <w:gridCol w:w="685"/>
        <w:gridCol w:w="685"/>
        <w:gridCol w:w="684"/>
        <w:gridCol w:w="1078"/>
        <w:gridCol w:w="720"/>
        <w:gridCol w:w="720"/>
        <w:gridCol w:w="540"/>
        <w:gridCol w:w="720"/>
        <w:gridCol w:w="540"/>
        <w:gridCol w:w="464"/>
        <w:gridCol w:w="680"/>
        <w:gridCol w:w="679"/>
      </w:tblGrid>
      <w:tr>
        <w:trPr>
          <w:trHeight w:val="2898" w:hRule="exact"/>
        </w:trPr>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67"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 w:right="66"/>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83" w:firstLine="61"/>
              <w:jc w:val="left"/>
              <w:rPr>
                <w:rFonts w:ascii="Times New Roman" w:hAnsi="Times New Roman" w:cs="Times New Roman" w:eastAsia="Times New Roman" w:hint="default"/>
                <w:sz w:val="18"/>
                <w:szCs w:val="18"/>
              </w:rPr>
            </w:pPr>
            <w:r>
              <w:rPr>
                <w:rFonts w:ascii="宋体" w:hAnsi="宋体" w:cs="宋体" w:eastAsia="宋体" w:hint="default"/>
                <w:sz w:val="18"/>
                <w:szCs w:val="18"/>
              </w:rPr>
              <w:t>出售对公司 </w:t>
            </w:r>
            <w:r>
              <w:rPr>
                <w:rFonts w:ascii="宋体" w:hAnsi="宋体" w:cs="宋体" w:eastAsia="宋体" w:hint="default"/>
                <w:spacing w:val="-18"/>
                <w:sz w:val="18"/>
                <w:szCs w:val="18"/>
              </w:rPr>
              <w:t>的影响（注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both"/>
              <w:rPr>
                <w:rFonts w:ascii="宋体" w:hAnsi="宋体" w:cs="宋体" w:eastAsia="宋体" w:hint="default"/>
                <w:sz w:val="18"/>
                <w:szCs w:val="18"/>
              </w:rPr>
            </w:pPr>
            <w:r>
              <w:rPr>
                <w:rFonts w:ascii="宋体" w:hAnsi="宋体" w:cs="宋体" w:eastAsia="宋体" w:hint="default"/>
                <w:sz w:val="18"/>
                <w:szCs w:val="18"/>
              </w:rPr>
              <w:t>资产出 售为上 市公司 贡献的</w:t>
            </w:r>
          </w:p>
          <w:p>
            <w:pPr>
              <w:pStyle w:val="TableParagraph"/>
              <w:spacing w:line="196" w:lineRule="exact" w:before="19"/>
              <w:ind w:left="83" w:right="0"/>
              <w:jc w:val="both"/>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15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83" w:right="0"/>
              <w:jc w:val="both"/>
              <w:rPr>
                <w:rFonts w:ascii="宋体" w:hAnsi="宋体" w:cs="宋体" w:eastAsia="宋体" w:hint="default"/>
                <w:sz w:val="18"/>
                <w:szCs w:val="18"/>
              </w:rPr>
            </w:pPr>
            <w:r>
              <w:rPr>
                <w:rFonts w:ascii="宋体" w:hAnsi="宋体" w:cs="宋体" w:eastAsia="宋体" w:hint="default"/>
                <w:sz w:val="18"/>
                <w:szCs w:val="18"/>
              </w:rPr>
              <w:t>占净利</w:t>
            </w:r>
          </w:p>
          <w:p>
            <w:pPr>
              <w:pStyle w:val="TableParagraph"/>
              <w:spacing w:line="338" w:lineRule="auto" w:before="76"/>
              <w:ind w:left="83" w:right="84"/>
              <w:jc w:val="center"/>
              <w:rPr>
                <w:rFonts w:ascii="Times New Roman" w:hAnsi="Times New Roman" w:cs="Times New Roman" w:eastAsia="Times New Roman" w:hint="default"/>
                <w:sz w:val="18"/>
                <w:szCs w:val="18"/>
              </w:rPr>
            </w:pPr>
            <w:r>
              <w:rPr>
                <w:rFonts w:ascii="宋体" w:hAnsi="宋体" w:cs="宋体" w:eastAsia="宋体" w:hint="default"/>
                <w:sz w:val="18"/>
                <w:szCs w:val="18"/>
              </w:rPr>
              <w:t>润总额 的比例 </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83" w:right="84"/>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83" w:right="84"/>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33" w:hanging="58"/>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5"/>
                <w:sz w:val="18"/>
                <w:szCs w:val="18"/>
              </w:rPr>
              <w:t>系（适用</w:t>
            </w:r>
            <w:r>
              <w:rPr>
                <w:rFonts w:ascii="宋体" w:hAnsi="宋体" w:cs="宋体" w:eastAsia="宋体" w:hint="default"/>
                <w:sz w:val="18"/>
                <w:szCs w:val="18"/>
              </w:rPr>
              <w:t> 关联交 易情形）</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3" w:right="84"/>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6" w:right="47"/>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7"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出售资产影</w:t>
            </w: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64"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延边石 岘白麓 纸业股 份有限 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延边晨 鸣纸业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5,400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-192.53</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34"/>
              <w:jc w:val="left"/>
              <w:rPr>
                <w:rFonts w:ascii="宋体" w:hAnsi="宋体" w:cs="宋体" w:eastAsia="宋体" w:hint="default"/>
                <w:sz w:val="18"/>
                <w:szCs w:val="18"/>
              </w:rPr>
            </w:pPr>
            <w:r>
              <w:rPr>
                <w:rFonts w:ascii="宋体" w:hAnsi="宋体" w:cs="宋体" w:eastAsia="宋体" w:hint="default"/>
                <w:sz w:val="18"/>
                <w:szCs w:val="18"/>
              </w:rPr>
              <w:t>响净利润增 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符合公司产 品高端化的 </w:t>
            </w:r>
            <w:r>
              <w:rPr>
                <w:rFonts w:ascii="宋体" w:hAnsi="宋体" w:cs="宋体" w:eastAsia="宋体" w:hint="default"/>
                <w:spacing w:val="-10"/>
                <w:sz w:val="18"/>
                <w:szCs w:val="18"/>
              </w:rPr>
              <w:t>发展战略，能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够提高公司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0.76%</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评估机 构的评 估价格 为依据</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vMerge/>
            <w:tcBorders>
              <w:left w:val="single" w:sz="4" w:space="0" w:color="000000"/>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62" w:lineRule="auto" w:before="127"/>
              <w:ind w:left="23" w:right="40"/>
              <w:jc w:val="left"/>
              <w:rPr>
                <w:rFonts w:ascii="Times New Roman" w:hAnsi="Times New Roman" w:cs="Times New Roman" w:eastAsia="Times New Roman" w:hint="default"/>
                <w:sz w:val="18"/>
                <w:szCs w:val="18"/>
              </w:rPr>
            </w:pPr>
            <w:hyperlink r:id="rId17">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r>
        <w:trPr>
          <w:trHeight w:val="357"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经济效益。</w:t>
            </w: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64"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出售资产影</w:t>
            </w: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64"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延边国 有资产 投资管 理有限 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延边晨 鸣纸业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5,600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-200.39</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34"/>
              <w:jc w:val="left"/>
              <w:rPr>
                <w:rFonts w:ascii="宋体" w:hAnsi="宋体" w:cs="宋体" w:eastAsia="宋体" w:hint="default"/>
                <w:sz w:val="18"/>
                <w:szCs w:val="18"/>
              </w:rPr>
            </w:pPr>
            <w:r>
              <w:rPr>
                <w:rFonts w:ascii="宋体" w:hAnsi="宋体" w:cs="宋体" w:eastAsia="宋体" w:hint="default"/>
                <w:sz w:val="18"/>
                <w:szCs w:val="18"/>
              </w:rPr>
              <w:t>响净利润增 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符合公司产 品高端化的 </w:t>
            </w:r>
            <w:r>
              <w:rPr>
                <w:rFonts w:ascii="宋体" w:hAnsi="宋体" w:cs="宋体" w:eastAsia="宋体" w:hint="default"/>
                <w:spacing w:val="-10"/>
                <w:sz w:val="18"/>
                <w:szCs w:val="18"/>
              </w:rPr>
              <w:t>发展战略，能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够提高公司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0.80%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评估机 构的评 估价格 为依据</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vMerge/>
            <w:tcBorders>
              <w:left w:val="single" w:sz="4" w:space="0" w:color="000000"/>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62" w:lineRule="auto" w:before="127"/>
              <w:ind w:left="23" w:right="40"/>
              <w:jc w:val="left"/>
              <w:rPr>
                <w:rFonts w:ascii="Times New Roman" w:hAnsi="Times New Roman" w:cs="Times New Roman" w:eastAsia="Times New Roman" w:hint="default"/>
                <w:sz w:val="18"/>
                <w:szCs w:val="18"/>
              </w:rPr>
            </w:pPr>
            <w:hyperlink r:id="rId17">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r>
        <w:trPr>
          <w:trHeight w:val="357"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经济效益。</w:t>
            </w: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64"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w:t>
            </w:r>
          </w:p>
        </w:tc>
        <w:tc>
          <w:tcPr>
            <w:tcW w:w="685"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64" w:type="dxa"/>
            <w:tcBorders>
              <w:top w:val="single" w:sz="4" w:space="0" w:color="000000"/>
              <w:left w:val="single" w:sz="4" w:space="0" w:color="000000"/>
              <w:bottom w:val="nil" w:sz="6" w:space="0" w:color="auto"/>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r>
      <w:tr>
        <w:trPr>
          <w:trHeight w:val="1565"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湖北中 建昊华 环保有 限公司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建新型 墙体材 料有限 责任公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-28.21</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22" w:right="-34"/>
              <w:jc w:val="left"/>
              <w:rPr>
                <w:rFonts w:ascii="宋体" w:hAnsi="宋体" w:cs="宋体" w:eastAsia="宋体" w:hint="default"/>
                <w:sz w:val="18"/>
                <w:szCs w:val="18"/>
              </w:rPr>
            </w:pPr>
            <w:r>
              <w:rPr>
                <w:rFonts w:ascii="宋体" w:hAnsi="宋体" w:cs="宋体" w:eastAsia="宋体" w:hint="default"/>
                <w:sz w:val="18"/>
                <w:szCs w:val="18"/>
              </w:rPr>
              <w:t>出售资产影 响净利润减 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-0.56%</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评估机 构的评 估价格 为依据</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vMerge/>
            <w:tcBorders>
              <w:left w:val="single" w:sz="4" w:space="0" w:color="000000"/>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vMerge/>
            <w:tcBorders>
              <w:left w:val="single" w:sz="4" w:space="0" w:color="000000"/>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2"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685"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64" w:type="dxa"/>
            <w:tcBorders>
              <w:top w:val="nil" w:sz="6" w:space="0" w:color="auto"/>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684"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w:t>
            </w:r>
          </w:p>
        </w:tc>
        <w:tc>
          <w:tcPr>
            <w:tcW w:w="685" w:type="dxa"/>
            <w:tcBorders>
              <w:top w:val="single" w:sz="4" w:space="0" w:color="000000"/>
              <w:left w:val="single" w:sz="4" w:space="0" w:color="000000"/>
              <w:bottom w:val="nil" w:sz="6" w:space="0" w:color="auto"/>
              <w:right w:val="single" w:sz="4" w:space="0" w:color="000000"/>
            </w:tcBorders>
          </w:tcPr>
          <w:p>
            <w:pPr/>
          </w:p>
        </w:tc>
        <w:tc>
          <w:tcPr>
            <w:tcW w:w="685"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出售资产对</w:t>
            </w:r>
          </w:p>
        </w:tc>
        <w:tc>
          <w:tcPr>
            <w:tcW w:w="7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78"/>
              <w:jc w:val="center"/>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tc>
        <w:tc>
          <w:tcPr>
            <w:tcW w:w="540" w:type="dxa"/>
            <w:tcBorders>
              <w:top w:val="single" w:sz="4" w:space="0" w:color="000000"/>
              <w:left w:val="single" w:sz="4" w:space="0" w:color="000000"/>
              <w:bottom w:val="nil" w:sz="6" w:space="0" w:color="auto"/>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64" w:type="dxa"/>
            <w:tcBorders>
              <w:top w:val="single" w:sz="4" w:space="0" w:color="000000"/>
              <w:left w:val="single" w:sz="4" w:space="0" w:color="000000"/>
              <w:bottom w:val="nil" w:sz="6" w:space="0" w:color="auto"/>
              <w:right w:val="single" w:sz="4" w:space="0" w:color="000000"/>
            </w:tcBorders>
          </w:tcPr>
          <w:p>
            <w:pPr/>
          </w:p>
        </w:tc>
        <w:tc>
          <w:tcPr>
            <w:tcW w:w="680"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r>
      <w:tr>
        <w:trPr>
          <w:trHeight w:val="1252" w:hRule="exact"/>
        </w:trPr>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上海锐 宝环保 科技有 限公司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2" w:right="109"/>
              <w:jc w:val="both"/>
              <w:rPr>
                <w:rFonts w:ascii="宋体" w:hAnsi="宋体" w:cs="宋体" w:eastAsia="宋体" w:hint="default"/>
                <w:sz w:val="18"/>
                <w:szCs w:val="18"/>
              </w:rPr>
            </w:pPr>
            <w:r>
              <w:rPr>
                <w:rFonts w:ascii="宋体" w:hAnsi="宋体" w:cs="宋体" w:eastAsia="宋体" w:hint="default"/>
                <w:sz w:val="18"/>
                <w:szCs w:val="18"/>
              </w:rPr>
              <w:t>晨股权 投资基 金有限 公司</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30,091.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56.46</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2" w:right="-35"/>
              <w:jc w:val="left"/>
              <w:rPr>
                <w:rFonts w:ascii="宋体" w:hAnsi="宋体" w:cs="宋体" w:eastAsia="宋体" w:hint="default"/>
                <w:sz w:val="18"/>
                <w:szCs w:val="18"/>
              </w:rPr>
            </w:pPr>
            <w:r>
              <w:rPr>
                <w:rFonts w:ascii="宋体" w:hAnsi="宋体" w:cs="宋体" w:eastAsia="宋体" w:hint="default"/>
                <w:sz w:val="18"/>
                <w:szCs w:val="18"/>
              </w:rPr>
              <w:t>净利润无影 </w:t>
            </w:r>
            <w:r>
              <w:rPr>
                <w:rFonts w:ascii="宋体" w:hAnsi="宋体" w:cs="宋体" w:eastAsia="宋体" w:hint="default"/>
                <w:spacing w:val="-10"/>
                <w:sz w:val="18"/>
                <w:szCs w:val="18"/>
              </w:rPr>
              <w:t>响；有利于维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护公司和广 大股东利益，</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 审计的 净资产</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vMerge/>
            <w:tcBorders>
              <w:left w:val="single" w:sz="4" w:space="0" w:color="000000"/>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62" w:lineRule="auto" w:before="35"/>
              <w:ind w:left="23" w:right="40"/>
              <w:jc w:val="left"/>
              <w:rPr>
                <w:rFonts w:ascii="Times New Roman" w:hAnsi="Times New Roman" w:cs="Times New Roman" w:eastAsia="Times New Roman" w:hint="default"/>
                <w:sz w:val="18"/>
                <w:szCs w:val="18"/>
              </w:rPr>
            </w:pPr>
            <w:hyperlink r:id="rId17">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r>
        <w:trPr>
          <w:trHeight w:val="318" w:hRule="exact"/>
        </w:trPr>
        <w:tc>
          <w:tcPr>
            <w:tcW w:w="684"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98.36%</w:t>
            </w:r>
          </w:p>
        </w:tc>
        <w:tc>
          <w:tcPr>
            <w:tcW w:w="685" w:type="dxa"/>
            <w:tcBorders>
              <w:top w:val="nil" w:sz="6" w:space="0" w:color="auto"/>
              <w:left w:val="single" w:sz="4" w:space="0" w:color="000000"/>
              <w:bottom w:val="single" w:sz="4" w:space="0" w:color="000000"/>
              <w:right w:val="single" w:sz="4" w:space="0" w:color="000000"/>
            </w:tcBorders>
          </w:tcPr>
          <w:p>
            <w:pPr/>
          </w:p>
        </w:tc>
        <w:tc>
          <w:tcPr>
            <w:tcW w:w="685"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降低投资风</w:t>
            </w:r>
          </w:p>
        </w:tc>
        <w:tc>
          <w:tcPr>
            <w:tcW w:w="7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为参考</w:t>
            </w:r>
          </w:p>
        </w:tc>
        <w:tc>
          <w:tcPr>
            <w:tcW w:w="540"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64" w:type="dxa"/>
            <w:tcBorders>
              <w:top w:val="nil" w:sz="6" w:space="0" w:color="auto"/>
              <w:left w:val="single" w:sz="4" w:space="0" w:color="000000"/>
              <w:bottom w:val="single" w:sz="4" w:space="0" w:color="000000"/>
              <w:right w:val="single" w:sz="4" w:space="0" w:color="000000"/>
            </w:tcBorders>
          </w:tcPr>
          <w:p>
            <w:pPr/>
          </w:p>
        </w:tc>
        <w:tc>
          <w:tcPr>
            <w:tcW w:w="680"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684"/>
        <w:gridCol w:w="684"/>
        <w:gridCol w:w="685"/>
        <w:gridCol w:w="685"/>
        <w:gridCol w:w="684"/>
        <w:gridCol w:w="1078"/>
        <w:gridCol w:w="720"/>
        <w:gridCol w:w="720"/>
        <w:gridCol w:w="540"/>
        <w:gridCol w:w="720"/>
        <w:gridCol w:w="540"/>
        <w:gridCol w:w="464"/>
        <w:gridCol w:w="680"/>
        <w:gridCol w:w="679"/>
      </w:tblGrid>
      <w:tr>
        <w:trPr>
          <w:trHeight w:val="674"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10"/>
                <w:sz w:val="18"/>
                <w:szCs w:val="18"/>
              </w:rPr>
              <w:t>险，提高资金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使用效率。</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依据</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武汉晨 鸣万兴 置业有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09"/>
              <w:jc w:val="both"/>
              <w:rPr>
                <w:rFonts w:ascii="宋体" w:hAnsi="宋体" w:cs="宋体" w:eastAsia="宋体" w:hint="default"/>
                <w:sz w:val="18"/>
                <w:szCs w:val="18"/>
              </w:rPr>
            </w:pPr>
            <w:r>
              <w:rPr>
                <w:rFonts w:ascii="宋体" w:hAnsi="宋体" w:cs="宋体" w:eastAsia="宋体" w:hint="default"/>
                <w:sz w:val="18"/>
                <w:szCs w:val="18"/>
              </w:rPr>
              <w:t>武汉晨 鸣万兴 置业有 限公司 </w:t>
            </w:r>
            <w:r>
              <w:rPr>
                <w:rFonts w:ascii="Times New Roman" w:hAnsi="Times New Roman" w:cs="Times New Roman" w:eastAsia="Times New Roman" w:hint="default"/>
                <w:sz w:val="18"/>
                <w:szCs w:val="18"/>
              </w:rPr>
              <w:t>60%</w:t>
            </w:r>
            <w:r>
              <w:rPr>
                <w:rFonts w:ascii="宋体" w:hAnsi="宋体" w:cs="宋体" w:eastAsia="宋体" w:hint="default"/>
                <w:sz w:val="18"/>
                <w:szCs w:val="18"/>
              </w:rPr>
              <w:t>的</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6,000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-721.20</w:t>
            </w:r>
          </w:p>
        </w:tc>
        <w:tc>
          <w:tcPr>
            <w:tcW w:w="107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2" w:right="-41"/>
              <w:jc w:val="left"/>
              <w:rPr>
                <w:rFonts w:ascii="宋体" w:hAnsi="宋体" w:cs="宋体" w:eastAsia="宋体" w:hint="default"/>
                <w:sz w:val="18"/>
                <w:szCs w:val="18"/>
              </w:rPr>
            </w:pPr>
            <w:r>
              <w:rPr>
                <w:rFonts w:ascii="宋体" w:hAnsi="宋体" w:cs="宋体" w:eastAsia="宋体" w:hint="default"/>
                <w:sz w:val="18"/>
                <w:szCs w:val="18"/>
              </w:rPr>
              <w:t>出售资产影 响净利润增 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符合公司多 元化经营的 战略。</w:t>
            </w:r>
          </w:p>
        </w:tc>
        <w:tc>
          <w:tcPr>
            <w:tcW w:w="720" w:type="dxa"/>
            <w:tcBorders>
              <w:top w:val="single" w:sz="4" w:space="0" w:color="000000"/>
              <w:left w:val="single" w:sz="9" w:space="0" w:color="FFFFFF"/>
              <w:bottom w:val="single" w:sz="4" w:space="0" w:color="000000"/>
              <w:right w:val="single" w:sz="4" w:space="0" w:color="000000"/>
            </w:tcBorders>
          </w:tcPr>
          <w:p>
            <w:pPr>
              <w:pStyle w:val="TableParagraph"/>
              <w:spacing w:line="936" w:lineRule="exact"/>
              <w:ind w:left="-7"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35.550pt;height:46.8pt;mso-position-horizontal-relative:char;mso-position-vertical-relative:line" coordorigin="0,0" coordsize="711,936">
                  <v:group style="position:absolute;left:0;top:0;width:711;height:936" coordorigin="0,0" coordsize="711,936">
                    <v:shape style="position:absolute;left:0;top:0;width:711;height:936" coordorigin="0,0" coordsize="711,936" path="m0,936l710,936,710,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1.31%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 审计的 净资产 为参考 依据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62" w:lineRule="auto"/>
              <w:ind w:left="23" w:right="40"/>
              <w:jc w:val="left"/>
              <w:rPr>
                <w:rFonts w:ascii="Times New Roman" w:hAnsi="Times New Roman" w:cs="Times New Roman" w:eastAsia="Times New Roman" w:hint="default"/>
                <w:sz w:val="18"/>
                <w:szCs w:val="18"/>
              </w:rPr>
            </w:pPr>
            <w:hyperlink r:id="rId17">
              <w:r>
                <w:rPr>
                  <w:rFonts w:ascii="Times New Roman"/>
                  <w:sz w:val="18"/>
                </w:rPr>
                <w:t>http://w</w:t>
              </w:r>
            </w:hyperlink>
            <w:r>
              <w:rPr>
                <w:rFonts w:ascii="Times New Roman"/>
                <w:sz w:val="18"/>
              </w:rPr>
              <w:t> </w:t>
            </w:r>
            <w:r>
              <w:rPr>
                <w:rFonts w:ascii="Times New Roman"/>
                <w:spacing w:val="-2"/>
                <w:sz w:val="18"/>
              </w:rPr>
              <w:t>ww.cnin</w:t>
            </w:r>
            <w:r>
              <w:rPr>
                <w:rFonts w:ascii="Times New Roman"/>
                <w:sz w:val="18"/>
              </w:rPr>
              <w:t> fo.com. cn</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0"/>
        <w:jc w:val="left"/>
      </w:pPr>
      <w:r>
        <w:rPr/>
        <w:t>报告期内，公司无股权激励实施情况。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7"/>
        <w:gridCol w:w="798"/>
        <w:gridCol w:w="798"/>
        <w:gridCol w:w="786"/>
        <w:gridCol w:w="812"/>
        <w:gridCol w:w="797"/>
        <w:gridCol w:w="798"/>
        <w:gridCol w:w="798"/>
        <w:gridCol w:w="798"/>
        <w:gridCol w:w="798"/>
        <w:gridCol w:w="796"/>
        <w:gridCol w:w="797"/>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3" w:right="31"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4"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4" w:right="1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7" w:right="32"/>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安徽时代 物资股份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5" w:right="44"/>
              <w:jc w:val="both"/>
              <w:rPr>
                <w:rFonts w:ascii="宋体" w:hAnsi="宋体" w:cs="宋体" w:eastAsia="宋体" w:hint="default"/>
                <w:sz w:val="18"/>
                <w:szCs w:val="18"/>
              </w:rPr>
            </w:pPr>
            <w:r>
              <w:rPr>
                <w:rFonts w:ascii="宋体" w:hAnsi="宋体" w:cs="宋体" w:eastAsia="宋体" w:hint="default"/>
                <w:sz w:val="18"/>
                <w:szCs w:val="18"/>
              </w:rPr>
              <w:t>市场价格 董事会授 权</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2,152.24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银行承 兑、电汇</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7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2,152.24</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7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94"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17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94"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扩大安徽地区的销售业务，增加公司销售业绩。</w:t>
            </w:r>
          </w:p>
        </w:tc>
      </w:tr>
      <w:tr>
        <w:trPr>
          <w:trHeight w:val="403" w:hRule="exact"/>
        </w:trPr>
        <w:tc>
          <w:tcPr>
            <w:tcW w:w="317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94"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无影响</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是否存在非经营性关联债权债务往来</w:t>
      </w:r>
    </w:p>
    <w:p>
      <w:pPr>
        <w:pStyle w:val="BodyText"/>
        <w:spacing w:line="240" w:lineRule="auto" w:before="116"/>
        <w:ind w:right="0"/>
        <w:jc w:val="left"/>
      </w:pPr>
      <w:r>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00"/>
        <w:gridCol w:w="1440"/>
        <w:gridCol w:w="1080"/>
        <w:gridCol w:w="1080"/>
        <w:gridCol w:w="1260"/>
        <w:gridCol w:w="998"/>
        <w:gridCol w:w="1080"/>
        <w:gridCol w:w="928"/>
      </w:tblGrid>
      <w:tr>
        <w:trPr>
          <w:trHeight w:val="714"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43" w:right="84"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是否存在非经 营性资金占用</w:t>
            </w:r>
          </w:p>
        </w:tc>
        <w:tc>
          <w:tcPr>
            <w:tcW w:w="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7"/>
              <w:ind w:left="17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安徽时代物资股份有 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经营性往来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1,573.91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84.09</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1,658.00</w:t>
            </w: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江西江报传媒彩印有 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经营性往来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00"/>
        <w:gridCol w:w="1440"/>
        <w:gridCol w:w="1080"/>
        <w:gridCol w:w="1080"/>
        <w:gridCol w:w="1260"/>
        <w:gridCol w:w="998"/>
        <w:gridCol w:w="1080"/>
        <w:gridCol w:w="928"/>
      </w:tblGrid>
      <w:tr>
        <w:trPr>
          <w:trHeight w:val="71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武汉晨鸣万兴置业有 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经营性往来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55,196.46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55,196.46</w:t>
            </w: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阿尔诺维根斯晨鸣特 种纸有限公司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经营性往来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9" w:right="0"/>
              <w:jc w:val="left"/>
              <w:rPr>
                <w:rFonts w:ascii="Times New Roman" w:hAnsi="Times New Roman" w:cs="Times New Roman" w:eastAsia="Times New Roman" w:hint="default"/>
                <w:sz w:val="18"/>
                <w:szCs w:val="18"/>
              </w:rPr>
            </w:pPr>
            <w:r>
              <w:rPr>
                <w:rFonts w:ascii="Times New Roman"/>
                <w:sz w:val="18"/>
              </w:rPr>
              <w:t>129.09</w:t>
            </w:r>
          </w:p>
        </w:tc>
        <w:tc>
          <w:tcPr>
            <w:tcW w:w="1080"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129.09</w:t>
            </w: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寿光市恒泰企业投资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公司高级管理人 员投资之公司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经营性往来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8"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1,866.87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1,866.87</w:t>
            </w:r>
          </w:p>
        </w:tc>
      </w:tr>
      <w:tr>
        <w:trPr>
          <w:trHeight w:val="714" w:hRule="exact"/>
        </w:trPr>
        <w:tc>
          <w:tcPr>
            <w:tcW w:w="32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 况的影响</w:t>
            </w:r>
          </w:p>
        </w:tc>
        <w:tc>
          <w:tcPr>
            <w:tcW w:w="6426" w:type="dxa"/>
            <w:gridSpan w:val="6"/>
            <w:tcBorders>
              <w:top w:val="single" w:sz="4" w:space="0" w:color="000000"/>
              <w:left w:val="single" w:sz="10" w:space="0" w:color="D3D3D3"/>
              <w:bottom w:val="single" w:sz="4" w:space="0" w:color="000000"/>
              <w:right w:val="single" w:sz="4" w:space="0" w:color="000000"/>
            </w:tcBorders>
          </w:tcPr>
          <w:p>
            <w:pPr>
              <w:pStyle w:val="TableParagraph"/>
              <w:spacing w:line="316" w:lineRule="auto" w:before="51"/>
              <w:ind w:left="15" w:right="91"/>
              <w:jc w:val="left"/>
              <w:rPr>
                <w:rFonts w:ascii="宋体" w:hAnsi="宋体" w:cs="宋体" w:eastAsia="宋体" w:hint="default"/>
                <w:sz w:val="18"/>
                <w:szCs w:val="18"/>
              </w:rPr>
            </w:pPr>
            <w:r>
              <w:rPr>
                <w:rFonts w:ascii="宋体" w:hAnsi="宋体" w:cs="宋体" w:eastAsia="宋体" w:hint="default"/>
                <w:sz w:val="18"/>
                <w:szCs w:val="18"/>
              </w:rPr>
              <w:t>以上关联债权债务都属经营性往来，均在公司可控风险之内，对公司经营成果及 财务状况无影响。</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r>
        <w:rPr>
          <w:rFonts w:ascii="Times New Roman" w:hAnsi="Times New Roman" w:cs="Times New Roman" w:eastAsia="Times New Roman" w:hint="default"/>
        </w:rPr>
        <w:t>3</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49" w:firstLine="359"/>
        <w:jc w:val="both"/>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日，公司召开的第六届董事会第八次临时会议审议通过了</w:t>
      </w:r>
      <w:r>
        <w:rPr>
          <w:rFonts w:ascii="Times New Roman" w:hAnsi="Times New Roman" w:cs="Times New Roman" w:eastAsia="Times New Roman" w:hint="default"/>
          <w:spacing w:val="-2"/>
        </w:rPr>
        <w:t>“</w:t>
      </w:r>
      <w:r>
        <w:rPr>
          <w:spacing w:val="-2"/>
        </w:rPr>
        <w:t>关于海鸣矿业增资及新增股东的议案</w:t>
      </w:r>
      <w:r>
        <w:rPr>
          <w:rFonts w:ascii="Times New Roman" w:hAnsi="Times New Roman" w:cs="Times New Roman" w:eastAsia="Times New Roman" w:hint="default"/>
          <w:spacing w:val="-2"/>
        </w:rPr>
        <w:t>”</w:t>
      </w:r>
      <w:r>
        <w:rPr>
          <w:spacing w:val="-2"/>
        </w:rPr>
        <w:t>，鉴于海城</w:t>
      </w:r>
      <w:r>
        <w:rPr/>
        <w:t> </w:t>
      </w:r>
      <w:r>
        <w:rPr>
          <w:spacing w:val="-2"/>
        </w:rPr>
        <w:t>海鸣矿业有限责任公司目前注册资本较低，尚未开展经营活动，考虑海鸣矿业后续项目运作风险及资金需求等因素，为符合</w:t>
      </w:r>
      <w:r>
        <w:rPr>
          <w:spacing w:val="-66"/>
        </w:rPr>
        <w:t> </w:t>
      </w:r>
      <w:r>
        <w:rPr>
          <w:spacing w:val="-66"/>
        </w:rPr>
      </w:r>
      <w:r>
        <w:rPr/>
        <w:t>广大股东及公司利益，有利于股东共担风险、共同努力，经与股东协商，决定对海鸣矿业增资至人民币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亿元，其中：</w:t>
      </w:r>
    </w:p>
    <w:p>
      <w:pPr>
        <w:pStyle w:val="BodyText"/>
        <w:spacing w:line="240" w:lineRule="auto" w:before="5"/>
        <w:ind w:left="154" w:right="0"/>
        <w:jc w:val="both"/>
      </w:pPr>
      <w:r>
        <w:rPr/>
        <w:t>公司对海鸣矿业增加注册资本人民币 </w:t>
      </w:r>
      <w:r>
        <w:rPr>
          <w:rFonts w:ascii="Times New Roman" w:hAnsi="Times New Roman" w:cs="Times New Roman" w:eastAsia="Times New Roman" w:hint="default"/>
        </w:rPr>
        <w:t>7,400  </w:t>
      </w:r>
      <w:r>
        <w:rPr>
          <w:spacing w:val="-4"/>
        </w:rPr>
        <w:t>万元，辽宁北海实业（集团）有限公司对海鸣矿业增加注册资本人民币 </w:t>
      </w:r>
      <w:r>
        <w:rPr>
          <w:rFonts w:ascii="Times New Roman" w:hAnsi="Times New Roman" w:cs="Times New Roman" w:eastAsia="Times New Roman" w:hint="default"/>
        </w:rPr>
        <w:t>4,200</w:t>
      </w:r>
      <w:r>
        <w:rPr>
          <w:rFonts w:ascii="Times New Roman" w:hAnsi="Times New Roman" w:cs="Times New Roman" w:eastAsia="Times New Roman" w:hint="default"/>
          <w:spacing w:val="-1"/>
        </w:rPr>
        <w:t> </w:t>
      </w:r>
      <w:r>
        <w:rPr/>
        <w:t>万</w:t>
      </w:r>
    </w:p>
    <w:p>
      <w:pPr>
        <w:pStyle w:val="BodyText"/>
        <w:spacing w:line="300" w:lineRule="auto" w:before="62"/>
        <w:ind w:left="154" w:right="148"/>
        <w:jc w:val="both"/>
      </w:pPr>
      <w:r>
        <w:rPr>
          <w:spacing w:val="-3"/>
        </w:rPr>
        <w:t>元，寿光市恒泰企业投资有限公司对海鸣矿业增加注册资本人民币 </w:t>
      </w:r>
      <w:r>
        <w:rPr>
          <w:rFonts w:ascii="Times New Roman" w:hAnsi="Times New Roman" w:cs="Times New Roman" w:eastAsia="Times New Roman" w:hint="default"/>
        </w:rPr>
        <w:t>2,400 </w:t>
      </w:r>
      <w:r>
        <w:rPr>
          <w:spacing w:val="-7"/>
        </w:rPr>
        <w:t>万元。增资后，海鸣矿业注册资本变更为人民币</w:t>
      </w:r>
      <w:r>
        <w:rPr>
          <w:spacing w:val="-28"/>
        </w:rPr>
        <w:t> </w:t>
      </w:r>
      <w:r>
        <w:rPr>
          <w:rFonts w:ascii="Times New Roman" w:hAnsi="Times New Roman" w:cs="Times New Roman" w:eastAsia="Times New Roman" w:hint="default"/>
        </w:rPr>
        <w:t>2.4 </w:t>
      </w:r>
      <w:r>
        <w:rPr/>
        <w:t>亿元，股东结构变更为：公司持有</w:t>
      </w:r>
      <w:r>
        <w:rPr>
          <w:spacing w:val="-28"/>
        </w:rPr>
        <w:t> </w:t>
      </w:r>
      <w:r>
        <w:rPr>
          <w:rFonts w:ascii="Times New Roman" w:hAnsi="Times New Roman" w:cs="Times New Roman" w:eastAsia="Times New Roman" w:hint="default"/>
        </w:rPr>
        <w:t>60%</w:t>
      </w:r>
      <w:r>
        <w:rPr/>
        <w:t>的股权，北海集团持有</w:t>
      </w:r>
      <w:r>
        <w:rPr>
          <w:spacing w:val="-28"/>
        </w:rPr>
        <w:t> </w:t>
      </w:r>
      <w:r>
        <w:rPr>
          <w:rFonts w:ascii="Times New Roman" w:hAnsi="Times New Roman" w:cs="Times New Roman" w:eastAsia="Times New Roman" w:hint="default"/>
        </w:rPr>
        <w:t>30%</w:t>
      </w:r>
      <w:r>
        <w:rPr/>
        <w:t>的股权，恒泰企业持有</w:t>
      </w:r>
      <w:r>
        <w:rPr>
          <w:spacing w:val="-28"/>
        </w:rPr>
        <w:t> </w:t>
      </w:r>
      <w:r>
        <w:rPr>
          <w:rFonts w:ascii="Times New Roman" w:hAnsi="Times New Roman" w:cs="Times New Roman" w:eastAsia="Times New Roman" w:hint="default"/>
        </w:rPr>
        <w:t>10%</w:t>
      </w:r>
      <w:r>
        <w:rPr/>
        <w:t>的股权。因公司董事长及部 分董事、监事、高管持有恒泰企业股权，恒泰企业增资海鸣矿业构成关联交易。</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日，海鸣矿业完成增资及新增 股东事宜，注册资本变更为</w:t>
      </w:r>
      <w:r>
        <w:rPr>
          <w:rFonts w:ascii="Times New Roman" w:hAnsi="Times New Roman" w:cs="Times New Roman" w:eastAsia="Times New Roman" w:hint="default"/>
        </w:rPr>
        <w:t>2.4</w:t>
      </w:r>
      <w:r>
        <w:rPr/>
        <w:t>亿元。</w:t>
      </w:r>
    </w:p>
    <w:p>
      <w:pPr>
        <w:pStyle w:val="BodyText"/>
        <w:spacing w:line="240" w:lineRule="auto" w:before="53"/>
        <w:ind w:left="154" w:right="0"/>
        <w:jc w:val="both"/>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关于海鸣矿业增资暨关联交易的公告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3831"/>
        <w:jc w:val="left"/>
      </w:pPr>
      <w:r>
        <w:rPr/>
        <w:t>报告期内，公司未发生托管其他公司资产或其他公司托管公司资产的事项。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2"/>
        <w:ind w:left="154" w:right="0"/>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3831"/>
        <w:jc w:val="left"/>
      </w:pPr>
      <w:r>
        <w:rPr/>
        <w:t>报告期内，公司未发生承包其他公司资产或其他公司承包公司资产的事项。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4"/>
        <w:ind w:left="154"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报告期内，公司未发生租赁其他公司资产或其他公司租赁公司资产的事项。</w:t>
      </w:r>
    </w:p>
    <w:p>
      <w:pPr>
        <w:spacing w:after="0" w:line="240" w:lineRule="auto"/>
        <w:jc w:val="left"/>
        <w:sectPr>
          <w:pgSz w:w="11910" w:h="16840"/>
          <w:pgMar w:header="877" w:footer="950" w:top="1100" w:bottom="1140" w:left="980" w:right="98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140"/>
        <w:jc w:val="left"/>
      </w:pPr>
      <w:r>
        <w:rPr/>
        <w:t>报告期内，公司无对外（对子公司除外）提供担保情况和违规担保情况。 报告期内，公司为子公司申请银行贷款提供了担保，担保发生额为人民币</w:t>
      </w:r>
      <w:r>
        <w:rPr>
          <w:spacing w:val="-45"/>
        </w:rPr>
        <w:t> </w:t>
      </w:r>
      <w:r>
        <w:rPr>
          <w:rFonts w:ascii="Times New Roman" w:hAnsi="Times New Roman" w:cs="Times New Roman" w:eastAsia="Times New Roman" w:hint="default"/>
        </w:rPr>
        <w:t>312,103.85 </w:t>
      </w:r>
      <w:r>
        <w:rPr/>
        <w:t>万元；截至</w:t>
      </w:r>
      <w:r>
        <w:rPr>
          <w:spacing w:val="-45"/>
        </w:rPr>
        <w:t> </w:t>
      </w:r>
      <w:r>
        <w:rPr>
          <w:rFonts w:ascii="Times New Roman" w:hAnsi="Times New Roman" w:cs="Times New Roman" w:eastAsia="Times New Roman" w:hint="default"/>
        </w:rPr>
        <w:t>2013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w:t>
      </w:r>
    </w:p>
    <w:p>
      <w:pPr>
        <w:pStyle w:val="BodyText"/>
        <w:spacing w:line="216" w:lineRule="exact"/>
        <w:ind w:right="0"/>
        <w:jc w:val="left"/>
      </w:pPr>
      <w:r>
        <w:rPr/>
        <w:t>为所属子公司提供实际担保余额为人民币</w:t>
      </w:r>
      <w:r>
        <w:rPr>
          <w:spacing w:val="-47"/>
        </w:rPr>
        <w:t> </w:t>
      </w:r>
      <w:r>
        <w:rPr>
          <w:rFonts w:ascii="Times New Roman" w:hAnsi="Times New Roman" w:cs="Times New Roman" w:eastAsia="Times New Roman" w:hint="default"/>
        </w:rPr>
        <w:t>295,939.28</w:t>
      </w:r>
      <w:r>
        <w:rPr>
          <w:rFonts w:ascii="Times New Roman" w:hAnsi="Times New Roman" w:cs="Times New Roman" w:eastAsia="Times New Roman" w:hint="default"/>
          <w:spacing w:val="-2"/>
        </w:rPr>
        <w:t> </w:t>
      </w:r>
      <w:r>
        <w:rPr/>
        <w:t>万元，占</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年归属于上市公司股东权益的比重为</w:t>
      </w:r>
      <w:r>
        <w:rPr>
          <w:spacing w:val="-47"/>
        </w:rPr>
        <w:t> </w:t>
      </w:r>
      <w:r>
        <w:rPr>
          <w:rFonts w:ascii="Times New Roman" w:hAnsi="Times New Roman" w:cs="Times New Roman" w:eastAsia="Times New Roman" w:hint="default"/>
        </w:rPr>
        <w:t>21.08%</w:t>
      </w:r>
      <w:r>
        <w:rPr/>
        <w:t>。</w:t>
      </w:r>
    </w:p>
    <w:p>
      <w:pPr>
        <w:pStyle w:val="BodyText"/>
        <w:spacing w:line="240" w:lineRule="auto" w:before="102"/>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6"/>
        <w:gridCol w:w="1614"/>
        <w:gridCol w:w="720"/>
        <w:gridCol w:w="551"/>
        <w:gridCol w:w="1069"/>
        <w:gridCol w:w="906"/>
        <w:gridCol w:w="900"/>
        <w:gridCol w:w="534"/>
        <w:gridCol w:w="504"/>
        <w:gridCol w:w="789"/>
      </w:tblGrid>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60" w:hRule="exact"/>
        </w:trPr>
        <w:tc>
          <w:tcPr>
            <w:tcW w:w="1986" w:type="dxa"/>
            <w:vMerge w:val="restart"/>
            <w:tcBorders>
              <w:top w:val="single" w:sz="4" w:space="0" w:color="000000"/>
              <w:left w:val="single" w:sz="4" w:space="0" w:color="000000"/>
              <w:right w:val="single" w:sz="4" w:space="0" w:color="000000"/>
            </w:tcBorders>
            <w:shd w:val="clear" w:color="auto" w:fill="D3D3D3"/>
          </w:tcPr>
          <w:p>
            <w:pPr/>
          </w:p>
        </w:tc>
        <w:tc>
          <w:tcPr>
            <w:tcW w:w="1614" w:type="dxa"/>
            <w:vMerge w:val="restart"/>
            <w:tcBorders>
              <w:top w:val="single" w:sz="4" w:space="0" w:color="000000"/>
              <w:left w:val="single" w:sz="4" w:space="0" w:color="000000"/>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
        </w:tc>
        <w:tc>
          <w:tcPr>
            <w:tcW w:w="1620" w:type="dxa"/>
            <w:gridSpan w:val="2"/>
            <w:vMerge w:val="restart"/>
            <w:tcBorders>
              <w:top w:val="single" w:sz="4" w:space="0" w:color="000000"/>
              <w:left w:val="single" w:sz="4" w:space="0" w:color="000000"/>
              <w:right w:val="single" w:sz="4" w:space="0" w:color="000000"/>
            </w:tcBorders>
            <w:shd w:val="clear" w:color="auto" w:fill="D3D3D3"/>
          </w:tcPr>
          <w:p>
            <w:pPr/>
          </w:p>
        </w:tc>
        <w:tc>
          <w:tcPr>
            <w:tcW w:w="906" w:type="dxa"/>
            <w:vMerge w:val="restart"/>
            <w:tcBorders>
              <w:top w:val="single" w:sz="4" w:space="0" w:color="000000"/>
              <w:left w:val="single" w:sz="4" w:space="0" w:color="000000"/>
              <w:right w:val="single" w:sz="4" w:space="0" w:color="000000"/>
            </w:tcBorders>
            <w:shd w:val="clear" w:color="auto" w:fill="D3D3D3"/>
          </w:tcPr>
          <w:p>
            <w:pPr/>
          </w:p>
        </w:tc>
        <w:tc>
          <w:tcPr>
            <w:tcW w:w="900" w:type="dxa"/>
            <w:vMerge w:val="restart"/>
            <w:tcBorders>
              <w:top w:val="single" w:sz="4" w:space="0" w:color="000000"/>
              <w:left w:val="single" w:sz="4" w:space="0" w:color="000000"/>
              <w:right w:val="single" w:sz="4" w:space="0" w:color="000000"/>
            </w:tcBorders>
            <w:shd w:val="clear" w:color="auto" w:fill="D3D3D3"/>
          </w:tcPr>
          <w:p>
            <w:pPr/>
          </w:p>
        </w:tc>
        <w:tc>
          <w:tcPr>
            <w:tcW w:w="534" w:type="dxa"/>
            <w:vMerge w:val="restart"/>
            <w:tcBorders>
              <w:top w:val="single" w:sz="4" w:space="0" w:color="000000"/>
              <w:left w:val="single" w:sz="4" w:space="0" w:color="000000"/>
              <w:right w:val="single" w:sz="4" w:space="0" w:color="000000"/>
            </w:tcBorders>
            <w:shd w:val="clear" w:color="auto" w:fill="D3D3D3"/>
          </w:tcPr>
          <w:p>
            <w:pPr/>
          </w:p>
        </w:tc>
        <w:tc>
          <w:tcPr>
            <w:tcW w:w="50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29"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9"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986" w:type="dxa"/>
            <w:vMerge/>
            <w:tcBorders>
              <w:left w:val="single" w:sz="4" w:space="0" w:color="000000"/>
              <w:right w:val="single" w:sz="4" w:space="0" w:color="000000"/>
            </w:tcBorders>
            <w:shd w:val="clear" w:color="auto" w:fill="D3D3D3"/>
          </w:tcPr>
          <w:p>
            <w:pPr/>
          </w:p>
        </w:tc>
        <w:tc>
          <w:tcPr>
            <w:tcW w:w="1614"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1620" w:type="dxa"/>
            <w:gridSpan w:val="2"/>
            <w:vMerge/>
            <w:tcBorders>
              <w:left w:val="single" w:sz="4" w:space="0" w:color="000000"/>
              <w:bottom w:val="nil" w:sz="6" w:space="0" w:color="auto"/>
              <w:right w:val="single" w:sz="4" w:space="0" w:color="000000"/>
            </w:tcBorders>
            <w:shd w:val="clear" w:color="auto" w:fill="D3D3D3"/>
          </w:tcPr>
          <w:p>
            <w:pPr/>
          </w:p>
        </w:tc>
        <w:tc>
          <w:tcPr>
            <w:tcW w:w="906" w:type="dxa"/>
            <w:vMerge/>
            <w:tcBorders>
              <w:left w:val="single" w:sz="4" w:space="0" w:color="000000"/>
              <w:bottom w:val="nil" w:sz="6" w:space="0" w:color="auto"/>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534" w:type="dxa"/>
            <w:vMerge/>
            <w:tcBorders>
              <w:left w:val="single" w:sz="4" w:space="0" w:color="000000"/>
              <w:bottom w:val="nil" w:sz="6" w:space="0" w:color="auto"/>
              <w:right w:val="single" w:sz="4" w:space="0" w:color="000000"/>
            </w:tcBorders>
            <w:shd w:val="clear" w:color="auto" w:fill="D3D3D3"/>
          </w:tcPr>
          <w:p>
            <w:pPr/>
          </w:p>
        </w:tc>
        <w:tc>
          <w:tcPr>
            <w:tcW w:w="50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6" w:right="66"/>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789" w:type="dxa"/>
            <w:vMerge/>
            <w:tcBorders>
              <w:left w:val="single" w:sz="4" w:space="0" w:color="000000"/>
              <w:right w:val="single" w:sz="4" w:space="0" w:color="000000"/>
            </w:tcBorders>
            <w:shd w:val="clear" w:color="auto" w:fill="D3D3D3"/>
          </w:tcPr>
          <w:p>
            <w:pPr/>
          </w:p>
        </w:tc>
      </w:tr>
      <w:tr>
        <w:trPr>
          <w:trHeight w:val="156" w:hRule="exact"/>
        </w:trPr>
        <w:tc>
          <w:tcPr>
            <w:tcW w:w="1986" w:type="dxa"/>
            <w:vMerge/>
            <w:tcBorders>
              <w:left w:val="single" w:sz="4" w:space="0" w:color="000000"/>
              <w:bottom w:val="nil" w:sz="6" w:space="0" w:color="auto"/>
              <w:right w:val="single" w:sz="4" w:space="0" w:color="000000"/>
            </w:tcBorders>
            <w:shd w:val="clear" w:color="auto" w:fill="D3D3D3"/>
          </w:tcPr>
          <w:p>
            <w:pPr/>
          </w:p>
        </w:tc>
        <w:tc>
          <w:tcPr>
            <w:tcW w:w="161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38" w:right="84"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62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43" w:right="21" w:hanging="422"/>
              <w:jc w:val="left"/>
              <w:rPr>
                <w:rFonts w:ascii="宋体" w:hAnsi="宋体" w:cs="宋体" w:eastAsia="宋体" w:hint="default"/>
                <w:sz w:val="18"/>
                <w:szCs w:val="18"/>
              </w:rPr>
            </w:pPr>
            <w:r>
              <w:rPr>
                <w:rFonts w:ascii="宋体" w:hAnsi="宋体" w:cs="宋体" w:eastAsia="宋体" w:hint="default"/>
                <w:spacing w:val="-7"/>
                <w:sz w:val="18"/>
                <w:szCs w:val="18"/>
              </w:rPr>
              <w:t>实际发生日期（协议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签署日）</w:t>
            </w:r>
          </w:p>
        </w:tc>
        <w:tc>
          <w:tcPr>
            <w:tcW w:w="90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63" w:right="9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900" w:type="dxa"/>
            <w:vMerge/>
            <w:tcBorders>
              <w:left w:val="single" w:sz="4" w:space="0" w:color="000000"/>
              <w:bottom w:val="nil" w:sz="6" w:space="0" w:color="auto"/>
              <w:right w:val="single" w:sz="4" w:space="0" w:color="000000"/>
            </w:tcBorders>
            <w:shd w:val="clear" w:color="auto" w:fill="D3D3D3"/>
          </w:tcPr>
          <w:p>
            <w:pPr/>
          </w:p>
        </w:tc>
        <w:tc>
          <w:tcPr>
            <w:tcW w:w="53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68" w:right="84" w:hanging="90"/>
              <w:jc w:val="left"/>
              <w:rPr>
                <w:rFonts w:ascii="宋体" w:hAnsi="宋体" w:cs="宋体" w:eastAsia="宋体" w:hint="default"/>
                <w:sz w:val="18"/>
                <w:szCs w:val="18"/>
              </w:rPr>
            </w:pPr>
            <w:r>
              <w:rPr>
                <w:rFonts w:ascii="宋体" w:hAnsi="宋体" w:cs="宋体" w:eastAsia="宋体" w:hint="default"/>
                <w:sz w:val="18"/>
                <w:szCs w:val="18"/>
              </w:rPr>
              <w:t>担保 期</w:t>
            </w:r>
          </w:p>
        </w:tc>
        <w:tc>
          <w:tcPr>
            <w:tcW w:w="504" w:type="dxa"/>
            <w:vMerge/>
            <w:tcBorders>
              <w:left w:val="single" w:sz="4" w:space="0" w:color="000000"/>
              <w:right w:val="single" w:sz="4" w:space="0" w:color="000000"/>
            </w:tcBorders>
            <w:shd w:val="clear" w:color="auto" w:fill="D3D3D3"/>
          </w:tcPr>
          <w:p>
            <w:pPr/>
          </w:p>
        </w:tc>
        <w:tc>
          <w:tcPr>
            <w:tcW w:w="789" w:type="dxa"/>
            <w:vMerge/>
            <w:tcBorders>
              <w:left w:val="single" w:sz="4" w:space="0" w:color="000000"/>
              <w:right w:val="single" w:sz="4" w:space="0" w:color="000000"/>
            </w:tcBorders>
            <w:shd w:val="clear" w:color="auto" w:fill="D3D3D3"/>
          </w:tcPr>
          <w:p>
            <w:pPr/>
          </w:p>
        </w:tc>
      </w:tr>
      <w:tr>
        <w:trPr>
          <w:trHeight w:val="392" w:hRule="exact"/>
        </w:trPr>
        <w:tc>
          <w:tcPr>
            <w:tcW w:w="19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614" w:type="dxa"/>
            <w:vMerge/>
            <w:tcBorders>
              <w:left w:val="single" w:sz="4" w:space="0" w:color="000000"/>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1620" w:type="dxa"/>
            <w:gridSpan w:val="2"/>
            <w:vMerge/>
            <w:tcBorders>
              <w:left w:val="single" w:sz="4" w:space="0" w:color="000000"/>
              <w:right w:val="single" w:sz="4" w:space="0" w:color="000000"/>
            </w:tcBorders>
            <w:shd w:val="clear" w:color="auto" w:fill="D3D3D3"/>
          </w:tcPr>
          <w:p>
            <w:pPr/>
          </w:p>
        </w:tc>
        <w:tc>
          <w:tcPr>
            <w:tcW w:w="906" w:type="dxa"/>
            <w:vMerge/>
            <w:tcBorders>
              <w:left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534" w:type="dxa"/>
            <w:vMerge/>
            <w:tcBorders>
              <w:left w:val="single" w:sz="4" w:space="0" w:color="000000"/>
              <w:right w:val="single" w:sz="4" w:space="0" w:color="000000"/>
            </w:tcBorders>
            <w:shd w:val="clear" w:color="auto" w:fill="D3D3D3"/>
          </w:tcPr>
          <w:p>
            <w:pPr/>
          </w:p>
        </w:tc>
        <w:tc>
          <w:tcPr>
            <w:tcW w:w="504" w:type="dxa"/>
            <w:vMerge/>
            <w:tcBorders>
              <w:left w:val="single" w:sz="4" w:space="0" w:color="000000"/>
              <w:right w:val="single" w:sz="4" w:space="0" w:color="000000"/>
            </w:tcBorders>
            <w:shd w:val="clear" w:color="auto" w:fill="D3D3D3"/>
          </w:tcPr>
          <w:p>
            <w:pPr/>
          </w:p>
        </w:tc>
        <w:tc>
          <w:tcPr>
            <w:tcW w:w="789" w:type="dxa"/>
            <w:vMerge/>
            <w:tcBorders>
              <w:left w:val="single" w:sz="4" w:space="0" w:color="000000"/>
              <w:right w:val="single" w:sz="4" w:space="0" w:color="000000"/>
            </w:tcBorders>
            <w:shd w:val="clear" w:color="auto" w:fill="D3D3D3"/>
          </w:tcPr>
          <w:p>
            <w:pPr/>
          </w:p>
        </w:tc>
      </w:tr>
      <w:tr>
        <w:trPr>
          <w:trHeight w:val="156" w:hRule="exact"/>
        </w:trPr>
        <w:tc>
          <w:tcPr>
            <w:tcW w:w="1986" w:type="dxa"/>
            <w:vMerge w:val="restart"/>
            <w:tcBorders>
              <w:top w:val="nil" w:sz="6" w:space="0" w:color="auto"/>
              <w:left w:val="single" w:sz="4" w:space="0" w:color="000000"/>
              <w:right w:val="single" w:sz="4" w:space="0" w:color="000000"/>
            </w:tcBorders>
            <w:shd w:val="clear" w:color="auto" w:fill="D3D3D3"/>
          </w:tcPr>
          <w:p>
            <w:pPr/>
          </w:p>
        </w:tc>
        <w:tc>
          <w:tcPr>
            <w:tcW w:w="1614"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1620" w:type="dxa"/>
            <w:gridSpan w:val="2"/>
            <w:vMerge/>
            <w:tcBorders>
              <w:left w:val="single" w:sz="4" w:space="0" w:color="000000"/>
              <w:bottom w:val="nil" w:sz="6" w:space="0" w:color="auto"/>
              <w:right w:val="single" w:sz="4" w:space="0" w:color="000000"/>
            </w:tcBorders>
            <w:shd w:val="clear" w:color="auto" w:fill="D3D3D3"/>
          </w:tcPr>
          <w:p>
            <w:pPr/>
          </w:p>
        </w:tc>
        <w:tc>
          <w:tcPr>
            <w:tcW w:w="906" w:type="dxa"/>
            <w:vMerge/>
            <w:tcBorders>
              <w:left w:val="single" w:sz="4" w:space="0" w:color="000000"/>
              <w:bottom w:val="nil" w:sz="6" w:space="0" w:color="auto"/>
              <w:right w:val="single" w:sz="4" w:space="0" w:color="000000"/>
            </w:tcBorders>
            <w:shd w:val="clear" w:color="auto" w:fill="D3D3D3"/>
          </w:tcPr>
          <w:p>
            <w:pPr/>
          </w:p>
        </w:tc>
        <w:tc>
          <w:tcPr>
            <w:tcW w:w="900" w:type="dxa"/>
            <w:vMerge w:val="restart"/>
            <w:tcBorders>
              <w:top w:val="nil" w:sz="6" w:space="0" w:color="auto"/>
              <w:left w:val="single" w:sz="4" w:space="0" w:color="000000"/>
              <w:right w:val="single" w:sz="4" w:space="0" w:color="000000"/>
            </w:tcBorders>
            <w:shd w:val="clear" w:color="auto" w:fill="D3D3D3"/>
          </w:tcPr>
          <w:p>
            <w:pPr/>
          </w:p>
        </w:tc>
        <w:tc>
          <w:tcPr>
            <w:tcW w:w="534" w:type="dxa"/>
            <w:vMerge/>
            <w:tcBorders>
              <w:left w:val="single" w:sz="4" w:space="0" w:color="000000"/>
              <w:bottom w:val="nil" w:sz="6" w:space="0" w:color="auto"/>
              <w:right w:val="single" w:sz="4" w:space="0" w:color="000000"/>
            </w:tcBorders>
            <w:shd w:val="clear" w:color="auto" w:fill="D3D3D3"/>
          </w:tcPr>
          <w:p>
            <w:pPr/>
          </w:p>
        </w:tc>
        <w:tc>
          <w:tcPr>
            <w:tcW w:w="504" w:type="dxa"/>
            <w:vMerge/>
            <w:tcBorders>
              <w:left w:val="single" w:sz="4" w:space="0" w:color="000000"/>
              <w:right w:val="single" w:sz="4" w:space="0" w:color="000000"/>
            </w:tcBorders>
            <w:shd w:val="clear" w:color="auto" w:fill="D3D3D3"/>
          </w:tcPr>
          <w:p>
            <w:pPr/>
          </w:p>
        </w:tc>
        <w:tc>
          <w:tcPr>
            <w:tcW w:w="789" w:type="dxa"/>
            <w:vMerge/>
            <w:tcBorders>
              <w:left w:val="single" w:sz="4" w:space="0" w:color="000000"/>
              <w:right w:val="single" w:sz="4" w:space="0" w:color="000000"/>
            </w:tcBorders>
            <w:shd w:val="clear" w:color="auto" w:fill="D3D3D3"/>
          </w:tcPr>
          <w:p>
            <w:pPr/>
          </w:p>
        </w:tc>
      </w:tr>
      <w:tr>
        <w:trPr>
          <w:trHeight w:val="156" w:hRule="exact"/>
        </w:trPr>
        <w:tc>
          <w:tcPr>
            <w:tcW w:w="1986" w:type="dxa"/>
            <w:vMerge/>
            <w:tcBorders>
              <w:left w:val="single" w:sz="4" w:space="0" w:color="000000"/>
              <w:right w:val="single" w:sz="4" w:space="0" w:color="000000"/>
            </w:tcBorders>
            <w:shd w:val="clear" w:color="auto" w:fill="D3D3D3"/>
          </w:tcPr>
          <w:p>
            <w:pPr/>
          </w:p>
        </w:tc>
        <w:tc>
          <w:tcPr>
            <w:tcW w:w="1614" w:type="dxa"/>
            <w:vMerge w:val="restart"/>
            <w:tcBorders>
              <w:top w:val="nil" w:sz="6" w:space="0" w:color="auto"/>
              <w:left w:val="single" w:sz="4" w:space="0" w:color="000000"/>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
        </w:tc>
        <w:tc>
          <w:tcPr>
            <w:tcW w:w="1620" w:type="dxa"/>
            <w:gridSpan w:val="2"/>
            <w:vMerge w:val="restart"/>
            <w:tcBorders>
              <w:top w:val="nil" w:sz="6" w:space="0" w:color="auto"/>
              <w:left w:val="single" w:sz="4" w:space="0" w:color="000000"/>
              <w:right w:val="single" w:sz="4" w:space="0" w:color="000000"/>
            </w:tcBorders>
            <w:shd w:val="clear" w:color="auto" w:fill="D3D3D3"/>
          </w:tcPr>
          <w:p>
            <w:pPr/>
          </w:p>
        </w:tc>
        <w:tc>
          <w:tcPr>
            <w:tcW w:w="906" w:type="dxa"/>
            <w:vMerge w:val="restart"/>
            <w:tcBorders>
              <w:top w:val="nil" w:sz="6" w:space="0" w:color="auto"/>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534" w:type="dxa"/>
            <w:vMerge w:val="restart"/>
            <w:tcBorders>
              <w:top w:val="nil" w:sz="6" w:space="0" w:color="auto"/>
              <w:left w:val="single" w:sz="4" w:space="0" w:color="000000"/>
              <w:right w:val="single" w:sz="4" w:space="0" w:color="000000"/>
            </w:tcBorders>
            <w:shd w:val="clear" w:color="auto" w:fill="D3D3D3"/>
          </w:tcPr>
          <w:p>
            <w:pPr/>
          </w:p>
        </w:tc>
        <w:tc>
          <w:tcPr>
            <w:tcW w:w="504" w:type="dxa"/>
            <w:vMerge/>
            <w:tcBorders>
              <w:left w:val="single" w:sz="4" w:space="0" w:color="000000"/>
              <w:bottom w:val="nil" w:sz="6" w:space="0" w:color="auto"/>
              <w:right w:val="single" w:sz="4" w:space="0" w:color="000000"/>
            </w:tcBorders>
            <w:shd w:val="clear" w:color="auto" w:fill="D3D3D3"/>
          </w:tcPr>
          <w:p>
            <w:pPr/>
          </w:p>
        </w:tc>
        <w:tc>
          <w:tcPr>
            <w:tcW w:w="789" w:type="dxa"/>
            <w:vMerge/>
            <w:tcBorders>
              <w:left w:val="single" w:sz="4" w:space="0" w:color="000000"/>
              <w:right w:val="single" w:sz="4" w:space="0" w:color="000000"/>
            </w:tcBorders>
            <w:shd w:val="clear" w:color="auto" w:fill="D3D3D3"/>
          </w:tcPr>
          <w:p>
            <w:pPr/>
          </w:p>
        </w:tc>
      </w:tr>
      <w:tr>
        <w:trPr>
          <w:trHeight w:val="161" w:hRule="exact"/>
        </w:trPr>
        <w:tc>
          <w:tcPr>
            <w:tcW w:w="1986" w:type="dxa"/>
            <w:vMerge/>
            <w:tcBorders>
              <w:left w:val="single" w:sz="4" w:space="0" w:color="000000"/>
              <w:bottom w:val="single" w:sz="4" w:space="0" w:color="000000"/>
              <w:right w:val="single" w:sz="4" w:space="0" w:color="000000"/>
            </w:tcBorders>
            <w:shd w:val="clear" w:color="auto" w:fill="D3D3D3"/>
          </w:tcPr>
          <w:p>
            <w:pPr/>
          </w:p>
        </w:tc>
        <w:tc>
          <w:tcPr>
            <w:tcW w:w="1614"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620" w:type="dxa"/>
            <w:gridSpan w:val="2"/>
            <w:vMerge/>
            <w:tcBorders>
              <w:left w:val="single" w:sz="4" w:space="0" w:color="000000"/>
              <w:bottom w:val="single" w:sz="4" w:space="0" w:color="000000"/>
              <w:right w:val="single" w:sz="4" w:space="0" w:color="000000"/>
            </w:tcBorders>
            <w:shd w:val="clear" w:color="auto" w:fill="D3D3D3"/>
          </w:tcPr>
          <w:p>
            <w:pPr/>
          </w:p>
        </w:tc>
        <w:tc>
          <w:tcPr>
            <w:tcW w:w="906"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534" w:type="dxa"/>
            <w:vMerge/>
            <w:tcBorders>
              <w:left w:val="single" w:sz="4" w:space="0" w:color="000000"/>
              <w:bottom w:val="single" w:sz="4" w:space="0" w:color="000000"/>
              <w:right w:val="single" w:sz="4" w:space="0" w:color="000000"/>
            </w:tcBorders>
            <w:shd w:val="clear" w:color="auto" w:fill="D3D3D3"/>
          </w:tcPr>
          <w:p>
            <w:pPr/>
          </w:p>
        </w:tc>
        <w:tc>
          <w:tcPr>
            <w:tcW w:w="50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报告期内审批对外担保额度合计（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1271"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340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报告期内对外担保实际发生额合计（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1293"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1271"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340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报告期末对外实际担保余额合计（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1293"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0" w:hRule="exact"/>
        </w:trPr>
        <w:tc>
          <w:tcPr>
            <w:tcW w:w="1986" w:type="dxa"/>
            <w:vMerge w:val="restart"/>
            <w:tcBorders>
              <w:top w:val="single" w:sz="4" w:space="0" w:color="000000"/>
              <w:left w:val="single" w:sz="4" w:space="0" w:color="000000"/>
              <w:right w:val="single" w:sz="4" w:space="0" w:color="000000"/>
            </w:tcBorders>
            <w:shd w:val="clear" w:color="auto" w:fill="D3D3D3"/>
          </w:tcPr>
          <w:p>
            <w:pPr/>
          </w:p>
        </w:tc>
        <w:tc>
          <w:tcPr>
            <w:tcW w:w="1614" w:type="dxa"/>
            <w:vMerge w:val="restart"/>
            <w:tcBorders>
              <w:top w:val="single" w:sz="4" w:space="0" w:color="000000"/>
              <w:left w:val="single" w:sz="4" w:space="0" w:color="000000"/>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
        </w:tc>
        <w:tc>
          <w:tcPr>
            <w:tcW w:w="1620" w:type="dxa"/>
            <w:gridSpan w:val="2"/>
            <w:vMerge w:val="restart"/>
            <w:tcBorders>
              <w:top w:val="single" w:sz="4" w:space="0" w:color="000000"/>
              <w:left w:val="single" w:sz="4" w:space="0" w:color="000000"/>
              <w:right w:val="single" w:sz="4" w:space="0" w:color="000000"/>
            </w:tcBorders>
            <w:shd w:val="clear" w:color="auto" w:fill="D3D3D3"/>
          </w:tcPr>
          <w:p>
            <w:pPr/>
          </w:p>
        </w:tc>
        <w:tc>
          <w:tcPr>
            <w:tcW w:w="906" w:type="dxa"/>
            <w:vMerge w:val="restart"/>
            <w:tcBorders>
              <w:top w:val="single" w:sz="4" w:space="0" w:color="000000"/>
              <w:left w:val="single" w:sz="4" w:space="0" w:color="000000"/>
              <w:right w:val="single" w:sz="4" w:space="0" w:color="000000"/>
            </w:tcBorders>
            <w:shd w:val="clear" w:color="auto" w:fill="D3D3D3"/>
          </w:tcPr>
          <w:p>
            <w:pPr/>
          </w:p>
        </w:tc>
        <w:tc>
          <w:tcPr>
            <w:tcW w:w="900" w:type="dxa"/>
            <w:vMerge w:val="restart"/>
            <w:tcBorders>
              <w:top w:val="single" w:sz="4" w:space="0" w:color="000000"/>
              <w:left w:val="single" w:sz="4" w:space="0" w:color="000000"/>
              <w:right w:val="single" w:sz="4" w:space="0" w:color="000000"/>
            </w:tcBorders>
            <w:shd w:val="clear" w:color="auto" w:fill="D3D3D3"/>
          </w:tcPr>
          <w:p>
            <w:pPr/>
          </w:p>
        </w:tc>
        <w:tc>
          <w:tcPr>
            <w:tcW w:w="534" w:type="dxa"/>
            <w:vMerge w:val="restart"/>
            <w:tcBorders>
              <w:top w:val="single" w:sz="4" w:space="0" w:color="000000"/>
              <w:left w:val="single" w:sz="4" w:space="0" w:color="000000"/>
              <w:right w:val="single" w:sz="4" w:space="0" w:color="000000"/>
            </w:tcBorders>
            <w:shd w:val="clear" w:color="auto" w:fill="D3D3D3"/>
          </w:tcPr>
          <w:p>
            <w:pPr/>
          </w:p>
        </w:tc>
        <w:tc>
          <w:tcPr>
            <w:tcW w:w="50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29"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9"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986" w:type="dxa"/>
            <w:vMerge/>
            <w:tcBorders>
              <w:left w:val="single" w:sz="4" w:space="0" w:color="000000"/>
              <w:right w:val="single" w:sz="4" w:space="0" w:color="000000"/>
            </w:tcBorders>
            <w:shd w:val="clear" w:color="auto" w:fill="D3D3D3"/>
          </w:tcPr>
          <w:p>
            <w:pPr/>
          </w:p>
        </w:tc>
        <w:tc>
          <w:tcPr>
            <w:tcW w:w="1614"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1620" w:type="dxa"/>
            <w:gridSpan w:val="2"/>
            <w:vMerge/>
            <w:tcBorders>
              <w:left w:val="single" w:sz="4" w:space="0" w:color="000000"/>
              <w:bottom w:val="nil" w:sz="6" w:space="0" w:color="auto"/>
              <w:right w:val="single" w:sz="4" w:space="0" w:color="000000"/>
            </w:tcBorders>
            <w:shd w:val="clear" w:color="auto" w:fill="D3D3D3"/>
          </w:tcPr>
          <w:p>
            <w:pPr/>
          </w:p>
        </w:tc>
        <w:tc>
          <w:tcPr>
            <w:tcW w:w="906" w:type="dxa"/>
            <w:vMerge/>
            <w:tcBorders>
              <w:left w:val="single" w:sz="4" w:space="0" w:color="000000"/>
              <w:bottom w:val="nil" w:sz="6" w:space="0" w:color="auto"/>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534" w:type="dxa"/>
            <w:vMerge/>
            <w:tcBorders>
              <w:left w:val="single" w:sz="4" w:space="0" w:color="000000"/>
              <w:bottom w:val="nil" w:sz="6" w:space="0" w:color="auto"/>
              <w:right w:val="single" w:sz="4" w:space="0" w:color="000000"/>
            </w:tcBorders>
            <w:shd w:val="clear" w:color="auto" w:fill="D3D3D3"/>
          </w:tcPr>
          <w:p>
            <w:pPr/>
          </w:p>
        </w:tc>
        <w:tc>
          <w:tcPr>
            <w:tcW w:w="50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6" w:right="66"/>
              <w:jc w:val="both"/>
              <w:rPr>
                <w:rFonts w:ascii="宋体" w:hAnsi="宋体" w:cs="宋体" w:eastAsia="宋体" w:hint="default"/>
                <w:sz w:val="18"/>
                <w:szCs w:val="18"/>
              </w:rPr>
            </w:pPr>
            <w:r>
              <w:rPr>
                <w:rFonts w:ascii="宋体" w:hAnsi="宋体" w:cs="宋体" w:eastAsia="宋体" w:hint="default"/>
                <w:sz w:val="18"/>
                <w:szCs w:val="18"/>
              </w:rPr>
              <w:t>是否 履行 完毕</w:t>
            </w:r>
          </w:p>
        </w:tc>
        <w:tc>
          <w:tcPr>
            <w:tcW w:w="789" w:type="dxa"/>
            <w:vMerge/>
            <w:tcBorders>
              <w:left w:val="single" w:sz="4" w:space="0" w:color="000000"/>
              <w:right w:val="single" w:sz="4" w:space="0" w:color="000000"/>
            </w:tcBorders>
            <w:shd w:val="clear" w:color="auto" w:fill="D3D3D3"/>
          </w:tcPr>
          <w:p>
            <w:pPr/>
          </w:p>
        </w:tc>
      </w:tr>
      <w:tr>
        <w:trPr>
          <w:trHeight w:val="156" w:hRule="exact"/>
        </w:trPr>
        <w:tc>
          <w:tcPr>
            <w:tcW w:w="1986" w:type="dxa"/>
            <w:vMerge/>
            <w:tcBorders>
              <w:left w:val="single" w:sz="4" w:space="0" w:color="000000"/>
              <w:bottom w:val="nil" w:sz="6" w:space="0" w:color="auto"/>
              <w:right w:val="single" w:sz="4" w:space="0" w:color="000000"/>
            </w:tcBorders>
            <w:shd w:val="clear" w:color="auto" w:fill="D3D3D3"/>
          </w:tcPr>
          <w:p>
            <w:pPr/>
          </w:p>
        </w:tc>
        <w:tc>
          <w:tcPr>
            <w:tcW w:w="161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38" w:right="84"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62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43" w:right="21" w:hanging="422"/>
              <w:jc w:val="left"/>
              <w:rPr>
                <w:rFonts w:ascii="宋体" w:hAnsi="宋体" w:cs="宋体" w:eastAsia="宋体" w:hint="default"/>
                <w:sz w:val="18"/>
                <w:szCs w:val="18"/>
              </w:rPr>
            </w:pPr>
            <w:r>
              <w:rPr>
                <w:rFonts w:ascii="宋体" w:hAnsi="宋体" w:cs="宋体" w:eastAsia="宋体" w:hint="default"/>
                <w:spacing w:val="-7"/>
                <w:sz w:val="18"/>
                <w:szCs w:val="18"/>
              </w:rPr>
              <w:t>实际发生日期（协议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签署日）</w:t>
            </w:r>
          </w:p>
        </w:tc>
        <w:tc>
          <w:tcPr>
            <w:tcW w:w="90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63" w:right="9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900" w:type="dxa"/>
            <w:vMerge/>
            <w:tcBorders>
              <w:left w:val="single" w:sz="4" w:space="0" w:color="000000"/>
              <w:bottom w:val="nil" w:sz="6" w:space="0" w:color="auto"/>
              <w:right w:val="single" w:sz="4" w:space="0" w:color="000000"/>
            </w:tcBorders>
            <w:shd w:val="clear" w:color="auto" w:fill="D3D3D3"/>
          </w:tcPr>
          <w:p>
            <w:pPr/>
          </w:p>
        </w:tc>
        <w:tc>
          <w:tcPr>
            <w:tcW w:w="53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68" w:right="84" w:hanging="90"/>
              <w:jc w:val="left"/>
              <w:rPr>
                <w:rFonts w:ascii="宋体" w:hAnsi="宋体" w:cs="宋体" w:eastAsia="宋体" w:hint="default"/>
                <w:sz w:val="18"/>
                <w:szCs w:val="18"/>
              </w:rPr>
            </w:pPr>
            <w:r>
              <w:rPr>
                <w:rFonts w:ascii="宋体" w:hAnsi="宋体" w:cs="宋体" w:eastAsia="宋体" w:hint="default"/>
                <w:sz w:val="18"/>
                <w:szCs w:val="18"/>
              </w:rPr>
              <w:t>担保 期</w:t>
            </w:r>
          </w:p>
        </w:tc>
        <w:tc>
          <w:tcPr>
            <w:tcW w:w="504" w:type="dxa"/>
            <w:vMerge/>
            <w:tcBorders>
              <w:left w:val="single" w:sz="4" w:space="0" w:color="000000"/>
              <w:right w:val="single" w:sz="4" w:space="0" w:color="000000"/>
            </w:tcBorders>
            <w:shd w:val="clear" w:color="auto" w:fill="D3D3D3"/>
          </w:tcPr>
          <w:p>
            <w:pPr/>
          </w:p>
        </w:tc>
        <w:tc>
          <w:tcPr>
            <w:tcW w:w="789" w:type="dxa"/>
            <w:vMerge/>
            <w:tcBorders>
              <w:left w:val="single" w:sz="4" w:space="0" w:color="000000"/>
              <w:right w:val="single" w:sz="4" w:space="0" w:color="000000"/>
            </w:tcBorders>
            <w:shd w:val="clear" w:color="auto" w:fill="D3D3D3"/>
          </w:tcPr>
          <w:p>
            <w:pPr/>
          </w:p>
        </w:tc>
      </w:tr>
      <w:tr>
        <w:trPr>
          <w:trHeight w:val="392" w:hRule="exact"/>
        </w:trPr>
        <w:tc>
          <w:tcPr>
            <w:tcW w:w="19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614" w:type="dxa"/>
            <w:vMerge/>
            <w:tcBorders>
              <w:left w:val="single" w:sz="4" w:space="0" w:color="000000"/>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1620" w:type="dxa"/>
            <w:gridSpan w:val="2"/>
            <w:vMerge/>
            <w:tcBorders>
              <w:left w:val="single" w:sz="4" w:space="0" w:color="000000"/>
              <w:right w:val="single" w:sz="4" w:space="0" w:color="000000"/>
            </w:tcBorders>
            <w:shd w:val="clear" w:color="auto" w:fill="D3D3D3"/>
          </w:tcPr>
          <w:p>
            <w:pPr/>
          </w:p>
        </w:tc>
        <w:tc>
          <w:tcPr>
            <w:tcW w:w="906" w:type="dxa"/>
            <w:vMerge/>
            <w:tcBorders>
              <w:left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534" w:type="dxa"/>
            <w:vMerge/>
            <w:tcBorders>
              <w:left w:val="single" w:sz="4" w:space="0" w:color="000000"/>
              <w:right w:val="single" w:sz="4" w:space="0" w:color="000000"/>
            </w:tcBorders>
            <w:shd w:val="clear" w:color="auto" w:fill="D3D3D3"/>
          </w:tcPr>
          <w:p>
            <w:pPr/>
          </w:p>
        </w:tc>
        <w:tc>
          <w:tcPr>
            <w:tcW w:w="504" w:type="dxa"/>
            <w:vMerge/>
            <w:tcBorders>
              <w:left w:val="single" w:sz="4" w:space="0" w:color="000000"/>
              <w:right w:val="single" w:sz="4" w:space="0" w:color="000000"/>
            </w:tcBorders>
            <w:shd w:val="clear" w:color="auto" w:fill="D3D3D3"/>
          </w:tcPr>
          <w:p>
            <w:pPr/>
          </w:p>
        </w:tc>
        <w:tc>
          <w:tcPr>
            <w:tcW w:w="789" w:type="dxa"/>
            <w:vMerge/>
            <w:tcBorders>
              <w:left w:val="single" w:sz="4" w:space="0" w:color="000000"/>
              <w:right w:val="single" w:sz="4" w:space="0" w:color="000000"/>
            </w:tcBorders>
            <w:shd w:val="clear" w:color="auto" w:fill="D3D3D3"/>
          </w:tcPr>
          <w:p>
            <w:pPr/>
          </w:p>
        </w:tc>
      </w:tr>
      <w:tr>
        <w:trPr>
          <w:trHeight w:val="156" w:hRule="exact"/>
        </w:trPr>
        <w:tc>
          <w:tcPr>
            <w:tcW w:w="1986" w:type="dxa"/>
            <w:vMerge w:val="restart"/>
            <w:tcBorders>
              <w:top w:val="nil" w:sz="6" w:space="0" w:color="auto"/>
              <w:left w:val="single" w:sz="4" w:space="0" w:color="000000"/>
              <w:right w:val="single" w:sz="4" w:space="0" w:color="000000"/>
            </w:tcBorders>
            <w:shd w:val="clear" w:color="auto" w:fill="D3D3D3"/>
          </w:tcPr>
          <w:p>
            <w:pPr/>
          </w:p>
        </w:tc>
        <w:tc>
          <w:tcPr>
            <w:tcW w:w="1614"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1620" w:type="dxa"/>
            <w:gridSpan w:val="2"/>
            <w:vMerge/>
            <w:tcBorders>
              <w:left w:val="single" w:sz="4" w:space="0" w:color="000000"/>
              <w:bottom w:val="nil" w:sz="6" w:space="0" w:color="auto"/>
              <w:right w:val="single" w:sz="4" w:space="0" w:color="000000"/>
            </w:tcBorders>
            <w:shd w:val="clear" w:color="auto" w:fill="D3D3D3"/>
          </w:tcPr>
          <w:p>
            <w:pPr/>
          </w:p>
        </w:tc>
        <w:tc>
          <w:tcPr>
            <w:tcW w:w="906" w:type="dxa"/>
            <w:vMerge/>
            <w:tcBorders>
              <w:left w:val="single" w:sz="4" w:space="0" w:color="000000"/>
              <w:bottom w:val="nil" w:sz="6" w:space="0" w:color="auto"/>
              <w:right w:val="single" w:sz="4" w:space="0" w:color="000000"/>
            </w:tcBorders>
            <w:shd w:val="clear" w:color="auto" w:fill="D3D3D3"/>
          </w:tcPr>
          <w:p>
            <w:pPr/>
          </w:p>
        </w:tc>
        <w:tc>
          <w:tcPr>
            <w:tcW w:w="900" w:type="dxa"/>
            <w:vMerge w:val="restart"/>
            <w:tcBorders>
              <w:top w:val="nil" w:sz="6" w:space="0" w:color="auto"/>
              <w:left w:val="single" w:sz="4" w:space="0" w:color="000000"/>
              <w:right w:val="single" w:sz="4" w:space="0" w:color="000000"/>
            </w:tcBorders>
            <w:shd w:val="clear" w:color="auto" w:fill="D3D3D3"/>
          </w:tcPr>
          <w:p>
            <w:pPr/>
          </w:p>
        </w:tc>
        <w:tc>
          <w:tcPr>
            <w:tcW w:w="534" w:type="dxa"/>
            <w:vMerge/>
            <w:tcBorders>
              <w:left w:val="single" w:sz="4" w:space="0" w:color="000000"/>
              <w:bottom w:val="nil" w:sz="6" w:space="0" w:color="auto"/>
              <w:right w:val="single" w:sz="4" w:space="0" w:color="000000"/>
            </w:tcBorders>
            <w:shd w:val="clear" w:color="auto" w:fill="D3D3D3"/>
          </w:tcPr>
          <w:p>
            <w:pPr/>
          </w:p>
        </w:tc>
        <w:tc>
          <w:tcPr>
            <w:tcW w:w="504" w:type="dxa"/>
            <w:vMerge/>
            <w:tcBorders>
              <w:left w:val="single" w:sz="4" w:space="0" w:color="000000"/>
              <w:right w:val="single" w:sz="4" w:space="0" w:color="000000"/>
            </w:tcBorders>
            <w:shd w:val="clear" w:color="auto" w:fill="D3D3D3"/>
          </w:tcPr>
          <w:p>
            <w:pPr/>
          </w:p>
        </w:tc>
        <w:tc>
          <w:tcPr>
            <w:tcW w:w="789" w:type="dxa"/>
            <w:vMerge/>
            <w:tcBorders>
              <w:left w:val="single" w:sz="4" w:space="0" w:color="000000"/>
              <w:right w:val="single" w:sz="4" w:space="0" w:color="000000"/>
            </w:tcBorders>
            <w:shd w:val="clear" w:color="auto" w:fill="D3D3D3"/>
          </w:tcPr>
          <w:p>
            <w:pPr/>
          </w:p>
        </w:tc>
      </w:tr>
      <w:tr>
        <w:trPr>
          <w:trHeight w:val="156" w:hRule="exact"/>
        </w:trPr>
        <w:tc>
          <w:tcPr>
            <w:tcW w:w="1986" w:type="dxa"/>
            <w:vMerge/>
            <w:tcBorders>
              <w:left w:val="single" w:sz="4" w:space="0" w:color="000000"/>
              <w:right w:val="single" w:sz="4" w:space="0" w:color="000000"/>
            </w:tcBorders>
            <w:shd w:val="clear" w:color="auto" w:fill="D3D3D3"/>
          </w:tcPr>
          <w:p>
            <w:pPr/>
          </w:p>
        </w:tc>
        <w:tc>
          <w:tcPr>
            <w:tcW w:w="1614" w:type="dxa"/>
            <w:vMerge w:val="restart"/>
            <w:tcBorders>
              <w:top w:val="nil" w:sz="6" w:space="0" w:color="auto"/>
              <w:left w:val="single" w:sz="4" w:space="0" w:color="000000"/>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
        </w:tc>
        <w:tc>
          <w:tcPr>
            <w:tcW w:w="1620" w:type="dxa"/>
            <w:gridSpan w:val="2"/>
            <w:vMerge w:val="restart"/>
            <w:tcBorders>
              <w:top w:val="nil" w:sz="6" w:space="0" w:color="auto"/>
              <w:left w:val="single" w:sz="4" w:space="0" w:color="000000"/>
              <w:right w:val="single" w:sz="4" w:space="0" w:color="000000"/>
            </w:tcBorders>
            <w:shd w:val="clear" w:color="auto" w:fill="D3D3D3"/>
          </w:tcPr>
          <w:p>
            <w:pPr/>
          </w:p>
        </w:tc>
        <w:tc>
          <w:tcPr>
            <w:tcW w:w="906" w:type="dxa"/>
            <w:vMerge w:val="restart"/>
            <w:tcBorders>
              <w:top w:val="nil" w:sz="6" w:space="0" w:color="auto"/>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534" w:type="dxa"/>
            <w:vMerge w:val="restart"/>
            <w:tcBorders>
              <w:top w:val="nil" w:sz="6" w:space="0" w:color="auto"/>
              <w:left w:val="single" w:sz="4" w:space="0" w:color="000000"/>
              <w:right w:val="single" w:sz="4" w:space="0" w:color="000000"/>
            </w:tcBorders>
            <w:shd w:val="clear" w:color="auto" w:fill="D3D3D3"/>
          </w:tcPr>
          <w:p>
            <w:pPr/>
          </w:p>
        </w:tc>
        <w:tc>
          <w:tcPr>
            <w:tcW w:w="504" w:type="dxa"/>
            <w:vMerge/>
            <w:tcBorders>
              <w:left w:val="single" w:sz="4" w:space="0" w:color="000000"/>
              <w:bottom w:val="nil" w:sz="6" w:space="0" w:color="auto"/>
              <w:right w:val="single" w:sz="4" w:space="0" w:color="000000"/>
            </w:tcBorders>
            <w:shd w:val="clear" w:color="auto" w:fill="D3D3D3"/>
          </w:tcPr>
          <w:p>
            <w:pPr/>
          </w:p>
        </w:tc>
        <w:tc>
          <w:tcPr>
            <w:tcW w:w="789" w:type="dxa"/>
            <w:vMerge/>
            <w:tcBorders>
              <w:left w:val="single" w:sz="4" w:space="0" w:color="000000"/>
              <w:right w:val="single" w:sz="4" w:space="0" w:color="000000"/>
            </w:tcBorders>
            <w:shd w:val="clear" w:color="auto" w:fill="D3D3D3"/>
          </w:tcPr>
          <w:p>
            <w:pPr/>
          </w:p>
        </w:tc>
      </w:tr>
      <w:tr>
        <w:trPr>
          <w:trHeight w:val="161" w:hRule="exact"/>
        </w:trPr>
        <w:tc>
          <w:tcPr>
            <w:tcW w:w="1986" w:type="dxa"/>
            <w:vMerge/>
            <w:tcBorders>
              <w:left w:val="single" w:sz="4" w:space="0" w:color="000000"/>
              <w:bottom w:val="single" w:sz="4" w:space="0" w:color="000000"/>
              <w:right w:val="single" w:sz="4" w:space="0" w:color="000000"/>
            </w:tcBorders>
            <w:shd w:val="clear" w:color="auto" w:fill="D3D3D3"/>
          </w:tcPr>
          <w:p>
            <w:pPr/>
          </w:p>
        </w:tc>
        <w:tc>
          <w:tcPr>
            <w:tcW w:w="1614"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620" w:type="dxa"/>
            <w:gridSpan w:val="2"/>
            <w:vMerge/>
            <w:tcBorders>
              <w:left w:val="single" w:sz="4" w:space="0" w:color="000000"/>
              <w:bottom w:val="single" w:sz="4" w:space="0" w:color="000000"/>
              <w:right w:val="single" w:sz="4" w:space="0" w:color="000000"/>
            </w:tcBorders>
            <w:shd w:val="clear" w:color="auto" w:fill="D3D3D3"/>
          </w:tcPr>
          <w:p>
            <w:pPr/>
          </w:p>
        </w:tc>
        <w:tc>
          <w:tcPr>
            <w:tcW w:w="906"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534" w:type="dxa"/>
            <w:vMerge/>
            <w:tcBorders>
              <w:left w:val="single" w:sz="4" w:space="0" w:color="000000"/>
              <w:bottom w:val="single" w:sz="4" w:space="0" w:color="000000"/>
              <w:right w:val="single" w:sz="4" w:space="0" w:color="000000"/>
            </w:tcBorders>
            <w:shd w:val="clear" w:color="auto" w:fill="D3D3D3"/>
          </w:tcPr>
          <w:p>
            <w:pPr/>
          </w:p>
        </w:tc>
        <w:tc>
          <w:tcPr>
            <w:tcW w:w="504" w:type="dxa"/>
            <w:tcBorders>
              <w:top w:val="nil" w:sz="6" w:space="0" w:color="auto"/>
              <w:left w:val="single" w:sz="4" w:space="0" w:color="000000"/>
              <w:bottom w:val="single" w:sz="4" w:space="0" w:color="000000"/>
              <w:right w:val="single" w:sz="4" w:space="0" w:color="000000"/>
            </w:tcBorders>
            <w:shd w:val="clear" w:color="auto" w:fill="D3D3D3"/>
          </w:tcPr>
          <w:p>
            <w:pPr/>
          </w:p>
        </w:tc>
        <w:tc>
          <w:tcPr>
            <w:tcW w:w="7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127,981.25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7,500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江西晨鸣纸业有限责任 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黄冈晨鸣林业发展有限 责任公司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黄冈晨鸣林业发展有限 责任公司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2,960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黄冈晨鸣林业发展有限 责任公司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寿光美伦纸业有限责任 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79,473</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14,632.56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寿光美伦纸业有限责任 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4,877.52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r>
        <w:rPr/>
        <w:pict>
          <v:group style="position:absolute;margin-left:479.940002pt;margin-top:313.230011pt;width:53.95pt;height:20.75pt;mso-position-horizontal-relative:page;mso-position-vertical-relative:page;z-index:-1456432" coordorigin="9599,6265" coordsize="1079,415">
            <v:group style="position:absolute;left:9610;top:6276;width:2;height:392" coordorigin="9610,6276" coordsize="2,392">
              <v:shape style="position:absolute;left:9610;top:6276;width:2;height:392" coordorigin="9610,6276" coordsize="0,392" path="m9610,6276l9610,6668e" filled="false" stroked="true" strokeweight="1.140pt" strokecolor="#ffffff">
                <v:path arrowok="t"/>
              </v:shape>
            </v:group>
            <v:group style="position:absolute;left:9622;top:6276;width:1056;height:392" coordorigin="9622,6276" coordsize="1056,392">
              <v:shape style="position:absolute;left:9622;top:6276;width:1056;height:392" coordorigin="9622,6276" coordsize="1056,392" path="m9622,6667l10678,6667,10678,6276,9622,6276,9622,6667xe" filled="true" fillcolor="#ffffff" stroked="false">
                <v:path arrowok="t"/>
                <v:fill type="solid"/>
              </v:shape>
            </v:group>
            <w10:wrap type="none"/>
          </v:group>
        </w:pict>
      </w:r>
      <w:r>
        <w:rPr/>
        <w:pict>
          <v:group style="position:absolute;margin-left:245.940002pt;margin-top:333.329987pt;width:52.35pt;height:20.75pt;mso-position-horizontal-relative:page;mso-position-vertical-relative:page;z-index:-1456408" coordorigin="4919,6667" coordsize="1047,415">
            <v:group style="position:absolute;left:4930;top:6678;width:2;height:392" coordorigin="4930,6678" coordsize="2,392">
              <v:shape style="position:absolute;left:4930;top:6678;width:2;height:392" coordorigin="4930,6678" coordsize="0,392" path="m4930,6678l4930,7070e" filled="false" stroked="true" strokeweight="1.140pt" strokecolor="#ffffff">
                <v:path arrowok="t"/>
              </v:shape>
            </v:group>
            <v:group style="position:absolute;left:4942;top:6678;width:1024;height:392" coordorigin="4942,6678" coordsize="1024,392">
              <v:shape style="position:absolute;left:4942;top:6678;width:1024;height:392" coordorigin="4942,6678" coordsize="1024,392" path="m4942,7069l5965,7069,5965,6678,4942,6678,4942,706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980"/>
        <w:gridCol w:w="1620"/>
        <w:gridCol w:w="168"/>
        <w:gridCol w:w="552"/>
        <w:gridCol w:w="551"/>
        <w:gridCol w:w="1069"/>
        <w:gridCol w:w="168"/>
        <w:gridCol w:w="732"/>
        <w:gridCol w:w="900"/>
        <w:gridCol w:w="540"/>
        <w:gridCol w:w="168"/>
        <w:gridCol w:w="336"/>
        <w:gridCol w:w="788"/>
      </w:tblGrid>
      <w:tr>
        <w:trPr>
          <w:trHeight w:val="36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20" w:type="dxa"/>
            <w:tcBorders>
              <w:top w:val="single" w:sz="4" w:space="0" w:color="000000"/>
              <w:left w:val="single" w:sz="4" w:space="0" w:color="000000"/>
              <w:bottom w:val="single" w:sz="4" w:space="0" w:color="000000"/>
              <w:right w:val="single" w:sz="4" w:space="0" w:color="000000"/>
            </w:tcBorders>
          </w:tcPr>
          <w:p>
            <w:pPr/>
          </w:p>
        </w:tc>
        <w:tc>
          <w:tcPr>
            <w:tcW w:w="72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04" w:type="dxa"/>
            <w:gridSpan w:val="2"/>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吉林晨鸣纸业有限责任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吉林晨鸣纸业有限责任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50,000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山东晨鸣纸业销售有限 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81,387.95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寿光晨鸣进出口贸易有 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湛江美伦纸业有限公司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50,000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4,000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4000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103"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808,000</w:t>
            </w:r>
          </w:p>
        </w:tc>
        <w:tc>
          <w:tcPr>
            <w:tcW w:w="357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报告期内对子公司担保实际发生额合计（</w:t>
            </w:r>
            <w:r>
              <w:rPr>
                <w:rFonts w:ascii="Times New Roman" w:hAnsi="Times New Roman" w:cs="Times New Roman" w:eastAsia="Times New Roman" w:hint="default"/>
                <w:sz w:val="18"/>
                <w:szCs w:val="18"/>
              </w:rPr>
              <w:t>B2</w:t>
            </w:r>
          </w:p>
        </w:tc>
        <w:tc>
          <w:tcPr>
            <w:tcW w:w="1124" w:type="dxa"/>
            <w:gridSpan w:val="2"/>
            <w:tcBorders>
              <w:top w:val="single" w:sz="4" w:space="0" w:color="000000"/>
              <w:left w:val="single" w:sz="10" w:space="0" w:color="D3D3D3"/>
              <w:bottom w:val="single" w:sz="4" w:space="0" w:color="000000"/>
              <w:right w:val="single" w:sz="4" w:space="0" w:color="000000"/>
            </w:tcBorders>
          </w:tcPr>
          <w:p>
            <w:pPr>
              <w:pStyle w:val="TableParagraph"/>
              <w:tabs>
                <w:tab w:pos="272" w:val="left" w:leader="none"/>
              </w:tabs>
              <w:spacing w:line="240" w:lineRule="auto" w:before="51"/>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312,103.85</w:t>
            </w:r>
          </w:p>
        </w:tc>
      </w:tr>
      <w:tr>
        <w:trPr>
          <w:trHeight w:val="402" w:hRule="exact"/>
        </w:trPr>
        <w:tc>
          <w:tcPr>
            <w:tcW w:w="3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报告期末已审批的对子公司担保额度合计（</w:t>
            </w:r>
            <w:r>
              <w:rPr>
                <w:rFonts w:ascii="Times New Roman" w:hAnsi="Times New Roman" w:cs="Times New Roman" w:eastAsia="Times New Roman" w:hint="default"/>
                <w:sz w:val="18"/>
                <w:szCs w:val="18"/>
              </w:rPr>
              <w:t>B3</w:t>
            </w:r>
          </w:p>
        </w:tc>
        <w:tc>
          <w:tcPr>
            <w:tcW w:w="1103" w:type="dxa"/>
            <w:gridSpan w:val="2"/>
            <w:tcBorders>
              <w:top w:val="single" w:sz="4" w:space="0" w:color="000000"/>
              <w:left w:val="single" w:sz="10" w:space="0" w:color="D3D3D3"/>
              <w:bottom w:val="single" w:sz="4" w:space="0" w:color="000000"/>
              <w:right w:val="single" w:sz="13" w:space="0" w:color="D3D3D3"/>
            </w:tcBorders>
          </w:tcPr>
          <w:p>
            <w:pPr>
              <w:pStyle w:val="TableParagraph"/>
              <w:tabs>
                <w:tab w:pos="329" w:val="left" w:leader="none"/>
              </w:tabs>
              <w:spacing w:line="240" w:lineRule="auto" w:before="51"/>
              <w:ind w:left="-1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3,107,473</w:t>
            </w:r>
          </w:p>
        </w:tc>
        <w:tc>
          <w:tcPr>
            <w:tcW w:w="357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1124"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295,939.28</w:t>
            </w:r>
          </w:p>
        </w:tc>
      </w:tr>
      <w:tr>
        <w:trPr>
          <w:trHeight w:val="401"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3" w:hRule="exact"/>
        </w:trPr>
        <w:tc>
          <w:tcPr>
            <w:tcW w:w="3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1103"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808,000</w:t>
            </w:r>
          </w:p>
        </w:tc>
        <w:tc>
          <w:tcPr>
            <w:tcW w:w="357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1124"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312,103.85</w:t>
            </w:r>
          </w:p>
        </w:tc>
      </w:tr>
      <w:tr>
        <w:trPr>
          <w:trHeight w:val="401" w:hRule="exact"/>
        </w:trPr>
        <w:tc>
          <w:tcPr>
            <w:tcW w:w="3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1103"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left="329" w:right="0"/>
              <w:jc w:val="left"/>
              <w:rPr>
                <w:rFonts w:ascii="Times New Roman" w:hAnsi="Times New Roman" w:cs="Times New Roman" w:eastAsia="Times New Roman" w:hint="default"/>
                <w:sz w:val="18"/>
                <w:szCs w:val="18"/>
              </w:rPr>
            </w:pPr>
            <w:r>
              <w:rPr>
                <w:rFonts w:ascii="Times New Roman"/>
                <w:sz w:val="18"/>
              </w:rPr>
              <w:t>3,107,473</w:t>
            </w:r>
          </w:p>
        </w:tc>
        <w:tc>
          <w:tcPr>
            <w:tcW w:w="357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1124" w:type="dxa"/>
            <w:gridSpan w:val="2"/>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295,939.28</w:t>
            </w:r>
          </w:p>
        </w:tc>
      </w:tr>
      <w:tr>
        <w:trPr>
          <w:trHeight w:val="402" w:hRule="exact"/>
        </w:trPr>
        <w:tc>
          <w:tcPr>
            <w:tcW w:w="610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64" w:type="dxa"/>
            <w:gridSpan w:val="6"/>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21.08%</w:t>
            </w:r>
          </w:p>
        </w:tc>
      </w:tr>
      <w:tr>
        <w:trPr>
          <w:trHeight w:val="402" w:hRule="exact"/>
        </w:trPr>
        <w:tc>
          <w:tcPr>
            <w:tcW w:w="957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610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3464" w:type="dxa"/>
            <w:gridSpan w:val="6"/>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10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3464" w:type="dxa"/>
            <w:gridSpan w:val="6"/>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160,458</w:t>
            </w:r>
          </w:p>
        </w:tc>
      </w:tr>
      <w:tr>
        <w:trPr>
          <w:trHeight w:val="402" w:hRule="exact"/>
        </w:trPr>
        <w:tc>
          <w:tcPr>
            <w:tcW w:w="610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3464" w:type="dxa"/>
            <w:gridSpan w:val="6"/>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610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3464" w:type="dxa"/>
            <w:gridSpan w:val="6"/>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160,458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BodyText"/>
        <w:spacing w:line="240" w:lineRule="auto" w:before="44"/>
        <w:ind w:left="0" w:right="107"/>
        <w:jc w:val="right"/>
      </w:pPr>
      <w:r>
        <w:rPr/>
        <w:pict>
          <v:shape style="position:absolute;margin-left:56.459999pt;margin-top:-114.547981pt;width:486.75pt;height:134.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799"/>
                    <w:gridCol w:w="798"/>
                    <w:gridCol w:w="798"/>
                    <w:gridCol w:w="798"/>
                    <w:gridCol w:w="798"/>
                    <w:gridCol w:w="796"/>
                    <w:gridCol w:w="797"/>
                    <w:gridCol w:w="797"/>
                    <w:gridCol w:w="559"/>
                    <w:gridCol w:w="540"/>
                    <w:gridCol w:w="1440"/>
                  </w:tblGrid>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合同涉及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合同涉及</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559"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 w:right="35"/>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资产的账 面价值</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资产的评 估价值</w:t>
                        </w:r>
                      </w:p>
                      <w:p>
                        <w:pPr>
                          <w:pStyle w:val="TableParagraph"/>
                          <w:spacing w:line="240" w:lineRule="auto" w:before="19"/>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5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4" w:right="92"/>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3" w:right="84"/>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53" w:right="84" w:hanging="270"/>
                          <w:jc w:val="left"/>
                          <w:rPr>
                            <w:rFonts w:ascii="宋体" w:hAnsi="宋体" w:cs="宋体" w:eastAsia="宋体" w:hint="default"/>
                            <w:sz w:val="18"/>
                            <w:szCs w:val="18"/>
                          </w:rPr>
                        </w:pPr>
                        <w:r>
                          <w:rPr>
                            <w:rFonts w:ascii="宋体" w:hAnsi="宋体" w:cs="宋体" w:eastAsia="宋体" w:hint="default"/>
                            <w:sz w:val="18"/>
                            <w:szCs w:val="18"/>
                          </w:rPr>
                          <w:t>截至报告期末的 执行情况</w:t>
                        </w: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559"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广东慧锐 投资有限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湛江市代 建项目管 理局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3" w:right="84" w:hanging="90"/>
                          <w:jc w:val="left"/>
                          <w:rPr>
                            <w:rFonts w:ascii="宋体" w:hAnsi="宋体" w:cs="宋体" w:eastAsia="宋体" w:hint="default"/>
                            <w:sz w:val="18"/>
                            <w:szCs w:val="18"/>
                          </w:rPr>
                        </w:pPr>
                        <w:r>
                          <w:rPr>
                            <w:rFonts w:ascii="宋体" w:hAnsi="宋体" w:cs="宋体" w:eastAsia="宋体" w:hint="default"/>
                            <w:sz w:val="18"/>
                            <w:szCs w:val="18"/>
                          </w:rPr>
                          <w:t>不适 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本合同涉及项目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日，正式动工</w:t>
                        </w:r>
                      </w:p>
                    </w:tc>
                  </w:tr>
                </w:tbl>
                <w:p>
                  <w:pPr/>
                </w:p>
              </w:txbxContent>
            </v:textbox>
            <w10:wrap type="none"/>
          </v:shape>
        </w:pict>
      </w:r>
      <w:r>
        <w:rPr/>
        <w:t>。</w:t>
      </w:r>
    </w:p>
    <w:p>
      <w:pPr>
        <w:spacing w:after="0" w:line="240" w:lineRule="auto"/>
        <w:jc w:val="right"/>
        <w:sectPr>
          <w:pgSz w:w="11910" w:h="16840"/>
          <w:pgMar w:header="877" w:footer="950" w:top="1100" w:bottom="1140" w:left="980" w:right="880"/>
        </w:sectPr>
      </w:pPr>
    </w:p>
    <w:p>
      <w:pPr>
        <w:spacing w:line="240" w:lineRule="auto" w:before="9"/>
        <w:rPr>
          <w:rFonts w:ascii="宋体" w:hAnsi="宋体" w:cs="宋体" w:eastAsia="宋体" w:hint="default"/>
          <w:sz w:val="19"/>
          <w:szCs w:val="19"/>
        </w:rPr>
      </w:pPr>
      <w:r>
        <w:rPr/>
        <w:pict>
          <v:group style="position:absolute;margin-left:454.079987pt;margin-top:426.779999pt;width:24.2pt;height:33.25pt;mso-position-horizontal-relative:page;mso-position-vertical-relative:page;z-index:-1456336" coordorigin="9082,8536" coordsize="484,665">
            <v:group style="position:absolute;left:9082;top:8536;width:484;height:312" coordorigin="9082,8536" coordsize="484,312">
              <v:shape style="position:absolute;left:9082;top:8536;width:484;height:312" coordorigin="9082,8536" coordsize="484,312" path="m9082,8848l9565,8848,9565,8536,9082,8536,9082,8848xe" filled="true" fillcolor="#ffffff" stroked="false">
                <v:path arrowok="t"/>
                <v:fill type="solid"/>
              </v:shape>
            </v:group>
            <v:group style="position:absolute;left:9082;top:8848;width:484;height:353" coordorigin="9082,8848" coordsize="484,353">
              <v:shape style="position:absolute;left:9082;top:8848;width:484;height:353" coordorigin="9082,8848" coordsize="484,353" path="m9082,9200l9565,9200,9565,8848,9082,8848,9082,9200xe" filled="true" fillcolor="#ffffff" stroked="false">
                <v:path arrowok="t"/>
                <v:fill type="solid"/>
              </v:shape>
            </v:group>
            <w10:wrap type="none"/>
          </v:group>
        </w:pict>
      </w:r>
    </w:p>
    <w:p>
      <w:pPr>
        <w:pStyle w:val="Heading2"/>
        <w:spacing w:line="240" w:lineRule="auto" w:before="26"/>
        <w:ind w:right="0"/>
        <w:jc w:val="left"/>
        <w:rPr>
          <w:b w:val="0"/>
          <w:bCs w:val="0"/>
        </w:rPr>
      </w:pP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74"/>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20"/>
        <w:gridCol w:w="540"/>
        <w:gridCol w:w="6660"/>
        <w:gridCol w:w="540"/>
        <w:gridCol w:w="540"/>
        <w:gridCol w:w="568"/>
      </w:tblGrid>
      <w:tr>
        <w:trPr>
          <w:trHeight w:val="714"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承诺事 项</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4" w:right="84" w:hanging="90"/>
              <w:jc w:val="left"/>
              <w:rPr>
                <w:rFonts w:ascii="宋体" w:hAnsi="宋体" w:cs="宋体" w:eastAsia="宋体" w:hint="default"/>
                <w:sz w:val="18"/>
                <w:szCs w:val="18"/>
              </w:rPr>
            </w:pPr>
            <w:r>
              <w:rPr>
                <w:rFonts w:ascii="宋体" w:hAnsi="宋体" w:cs="宋体" w:eastAsia="宋体" w:hint="default"/>
                <w:sz w:val="18"/>
                <w:szCs w:val="18"/>
              </w:rPr>
              <w:t>承诺 方</w:t>
            </w:r>
          </w:p>
        </w:tc>
        <w:tc>
          <w:tcPr>
            <w:tcW w:w="6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股改承 诺</w:t>
            </w:r>
          </w:p>
        </w:tc>
        <w:tc>
          <w:tcPr>
            <w:tcW w:w="540" w:type="dxa"/>
            <w:tcBorders>
              <w:top w:val="single" w:sz="4" w:space="0" w:color="000000"/>
              <w:left w:val="single" w:sz="4" w:space="0" w:color="000000"/>
              <w:bottom w:val="single" w:sz="4" w:space="0" w:color="000000"/>
              <w:right w:val="single" w:sz="4" w:space="0" w:color="000000"/>
            </w:tcBorders>
          </w:tcPr>
          <w:p>
            <w:pPr/>
          </w:p>
        </w:tc>
        <w:tc>
          <w:tcPr>
            <w:tcW w:w="66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收购报 告书或 权益变 动报告 书中所 作承诺</w:t>
            </w:r>
          </w:p>
        </w:tc>
        <w:tc>
          <w:tcPr>
            <w:tcW w:w="540" w:type="dxa"/>
            <w:tcBorders>
              <w:top w:val="single" w:sz="4" w:space="0" w:color="000000"/>
              <w:left w:val="single" w:sz="4" w:space="0" w:color="000000"/>
              <w:bottom w:val="single" w:sz="4" w:space="0" w:color="000000"/>
              <w:right w:val="single" w:sz="4" w:space="0" w:color="000000"/>
            </w:tcBorders>
          </w:tcPr>
          <w:p>
            <w:pPr/>
          </w:p>
        </w:tc>
        <w:tc>
          <w:tcPr>
            <w:tcW w:w="66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资产重 组时所 作承诺</w:t>
            </w:r>
          </w:p>
        </w:tc>
        <w:tc>
          <w:tcPr>
            <w:tcW w:w="540" w:type="dxa"/>
            <w:tcBorders>
              <w:top w:val="single" w:sz="4" w:space="0" w:color="000000"/>
              <w:left w:val="single" w:sz="4" w:space="0" w:color="000000"/>
              <w:bottom w:val="single" w:sz="4" w:space="0" w:color="000000"/>
              <w:right w:val="single" w:sz="4" w:space="0" w:color="000000"/>
            </w:tcBorders>
          </w:tcPr>
          <w:p>
            <w:pPr/>
          </w:p>
        </w:tc>
        <w:tc>
          <w:tcPr>
            <w:tcW w:w="66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首次公 开发行 或再融 资时所 作承诺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公司 控股 股东 寿光 晨鸣 控股 有限 公司</w:t>
            </w:r>
          </w:p>
        </w:tc>
        <w:tc>
          <w:tcPr>
            <w:tcW w:w="6660"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51"/>
              <w:ind w:left="22"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根据公司有关瑕疵物业规范计划，寿光晨鸣控股保证并承诺：根据公司的申请，对</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于公司及其控股公司拥有的在寿光市行政区域内的瑕疵物业，如果公司决定转让处置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该等物业，且无其他买受人，寿光晨鸣控股将参照相关的资产评估结果依法购买受让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该等瑕疵物业；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在公司依法处置转让该等瑕疵物业之前，如果因瑕疵事项导致公司</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有任何经济损失（包括但不限于赔款及罚款及搬迁成本等），则该等经济损失将由寿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sz w:val="18"/>
                <w:szCs w:val="18"/>
              </w:rPr>
              <w:t>光晨鸣控股据实承担；</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在公司之外埠（暨寿光市行政区域外）的所属子公司的房屋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土地瑕疵物业的规范过程中，因权证不全的瑕疵事项导致该等所属子公司被行政主管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机关处以罚款或被责令搬迁，则因此产生该等相关经济损失，经核实后均由寿光晨鸣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控股依法据实全部承担。</w:t>
            </w:r>
          </w:p>
        </w:tc>
        <w:tc>
          <w:tcPr>
            <w:tcW w:w="54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240" w:lineRule="auto" w:before="64"/>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03" w:lineRule="exact"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150"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145"/>
              <w:jc w:val="both"/>
              <w:rPr>
                <w:rFonts w:ascii="宋体" w:hAnsi="宋体" w:cs="宋体" w:eastAsia="宋体" w:hint="default"/>
                <w:sz w:val="18"/>
                <w:szCs w:val="18"/>
              </w:rPr>
            </w:pPr>
            <w:r>
              <w:rPr>
                <w:rFonts w:ascii="宋体" w:hAnsi="宋体" w:cs="宋体" w:eastAsia="宋体" w:hint="default"/>
                <w:sz w:val="18"/>
                <w:szCs w:val="18"/>
              </w:rPr>
              <w:t>晨鸣 控股 作为 公司 主要 股东 期间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4458" w:hRule="exact"/>
        </w:trPr>
        <w:tc>
          <w:tcPr>
            <w:tcW w:w="720"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公司 控股 股东 寿光 晨鸣 控股 有限 公司</w:t>
            </w:r>
          </w:p>
        </w:tc>
        <w:tc>
          <w:tcPr>
            <w:tcW w:w="666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寿光晨鸣控股，无论单独、连同或代表其自身或其他人士或公司，不会及不会促使</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其联系人（定义见香港联交所《证券上市规则》）从事或以其他方式参与任何公司及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其子公司（以下简称“晨鸣集团”）经营所在的任何国家和地区（或如属任何形式的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电子业务，在世界任何地区）进行的业务直接或间接竞争，或有可能与晨鸣集团不时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进行的业务存在直接或间接竞争的业务（包括但不限于独资经营、合资经营或收购、 </w:t>
            </w:r>
            <w:r>
              <w:rPr>
                <w:rFonts w:ascii="宋体" w:hAnsi="宋体" w:cs="宋体" w:eastAsia="宋体" w:hint="default"/>
                <w:spacing w:val="-3"/>
                <w:sz w:val="18"/>
                <w:szCs w:val="18"/>
              </w:rPr>
              <w:t>直接或间接持有该等企业的权益或其他形式）；</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若因业务需要寿光晨鸣控股，无论</w:t>
            </w:r>
            <w:r>
              <w:rPr>
                <w:rFonts w:ascii="宋体" w:hAnsi="宋体" w:cs="宋体" w:eastAsia="宋体" w:hint="default"/>
                <w:spacing w:val="-63"/>
                <w:sz w:val="18"/>
                <w:szCs w:val="18"/>
              </w:rPr>
              <w:t> </w:t>
            </w:r>
            <w:r>
              <w:rPr>
                <w:rFonts w:ascii="宋体" w:hAnsi="宋体" w:cs="宋体" w:eastAsia="宋体" w:hint="default"/>
                <w:spacing w:val="-2"/>
                <w:sz w:val="18"/>
                <w:szCs w:val="18"/>
              </w:rPr>
              <w:t>单独、连同或代表其自身或其他人士或公司，从事与晨鸣集团存在直接或间接竞争的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业务时或得到任何与晨鸣集团业务有直接或间接的任何商业机会时，寿光晨鸣控股尽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力将促使晨鸣集团优先取得该等业务的经营权利或将获得该等商业机会；</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如寿光晨</w:t>
            </w:r>
            <w:r>
              <w:rPr>
                <w:rFonts w:ascii="宋体" w:hAnsi="宋体" w:cs="宋体" w:eastAsia="宋体" w:hint="default"/>
                <w:spacing w:val="-60"/>
                <w:sz w:val="18"/>
                <w:szCs w:val="18"/>
              </w:rPr>
              <w:t> </w:t>
            </w:r>
            <w:r>
              <w:rPr>
                <w:rFonts w:ascii="宋体" w:hAnsi="宋体" w:cs="宋体" w:eastAsia="宋体" w:hint="default"/>
                <w:spacing w:val="-2"/>
                <w:sz w:val="18"/>
                <w:szCs w:val="18"/>
              </w:rPr>
              <w:t>鸣控股违反上述承诺，其将对因违反上述承诺而引起的任何损失作出弥偿。公司有权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要求向寿光晨鸣控股以市场价格或成本价格（以价格较低者为准）收购寿光晨鸣控股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所持有的与晨鸣集团业务存在直接或间接竞争的企业或业务；</w:t>
            </w:r>
            <w:r>
              <w:rPr>
                <w:rFonts w:ascii="Times New Roman" w:hAnsi="Times New Roman" w:cs="Times New Roman" w:eastAsia="Times New Roman" w:hint="default"/>
                <w:sz w:val="18"/>
                <w:szCs w:val="18"/>
              </w:rPr>
              <w:t>(4)</w:t>
            </w:r>
            <w:r>
              <w:rPr>
                <w:rFonts w:ascii="宋体" w:hAnsi="宋体" w:cs="宋体" w:eastAsia="宋体" w:hint="default"/>
                <w:sz w:val="18"/>
                <w:szCs w:val="18"/>
              </w:rPr>
              <w:t>寿光晨鸣控股承诺 </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不会连同或代表其他人士或公司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会利用其在公司的控股股东（定义见香港联交所《证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券上市规则》）地位损害晨鸣集团及其股东之合法权益。</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宋体" w:hAnsi="宋体" w:cs="宋体" w:eastAsia="宋体" w:hint="default"/>
                <w:sz w:val="20"/>
                <w:szCs w:val="20"/>
              </w:rPr>
            </w:pPr>
            <w:r>
              <w:rPr>
                <w:rFonts w:ascii="宋体" w:hAnsi="宋体" w:cs="宋体" w:eastAsia="宋体" w:hint="default"/>
                <w:position w:val="-30"/>
                <w:sz w:val="20"/>
                <w:szCs w:val="20"/>
              </w:rPr>
              <w:pict>
                <v:group style="width:26.55pt;height:78pt;mso-position-horizontal-relative:char;mso-position-vertical-relative:line" coordorigin="0,0" coordsize="531,1560">
                  <v:group style="position:absolute;left:0;top:0;width:531;height:1560" coordorigin="0,0" coordsize="531,1560">
                    <v:shape style="position:absolute;left:0;top:0;width:531;height:1560" coordorigin="0,0" coordsize="531,1560" path="m0,1560l530,1560,530,0,0,0,0,1560xe" filled="true" fillcolor="#ffffff" stroked="false">
                      <v:path arrowok="t"/>
                      <v:fill type="solid"/>
                    </v:shape>
                  </v:group>
                </v:group>
              </w:pict>
            </w:r>
            <w:r>
              <w:rPr>
                <w:rFonts w:ascii="宋体" w:hAnsi="宋体" w:cs="宋体" w:eastAsia="宋体" w:hint="default"/>
                <w:position w:val="-30"/>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晨鸣 控股 作为 公司 主要 股东 期间</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严格 履行</w:t>
            </w:r>
          </w:p>
        </w:tc>
      </w:tr>
      <w:tr>
        <w:trPr>
          <w:trHeight w:val="67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其他对 公司中</w:t>
            </w:r>
          </w:p>
        </w:tc>
        <w:tc>
          <w:tcPr>
            <w:tcW w:w="540" w:type="dxa"/>
            <w:tcBorders>
              <w:top w:val="single" w:sz="4" w:space="0" w:color="000000"/>
              <w:left w:val="single" w:sz="4" w:space="0" w:color="000000"/>
              <w:bottom w:val="single" w:sz="4" w:space="0" w:color="000000"/>
              <w:right w:val="single" w:sz="4" w:space="0" w:color="000000"/>
            </w:tcBorders>
          </w:tcPr>
          <w:p>
            <w:pPr/>
          </w:p>
        </w:tc>
        <w:tc>
          <w:tcPr>
            <w:tcW w:w="66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708"/>
        <w:gridCol w:w="552"/>
        <w:gridCol w:w="6660"/>
        <w:gridCol w:w="540"/>
        <w:gridCol w:w="540"/>
        <w:gridCol w:w="568"/>
      </w:tblGrid>
      <w:tr>
        <w:trPr>
          <w:trHeight w:val="98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3"/>
              <w:jc w:val="both"/>
              <w:rPr>
                <w:rFonts w:ascii="宋体" w:hAnsi="宋体" w:cs="宋体" w:eastAsia="宋体" w:hint="default"/>
                <w:sz w:val="18"/>
                <w:szCs w:val="18"/>
              </w:rPr>
            </w:pPr>
            <w:r>
              <w:rPr>
                <w:rFonts w:ascii="宋体" w:hAnsi="宋体" w:cs="宋体" w:eastAsia="宋体" w:hint="default"/>
                <w:sz w:val="18"/>
                <w:szCs w:val="18"/>
              </w:rPr>
              <w:t>小股东 所作承 诺</w:t>
            </w:r>
          </w:p>
        </w:tc>
        <w:tc>
          <w:tcPr>
            <w:tcW w:w="552" w:type="dxa"/>
            <w:tcBorders>
              <w:top w:val="single" w:sz="4" w:space="0" w:color="000000"/>
              <w:left w:val="single" w:sz="4" w:space="0" w:color="000000"/>
              <w:bottom w:val="single" w:sz="4" w:space="0" w:color="000000"/>
              <w:right w:val="single" w:sz="4" w:space="0" w:color="000000"/>
            </w:tcBorders>
          </w:tcPr>
          <w:p>
            <w:pPr/>
          </w:p>
        </w:tc>
        <w:tc>
          <w:tcPr>
            <w:tcW w:w="66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3"/>
              <w:jc w:val="both"/>
              <w:rPr>
                <w:rFonts w:ascii="宋体" w:hAnsi="宋体" w:cs="宋体" w:eastAsia="宋体" w:hint="default"/>
                <w:sz w:val="18"/>
                <w:szCs w:val="18"/>
              </w:rPr>
            </w:pPr>
            <w:r>
              <w:rPr>
                <w:rFonts w:ascii="宋体" w:hAnsi="宋体" w:cs="宋体" w:eastAsia="宋体" w:hint="default"/>
                <w:sz w:val="18"/>
                <w:szCs w:val="18"/>
              </w:rPr>
              <w:t>承诺是 否及时 履行</w:t>
            </w:r>
          </w:p>
        </w:tc>
        <w:tc>
          <w:tcPr>
            <w:tcW w:w="8860"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王传顺、景传轩</w:t>
            </w:r>
          </w:p>
        </w:tc>
      </w:tr>
    </w:tbl>
    <w:p>
      <w:pPr>
        <w:pStyle w:val="BodyText"/>
        <w:spacing w:line="240" w:lineRule="auto" w:before="51"/>
        <w:ind w:left="154" w:right="0"/>
        <w:jc w:val="left"/>
      </w:pPr>
      <w:r>
        <w:rPr/>
        <w:t>当期是否改聘会计师事务所</w:t>
      </w:r>
    </w:p>
    <w:p>
      <w:pPr>
        <w:pStyle w:val="BodyText"/>
        <w:spacing w:line="360" w:lineRule="auto" w:before="116"/>
        <w:ind w:right="7071"/>
        <w:jc w:val="left"/>
      </w:pPr>
      <w:r>
        <w:rPr/>
        <w:t>√ 是 □ 否 是否在审计期间改聘会计师事务所</w:t>
      </w:r>
    </w:p>
    <w:p>
      <w:pPr>
        <w:pStyle w:val="BodyText"/>
        <w:spacing w:line="357" w:lineRule="auto" w:before="26"/>
        <w:ind w:right="6891"/>
        <w:jc w:val="left"/>
      </w:pPr>
      <w:r>
        <w:rPr/>
        <w:t>□ 是 √ 否 更换会计师事务所是否履行审批程序</w:t>
      </w:r>
    </w:p>
    <w:p>
      <w:pPr>
        <w:pStyle w:val="BodyText"/>
        <w:spacing w:line="357" w:lineRule="auto" w:before="29"/>
        <w:ind w:right="6351"/>
        <w:jc w:val="left"/>
      </w:pPr>
      <w:r>
        <w:rPr/>
        <w:t>√ 是 □ 否 对改聘、变更会计师事务所情况的详细说明</w:t>
      </w:r>
    </w:p>
    <w:p>
      <w:pPr>
        <w:pStyle w:val="BodyText"/>
        <w:spacing w:line="307" w:lineRule="auto" w:before="26"/>
        <w:ind w:right="148" w:firstLine="360"/>
        <w:jc w:val="both"/>
      </w:pPr>
      <w:r>
        <w:rPr/>
        <w:t>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2012</w:t>
      </w:r>
      <w:r>
        <w:rPr/>
        <w:t>年度股东大会审议通过了《关于聘任</w:t>
      </w:r>
      <w:r>
        <w:rPr>
          <w:rFonts w:ascii="Times New Roman" w:hAnsi="Times New Roman" w:cs="Times New Roman" w:eastAsia="Times New Roman" w:hint="default"/>
        </w:rPr>
        <w:t>2013</w:t>
      </w:r>
      <w:r>
        <w:rPr/>
        <w:t>年度审计机构的议案》，同意继续聘任中瑞 岳华会计师事务所（特殊普通合伙）为公司</w:t>
      </w:r>
      <w:r>
        <w:rPr>
          <w:rFonts w:ascii="Times New Roman" w:hAnsi="Times New Roman" w:cs="Times New Roman" w:eastAsia="Times New Roman" w:hint="default"/>
        </w:rPr>
        <w:t>2013</w:t>
      </w:r>
      <w:r>
        <w:rPr/>
        <w:t>年度审计机构。</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月，公司收到中瑞岳华《关于中瑞岳华会计师事务 </w:t>
      </w:r>
      <w:r>
        <w:rPr>
          <w:spacing w:val="-2"/>
        </w:rPr>
        <w:t>所（特殊普通合伙）变更为瑞华会计师事务所（特殊普通合伙）的函》，中瑞岳华与国富浩华合并，合并后名称变更为瑞华</w:t>
      </w:r>
      <w:r>
        <w:rPr>
          <w:spacing w:val="-72"/>
        </w:rPr>
        <w:t> </w:t>
      </w:r>
      <w:r>
        <w:rPr>
          <w:spacing w:val="-72"/>
        </w:rPr>
      </w:r>
      <w:r>
        <w:rPr>
          <w:spacing w:val="-2"/>
        </w:rPr>
        <w:t>会计师事务所（特殊普通合伙）。瑞华成立后，原中瑞岳华的员工及业务转移到瑞华，并以瑞华的名义为客户提供服务，此</w:t>
      </w:r>
      <w:r>
        <w:rPr>
          <w:spacing w:val="-68"/>
        </w:rPr>
        <w:t> </w:t>
      </w:r>
      <w:r>
        <w:rPr>
          <w:spacing w:val="-68"/>
        </w:rPr>
      </w:r>
      <w:r>
        <w:rPr/>
        <w:t>前中瑞岳华与公司签署的所有合同文本继续有效，相应的责任、权利和义务由瑞华继承和履行。</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2013 </w:t>
      </w:r>
      <w:r>
        <w:rPr>
          <w:spacing w:val="-2"/>
        </w:rPr>
        <w:t>年度第一次临时股东大会审议通过了《关于更换审计机构的议案》，据此，公司聘请的</w:t>
      </w:r>
      <w:r>
        <w:rPr>
          <w:rFonts w:ascii="Times New Roman" w:hAnsi="Times New Roman" w:cs="Times New Roman" w:eastAsia="Times New Roman" w:hint="default"/>
          <w:spacing w:val="-2"/>
        </w:rPr>
        <w:t>2013</w:t>
      </w:r>
      <w:r>
        <w:rPr>
          <w:spacing w:val="-2"/>
        </w:rPr>
        <w:t>年度审计机构更换为瑞华会计师</w:t>
      </w:r>
      <w:r>
        <w:rPr>
          <w:spacing w:val="-63"/>
        </w:rPr>
        <w:t> </w:t>
      </w:r>
      <w:r>
        <w:rPr/>
        <w:t>事务所（特殊普通合伙）。详情请参阅公司于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日和</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日在巨潮资讯网披露的相关公告。</w:t>
      </w:r>
    </w:p>
    <w:p>
      <w:pPr>
        <w:pStyle w:val="BodyText"/>
        <w:spacing w:line="240" w:lineRule="auto" w:before="48"/>
        <w:ind w:left="154" w:right="0"/>
        <w:jc w:val="left"/>
      </w:pPr>
      <w:r>
        <w:rPr/>
        <w:t>聘请内部控制审计会计师事务所、财务顾问或保荐人情况</w:t>
      </w:r>
    </w:p>
    <w:p>
      <w:pPr>
        <w:pStyle w:val="BodyText"/>
        <w:spacing w:line="319" w:lineRule="auto" w:before="116"/>
        <w:ind w:left="154" w:right="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本年度，公司聘请了瑞华会计师事务所作为公司内部控制审计机构，期间共支付内部控制审计费用人民币</w:t>
      </w:r>
      <w:r>
        <w:rPr>
          <w:rFonts w:ascii="Times New Roman" w:hAnsi="Times New Roman" w:cs="Times New Roman" w:eastAsia="Times New Roman" w:hint="default"/>
          <w:spacing w:val="-2"/>
        </w:rPr>
        <w:t>60</w:t>
      </w:r>
      <w:r>
        <w:rPr>
          <w:spacing w:val="-2"/>
        </w:rPr>
        <w:t>万元；公司聘请</w:t>
      </w:r>
      <w:r>
        <w:rPr>
          <w:spacing w:val="-66"/>
        </w:rPr>
        <w:t> </w:t>
      </w:r>
      <w:r>
        <w:rPr>
          <w:spacing w:val="-66"/>
        </w:rPr>
      </w:r>
      <w:r>
        <w:rPr/>
        <w:t>北京市金杜（青岛）律师事务所作为公司的常年法律顾问，期间共支付法律顾问费用人民币10万元。</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十、监事会、独立董事（如适用）对会计师事务所本报告期“非标准审计报告”的说明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0"/>
        <w:jc w:val="left"/>
      </w:pPr>
      <w:r>
        <w:rPr/>
        <w:t>瑞华会计师事务所已对本公司</w:t>
      </w:r>
      <w:r>
        <w:rPr>
          <w:rFonts w:ascii="Times New Roman" w:hAnsi="Times New Roman" w:cs="Times New Roman" w:eastAsia="Times New Roman" w:hint="default"/>
        </w:rPr>
        <w:t>2013</w:t>
      </w:r>
      <w:r>
        <w:rPr/>
        <w:t>年度财务报告进行了审计，并出具了标准无保留意见的审计报告。</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十一、年度报告披露后面临暂停上市和终止上市情况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0"/>
        <w:jc w:val="left"/>
      </w:pPr>
      <w:r>
        <w:rPr/>
        <w:t>公司不存在年度报告披露后面临暂停上市和终止上市的情况。</w:t>
      </w:r>
    </w:p>
    <w:p>
      <w:pPr>
        <w:spacing w:after="0" w:line="240" w:lineRule="auto"/>
        <w:jc w:val="left"/>
        <w:sectPr>
          <w:pgSz w:w="11910" w:h="16840"/>
          <w:pgMar w:header="877" w:footer="950" w:top="1100" w:bottom="114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十二、其他重大事项的说明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、筹建财务公司获得中国银监会批复 </w:t>
      </w:r>
      <w:r>
        <w:rPr>
          <w:spacing w:val="-2"/>
        </w:rPr>
        <w:t>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日收到中国银监会下发的《中国银监会关于山东晨鸣纸业集团股份有限公司筹建企业集团财务公司</w:t>
      </w:r>
    </w:p>
    <w:p>
      <w:pPr>
        <w:pStyle w:val="BodyText"/>
        <w:spacing w:line="300" w:lineRule="auto" w:before="13"/>
        <w:ind w:left="514" w:right="140" w:hanging="360"/>
        <w:jc w:val="left"/>
      </w:pPr>
      <w:r>
        <w:rPr/>
        <w:t>的批复》（银监复【</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596</w:t>
      </w:r>
      <w:r>
        <w:rPr/>
        <w:t>号）。详情请参阅公司于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披露的相关公告，公告编号：</w:t>
      </w:r>
      <w:r>
        <w:rPr>
          <w:rFonts w:ascii="Times New Roman" w:hAnsi="Times New Roman" w:cs="Times New Roman" w:eastAsia="Times New Roman" w:hint="default"/>
        </w:rPr>
        <w:t>2013-108</w:t>
      </w:r>
      <w:r>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年短期融资券发行结果 公司</w:t>
      </w:r>
      <w:r>
        <w:rPr>
          <w:rFonts w:ascii="Times New Roman" w:hAnsi="Times New Roman" w:cs="Times New Roman" w:eastAsia="Times New Roman" w:hint="default"/>
        </w:rPr>
        <w:t>2013</w:t>
      </w:r>
      <w:r>
        <w:rPr/>
        <w:t>年度第一期短期融资券于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日在全国银行间债券市场公开发行，发行金额为</w:t>
      </w:r>
      <w:r>
        <w:rPr>
          <w:rFonts w:ascii="Times New Roman" w:hAnsi="Times New Roman" w:cs="Times New Roman" w:eastAsia="Times New Roman" w:hint="default"/>
        </w:rPr>
        <w:t>18</w:t>
      </w:r>
      <w:r>
        <w:rPr/>
        <w:t>亿元人民币，期限为</w:t>
      </w:r>
    </w:p>
    <w:p>
      <w:pPr>
        <w:pStyle w:val="BodyText"/>
        <w:spacing w:line="300" w:lineRule="auto" w:before="13"/>
        <w:ind w:left="514" w:right="0" w:hanging="360"/>
        <w:jc w:val="left"/>
      </w:pPr>
      <w:r>
        <w:rPr>
          <w:rFonts w:ascii="Times New Roman" w:hAnsi="Times New Roman" w:cs="Times New Roman" w:eastAsia="Times New Roman" w:hint="default"/>
        </w:rPr>
        <w:t>365</w:t>
      </w:r>
      <w:r>
        <w:rPr/>
        <w:t>天，每张面值为</w:t>
      </w:r>
      <w:r>
        <w:rPr>
          <w:rFonts w:ascii="Times New Roman" w:hAnsi="Times New Roman" w:cs="Times New Roman" w:eastAsia="Times New Roman" w:hint="default"/>
        </w:rPr>
        <w:t>100</w:t>
      </w:r>
      <w:r>
        <w:rPr/>
        <w:t>元人民币。本次发行短期融资券所募集的资金于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日全部到账，用作置换银行借款。 </w:t>
      </w:r>
      <w:r>
        <w:rPr>
          <w:spacing w:val="-2"/>
        </w:rPr>
        <w:t>公司</w:t>
      </w:r>
      <w:r>
        <w:rPr>
          <w:rFonts w:ascii="Times New Roman" w:hAnsi="Times New Roman" w:cs="Times New Roman" w:eastAsia="Times New Roman" w:hint="default"/>
          <w:spacing w:val="-2"/>
        </w:rPr>
        <w:t>2013</w:t>
      </w:r>
      <w:r>
        <w:rPr>
          <w:spacing w:val="-2"/>
        </w:rPr>
        <w:t>年度第二期短期融资券于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日在全国银行间债券市场公开发行，发行金额为</w:t>
      </w:r>
      <w:r>
        <w:rPr>
          <w:rFonts w:ascii="Times New Roman" w:hAnsi="Times New Roman" w:cs="Times New Roman" w:eastAsia="Times New Roman" w:hint="default"/>
          <w:spacing w:val="-2"/>
        </w:rPr>
        <w:t>20</w:t>
      </w:r>
      <w:r>
        <w:rPr>
          <w:spacing w:val="-2"/>
        </w:rPr>
        <w:t>亿元人民币，期限为</w:t>
      </w:r>
    </w:p>
    <w:p>
      <w:pPr>
        <w:pStyle w:val="BodyText"/>
        <w:spacing w:line="240" w:lineRule="auto" w:before="13"/>
        <w:ind w:right="0"/>
        <w:jc w:val="left"/>
      </w:pPr>
      <w:r>
        <w:rPr>
          <w:rFonts w:ascii="Times New Roman" w:hAnsi="Times New Roman" w:cs="Times New Roman" w:eastAsia="Times New Roman" w:hint="default"/>
        </w:rPr>
        <w:t>365</w:t>
      </w:r>
      <w:r>
        <w:rPr/>
        <w:t>天，每张面值为</w:t>
      </w:r>
      <w:r>
        <w:rPr>
          <w:rFonts w:ascii="Times New Roman" w:hAnsi="Times New Roman" w:cs="Times New Roman" w:eastAsia="Times New Roman" w:hint="default"/>
        </w:rPr>
        <w:t>100</w:t>
      </w:r>
      <w:r>
        <w:rPr/>
        <w:t>元人民币。本次发行短期融资券所募集的资金于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日全部到账，用作置换银行借款。</w:t>
      </w:r>
    </w:p>
    <w:p>
      <w:pPr>
        <w:pStyle w:val="BodyText"/>
        <w:spacing w:line="240" w:lineRule="auto" w:before="62"/>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年第一期非公开定向债务融资工具</w:t>
      </w:r>
    </w:p>
    <w:p>
      <w:pPr>
        <w:pStyle w:val="BodyText"/>
        <w:spacing w:line="300" w:lineRule="auto" w:before="62"/>
        <w:ind w:left="154" w:right="140"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日公司发行</w:t>
      </w:r>
      <w:r>
        <w:rPr>
          <w:rFonts w:ascii="Times New Roman" w:hAnsi="Times New Roman" w:cs="Times New Roman" w:eastAsia="Times New Roman" w:hint="default"/>
        </w:rPr>
        <w:t>2013</w:t>
      </w:r>
      <w:r>
        <w:rPr/>
        <w:t>年第一期非公开定向债务融资工具，发行额为人民币</w:t>
      </w:r>
      <w:r>
        <w:rPr>
          <w:rFonts w:ascii="Times New Roman" w:hAnsi="Times New Roman" w:cs="Times New Roman" w:eastAsia="Times New Roman" w:hint="default"/>
        </w:rPr>
        <w:t>15</w:t>
      </w:r>
      <w:r>
        <w:rPr/>
        <w:t>亿元，期限</w:t>
      </w:r>
      <w:r>
        <w:rPr>
          <w:rFonts w:ascii="Times New Roman" w:hAnsi="Times New Roman" w:cs="Times New Roman" w:eastAsia="Times New Roman" w:hint="default"/>
        </w:rPr>
        <w:t>3</w:t>
      </w:r>
      <w:r>
        <w:rPr/>
        <w:t>年，单位面值为</w:t>
      </w:r>
      <w:r>
        <w:rPr>
          <w:rFonts w:ascii="Times New Roman" w:hAnsi="Times New Roman" w:cs="Times New Roman" w:eastAsia="Times New Roman" w:hint="default"/>
        </w:rPr>
        <w:t>100</w:t>
      </w:r>
      <w:r>
        <w:rPr/>
        <w:t>元 人民币。此次融资主要用于置换银行借款，以降低公司融资成本，进一步调整债务结构。</w:t>
      </w:r>
    </w:p>
    <w:p>
      <w:pPr>
        <w:pStyle w:val="BodyText"/>
        <w:spacing w:line="240" w:lineRule="auto" w:before="31"/>
        <w:ind w:left="51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2013</w:t>
      </w:r>
      <w:r>
        <w:rPr/>
        <w:t>年度信息披露索引</w:t>
      </w:r>
    </w:p>
    <w:p>
      <w:pPr>
        <w:spacing w:line="240" w:lineRule="auto" w:before="6"/>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997"/>
        <w:gridCol w:w="4424"/>
        <w:gridCol w:w="1597"/>
        <w:gridCol w:w="2639"/>
      </w:tblGrid>
      <w:tr>
        <w:trPr>
          <w:trHeight w:val="341" w:hRule="exact"/>
        </w:trPr>
        <w:tc>
          <w:tcPr>
            <w:tcW w:w="9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4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事项</w:t>
            </w:r>
          </w:p>
        </w:tc>
        <w:tc>
          <w:tcPr>
            <w:tcW w:w="15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26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刊载的互联网网站及检索路径</w:t>
            </w:r>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2013-001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股股份并减少注册资本的第三次公告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60"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2013-002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5"/>
              <w:jc w:val="left"/>
              <w:rPr>
                <w:rFonts w:ascii="宋体" w:hAnsi="宋体" w:cs="宋体" w:eastAsia="宋体" w:hint="default"/>
                <w:sz w:val="18"/>
                <w:szCs w:val="18"/>
              </w:rPr>
            </w:pPr>
            <w:r>
              <w:rPr>
                <w:rFonts w:ascii="宋体" w:hAnsi="宋体" w:cs="宋体" w:eastAsia="宋体" w:hint="default"/>
                <w:spacing w:val="3"/>
                <w:sz w:val="18"/>
                <w:szCs w:val="18"/>
              </w:rPr>
              <w:t>关于召开</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1"/>
                <w:sz w:val="18"/>
                <w:szCs w:val="18"/>
              </w:rPr>
              <w:t> </w:t>
            </w:r>
            <w:r>
              <w:rPr>
                <w:rFonts w:ascii="宋体" w:hAnsi="宋体" w:cs="宋体" w:eastAsia="宋体" w:hint="default"/>
                <w:spacing w:val="2"/>
                <w:sz w:val="18"/>
                <w:szCs w:val="18"/>
              </w:rPr>
              <w:t>晨鸣债</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40"/>
                <w:sz w:val="18"/>
                <w:szCs w:val="18"/>
              </w:rPr>
              <w:t> </w:t>
            </w:r>
            <w:r>
              <w:rPr>
                <w:rFonts w:ascii="宋体" w:hAnsi="宋体" w:cs="宋体" w:eastAsia="宋体" w:hint="default"/>
                <w:spacing w:val="6"/>
                <w:sz w:val="18"/>
                <w:szCs w:val="18"/>
              </w:rPr>
              <w:t>年第一次债券持有人会议的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2013-003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关于股东进行约定购回式证券交易的提示性公告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2013-004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关于无法召开</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晨鸣债</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年第一次债券持有人会议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2013-005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年度业绩预告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2013-006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关于收到补助资金的提示性公告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2013-007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年公司债券上市公告书</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2013-008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第六届董事会第七次临时会议决议公告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2013-009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2013-010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关于广东慧锐签署合同的提示性公告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2013-011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关于控股子公司名称变更的提示性公告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2013-012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第六届董事会八次临时会议决议公告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2013-013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关于海鸣矿业增资暨关联交易的公告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2013-014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2013-015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2013-016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关于媒体报道情况的提示性公告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2013-017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2013-018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股事项实施情况的公告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2013-019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第六届董事会第十六次会议决议公告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2013-020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第六届监事会第十三次会议决议公告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2013-021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年度股东大会的通知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2013-022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对全资子公司综合授信额度提供担保的公告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2013-023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对部分控股子公司提供财务资助的公告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2013-024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年度报告摘要</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997"/>
        <w:gridCol w:w="4424"/>
        <w:gridCol w:w="1597"/>
        <w:gridCol w:w="2639"/>
      </w:tblGrid>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2013-025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关于获得高新技术企业认定的公告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2013-026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关于收到税收返还资金的提示性公告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2013-027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2013-028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年第一季度业绩预告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2013-029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2013-030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年度股东大会增加提案的公告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2013-031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年度股东大会的提示性公告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2013-032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关于非公开定向债务融资工具发行的公告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2013-033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第六届董事会第十七次会议决议公告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2013-034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关于出售上海润晨股权的公告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2013-035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年第一季度报告正文</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2013-036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2013-037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w:t>
            </w:r>
            <w:r>
              <w:rPr>
                <w:rFonts w:ascii="Times New Roman" w:hAnsi="Times New Roman" w:cs="Times New Roman" w:eastAsia="Times New Roman" w:hint="default"/>
                <w:sz w:val="18"/>
                <w:szCs w:val="18"/>
              </w:rPr>
              <w:t>B</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2013-038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2013-039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w:t>
            </w:r>
            <w:r>
              <w:rPr>
                <w:rFonts w:ascii="Times New Roman" w:hAnsi="Times New Roman" w:cs="Times New Roman" w:eastAsia="Times New Roman" w:hint="default"/>
                <w:sz w:val="18"/>
                <w:szCs w:val="18"/>
              </w:rPr>
              <w:t>B</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第六届董事会第九次临时会议决议公告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关于出售延边晨鸣股权及购买资产的公告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年度股东大会决议公告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第七届董事会第一次会议决议公告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第七届监事会第一次会议决议公告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w:t>
            </w:r>
            <w:r>
              <w:rPr>
                <w:rFonts w:ascii="Times New Roman" w:hAnsi="Times New Roman" w:cs="Times New Roman" w:eastAsia="Times New Roman" w:hint="default"/>
                <w:sz w:val="18"/>
                <w:szCs w:val="18"/>
              </w:rPr>
              <w:t>B</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关于收到奖励资金的提示性公告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w:t>
            </w:r>
            <w:r>
              <w:rPr>
                <w:rFonts w:ascii="Times New Roman" w:hAnsi="Times New Roman" w:cs="Times New Roman" w:eastAsia="Times New Roman" w:hint="default"/>
                <w:sz w:val="18"/>
                <w:szCs w:val="18"/>
              </w:rPr>
              <w:t>B</w:t>
            </w:r>
            <w:r>
              <w:rPr>
                <w:rFonts w:ascii="宋体" w:hAnsi="宋体" w:cs="宋体" w:eastAsia="宋体" w:hint="default"/>
                <w:sz w:val="18"/>
                <w:szCs w:val="18"/>
              </w:rPr>
              <w:t>股事项进展情况的提示性公告（一）</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w:t>
            </w:r>
            <w:r>
              <w:rPr>
                <w:rFonts w:ascii="Times New Roman" w:hAnsi="Times New Roman" w:cs="Times New Roman" w:eastAsia="Times New Roman" w:hint="default"/>
                <w:sz w:val="18"/>
                <w:szCs w:val="18"/>
              </w:rPr>
              <w:t>B</w:t>
            </w:r>
            <w:r>
              <w:rPr>
                <w:rFonts w:ascii="宋体" w:hAnsi="宋体" w:cs="宋体" w:eastAsia="宋体" w:hint="default"/>
                <w:sz w:val="18"/>
                <w:szCs w:val="18"/>
              </w:rPr>
              <w:t>股事项进展情况的提示性公告（二）</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第七届董事会第一次临时会议决议公告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年第一次临时股东大会的通知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2013-054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2"/>
              <w:jc w:val="left"/>
              <w:rPr>
                <w:rFonts w:ascii="宋体" w:hAnsi="宋体" w:cs="宋体" w:eastAsia="宋体" w:hint="default"/>
                <w:sz w:val="18"/>
                <w:szCs w:val="18"/>
              </w:rPr>
            </w:pPr>
            <w:r>
              <w:rPr>
                <w:rFonts w:ascii="宋体" w:hAnsi="宋体" w:cs="宋体" w:eastAsia="宋体" w:hint="default"/>
                <w:spacing w:val="10"/>
                <w:sz w:val="18"/>
                <w:szCs w:val="18"/>
              </w:rPr>
              <w:t>关于召开</w:t>
            </w:r>
            <w:r>
              <w:rPr>
                <w:rFonts w:ascii="Times New Roman" w:hAnsi="Times New Roman" w:cs="Times New Roman" w:eastAsia="Times New Roman" w:hint="default"/>
                <w:spacing w:val="10"/>
                <w:sz w:val="18"/>
                <w:szCs w:val="18"/>
              </w:rPr>
              <w:t>2013</w:t>
            </w:r>
            <w:r>
              <w:rPr>
                <w:rFonts w:ascii="宋体" w:hAnsi="宋体" w:cs="宋体" w:eastAsia="宋体" w:hint="default"/>
                <w:spacing w:val="10"/>
                <w:sz w:val="18"/>
                <w:szCs w:val="18"/>
              </w:rPr>
              <w:t>年第一次境内上市股份类别股东大会及</w:t>
            </w:r>
            <w:r>
              <w:rPr>
                <w:rFonts w:ascii="宋体" w:hAnsi="宋体" w:cs="宋体" w:eastAsia="宋体" w:hint="default"/>
                <w:sz w:val="18"/>
                <w:szCs w:val="18"/>
              </w:rPr>
            </w:r>
          </w:p>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年第一次境外上市股份类别股东大会的通知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关于收到奖励资金的提示性公告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年付息公告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年年度权益分派实施公告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w:t>
            </w:r>
            <w:r>
              <w:rPr>
                <w:rFonts w:ascii="Times New Roman" w:hAnsi="Times New Roman" w:cs="Times New Roman" w:eastAsia="Times New Roman" w:hint="default"/>
                <w:sz w:val="18"/>
                <w:szCs w:val="18"/>
              </w:rPr>
              <w:t>B</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2013-059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关于召开</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晨鸣债</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年第一次债券持有人会议的通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2013-060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关于召开</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晨鸣债</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年第一次债券持有人会议的通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2013-061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年半年度业绩预告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997"/>
        <w:gridCol w:w="4424"/>
        <w:gridCol w:w="1597"/>
        <w:gridCol w:w="2639"/>
      </w:tblGrid>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2013-062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2013-063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关于更换审计机构的提示性公告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2013-064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年第一次临时股东大会增加提案的公告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2013-065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年第一次临时股东大会的通知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2013-066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2013-067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对湛江晨鸣增加综合授信提供担保的公告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2013-068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2"/>
              <w:jc w:val="left"/>
              <w:rPr>
                <w:rFonts w:ascii="宋体" w:hAnsi="宋体" w:cs="宋体" w:eastAsia="宋体" w:hint="default"/>
                <w:sz w:val="18"/>
                <w:szCs w:val="18"/>
              </w:rPr>
            </w:pPr>
            <w:r>
              <w:rPr>
                <w:rFonts w:ascii="宋体" w:hAnsi="宋体" w:cs="宋体" w:eastAsia="宋体" w:hint="default"/>
                <w:spacing w:val="10"/>
                <w:sz w:val="18"/>
                <w:szCs w:val="18"/>
              </w:rPr>
              <w:t>关于召开</w:t>
            </w:r>
            <w:r>
              <w:rPr>
                <w:rFonts w:ascii="Times New Roman" w:hAnsi="Times New Roman" w:cs="Times New Roman" w:eastAsia="Times New Roman" w:hint="default"/>
                <w:spacing w:val="10"/>
                <w:sz w:val="18"/>
                <w:szCs w:val="18"/>
              </w:rPr>
              <w:t>2013</w:t>
            </w:r>
            <w:r>
              <w:rPr>
                <w:rFonts w:ascii="宋体" w:hAnsi="宋体" w:cs="宋体" w:eastAsia="宋体" w:hint="default"/>
                <w:spacing w:val="10"/>
                <w:sz w:val="18"/>
                <w:szCs w:val="18"/>
              </w:rPr>
              <w:t>年第一次境内上市股份类别股东大会及</w:t>
            </w:r>
            <w:r>
              <w:rPr>
                <w:rFonts w:ascii="宋体" w:hAnsi="宋体" w:cs="宋体" w:eastAsia="宋体" w:hint="default"/>
                <w:sz w:val="18"/>
                <w:szCs w:val="18"/>
              </w:rPr>
            </w:r>
          </w:p>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年第一次境外上市股份类别股东大会的通知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2013-069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2013-070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关于控股子公司土地中标的提示性公告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2013-071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半年度报告摘要</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2013-072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股股份并减少注册资本的公告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2013-073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第七届董事会第二次会议决议公告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2013-074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年第一次临时股东大会决议公告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971"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2013-075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年第一次境内上市股份（</w:t>
            </w:r>
            <w:r>
              <w:rPr>
                <w:rFonts w:ascii="Times New Roman" w:hAnsi="Times New Roman" w:cs="Times New Roman" w:eastAsia="Times New Roman" w:hint="default"/>
                <w:sz w:val="18"/>
                <w:szCs w:val="18"/>
              </w:rPr>
              <w:t>A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B</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股）类别股东大 会决议及</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年第一次境外上市股份（</w:t>
            </w:r>
            <w:r>
              <w:rPr>
                <w:rFonts w:ascii="Times New Roman" w:hAnsi="Times New Roman" w:cs="Times New Roman" w:eastAsia="Times New Roman" w:hint="default"/>
                <w:sz w:val="18"/>
                <w:szCs w:val="18"/>
              </w:rPr>
              <w:t>H </w:t>
            </w:r>
            <w:r>
              <w:rPr>
                <w:rFonts w:ascii="宋体" w:hAnsi="宋体" w:cs="宋体" w:eastAsia="宋体" w:hint="default"/>
                <w:sz w:val="18"/>
                <w:szCs w:val="18"/>
              </w:rPr>
              <w:t>股）类别股东 大会决议公告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2013-076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年度第一期中期票据持有人会议的通知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60"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2013-077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关于无法召开</w:t>
            </w:r>
            <w:r>
              <w:rPr>
                <w:rFonts w:ascii="Times New Roman" w:hAnsi="Times New Roman" w:cs="Times New Roman" w:eastAsia="Times New Roman" w:hint="default"/>
                <w:spacing w:val="4"/>
                <w:sz w:val="18"/>
                <w:szCs w:val="18"/>
              </w:rPr>
              <w:t>“11 </w:t>
            </w:r>
            <w:r>
              <w:rPr>
                <w:rFonts w:ascii="宋体" w:hAnsi="宋体" w:cs="宋体" w:eastAsia="宋体" w:hint="default"/>
                <w:spacing w:val="2"/>
                <w:sz w:val="18"/>
                <w:szCs w:val="18"/>
              </w:rPr>
              <w:t>晨鸣债</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26"/>
                <w:sz w:val="18"/>
                <w:szCs w:val="18"/>
              </w:rPr>
              <w:t> </w:t>
            </w:r>
            <w:r>
              <w:rPr>
                <w:rFonts w:ascii="宋体" w:hAnsi="宋体" w:cs="宋体" w:eastAsia="宋体" w:hint="default"/>
                <w:spacing w:val="6"/>
                <w:sz w:val="18"/>
                <w:szCs w:val="18"/>
              </w:rPr>
              <w:t>年第一次债券持有人会</w:t>
            </w:r>
            <w:r>
              <w:rPr>
                <w:rFonts w:ascii="宋体" w:hAnsi="宋体" w:cs="宋体" w:eastAsia="宋体" w:hint="default"/>
                <w:spacing w:val="7"/>
                <w:sz w:val="18"/>
                <w:szCs w:val="18"/>
              </w:rPr>
              <w:t> </w:t>
            </w:r>
            <w:r>
              <w:rPr>
                <w:rFonts w:ascii="宋体" w:hAnsi="宋体" w:cs="宋体" w:eastAsia="宋体" w:hint="default"/>
                <w:sz w:val="18"/>
                <w:szCs w:val="18"/>
              </w:rPr>
              <w:t>议的公告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2013-078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关于无法召开</w:t>
            </w:r>
            <w:r>
              <w:rPr>
                <w:rFonts w:ascii="Times New Roman" w:hAnsi="Times New Roman" w:cs="Times New Roman" w:eastAsia="Times New Roman" w:hint="default"/>
                <w:spacing w:val="4"/>
                <w:sz w:val="18"/>
                <w:szCs w:val="18"/>
              </w:rPr>
              <w:t>“12 </w:t>
            </w:r>
            <w:r>
              <w:rPr>
                <w:rFonts w:ascii="宋体" w:hAnsi="宋体" w:cs="宋体" w:eastAsia="宋体" w:hint="default"/>
                <w:spacing w:val="2"/>
                <w:sz w:val="18"/>
                <w:szCs w:val="18"/>
              </w:rPr>
              <w:t>晨鸣债</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26"/>
                <w:sz w:val="18"/>
                <w:szCs w:val="18"/>
              </w:rPr>
              <w:t> </w:t>
            </w:r>
            <w:r>
              <w:rPr>
                <w:rFonts w:ascii="宋体" w:hAnsi="宋体" w:cs="宋体" w:eastAsia="宋体" w:hint="default"/>
                <w:spacing w:val="6"/>
                <w:sz w:val="18"/>
                <w:szCs w:val="18"/>
              </w:rPr>
              <w:t>年第一次债券持有人会</w:t>
            </w:r>
            <w:r>
              <w:rPr>
                <w:rFonts w:ascii="宋体" w:hAnsi="宋体" w:cs="宋体" w:eastAsia="宋体" w:hint="default"/>
                <w:spacing w:val="7"/>
                <w:sz w:val="18"/>
                <w:szCs w:val="18"/>
              </w:rPr>
              <w:t> </w:t>
            </w:r>
            <w:r>
              <w:rPr>
                <w:rFonts w:ascii="宋体" w:hAnsi="宋体" w:cs="宋体" w:eastAsia="宋体" w:hint="default"/>
                <w:sz w:val="18"/>
                <w:szCs w:val="18"/>
              </w:rPr>
              <w:t>议的公告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2013-079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关于短期融资券获准注册的公告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2013-080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2013-081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
              <w:jc w:val="left"/>
              <w:rPr>
                <w:rFonts w:ascii="宋体" w:hAnsi="宋体" w:cs="宋体" w:eastAsia="宋体" w:hint="default"/>
                <w:sz w:val="18"/>
                <w:szCs w:val="18"/>
              </w:rPr>
            </w:pPr>
            <w:r>
              <w:rPr>
                <w:rFonts w:ascii="宋体" w:hAnsi="宋体" w:cs="宋体" w:eastAsia="宋体" w:hint="default"/>
                <w:spacing w:val="3"/>
                <w:sz w:val="18"/>
                <w:szCs w:val="18"/>
              </w:rPr>
              <w:t>关于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4"/>
                <w:sz w:val="18"/>
                <w:szCs w:val="18"/>
              </w:rPr>
              <w:t> </w:t>
            </w:r>
            <w:r>
              <w:rPr>
                <w:rFonts w:ascii="宋体" w:hAnsi="宋体" w:cs="宋体" w:eastAsia="宋体" w:hint="default"/>
                <w:spacing w:val="5"/>
                <w:sz w:val="18"/>
                <w:szCs w:val="18"/>
              </w:rPr>
              <w:t>年度第一期中期票据持有人会议召开情况的</w:t>
            </w:r>
            <w:r>
              <w:rPr>
                <w:rFonts w:ascii="宋体" w:hAnsi="宋体" w:cs="宋体" w:eastAsia="宋体" w:hint="default"/>
                <w:spacing w:val="6"/>
                <w:sz w:val="18"/>
                <w:szCs w:val="18"/>
              </w:rPr>
              <w:t> </w:t>
            </w:r>
            <w:r>
              <w:rPr>
                <w:rFonts w:ascii="宋体" w:hAnsi="宋体" w:cs="宋体" w:eastAsia="宋体" w:hint="default"/>
                <w:sz w:val="18"/>
                <w:szCs w:val="18"/>
              </w:rPr>
              <w:t>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59"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2013-082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
              <w:jc w:val="left"/>
              <w:rPr>
                <w:rFonts w:ascii="宋体" w:hAnsi="宋体" w:cs="宋体" w:eastAsia="宋体" w:hint="default"/>
                <w:sz w:val="18"/>
                <w:szCs w:val="18"/>
              </w:rPr>
            </w:pPr>
            <w:r>
              <w:rPr>
                <w:rFonts w:ascii="宋体" w:hAnsi="宋体" w:cs="宋体" w:eastAsia="宋体" w:hint="default"/>
                <w:spacing w:val="3"/>
                <w:sz w:val="18"/>
                <w:szCs w:val="18"/>
              </w:rPr>
              <w:t>关于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4"/>
                <w:sz w:val="18"/>
                <w:szCs w:val="18"/>
              </w:rPr>
              <w:t> </w:t>
            </w:r>
            <w:r>
              <w:rPr>
                <w:rFonts w:ascii="宋体" w:hAnsi="宋体" w:cs="宋体" w:eastAsia="宋体" w:hint="default"/>
                <w:spacing w:val="5"/>
                <w:sz w:val="18"/>
                <w:szCs w:val="18"/>
              </w:rPr>
              <w:t>年度第一期非公开定向债务融资工具持有人</w:t>
            </w:r>
            <w:r>
              <w:rPr>
                <w:rFonts w:ascii="宋体" w:hAnsi="宋体" w:cs="宋体" w:eastAsia="宋体" w:hint="default"/>
                <w:spacing w:val="6"/>
                <w:sz w:val="18"/>
                <w:szCs w:val="18"/>
              </w:rPr>
              <w:t> </w:t>
            </w:r>
            <w:r>
              <w:rPr>
                <w:rFonts w:ascii="宋体" w:hAnsi="宋体" w:cs="宋体" w:eastAsia="宋体" w:hint="default"/>
                <w:sz w:val="18"/>
                <w:szCs w:val="18"/>
              </w:rPr>
              <w:t>会议召开情况的公告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2013-083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股股份并减少注册资本的第二次公告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2013-084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年度第一期短期融资券发行结果的公告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2013-085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股股份并减少注册资本的第三次公告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2013-086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第七届董事会第二次临时会议决议公告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2013-087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2013-088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2013-089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2013-090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对黄冈晨鸣提供担保的公告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2013-091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关于收购鸿翔印刷股权的公告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2013-092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关于对外投资的公告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2013-093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年第二次临时股东大会的通知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2013-094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第七届监事会第三次会议决议公告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997"/>
        <w:gridCol w:w="4424"/>
        <w:gridCol w:w="1597"/>
        <w:gridCol w:w="2639"/>
      </w:tblGrid>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2013-095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2013-096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关于收到补助资金的提示性公告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2013-097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年前三季度业绩预告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2013-098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年第三季度报告正文</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2013-099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年第二次临时股东大会增加提案的公告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年第二次临时股东大会的通知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关于湛江晨鸣为广东慧锐提供担保的公告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年度第二期短期融资券发行结果的公告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2013-105</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第七届董事会第三次临时会议决议公告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2013-106</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关于出售新力热电股权的公告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2013-107</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年第二次临时股东大会决议公告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2013-108</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关于筹建财务公司获得中国银监会批复的公告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2013-109</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关于回购部分</w:t>
            </w:r>
            <w:r>
              <w:rPr>
                <w:rFonts w:ascii="Times New Roman" w:hAnsi="Times New Roman" w:cs="Times New Roman" w:eastAsia="Times New Roman" w:hint="default"/>
                <w:sz w:val="18"/>
                <w:szCs w:val="18"/>
              </w:rPr>
              <w:t>B</w:t>
            </w:r>
            <w:r>
              <w:rPr>
                <w:rFonts w:ascii="宋体" w:hAnsi="宋体" w:cs="宋体" w:eastAsia="宋体" w:hint="default"/>
                <w:sz w:val="18"/>
                <w:szCs w:val="18"/>
              </w:rPr>
              <w:t>股事项进展情况的提示性公告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8"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2013-110</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关于高管人员职务变动的公告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2013-111</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关于完成回购部分</w:t>
            </w:r>
            <w:r>
              <w:rPr>
                <w:rFonts w:ascii="Times New Roman" w:hAnsi="Times New Roman" w:cs="Times New Roman" w:eastAsia="Times New Roman" w:hint="default"/>
                <w:sz w:val="18"/>
                <w:szCs w:val="18"/>
              </w:rPr>
              <w:t>B</w:t>
            </w:r>
            <w:r>
              <w:rPr>
                <w:rFonts w:ascii="宋体" w:hAnsi="宋体" w:cs="宋体" w:eastAsia="宋体" w:hint="default"/>
                <w:sz w:val="18"/>
                <w:szCs w:val="18"/>
              </w:rPr>
              <w:t>股事项的公告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2013-112</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晨鸣债</w:t>
            </w:r>
            <w:r>
              <w:rPr>
                <w:rFonts w:ascii="Times New Roman" w:hAnsi="Times New Roman" w:cs="Times New Roman" w:eastAsia="Times New Roman" w:hint="default"/>
                <w:sz w:val="18"/>
                <w:szCs w:val="18"/>
              </w:rPr>
              <w:t>”2013</w:t>
            </w:r>
            <w:r>
              <w:rPr>
                <w:rFonts w:ascii="宋体" w:hAnsi="宋体" w:cs="宋体" w:eastAsia="宋体" w:hint="default"/>
                <w:sz w:val="18"/>
                <w:szCs w:val="18"/>
              </w:rPr>
              <w:t>年付息公告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47"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2013-113</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关于控股子公司收到迁建补偿款的提示性公告</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660" w:hRule="exact"/>
        </w:trPr>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2013-114</w:t>
            </w:r>
          </w:p>
        </w:tc>
        <w:tc>
          <w:tcPr>
            <w:tcW w:w="442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关于回购部分境内上市外资股（</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股）股份实施完毕及股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份变动报告书</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2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十三、公司子公司重要事项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、控股子公司武汉晨鸣收到拆迁补偿款的事项 </w:t>
      </w:r>
      <w:r>
        <w:rPr>
          <w:spacing w:val="-2"/>
        </w:rPr>
        <w:t>武汉市政府根据</w:t>
      </w:r>
      <w:r>
        <w:rPr>
          <w:rFonts w:ascii="Times New Roman" w:hAnsi="Times New Roman" w:cs="Times New Roman" w:eastAsia="Times New Roman" w:hint="default"/>
          <w:spacing w:val="-2"/>
        </w:rPr>
        <w:t>“</w:t>
      </w:r>
      <w:r>
        <w:rPr>
          <w:spacing w:val="-2"/>
        </w:rPr>
        <w:t>武汉晨鸣公司淘汰落后产能环保迁建</w:t>
      </w:r>
      <w:r>
        <w:rPr>
          <w:rFonts w:ascii="Times New Roman" w:hAnsi="Times New Roman" w:cs="Times New Roman" w:eastAsia="Times New Roman" w:hint="default"/>
          <w:spacing w:val="-2"/>
        </w:rPr>
        <w:t>”</w:t>
      </w:r>
      <w:r>
        <w:rPr>
          <w:spacing w:val="-2"/>
        </w:rPr>
        <w:t>的会议精神，为缓解武汉晨鸣因环保搬迁、技术改造带来的资金</w:t>
      </w:r>
    </w:p>
    <w:p>
      <w:pPr>
        <w:pStyle w:val="BodyText"/>
        <w:spacing w:line="240" w:lineRule="auto" w:before="13"/>
        <w:ind w:left="154" w:right="0"/>
        <w:jc w:val="both"/>
        <w:rPr>
          <w:rFonts w:ascii="Times New Roman" w:hAnsi="Times New Roman" w:cs="Times New Roman" w:eastAsia="Times New Roman" w:hint="default"/>
        </w:rPr>
      </w:pPr>
      <w:r>
        <w:rPr>
          <w:spacing w:val="-3"/>
        </w:rPr>
        <w:t>压力，对武汉晨鸣环保迁建过程中拆迁、基础设施建设、停产停业损失以及人员安置等支出给予政府支持。截至 </w:t>
      </w:r>
      <w:r>
        <w:rPr>
          <w:rFonts w:ascii="Times New Roman" w:hAnsi="Times New Roman" w:cs="Times New Roman" w:eastAsia="Times New Roman" w:hint="default"/>
        </w:rPr>
        <w:t>2013  </w:t>
      </w:r>
      <w:r>
        <w:rPr/>
        <w:t>年</w:t>
      </w:r>
      <w:r>
        <w:rPr>
          <w:spacing w:val="-26"/>
        </w:rPr>
        <w:t> </w:t>
      </w:r>
      <w:r>
        <w:rPr>
          <w:rFonts w:ascii="Times New Roman" w:hAnsi="Times New Roman" w:cs="Times New Roman" w:eastAsia="Times New Roman" w:hint="default"/>
        </w:rPr>
        <w:t>12</w:t>
      </w:r>
    </w:p>
    <w:p>
      <w:pPr>
        <w:pStyle w:val="BodyText"/>
        <w:spacing w:line="309" w:lineRule="auto" w:before="62"/>
        <w:ind w:left="154" w:right="150"/>
        <w:jc w:val="both"/>
      </w:pPr>
      <w:r>
        <w:rPr/>
        <w:t>月 </w:t>
      </w:r>
      <w:r>
        <w:rPr>
          <w:rFonts w:ascii="Times New Roman" w:hAnsi="Times New Roman" w:cs="Times New Roman" w:eastAsia="Times New Roman" w:hint="default"/>
        </w:rPr>
        <w:t>23 </w:t>
      </w:r>
      <w:r>
        <w:rPr/>
        <w:t>日，武汉晨鸣已收到武汉经济技术开发区财政局拨付的环保迁建和职工安置补偿金合计人民币 </w:t>
      </w:r>
      <w:r>
        <w:rPr>
          <w:rFonts w:ascii="Times New Roman" w:hAnsi="Times New Roman" w:cs="Times New Roman" w:eastAsia="Times New Roman" w:hint="default"/>
        </w:rPr>
        <w:t>31,484</w:t>
      </w:r>
      <w:r>
        <w:rPr>
          <w:rFonts w:ascii="Times New Roman" w:hAnsi="Times New Roman" w:cs="Times New Roman" w:eastAsia="Times New Roman" w:hint="default"/>
          <w:spacing w:val="16"/>
        </w:rPr>
        <w:t> </w:t>
      </w:r>
      <w:r>
        <w:rPr/>
        <w:t>万元。该笔款 </w:t>
      </w:r>
      <w:r>
        <w:rPr>
          <w:spacing w:val="-2"/>
        </w:rPr>
        <w:t>项主要用于支付武汉晨鸣环保迁建过程中拆迁、基础设施建设、停产停业损失以及人员安置所发生的费用。详情请参阅公司</w:t>
      </w:r>
      <w:r>
        <w:rPr>
          <w:spacing w:val="-66"/>
        </w:rPr>
        <w:t> </w:t>
      </w:r>
      <w:r>
        <w:rPr>
          <w:spacing w:val="-66"/>
        </w:rPr>
      </w: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日在巨潮资讯网上披露的相关公告，公告编号：</w:t>
      </w:r>
      <w:r>
        <w:rPr>
          <w:rFonts w:ascii="Times New Roman" w:hAnsi="Times New Roman" w:cs="Times New Roman" w:eastAsia="Times New Roman" w:hint="default"/>
        </w:rPr>
        <w:t>2013-113</w:t>
      </w:r>
      <w:r>
        <w:rPr/>
        <w:t>。</w:t>
      </w:r>
    </w:p>
    <w:p>
      <w:pPr>
        <w:pStyle w:val="BodyText"/>
        <w:spacing w:line="240" w:lineRule="auto" w:before="5"/>
        <w:ind w:left="514" w:right="0"/>
        <w:jc w:val="left"/>
      </w:pPr>
      <w:r>
        <w:rPr>
          <w:rFonts w:ascii="Times New Roman" w:hAnsi="Times New Roman" w:cs="Times New Roman" w:eastAsia="Times New Roman" w:hint="default"/>
        </w:rPr>
        <w:t>2</w:t>
      </w:r>
      <w:r>
        <w:rPr/>
        <w:t>、控股子公司晨鸣热电出售新力热电</w:t>
      </w:r>
      <w:r>
        <w:rPr>
          <w:rFonts w:ascii="Times New Roman" w:hAnsi="Times New Roman" w:cs="Times New Roman" w:eastAsia="Times New Roman" w:hint="default"/>
        </w:rPr>
        <w:t>51%</w:t>
      </w:r>
      <w:r>
        <w:rPr/>
        <w:t>股权</w:t>
      </w:r>
    </w:p>
    <w:p>
      <w:pPr>
        <w:pStyle w:val="BodyText"/>
        <w:spacing w:line="300" w:lineRule="auto" w:before="62"/>
        <w:ind w:left="154" w:right="149" w:firstLine="299"/>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日，公司召开的第七届董事会第三次临时会议审议通过了</w:t>
      </w:r>
      <w:r>
        <w:rPr>
          <w:rFonts w:ascii="Times New Roman" w:hAnsi="Times New Roman" w:cs="Times New Roman" w:eastAsia="Times New Roman" w:hint="default"/>
        </w:rPr>
        <w:t>“</w:t>
      </w:r>
      <w:r>
        <w:rPr/>
        <w:t>关于出售新力热电股权的议案</w:t>
      </w:r>
      <w:r>
        <w:rPr>
          <w:rFonts w:ascii="Times New Roman" w:hAnsi="Times New Roman" w:cs="Times New Roman" w:eastAsia="Times New Roman" w:hint="default"/>
        </w:rPr>
        <w:t>”</w:t>
      </w:r>
      <w:r>
        <w:rPr/>
        <w:t>，同意出售山东 晨鸣热电股份有限公司持有山东晨鸣新力热电有限公司</w:t>
      </w:r>
      <w:r>
        <w:rPr>
          <w:rFonts w:ascii="Times New Roman" w:hAnsi="Times New Roman" w:cs="Times New Roman" w:eastAsia="Times New Roman" w:hint="default"/>
        </w:rPr>
        <w:t>51%</w:t>
      </w:r>
      <w:r>
        <w:rPr/>
        <w:t>的股权（公司持有晨鸣热电</w:t>
      </w:r>
      <w:r>
        <w:rPr>
          <w:spacing w:val="-63"/>
        </w:rPr>
        <w:t> </w:t>
      </w:r>
      <w:r>
        <w:rPr>
          <w:rFonts w:ascii="Times New Roman" w:hAnsi="Times New Roman" w:cs="Times New Roman" w:eastAsia="Times New Roman" w:hint="default"/>
        </w:rPr>
        <w:t>86.71%</w:t>
      </w:r>
      <w:r>
        <w:rPr/>
        <w:t>股权）。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日,晨鸣 热电与广东德骏投资有限公司签订了《股权转让合同》，以人民币</w:t>
      </w:r>
      <w:r>
        <w:rPr>
          <w:rFonts w:ascii="Times New Roman" w:hAnsi="Times New Roman" w:cs="Times New Roman" w:eastAsia="Times New Roman" w:hint="default"/>
        </w:rPr>
        <w:t>7,619.40</w:t>
      </w:r>
      <w:r>
        <w:rPr/>
        <w:t>万元向广东德骏投资有限公司转让晨鸣热电所持 新力热电51%的股权。上述股权转让完成后，公司将不再持有新力热电的股权。</w:t>
      </w:r>
    </w:p>
    <w:p>
      <w:pPr>
        <w:pStyle w:val="BodyText"/>
        <w:spacing w:line="316" w:lineRule="auto" w:before="31"/>
        <w:ind w:left="154" w:right="290" w:firstLine="300"/>
        <w:jc w:val="left"/>
      </w:pPr>
      <w:r>
        <w:rPr/>
        <w:t>因新力热电设备使用年限已较长，新上脱硫脱硝等环保设备投资较大，运行成本较高，公司将所持新力热电股权进行 出售，可增加公司现金流，有利于公司集中资源，发展高端优势产品，进一步提升公司业绩。</w:t>
      </w:r>
    </w:p>
    <w:p>
      <w:pPr>
        <w:pStyle w:val="BodyText"/>
        <w:spacing w:line="300" w:lineRule="auto" w:before="18"/>
        <w:ind w:left="514" w:right="0" w:hanging="60"/>
        <w:jc w:val="left"/>
      </w:pPr>
      <w:r>
        <w:rPr/>
        <w:t>详情请参阅公司于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日在巨潮资讯网上披露的相关公告。 </w:t>
      </w:r>
      <w:r>
        <w:rPr>
          <w:rFonts w:ascii="Times New Roman" w:hAnsi="Times New Roman" w:cs="Times New Roman" w:eastAsia="Times New Roman" w:hint="default"/>
        </w:rPr>
        <w:t>3</w:t>
      </w:r>
      <w:r>
        <w:rPr/>
        <w:t>、湛江晨鸣为广东慧锐提供</w:t>
      </w:r>
      <w:r>
        <w:rPr>
          <w:rFonts w:ascii="Times New Roman" w:hAnsi="Times New Roman" w:cs="Times New Roman" w:eastAsia="Times New Roman" w:hint="default"/>
        </w:rPr>
        <w:t>4000</w:t>
      </w:r>
      <w:r>
        <w:rPr/>
        <w:t>万元担保 </w:t>
      </w:r>
      <w:r>
        <w:rPr>
          <w:spacing w:val="-2"/>
        </w:rPr>
        <w:t>为保障广东慧锐投资有限公司生产经营和项目建设资金需求并降低其财务费用，公司董事会同意广东慧锐向湛江市代建</w:t>
      </w:r>
    </w:p>
    <w:p>
      <w:pPr>
        <w:pStyle w:val="BodyText"/>
        <w:spacing w:line="300" w:lineRule="auto" w:before="31"/>
        <w:ind w:left="154" w:right="188" w:hanging="1"/>
        <w:jc w:val="both"/>
      </w:pPr>
      <w:r>
        <w:rPr/>
        <w:t>项目管理局开立人民币</w:t>
      </w:r>
      <w:r>
        <w:rPr>
          <w:rFonts w:ascii="Times New Roman" w:hAnsi="Times New Roman" w:cs="Times New Roman" w:eastAsia="Times New Roman" w:hint="default"/>
        </w:rPr>
        <w:t>4,000</w:t>
      </w:r>
      <w:r>
        <w:rPr/>
        <w:t>万元银行保函，以置换之前广东慧锐因履行《湛江市海东新区岸线和滩涂综合治理工程 </w:t>
      </w:r>
      <w:r>
        <w:rPr>
          <w:rFonts w:ascii="Times New Roman" w:hAnsi="Times New Roman" w:cs="Times New Roman" w:eastAsia="Times New Roman" w:hint="default"/>
        </w:rPr>
        <w:t>BT</w:t>
      </w:r>
      <w:r>
        <w:rPr>
          <w:rFonts w:ascii="Times New Roman" w:hAnsi="Times New Roman" w:cs="Times New Roman" w:eastAsia="Times New Roman" w:hint="default"/>
          <w:spacing w:val="7"/>
        </w:rPr>
        <w:t> </w:t>
      </w:r>
      <w:r>
        <w:rPr/>
        <w:t>建 设项目合同》而缴纳的履约保证金人民币</w:t>
      </w:r>
      <w:r>
        <w:rPr>
          <w:rFonts w:ascii="Times New Roman" w:hAnsi="Times New Roman" w:cs="Times New Roman" w:eastAsia="Times New Roman" w:hint="default"/>
        </w:rPr>
        <w:t>4,000</w:t>
      </w:r>
      <w:r>
        <w:rPr/>
        <w:t>万元，以提高资金的使用效率；同时，应出具保函的银行要求，湛江晨鸣浆</w:t>
      </w:r>
    </w:p>
    <w:p>
      <w:pPr>
        <w:spacing w:after="0" w:line="300" w:lineRule="auto"/>
        <w:jc w:val="both"/>
        <w:sectPr>
          <w:pgSz w:w="11910" w:h="16840"/>
          <w:pgMar w:header="877" w:footer="950" w:top="1100" w:bottom="1140" w:left="980" w:right="980"/>
        </w:sectPr>
      </w:pPr>
    </w:p>
    <w:p>
      <w:pPr>
        <w:spacing w:line="240" w:lineRule="auto" w:before="12"/>
        <w:rPr>
          <w:rFonts w:ascii="宋体" w:hAnsi="宋体" w:cs="宋体" w:eastAsia="宋体" w:hint="default"/>
          <w:sz w:val="21"/>
          <w:szCs w:val="21"/>
        </w:rPr>
      </w:pPr>
    </w:p>
    <w:p>
      <w:pPr>
        <w:pStyle w:val="BodyText"/>
        <w:spacing w:line="300" w:lineRule="auto" w:before="44"/>
        <w:ind w:right="244"/>
        <w:jc w:val="left"/>
      </w:pPr>
      <w:r>
        <w:rPr/>
        <w:t>纸有限公司为广东慧锐的本银行保函提供人民币</w:t>
      </w:r>
      <w:r>
        <w:rPr>
          <w:rFonts w:ascii="Times New Roman" w:hAnsi="Times New Roman" w:cs="Times New Roman" w:eastAsia="Times New Roman" w:hint="default"/>
        </w:rPr>
        <w:t>4,000</w:t>
      </w:r>
      <w:r>
        <w:rPr/>
        <w:t>万元的担保，担保期限两年，具体日期以合同约定为准。详情请参阅 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日在巨潮资讯网上披露的相关公告，公告编号：</w:t>
      </w:r>
      <w:r>
        <w:rPr>
          <w:rFonts w:ascii="Times New Roman" w:hAnsi="Times New Roman" w:cs="Times New Roman" w:eastAsia="Times New Roman" w:hint="default"/>
        </w:rPr>
        <w:t>2013-101</w:t>
      </w:r>
      <w:r>
        <w:rPr/>
        <w:t>。</w:t>
      </w:r>
    </w:p>
    <w:p>
      <w:pPr>
        <w:pStyle w:val="BodyText"/>
        <w:spacing w:line="300" w:lineRule="auto" w:before="13"/>
        <w:ind w:left="513" w:right="90"/>
        <w:jc w:val="left"/>
      </w:pPr>
      <w:r>
        <w:rPr>
          <w:rFonts w:ascii="Times New Roman" w:hAnsi="Times New Roman" w:cs="Times New Roman" w:eastAsia="Times New Roman" w:hint="default"/>
        </w:rPr>
        <w:t>4</w:t>
      </w:r>
      <w:r>
        <w:rPr/>
        <w:t>、江西晨鸣合作建设港口 </w:t>
      </w:r>
      <w:r>
        <w:rPr>
          <w:spacing w:val="-2"/>
        </w:rPr>
        <w:t>为降低运输成本，充分利用江西晨鸣所拥有的海岸线及港口建设用地，江西晨鸣与南昌市宝龙建筑工程有限公司共同出</w:t>
      </w:r>
    </w:p>
    <w:p>
      <w:pPr>
        <w:pStyle w:val="BodyText"/>
        <w:spacing w:line="316" w:lineRule="auto" w:before="31"/>
        <w:ind w:right="101"/>
        <w:jc w:val="left"/>
      </w:pPr>
      <w:r>
        <w:rPr>
          <w:spacing w:val="-2"/>
        </w:rPr>
        <w:t>资成立江西晨鸣港务有限责任公司。此次投资在满足江西晨鸣运输需求的同时，能够给公司创造效益，增强江西晨鸣的盈利</w:t>
      </w:r>
      <w:r>
        <w:rPr>
          <w:spacing w:val="-66"/>
        </w:rPr>
        <w:t> </w:t>
      </w:r>
      <w:r>
        <w:rPr>
          <w:spacing w:val="-66"/>
        </w:rPr>
      </w:r>
      <w:r>
        <w:rPr>
          <w:spacing w:val="-1"/>
        </w:rPr>
        <w:t>能力，保障公司的可持续性发展。详情请参阅公司于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日在巨潮资讯网上披露的相关公告，公告编号：</w:t>
      </w:r>
      <w:r>
        <w:rPr>
          <w:rFonts w:ascii="Times New Roman" w:hAnsi="Times New Roman" w:cs="Times New Roman" w:eastAsia="Times New Roman" w:hint="default"/>
          <w:spacing w:val="-1"/>
        </w:rPr>
        <w:t>2013-088</w:t>
      </w:r>
      <w:r>
        <w:rPr>
          <w:spacing w:val="-1"/>
        </w:rPr>
        <w:t>。</w:t>
      </w:r>
    </w:p>
    <w:p>
      <w:pPr>
        <w:spacing w:line="240" w:lineRule="auto" w:before="3"/>
        <w:rPr>
          <w:rFonts w:ascii="宋体" w:hAnsi="宋体" w:cs="宋体" w:eastAsia="宋体" w:hint="default"/>
          <w:sz w:val="19"/>
          <w:szCs w:val="19"/>
        </w:rPr>
      </w:pPr>
    </w:p>
    <w:p>
      <w:pPr>
        <w:pStyle w:val="Heading2"/>
        <w:spacing w:line="240" w:lineRule="auto"/>
        <w:ind w:right="90"/>
        <w:jc w:val="left"/>
        <w:rPr>
          <w:b w:val="0"/>
          <w:bCs w:val="0"/>
        </w:rPr>
      </w:pPr>
      <w:r>
        <w:rPr/>
        <w:t>十四、公司发行公司债券的情况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54" w:right="171" w:firstLine="359"/>
        <w:jc w:val="left"/>
      </w:pPr>
      <w:r>
        <w:rPr/>
        <w:t>（</w:t>
      </w:r>
      <w:r>
        <w:rPr>
          <w:rFonts w:ascii="Times New Roman" w:hAnsi="Times New Roman" w:cs="Times New Roman" w:eastAsia="Times New Roman" w:hint="default"/>
        </w:rPr>
        <w:t>1</w:t>
      </w:r>
      <w:r>
        <w:rPr/>
        <w:t>）经中国证监会于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日签发的</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[2011]1019</w:t>
      </w:r>
      <w:r>
        <w:rPr/>
        <w:t>号</w:t>
      </w:r>
      <w:r>
        <w:rPr>
          <w:rFonts w:ascii="Times New Roman" w:hAnsi="Times New Roman" w:cs="Times New Roman" w:eastAsia="Times New Roman" w:hint="default"/>
        </w:rPr>
        <w:t>”</w:t>
      </w:r>
      <w:r>
        <w:rPr/>
        <w:t>文核准，公司获准向社会公开发行面值总额不超过 </w:t>
      </w:r>
      <w:r>
        <w:rPr>
          <w:rFonts w:ascii="Times New Roman" w:hAnsi="Times New Roman" w:cs="Times New Roman" w:eastAsia="Times New Roman" w:hint="default"/>
        </w:rPr>
        <w:t>20</w:t>
      </w:r>
      <w:r>
        <w:rPr/>
        <w:t>亿元的公司债券，本次债券为</w:t>
      </w:r>
      <w:r>
        <w:rPr>
          <w:rFonts w:ascii="Times New Roman" w:hAnsi="Times New Roman" w:cs="Times New Roman" w:eastAsia="Times New Roman" w:hint="default"/>
        </w:rPr>
        <w:t>5</w:t>
      </w:r>
      <w:r>
        <w:rPr/>
        <w:t>年期固定利率债券公司债券，票面利率为</w:t>
      </w:r>
      <w:r>
        <w:rPr>
          <w:rFonts w:ascii="Times New Roman" w:hAnsi="Times New Roman" w:cs="Times New Roman" w:eastAsia="Times New Roman" w:hint="default"/>
        </w:rPr>
        <w:t>5.95%</w:t>
      </w:r>
      <w:r>
        <w:rPr/>
        <w:t>，采取单利按年计息，不计复利，起息日 </w:t>
      </w:r>
      <w:r>
        <w:rPr>
          <w:spacing w:val="-2"/>
        </w:rPr>
        <w:t>为</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2016</w:t>
      </w:r>
      <w:r>
        <w:rPr>
          <w:spacing w:val="-2"/>
        </w:rPr>
        <w:t>年每年的</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日为上一个计息年度的付息日，到期支付本金及最后一期利息。公司已于</w:t>
      </w:r>
      <w:r>
        <w:rPr>
          <w:rFonts w:ascii="Times New Roman" w:hAnsi="Times New Roman" w:cs="Times New Roman" w:eastAsia="Times New Roman" w:hint="default"/>
          <w:spacing w:val="-2"/>
        </w:rPr>
        <w:t>2012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日披露《</w:t>
      </w:r>
      <w:r>
        <w:rPr>
          <w:rFonts w:ascii="Times New Roman" w:hAnsi="Times New Roman" w:cs="Times New Roman" w:eastAsia="Times New Roman" w:hint="default"/>
        </w:rPr>
        <w:t>2011</w:t>
      </w:r>
      <w:r>
        <w:rPr/>
        <w:t>年公司债券</w:t>
      </w:r>
      <w:r>
        <w:rPr>
          <w:rFonts w:ascii="Times New Roman" w:hAnsi="Times New Roman" w:cs="Times New Roman" w:eastAsia="Times New Roman" w:hint="default"/>
        </w:rPr>
        <w:t>2012</w:t>
      </w:r>
      <w:r>
        <w:rPr/>
        <w:t>年付息公告》，并实施完成。</w:t>
      </w:r>
    </w:p>
    <w:p>
      <w:pPr>
        <w:pStyle w:val="BodyText"/>
        <w:spacing w:line="300" w:lineRule="auto" w:before="53"/>
        <w:ind w:right="90" w:firstLine="360"/>
        <w:jc w:val="left"/>
      </w:pPr>
      <w:r>
        <w:rPr/>
        <w:t>（</w:t>
      </w:r>
      <w:r>
        <w:rPr>
          <w:rFonts w:ascii="Times New Roman" w:hAnsi="Times New Roman" w:cs="Times New Roman" w:eastAsia="Times New Roman" w:hint="default"/>
        </w:rPr>
        <w:t>2</w:t>
      </w:r>
      <w:r>
        <w:rPr/>
        <w:t>）经中国证监会于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日签发的</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[2012]1612</w:t>
      </w:r>
      <w:r>
        <w:rPr/>
        <w:t>号</w:t>
      </w:r>
      <w:r>
        <w:rPr>
          <w:rFonts w:ascii="Times New Roman" w:hAnsi="Times New Roman" w:cs="Times New Roman" w:eastAsia="Times New Roman" w:hint="default"/>
        </w:rPr>
        <w:t>”</w:t>
      </w:r>
      <w:r>
        <w:rPr/>
        <w:t>文核准，公司获准向社会公开发行面值总额不超</w:t>
      </w:r>
      <w:r>
        <w:rPr>
          <w:spacing w:val="2"/>
        </w:rPr>
        <w:t> </w:t>
      </w:r>
      <w:r>
        <w:rPr>
          <w:spacing w:val="-4"/>
        </w:rPr>
        <w:t>过</w:t>
      </w:r>
      <w:r>
        <w:rPr>
          <w:rFonts w:ascii="Times New Roman" w:hAnsi="Times New Roman" w:cs="Times New Roman" w:eastAsia="Times New Roman" w:hint="default"/>
          <w:spacing w:val="-4"/>
        </w:rPr>
        <w:t>38</w:t>
      </w:r>
      <w:r>
        <w:rPr>
          <w:spacing w:val="-4"/>
        </w:rPr>
        <w:t>亿元的公司债券，本次债券为</w:t>
      </w:r>
      <w:r>
        <w:rPr>
          <w:rFonts w:ascii="Times New Roman" w:hAnsi="Times New Roman" w:cs="Times New Roman" w:eastAsia="Times New Roman" w:hint="default"/>
          <w:spacing w:val="-4"/>
        </w:rPr>
        <w:t>5</w:t>
      </w:r>
      <w:r>
        <w:rPr>
          <w:spacing w:val="-4"/>
        </w:rPr>
        <w:t>年期，附第</w:t>
      </w:r>
      <w:r>
        <w:rPr>
          <w:rFonts w:ascii="Times New Roman" w:hAnsi="Times New Roman" w:cs="Times New Roman" w:eastAsia="Times New Roman" w:hint="default"/>
          <w:spacing w:val="-4"/>
        </w:rPr>
        <w:t>3</w:t>
      </w:r>
      <w:r>
        <w:rPr>
          <w:spacing w:val="-4"/>
        </w:rPr>
        <w:t>年末发行人上调票面利率选择权和投资者回售选择权，本次债券为固定利率，</w:t>
      </w:r>
      <w:r>
        <w:rPr>
          <w:spacing w:val="-36"/>
        </w:rPr>
        <w:t> </w:t>
      </w:r>
      <w:r>
        <w:rPr>
          <w:spacing w:val="-36"/>
        </w:rPr>
      </w:r>
      <w:r>
        <w:rPr/>
        <w:t>票面利率为</w:t>
      </w:r>
      <w:r>
        <w:rPr>
          <w:rFonts w:ascii="Times New Roman" w:hAnsi="Times New Roman" w:cs="Times New Roman" w:eastAsia="Times New Roman" w:hint="default"/>
        </w:rPr>
        <w:t>5.65%</w:t>
      </w:r>
      <w:r>
        <w:rPr/>
        <w:t>，采取单利按年计息，不计复利，起息日为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2017</w:t>
      </w:r>
      <w:r>
        <w:rPr/>
        <w:t>年每年的</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日为上一个计 </w:t>
      </w:r>
      <w:r>
        <w:rPr>
          <w:spacing w:val="-2"/>
        </w:rPr>
        <w:t>息年度的付息日，如投资者行使回售选择权，则回售部分债券的付息日为</w:t>
      </w:r>
      <w:r>
        <w:rPr>
          <w:rFonts w:ascii="Times New Roman" w:hAnsi="Times New Roman" w:cs="Times New Roman" w:eastAsia="Times New Roman" w:hint="default"/>
          <w:spacing w:val="-2"/>
        </w:rPr>
        <w:t>2013</w:t>
      </w:r>
      <w:r>
        <w:rPr>
          <w:spacing w:val="-2"/>
        </w:rPr>
        <w:t>年至</w:t>
      </w:r>
      <w:r>
        <w:rPr>
          <w:rFonts w:ascii="Times New Roman" w:hAnsi="Times New Roman" w:cs="Times New Roman" w:eastAsia="Times New Roman" w:hint="default"/>
          <w:spacing w:val="-2"/>
        </w:rPr>
        <w:t>2015</w:t>
      </w:r>
      <w:r>
        <w:rPr>
          <w:spacing w:val="-2"/>
        </w:rPr>
        <w:t>年每年的</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日，到期支付本金及</w:t>
      </w:r>
      <w:r>
        <w:rPr>
          <w:spacing w:val="-55"/>
        </w:rPr>
        <w:t> </w:t>
      </w:r>
      <w:r>
        <w:rPr>
          <w:spacing w:val="-55"/>
        </w:rPr>
      </w:r>
      <w:r>
        <w:rPr/>
        <w:t>最后一期利息。</w:t>
      </w:r>
    </w:p>
    <w:p>
      <w:pPr>
        <w:pStyle w:val="BodyText"/>
        <w:spacing w:line="302" w:lineRule="auto" w:before="71"/>
        <w:ind w:left="154" w:right="90" w:firstLine="360"/>
        <w:jc w:val="left"/>
      </w:pPr>
      <w:r>
        <w:rPr/>
        <w:t>（</w:t>
      </w:r>
      <w:r>
        <w:rPr>
          <w:rFonts w:ascii="Times New Roman" w:hAnsi="Times New Roman" w:cs="Times New Roman" w:eastAsia="Times New Roman" w:hint="default"/>
        </w:rPr>
        <w:t>3</w:t>
      </w:r>
      <w:r>
        <w:rPr/>
        <w:t>）公司之子公司晨鸣（香港）有限公司于</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日发行人民币票据</w:t>
      </w:r>
      <w:r>
        <w:rPr>
          <w:rFonts w:ascii="Times New Roman" w:hAnsi="Times New Roman" w:cs="Times New Roman" w:eastAsia="Times New Roman" w:hint="default"/>
        </w:rPr>
        <w:t>5</w:t>
      </w:r>
      <w:r>
        <w:rPr/>
        <w:t>亿元，本次发行的人民币票据利率为年 利率</w:t>
      </w:r>
      <w:r>
        <w:rPr>
          <w:rFonts w:ascii="Times New Roman" w:hAnsi="Times New Roman" w:cs="Times New Roman" w:eastAsia="Times New Roman" w:hint="default"/>
        </w:rPr>
        <w:t>2.95%</w:t>
      </w:r>
      <w:r>
        <w:rPr/>
        <w:t>，并于每半年支付票据利息，本次票据期限为</w:t>
      </w:r>
      <w:r>
        <w:rPr>
          <w:rFonts w:ascii="Times New Roman" w:hAnsi="Times New Roman" w:cs="Times New Roman" w:eastAsia="Times New Roman" w:hint="default"/>
        </w:rPr>
        <w:t>3</w:t>
      </w:r>
      <w:r>
        <w:rPr/>
        <w:t>年，所得款项将用作晨鸣（香港）有限公司的营运资金。</w:t>
      </w:r>
    </w:p>
    <w:p>
      <w:pPr>
        <w:spacing w:line="240" w:lineRule="auto" w:before="13"/>
        <w:rPr>
          <w:rFonts w:ascii="宋体" w:hAnsi="宋体" w:cs="宋体" w:eastAsia="宋体" w:hint="default"/>
          <w:sz w:val="19"/>
          <w:szCs w:val="19"/>
        </w:rPr>
      </w:pPr>
    </w:p>
    <w:p>
      <w:pPr>
        <w:pStyle w:val="Heading2"/>
        <w:spacing w:line="240" w:lineRule="auto"/>
        <w:ind w:right="90"/>
        <w:jc w:val="left"/>
        <w:rPr>
          <w:b w:val="0"/>
          <w:bCs w:val="0"/>
        </w:rPr>
      </w:pPr>
      <w:r>
        <w:rPr/>
        <w:t>十五、公司回购股份情况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90"/>
        <w:jc w:val="left"/>
      </w:pPr>
      <w:r>
        <w:rPr/>
        <w:t>（一）回购</w:t>
      </w:r>
      <w:r>
        <w:rPr>
          <w:rFonts w:ascii="Times New Roman" w:hAnsi="Times New Roman" w:cs="Times New Roman" w:eastAsia="Times New Roman" w:hint="default"/>
        </w:rPr>
        <w:t>B</w:t>
      </w:r>
      <w:r>
        <w:rPr/>
        <w:t>股情况</w:t>
      </w:r>
    </w:p>
    <w:p>
      <w:pPr>
        <w:pStyle w:val="BodyText"/>
        <w:spacing w:line="300" w:lineRule="auto" w:before="62"/>
        <w:ind w:left="154" w:right="90" w:firstLine="359"/>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12</w:t>
      </w:r>
      <w:r>
        <w:rPr>
          <w:spacing w:val="-1"/>
        </w:rPr>
        <w:t>日，公司召开了第三次临时股东大会、境内上市股份（</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B</w:t>
      </w:r>
      <w:r>
        <w:rPr>
          <w:spacing w:val="-1"/>
        </w:rPr>
        <w:t>股）类别股东大会和境外上市股份（</w:t>
      </w:r>
      <w:r>
        <w:rPr>
          <w:rFonts w:ascii="Times New Roman" w:hAnsi="Times New Roman" w:cs="Times New Roman" w:eastAsia="Times New Roman" w:hint="default"/>
          <w:spacing w:val="-1"/>
        </w:rPr>
        <w:t>H</w:t>
      </w:r>
      <w:r>
        <w:rPr>
          <w:spacing w:val="-1"/>
        </w:rPr>
        <w:t>股）</w:t>
      </w:r>
      <w:r>
        <w:rPr/>
        <w:t> 类别股东大会，会议分别审议通过了公司回购</w:t>
      </w:r>
      <w:r>
        <w:rPr>
          <w:rFonts w:ascii="Times New Roman" w:hAnsi="Times New Roman" w:cs="Times New Roman" w:eastAsia="Times New Roman" w:hint="default"/>
        </w:rPr>
        <w:t>B</w:t>
      </w:r>
      <w:r>
        <w:rPr/>
        <w:t>股股份的议案。次日，公司公告了股东大会决议和关于回购公司</w:t>
      </w:r>
      <w:r>
        <w:rPr>
          <w:rFonts w:ascii="Times New Roman" w:hAnsi="Times New Roman" w:cs="Times New Roman" w:eastAsia="Times New Roman" w:hint="default"/>
        </w:rPr>
        <w:t>B</w:t>
      </w:r>
      <w:r>
        <w:rPr/>
        <w:t>股股份暨 减少注册资本的债权人通知。</w:t>
      </w:r>
    </w:p>
    <w:p>
      <w:pPr>
        <w:pStyle w:val="BodyText"/>
        <w:spacing w:line="300" w:lineRule="auto" w:before="31"/>
        <w:ind w:left="154" w:right="90" w:firstLine="36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日，公司获山东省商务厅鲁商务外资字【</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907</w:t>
      </w:r>
      <w:r>
        <w:rPr>
          <w:spacing w:val="-1"/>
        </w:rPr>
        <w:t>号文批复，初步同意公司回购不超过</w:t>
      </w:r>
      <w:r>
        <w:rPr>
          <w:rFonts w:ascii="Times New Roman" w:hAnsi="Times New Roman" w:cs="Times New Roman" w:eastAsia="Times New Roman" w:hint="default"/>
          <w:spacing w:val="-1"/>
        </w:rPr>
        <w:t>1.5</w:t>
      </w:r>
      <w:r>
        <w:rPr>
          <w:spacing w:val="-1"/>
        </w:rPr>
        <w:t>亿股已发行的</w:t>
      </w:r>
      <w:r>
        <w:rPr/>
        <w:t> 境内上市外资股（</w:t>
      </w:r>
      <w:r>
        <w:rPr>
          <w:rFonts w:ascii="Times New Roman" w:hAnsi="Times New Roman" w:cs="Times New Roman" w:eastAsia="Times New Roman" w:hint="default"/>
        </w:rPr>
        <w:t>B</w:t>
      </w:r>
      <w:r>
        <w:rPr/>
        <w:t>股），回购的股份以实际发生数额为准并相应减少注册资本。</w:t>
      </w:r>
    </w:p>
    <w:p>
      <w:pPr>
        <w:pStyle w:val="BodyText"/>
        <w:spacing w:line="300" w:lineRule="auto" w:before="13"/>
        <w:ind w:left="154" w:right="90" w:firstLine="359"/>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02</w:t>
      </w:r>
      <w:r>
        <w:rPr>
          <w:spacing w:val="-2"/>
        </w:rPr>
        <w:t>月</w:t>
      </w:r>
      <w:r>
        <w:rPr>
          <w:rFonts w:ascii="Times New Roman" w:hAnsi="Times New Roman" w:cs="Times New Roman" w:eastAsia="Times New Roman" w:hint="default"/>
          <w:spacing w:val="-2"/>
        </w:rPr>
        <w:t>04</w:t>
      </w:r>
      <w:r>
        <w:rPr>
          <w:spacing w:val="-2"/>
        </w:rPr>
        <w:t>日，公司获国家外汇管理局寿光市支局寿汇发【</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4</w:t>
      </w:r>
      <w:r>
        <w:rPr>
          <w:spacing w:val="-2"/>
        </w:rPr>
        <w:t>号文批复，同意公司购汇不超过</w:t>
      </w:r>
      <w:r>
        <w:rPr>
          <w:rFonts w:ascii="Times New Roman" w:hAnsi="Times New Roman" w:cs="Times New Roman" w:eastAsia="Times New Roman" w:hint="default"/>
          <w:spacing w:val="-2"/>
        </w:rPr>
        <w:t>4</w:t>
      </w:r>
      <w:r>
        <w:rPr>
          <w:spacing w:val="-2"/>
        </w:rPr>
        <w:t>亿港元，用于回</w:t>
      </w:r>
      <w:r>
        <w:rPr/>
        <w:t> 购不超过</w:t>
      </w:r>
      <w:r>
        <w:rPr>
          <w:rFonts w:ascii="Times New Roman" w:hAnsi="Times New Roman" w:cs="Times New Roman" w:eastAsia="Times New Roman" w:hint="default"/>
        </w:rPr>
        <w:t>1.5</w:t>
      </w:r>
      <w:r>
        <w:rPr/>
        <w:t>亿股境内上市外资股（</w:t>
      </w:r>
      <w:r>
        <w:rPr>
          <w:rFonts w:ascii="Times New Roman" w:hAnsi="Times New Roman" w:cs="Times New Roman" w:eastAsia="Times New Roman" w:hint="default"/>
        </w:rPr>
        <w:t>B</w:t>
      </w:r>
      <w:r>
        <w:rPr/>
        <w:t>股）。</w:t>
      </w:r>
    </w:p>
    <w:p>
      <w:pPr>
        <w:pStyle w:val="BodyText"/>
        <w:spacing w:line="300" w:lineRule="auto" w:before="13"/>
        <w:ind w:left="514" w:right="249"/>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02</w:t>
      </w:r>
      <w:r>
        <w:rPr/>
        <w:t>月</w:t>
      </w:r>
      <w:r>
        <w:rPr>
          <w:rFonts w:ascii="Times New Roman" w:hAnsi="Times New Roman" w:cs="Times New Roman" w:eastAsia="Times New Roman" w:hint="default"/>
        </w:rPr>
        <w:t>26</w:t>
      </w:r>
      <w:r>
        <w:rPr/>
        <w:t>日，公司回购</w:t>
      </w:r>
      <w:r>
        <w:rPr>
          <w:rFonts w:ascii="Times New Roman" w:hAnsi="Times New Roman" w:cs="Times New Roman" w:eastAsia="Times New Roman" w:hint="default"/>
        </w:rPr>
        <w:t>B</w:t>
      </w:r>
      <w:r>
        <w:rPr/>
        <w:t>股事项，已获深交所同意，公司发出了回购报告书等公告，正式启动回购工作。 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日，公司已累计回购</w:t>
      </w:r>
      <w:r>
        <w:rPr>
          <w:rFonts w:ascii="Times New Roman" w:hAnsi="Times New Roman" w:cs="Times New Roman" w:eastAsia="Times New Roman" w:hint="default"/>
        </w:rPr>
        <w:t>B</w:t>
      </w:r>
      <w:r>
        <w:rPr>
          <w:rFonts w:ascii="Times New Roman" w:hAnsi="Times New Roman" w:cs="Times New Roman" w:eastAsia="Times New Roman" w:hint="default"/>
          <w:spacing w:val="21"/>
        </w:rPr>
        <w:t> </w:t>
      </w:r>
      <w:r>
        <w:rPr/>
        <w:t>股数量为</w:t>
      </w:r>
      <w:r>
        <w:rPr>
          <w:rFonts w:ascii="Times New Roman" w:hAnsi="Times New Roman" w:cs="Times New Roman" w:eastAsia="Times New Roman" w:hint="default"/>
        </w:rPr>
        <w:t>86,573,974</w:t>
      </w:r>
      <w:r>
        <w:rPr/>
        <w:t>股，占公司总股本的比例为</w:t>
      </w:r>
      <w:r>
        <w:rPr>
          <w:rFonts w:ascii="Times New Roman" w:hAnsi="Times New Roman" w:cs="Times New Roman" w:eastAsia="Times New Roman" w:hint="default"/>
        </w:rPr>
        <w:t>4.1985%</w:t>
      </w:r>
      <w:r>
        <w:rPr/>
        <w:t>，购买最高价为港币</w:t>
      </w:r>
    </w:p>
    <w:p>
      <w:pPr>
        <w:pStyle w:val="BodyText"/>
        <w:spacing w:line="240" w:lineRule="auto" w:before="13"/>
        <w:ind w:left="154" w:right="90"/>
        <w:jc w:val="left"/>
      </w:pPr>
      <w:r>
        <w:rPr>
          <w:rFonts w:ascii="Times New Roman" w:hAnsi="Times New Roman" w:cs="Times New Roman" w:eastAsia="Times New Roman" w:hint="default"/>
        </w:rPr>
        <w:t>4.00</w:t>
      </w:r>
      <w:r>
        <w:rPr/>
        <w:t>元</w:t>
      </w:r>
      <w:r>
        <w:rPr>
          <w:rFonts w:ascii="Times New Roman" w:hAnsi="Times New Roman" w:cs="Times New Roman" w:eastAsia="Times New Roman" w:hint="default"/>
        </w:rPr>
        <w:t>/</w:t>
      </w:r>
      <w:r>
        <w:rPr/>
        <w:t>股，最低价为港币</w:t>
      </w:r>
      <w:r>
        <w:rPr>
          <w:rFonts w:ascii="Times New Roman" w:hAnsi="Times New Roman" w:cs="Times New Roman" w:eastAsia="Times New Roman" w:hint="default"/>
        </w:rPr>
        <w:t>3.38</w:t>
      </w:r>
      <w:r>
        <w:rPr/>
        <w:t>元</w:t>
      </w:r>
      <w:r>
        <w:rPr>
          <w:rFonts w:ascii="Times New Roman" w:hAnsi="Times New Roman" w:cs="Times New Roman" w:eastAsia="Times New Roman" w:hint="default"/>
        </w:rPr>
        <w:t>/</w:t>
      </w:r>
      <w:r>
        <w:rPr/>
        <w:t>股，支付总金额为港币</w:t>
      </w:r>
      <w:r>
        <w:rPr>
          <w:rFonts w:ascii="Times New Roman" w:hAnsi="Times New Roman" w:cs="Times New Roman" w:eastAsia="Times New Roman" w:hint="default"/>
        </w:rPr>
        <w:t>330,911,185.31</w:t>
      </w:r>
      <w:r>
        <w:rPr/>
        <w:t>元（含印花税、佣金）。</w:t>
      </w:r>
    </w:p>
    <w:p>
      <w:pPr>
        <w:pStyle w:val="BodyText"/>
        <w:spacing w:line="240" w:lineRule="auto" w:before="62"/>
        <w:ind w:left="514"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日，公司在中国证券登记结算有限责任公司深圳分公司办理完毕回购股份的注销事宜。详情请参阅公司于</w:t>
      </w:r>
    </w:p>
    <w:p>
      <w:pPr>
        <w:pStyle w:val="BodyText"/>
        <w:spacing w:line="240" w:lineRule="auto" w:before="63"/>
        <w:ind w:left="154" w:right="9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在巨潮资讯网上披露的相关公告。</w:t>
      </w:r>
    </w:p>
    <w:p>
      <w:pPr>
        <w:pStyle w:val="BodyText"/>
        <w:spacing w:line="240" w:lineRule="auto" w:before="62"/>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日，公司取得山东省商务厅《关于山东晨鸣纸业集团股份有限公司减资的批复》（鲁商务外资字</w:t>
      </w:r>
      <w:r>
        <w:rPr>
          <w:rFonts w:ascii="Times New Roman" w:hAnsi="Times New Roman" w:cs="Times New Roman" w:eastAsia="Times New Roman" w:hint="default"/>
        </w:rPr>
        <w:t>[2013]933</w:t>
      </w:r>
    </w:p>
    <w:p>
      <w:pPr>
        <w:pStyle w:val="BodyText"/>
        <w:spacing w:line="240" w:lineRule="auto" w:before="62"/>
        <w:ind w:right="90"/>
        <w:jc w:val="left"/>
      </w:pPr>
      <w:r>
        <w:rPr/>
        <w:t>号）和减资后的外商投资企业批准证书，同意公司注册资本由</w:t>
      </w:r>
      <w:r>
        <w:rPr>
          <w:rFonts w:ascii="Times New Roman" w:hAnsi="Times New Roman" w:cs="Times New Roman" w:eastAsia="Times New Roman" w:hint="default"/>
        </w:rPr>
        <w:t>206,204.5941</w:t>
      </w:r>
      <w:r>
        <w:rPr/>
        <w:t>万元人民币减至</w:t>
      </w:r>
      <w:r>
        <w:rPr>
          <w:rFonts w:ascii="Times New Roman" w:hAnsi="Times New Roman" w:cs="Times New Roman" w:eastAsia="Times New Roman" w:hint="default"/>
        </w:rPr>
        <w:t>197,547.1967</w:t>
      </w:r>
      <w:r>
        <w:rPr/>
        <w:t>万元人民币。</w:t>
      </w:r>
    </w:p>
    <w:p>
      <w:pPr>
        <w:pStyle w:val="BodyText"/>
        <w:spacing w:line="300" w:lineRule="auto" w:before="62"/>
        <w:ind w:left="154" w:right="180"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日，公司在山东省工商局办理了减资备案手续，取得了减资后的营业执照，注册资本为</w:t>
      </w:r>
      <w:r>
        <w:rPr>
          <w:rFonts w:ascii="Times New Roman" w:hAnsi="Times New Roman" w:cs="Times New Roman" w:eastAsia="Times New Roman" w:hint="default"/>
        </w:rPr>
        <w:t>197,547.1967</w:t>
      </w:r>
      <w:r>
        <w:rPr/>
        <w:t>万元人 民币。</w:t>
      </w:r>
    </w:p>
    <w:p>
      <w:pPr>
        <w:pStyle w:val="BodyText"/>
        <w:spacing w:line="240" w:lineRule="auto" w:before="31"/>
        <w:ind w:left="154" w:right="90"/>
        <w:jc w:val="left"/>
      </w:pPr>
      <w:r>
        <w:rPr/>
        <w:t>（二）回购</w:t>
      </w:r>
      <w:r>
        <w:rPr>
          <w:rFonts w:ascii="Times New Roman" w:hAnsi="Times New Roman" w:cs="Times New Roman" w:eastAsia="Times New Roman" w:hint="default"/>
        </w:rPr>
        <w:t>H</w:t>
      </w:r>
      <w:r>
        <w:rPr/>
        <w:t>股情况</w:t>
      </w:r>
    </w:p>
    <w:p>
      <w:pPr>
        <w:pStyle w:val="BodyText"/>
        <w:spacing w:line="300" w:lineRule="auto" w:before="62"/>
        <w:ind w:left="514" w:right="90"/>
        <w:jc w:val="left"/>
      </w:pPr>
      <w:r>
        <w:rPr>
          <w:rFonts w:ascii="Times New Roman" w:hAnsi="Times New Roman" w:cs="Times New Roman" w:eastAsia="Times New Roman" w:hint="default"/>
        </w:rPr>
        <w:t>1</w:t>
      </w:r>
      <w:r>
        <w:rPr/>
        <w:t>、回购的背景和目的 </w:t>
      </w:r>
      <w:r>
        <w:rPr>
          <w:spacing w:val="-1"/>
        </w:rPr>
        <w:t>受全球金融危机和我国经济增速放缓的影响，我国资本市场自</w:t>
      </w:r>
      <w:r>
        <w:rPr>
          <w:rFonts w:ascii="Times New Roman" w:hAnsi="Times New Roman" w:cs="Times New Roman" w:eastAsia="Times New Roman" w:hint="default"/>
          <w:spacing w:val="-1"/>
        </w:rPr>
        <w:t>2011</w:t>
      </w:r>
      <w:r>
        <w:rPr>
          <w:spacing w:val="-1"/>
        </w:rPr>
        <w:t>年中以来开始出现震荡调整。公司</w:t>
      </w:r>
      <w:r>
        <w:rPr>
          <w:rFonts w:ascii="Times New Roman" w:hAnsi="Times New Roman" w:cs="Times New Roman" w:eastAsia="Times New Roman" w:hint="default"/>
          <w:spacing w:val="-1"/>
        </w:rPr>
        <w:t>H</w:t>
      </w:r>
      <w:r>
        <w:rPr>
          <w:spacing w:val="-1"/>
        </w:rPr>
        <w:t>股股价也持续走</w:t>
      </w:r>
    </w:p>
    <w:p>
      <w:pPr>
        <w:pStyle w:val="BodyText"/>
        <w:spacing w:line="240" w:lineRule="auto" w:before="13"/>
        <w:ind w:right="90"/>
        <w:jc w:val="left"/>
      </w:pPr>
      <w:r>
        <w:rPr/>
        <w:t>低，公司</w:t>
      </w:r>
      <w:r>
        <w:rPr>
          <w:rFonts w:ascii="Times New Roman" w:hAnsi="Times New Roman" w:cs="Times New Roman" w:eastAsia="Times New Roman" w:hint="default"/>
        </w:rPr>
        <w:t>H</w:t>
      </w:r>
      <w:r>
        <w:rPr/>
        <w:t>股股价的表现与我公司的内在价值以及行业龙头地位不符，公司的投资价值被低估，不仅给公司的资本市场形象</w:t>
      </w:r>
    </w:p>
    <w:p>
      <w:pPr>
        <w:spacing w:after="0" w:line="240"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00" w:lineRule="auto" w:before="44"/>
        <w:ind w:right="90"/>
        <w:jc w:val="left"/>
      </w:pPr>
      <w:r>
        <w:rPr>
          <w:spacing w:val="-1"/>
        </w:rPr>
        <w:t>带来了负面影响，也不利于维护广大股东利益。因此，公司拟回购部分</w:t>
      </w:r>
      <w:r>
        <w:rPr>
          <w:rFonts w:ascii="Times New Roman" w:hAnsi="Times New Roman" w:cs="Times New Roman" w:eastAsia="Times New Roman" w:hint="default"/>
          <w:spacing w:val="-1"/>
        </w:rPr>
        <w:t>H</w:t>
      </w:r>
      <w:r>
        <w:rPr>
          <w:spacing w:val="-1"/>
        </w:rPr>
        <w:t>股股份，以增强公众投资者对公司的信心，提升公</w:t>
      </w:r>
      <w:r>
        <w:rPr>
          <w:spacing w:val="-70"/>
        </w:rPr>
        <w:t> </w:t>
      </w:r>
      <w:r>
        <w:rPr>
          <w:spacing w:val="-70"/>
        </w:rPr>
      </w:r>
      <w:r>
        <w:rPr/>
        <w:t>司价值，并促使其回归到合理水平，实现股东利益最大化。</w:t>
      </w:r>
    </w:p>
    <w:p>
      <w:pPr>
        <w:pStyle w:val="BodyText"/>
        <w:spacing w:line="240" w:lineRule="auto" w:before="31"/>
        <w:ind w:left="513" w:right="90"/>
        <w:jc w:val="left"/>
      </w:pPr>
      <w:r>
        <w:rPr>
          <w:rFonts w:ascii="Times New Roman" w:hAnsi="Times New Roman" w:cs="Times New Roman" w:eastAsia="Times New Roman" w:hint="default"/>
        </w:rPr>
        <w:t>2</w:t>
      </w:r>
      <w:r>
        <w:rPr/>
        <w:t>、回购已履行程序</w:t>
      </w:r>
    </w:p>
    <w:p>
      <w:pPr>
        <w:pStyle w:val="BodyText"/>
        <w:spacing w:line="240" w:lineRule="auto" w:before="62"/>
        <w:ind w:left="513" w:right="9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日，第七届董事会第一次临时会议审议通过了关于授权董事会回购公司部分</w:t>
      </w:r>
      <w:r>
        <w:rPr>
          <w:rFonts w:ascii="Times New Roman" w:hAnsi="Times New Roman" w:cs="Times New Roman" w:eastAsia="Times New Roman" w:hint="default"/>
        </w:rPr>
        <w:t>H</w:t>
      </w:r>
      <w:r>
        <w:rPr/>
        <w:t>股股份一般性授权的议案。</w:t>
      </w:r>
    </w:p>
    <w:p>
      <w:pPr>
        <w:pStyle w:val="BodyText"/>
        <w:spacing w:line="240" w:lineRule="auto" w:before="62"/>
        <w:ind w:left="513" w:right="90"/>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日，公司召开</w:t>
      </w:r>
      <w:r>
        <w:rPr>
          <w:rFonts w:ascii="Times New Roman" w:hAnsi="Times New Roman" w:cs="Times New Roman" w:eastAsia="Times New Roman" w:hint="default"/>
        </w:rPr>
        <w:t>2013</w:t>
      </w:r>
      <w:r>
        <w:rPr/>
        <w:t>年第一次临时股东大会、境内上市股份（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股）类别股东大会和境外上市股份（</w:t>
      </w:r>
      <w:r>
        <w:rPr>
          <w:rFonts w:ascii="Times New Roman" w:hAnsi="Times New Roman" w:cs="Times New Roman" w:eastAsia="Times New Roman" w:hint="default"/>
        </w:rPr>
        <w:t>H</w:t>
      </w:r>
    </w:p>
    <w:p>
      <w:pPr>
        <w:pStyle w:val="BodyText"/>
        <w:spacing w:line="240" w:lineRule="auto" w:before="62"/>
        <w:ind w:left="154" w:right="90"/>
        <w:jc w:val="left"/>
      </w:pPr>
      <w:r>
        <w:rPr>
          <w:spacing w:val="-2"/>
        </w:rPr>
        <w:t>股）类别股东大会，分别审议通过了公司回购</w:t>
      </w:r>
      <w:r>
        <w:rPr>
          <w:rFonts w:ascii="Times New Roman" w:hAnsi="Times New Roman" w:cs="Times New Roman" w:eastAsia="Times New Roman" w:hint="default"/>
          <w:spacing w:val="-2"/>
        </w:rPr>
        <w:t>H</w:t>
      </w:r>
      <w:r>
        <w:rPr>
          <w:spacing w:val="-2"/>
        </w:rPr>
        <w:t>股股份的议案。次日，公司披露了关于回购</w:t>
      </w:r>
      <w:r>
        <w:rPr>
          <w:rFonts w:ascii="Times New Roman" w:hAnsi="Times New Roman" w:cs="Times New Roman" w:eastAsia="Times New Roman" w:hint="default"/>
          <w:spacing w:val="-2"/>
        </w:rPr>
        <w:t>H</w:t>
      </w:r>
      <w:r>
        <w:rPr>
          <w:spacing w:val="-2"/>
        </w:rPr>
        <w:t>股股份并减少注册资本的公告。</w:t>
      </w:r>
    </w:p>
    <w:p>
      <w:pPr>
        <w:pStyle w:val="BodyText"/>
        <w:spacing w:line="240" w:lineRule="auto" w:before="62"/>
        <w:ind w:left="454" w:right="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日，山东省商务厅出具了《关于山东晨鸣纸业集团股份有限公司减资的初步批复》（鲁商务外资字【</w:t>
      </w:r>
      <w:r>
        <w:rPr>
          <w:rFonts w:ascii="Times New Roman" w:hAnsi="Times New Roman" w:cs="Times New Roman" w:eastAsia="Times New Roman" w:hint="default"/>
          <w:spacing w:val="-2"/>
        </w:rPr>
        <w:t>2013</w:t>
      </w:r>
      <w:r>
        <w:rPr>
          <w:spacing w:val="-2"/>
        </w:rPr>
        <w:t>】</w:t>
      </w:r>
    </w:p>
    <w:p>
      <w:pPr>
        <w:pStyle w:val="BodyText"/>
        <w:spacing w:line="300" w:lineRule="auto" w:before="62"/>
        <w:ind w:left="154" w:right="90"/>
        <w:jc w:val="left"/>
      </w:pPr>
      <w:r>
        <w:rPr>
          <w:rFonts w:ascii="Times New Roman" w:hAnsi="Times New Roman" w:cs="Times New Roman" w:eastAsia="Times New Roman" w:hint="default"/>
          <w:spacing w:val="-2"/>
        </w:rPr>
        <w:t>705</w:t>
      </w:r>
      <w:r>
        <w:rPr>
          <w:spacing w:val="-2"/>
        </w:rPr>
        <w:t>号），拟同意公司回购不超过</w:t>
      </w:r>
      <w:r>
        <w:rPr>
          <w:rFonts w:ascii="Times New Roman" w:hAnsi="Times New Roman" w:cs="Times New Roman" w:eastAsia="Times New Roman" w:hint="default"/>
          <w:spacing w:val="-2"/>
        </w:rPr>
        <w:t>3912.7</w:t>
      </w:r>
      <w:r>
        <w:rPr>
          <w:spacing w:val="-2"/>
        </w:rPr>
        <w:t>万股已发行的境外上市外资股（</w:t>
      </w:r>
      <w:r>
        <w:rPr>
          <w:rFonts w:ascii="Times New Roman" w:hAnsi="Times New Roman" w:cs="Times New Roman" w:eastAsia="Times New Roman" w:hint="default"/>
          <w:spacing w:val="-2"/>
        </w:rPr>
        <w:t>H</w:t>
      </w:r>
      <w:r>
        <w:rPr>
          <w:spacing w:val="-2"/>
        </w:rPr>
        <w:t>股），回购的股份以实际发生数额为准并相应减少</w:t>
      </w:r>
      <w:r>
        <w:rPr>
          <w:spacing w:val="-55"/>
        </w:rPr>
        <w:t> </w:t>
      </w:r>
      <w:r>
        <w:rPr>
          <w:spacing w:val="-55"/>
        </w:rPr>
      </w:r>
      <w:r>
        <w:rPr/>
        <w:t>注册资本。</w:t>
      </w:r>
    </w:p>
    <w:p>
      <w:pPr>
        <w:pStyle w:val="BodyText"/>
        <w:spacing w:line="300" w:lineRule="auto" w:before="31"/>
        <w:ind w:left="454" w:right="9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、回购进展情况 </w:t>
      </w:r>
      <w:r>
        <w:rPr>
          <w:spacing w:val="-2"/>
        </w:rPr>
        <w:t>截至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日止年度内，本公司于香港联交所以总额</w:t>
      </w:r>
      <w:r>
        <w:rPr>
          <w:rFonts w:ascii="Times New Roman" w:hAnsi="Times New Roman" w:cs="Times New Roman" w:eastAsia="Times New Roman" w:hint="default"/>
          <w:spacing w:val="-2"/>
        </w:rPr>
        <w:t>39,230,260.00</w:t>
      </w:r>
      <w:r>
        <w:rPr>
          <w:spacing w:val="-2"/>
        </w:rPr>
        <w:t>港币（即为购买股份支付的平均价为每股</w:t>
      </w:r>
      <w:r>
        <w:rPr>
          <w:rFonts w:ascii="Times New Roman" w:hAnsi="Times New Roman" w:cs="Times New Roman" w:eastAsia="Times New Roman" w:hint="default"/>
          <w:spacing w:val="-2"/>
        </w:rPr>
        <w:t>3.4159</w:t>
      </w:r>
    </w:p>
    <w:p>
      <w:pPr>
        <w:pStyle w:val="BodyText"/>
        <w:spacing w:line="300" w:lineRule="auto" w:before="13"/>
        <w:ind w:left="154" w:right="90" w:hanging="1"/>
        <w:jc w:val="left"/>
      </w:pPr>
      <w:r>
        <w:rPr/>
        <w:t>港币）购回共计</w:t>
      </w:r>
      <w:r>
        <w:rPr>
          <w:rFonts w:ascii="Times New Roman" w:hAnsi="Times New Roman" w:cs="Times New Roman" w:eastAsia="Times New Roman" w:hint="default"/>
        </w:rPr>
        <w:t>11,484,500</w:t>
      </w:r>
      <w:r>
        <w:rPr/>
        <w:t>股</w:t>
      </w:r>
      <w:r>
        <w:rPr>
          <w:rFonts w:ascii="Times New Roman" w:hAnsi="Times New Roman" w:cs="Times New Roman" w:eastAsia="Times New Roman" w:hint="default"/>
        </w:rPr>
        <w:t>H</w:t>
      </w:r>
      <w:r>
        <w:rPr/>
        <w:t>股；截至本报告披露日</w:t>
      </w:r>
      <w:r>
        <w:rPr>
          <w:rFonts w:ascii="Times New Roman" w:hAnsi="Times New Roman" w:cs="Times New Roman" w:eastAsia="Times New Roman" w:hint="default"/>
        </w:rPr>
        <w:t>,</w:t>
      </w:r>
      <w:r>
        <w:rPr/>
        <w:t>累计回购</w:t>
      </w:r>
      <w:r>
        <w:rPr>
          <w:rFonts w:ascii="Times New Roman" w:hAnsi="Times New Roman" w:cs="Times New Roman" w:eastAsia="Times New Roman" w:hint="default"/>
        </w:rPr>
        <w:t>H</w:t>
      </w:r>
      <w:r>
        <w:rPr/>
        <w:t>股数量为</w:t>
      </w:r>
      <w:r>
        <w:rPr>
          <w:rFonts w:ascii="Times New Roman" w:hAnsi="Times New Roman" w:cs="Times New Roman" w:eastAsia="Times New Roman" w:hint="default"/>
        </w:rPr>
        <w:t>24,660,500</w:t>
      </w:r>
      <w:r>
        <w:rPr/>
        <w:t>股，占公司总股本的比例为</w:t>
      </w:r>
      <w:r>
        <w:rPr>
          <w:rFonts w:ascii="Times New Roman" w:hAnsi="Times New Roman" w:cs="Times New Roman" w:eastAsia="Times New Roman" w:hint="default"/>
        </w:rPr>
        <w:t>1.2483%</w:t>
      </w:r>
      <w:r>
        <w:rPr/>
        <w:t>，</w:t>
      </w:r>
      <w:r>
        <w:rPr>
          <w:spacing w:val="-60"/>
        </w:rPr>
        <w:t> </w:t>
      </w:r>
      <w:r>
        <w:rPr/>
        <w:t>购买最高价为港币</w:t>
      </w:r>
      <w:r>
        <w:rPr>
          <w:rFonts w:ascii="Times New Roman" w:hAnsi="Times New Roman" w:cs="Times New Roman" w:eastAsia="Times New Roman" w:hint="default"/>
        </w:rPr>
        <w:t>3.50</w:t>
      </w:r>
      <w:r>
        <w:rPr/>
        <w:t>元</w:t>
      </w:r>
      <w:r>
        <w:rPr>
          <w:rFonts w:ascii="Times New Roman" w:hAnsi="Times New Roman" w:cs="Times New Roman" w:eastAsia="Times New Roman" w:hint="default"/>
        </w:rPr>
        <w:t>/</w:t>
      </w:r>
      <w:r>
        <w:rPr/>
        <w:t>股，最低价为港币</w:t>
      </w:r>
      <w:r>
        <w:rPr>
          <w:rFonts w:ascii="Times New Roman" w:hAnsi="Times New Roman" w:cs="Times New Roman" w:eastAsia="Times New Roman" w:hint="default"/>
        </w:rPr>
        <w:t>3.17</w:t>
      </w:r>
      <w:r>
        <w:rPr/>
        <w:t>元</w:t>
      </w:r>
      <w:r>
        <w:rPr>
          <w:rFonts w:ascii="Times New Roman" w:hAnsi="Times New Roman" w:cs="Times New Roman" w:eastAsia="Times New Roman" w:hint="default"/>
        </w:rPr>
        <w:t>/</w:t>
      </w:r>
      <w:r>
        <w:rPr/>
        <w:t>股，支付总金额为港币</w:t>
      </w:r>
      <w:r>
        <w:rPr>
          <w:rFonts w:ascii="Times New Roman" w:hAnsi="Times New Roman" w:cs="Times New Roman" w:eastAsia="Times New Roman" w:hint="default"/>
        </w:rPr>
        <w:t>83,151,325.00</w:t>
      </w:r>
      <w:r>
        <w:rPr/>
        <w:t>元。该等股份于购回后尚未注销。</w:t>
      </w:r>
    </w:p>
    <w:p>
      <w:pPr>
        <w:spacing w:line="240" w:lineRule="auto" w:before="2"/>
        <w:rPr>
          <w:rFonts w:ascii="宋体" w:hAnsi="宋体" w:cs="宋体" w:eastAsia="宋体" w:hint="default"/>
          <w:sz w:val="20"/>
          <w:szCs w:val="20"/>
        </w:rPr>
      </w:pPr>
    </w:p>
    <w:p>
      <w:pPr>
        <w:pStyle w:val="Heading2"/>
        <w:spacing w:line="240" w:lineRule="auto"/>
        <w:ind w:right="90"/>
        <w:jc w:val="left"/>
        <w:rPr>
          <w:b w:val="0"/>
          <w:bCs w:val="0"/>
        </w:rPr>
      </w:pPr>
      <w:r>
        <w:rPr/>
        <w:t>十七、</w:t>
      </w:r>
      <w:r>
        <w:rPr>
          <w:spacing w:val="-19"/>
        </w:rPr>
        <w:t> </w:t>
      </w:r>
      <w:r>
        <w:rPr/>
        <w:t>报告期后事项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54" w:right="90"/>
        <w:jc w:val="left"/>
      </w:pPr>
      <w:r>
        <w:rPr/>
        <w:t>（一）成立融资租赁公司</w:t>
      </w:r>
    </w:p>
    <w:p>
      <w:pPr>
        <w:pStyle w:val="BodyText"/>
        <w:spacing w:line="307" w:lineRule="auto" w:before="76"/>
        <w:ind w:left="154" w:right="186" w:firstLine="29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日，公司召开的第七届董事会第四次临时会议，审议通过了《关于成立融资租赁公司的议案》。为推进公</w:t>
      </w:r>
      <w:r>
        <w:rPr>
          <w:spacing w:val="1"/>
        </w:rPr>
        <w:t> </w:t>
      </w:r>
      <w:r>
        <w:rPr>
          <w:spacing w:val="-2"/>
        </w:rPr>
        <w:t>司多元化发展，进一步拓展公司业务范围，增强公司整体实力和综合竞争力，培育公司新的利润增长点，公司拟通过全资子</w:t>
      </w:r>
      <w:r>
        <w:rPr>
          <w:spacing w:val="-66"/>
        </w:rPr>
        <w:t> </w:t>
      </w:r>
      <w:r>
        <w:rPr>
          <w:spacing w:val="-66"/>
        </w:rPr>
      </w:r>
      <w:r>
        <w:rPr/>
        <w:t>公司晨鸣（香港）有限公司在境内出资设立一家融资租赁公司。详情请参阅公司于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日在联交所网站及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18</w:t>
      </w:r>
      <w:r>
        <w:rPr/>
        <w:t>日在巨潮资讯网上披露的公告，公告编号：</w:t>
      </w:r>
      <w:r>
        <w:rPr>
          <w:rFonts w:ascii="Times New Roman" w:hAnsi="Times New Roman" w:cs="Times New Roman" w:eastAsia="Times New Roman" w:hint="default"/>
        </w:rPr>
        <w:t>2014-003</w:t>
      </w:r>
      <w:r>
        <w:rPr/>
        <w:t>。</w:t>
      </w:r>
    </w:p>
    <w:p>
      <w:pPr>
        <w:pStyle w:val="BodyText"/>
        <w:spacing w:line="240" w:lineRule="auto" w:before="7"/>
        <w:ind w:left="454" w:right="90"/>
        <w:jc w:val="left"/>
      </w:pPr>
      <w:r>
        <w:rPr/>
        <w:t>（二）对黄冈晨鸣浆纸有限公司增资</w:t>
      </w:r>
    </w:p>
    <w:p>
      <w:pPr>
        <w:pStyle w:val="BodyText"/>
        <w:spacing w:line="307" w:lineRule="auto" w:before="76"/>
        <w:ind w:left="154" w:right="186" w:firstLine="29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日，公司召开的第七届董事会第四次临时会议，审议通过了《关于为全资子公司黄冈晨鸣增资的议案》。</w:t>
      </w:r>
      <w:r>
        <w:rPr>
          <w:spacing w:val="1"/>
        </w:rPr>
        <w:t> </w:t>
      </w:r>
      <w:r>
        <w:rPr>
          <w:spacing w:val="-2"/>
        </w:rPr>
        <w:t>为满足黄冈晨鸣林纸一体化项目建设资金的需求，保证项目建设的顺利进行，同时根据国家对项目建设自有资金的要求，公</w:t>
      </w:r>
      <w:r>
        <w:rPr>
          <w:spacing w:val="-66"/>
        </w:rPr>
        <w:t> </w:t>
      </w:r>
      <w:r>
        <w:rPr>
          <w:spacing w:val="-66"/>
        </w:rPr>
      </w:r>
      <w:r>
        <w:rPr>
          <w:spacing w:val="-1"/>
        </w:rPr>
        <w:t>司以自有资金对黄冈晨鸣进行增资，增资金额为人民币</w:t>
      </w:r>
      <w:r>
        <w:rPr>
          <w:rFonts w:ascii="Times New Roman" w:hAnsi="Times New Roman" w:cs="Times New Roman" w:eastAsia="Times New Roman" w:hint="default"/>
          <w:spacing w:val="-1"/>
        </w:rPr>
        <w:t>1.8</w:t>
      </w:r>
      <w:r>
        <w:rPr>
          <w:spacing w:val="-1"/>
        </w:rPr>
        <w:t>亿元。详情请参阅公司于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01</w:t>
      </w:r>
      <w:r>
        <w:rPr>
          <w:spacing w:val="-1"/>
        </w:rPr>
        <w:t>月</w:t>
      </w:r>
      <w:r>
        <w:rPr>
          <w:rFonts w:ascii="Times New Roman" w:hAnsi="Times New Roman" w:cs="Times New Roman" w:eastAsia="Times New Roman" w:hint="default"/>
          <w:spacing w:val="-1"/>
        </w:rPr>
        <w:t>17</w:t>
      </w:r>
      <w:r>
        <w:rPr>
          <w:spacing w:val="-1"/>
        </w:rPr>
        <w:t>日在联交所网站及</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1"/>
        </w:rPr>
        <w:t> </w:t>
      </w:r>
      <w:r>
        <w:rPr/>
        <w:t>月</w:t>
      </w:r>
      <w:r>
        <w:rPr>
          <w:rFonts w:ascii="Times New Roman" w:hAnsi="Times New Roman" w:cs="Times New Roman" w:eastAsia="Times New Roman" w:hint="default"/>
        </w:rPr>
        <w:t>18</w:t>
      </w:r>
      <w:r>
        <w:rPr/>
        <w:t>日在巨潮资讯网上披露的公告，公告编号：</w:t>
      </w:r>
      <w:r>
        <w:rPr>
          <w:rFonts w:ascii="Times New Roman" w:hAnsi="Times New Roman" w:cs="Times New Roman" w:eastAsia="Times New Roman" w:hint="default"/>
        </w:rPr>
        <w:t>2014-005</w:t>
      </w:r>
      <w:r>
        <w:rPr/>
        <w:t>。</w:t>
      </w:r>
    </w:p>
    <w:p>
      <w:pPr>
        <w:pStyle w:val="BodyText"/>
        <w:spacing w:line="240" w:lineRule="auto" w:before="7"/>
        <w:ind w:left="454" w:right="90"/>
        <w:jc w:val="left"/>
      </w:pPr>
      <w:r>
        <w:rPr/>
        <w:t>（三）关于股东进行约定购回式证券交易购回股份的事项</w:t>
      </w:r>
    </w:p>
    <w:p>
      <w:pPr>
        <w:pStyle w:val="BodyText"/>
        <w:spacing w:line="300" w:lineRule="auto" w:before="76"/>
        <w:ind w:left="154" w:right="189" w:firstLine="30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日，公司接到持股</w:t>
      </w:r>
      <w:r>
        <w:rPr>
          <w:rFonts w:ascii="Times New Roman" w:hAnsi="Times New Roman" w:cs="Times New Roman" w:eastAsia="Times New Roman" w:hint="default"/>
          <w:spacing w:val="-2"/>
        </w:rPr>
        <w:t>5%</w:t>
      </w:r>
      <w:r>
        <w:rPr>
          <w:spacing w:val="-2"/>
        </w:rPr>
        <w:t>以上股东寿光晨鸣控股有限公司函件称，晨鸣控股于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日购回通过约定购回</w:t>
      </w:r>
      <w:r>
        <w:rPr/>
        <w:t> 式证券交易售出公司股份</w:t>
      </w:r>
      <w:r>
        <w:rPr>
          <w:rFonts w:ascii="Times New Roman" w:hAnsi="Times New Roman" w:cs="Times New Roman" w:eastAsia="Times New Roman" w:hint="default"/>
        </w:rPr>
        <w:t>8660</w:t>
      </w:r>
      <w:r>
        <w:rPr/>
        <w:t>万股，本次交易前后持股情况如下：</w:t>
      </w:r>
    </w:p>
    <w:tbl>
      <w:tblPr>
        <w:tblW w:w="0" w:type="auto"/>
        <w:jc w:val="left"/>
        <w:tblInd w:w="146" w:type="dxa"/>
        <w:tblLayout w:type="fixed"/>
        <w:tblCellMar>
          <w:top w:w="0" w:type="dxa"/>
          <w:left w:w="0" w:type="dxa"/>
          <w:bottom w:w="0" w:type="dxa"/>
          <w:right w:w="0" w:type="dxa"/>
        </w:tblCellMar>
        <w:tblLook w:val="01E0"/>
      </w:tblPr>
      <w:tblGrid>
        <w:gridCol w:w="1880"/>
        <w:gridCol w:w="1879"/>
        <w:gridCol w:w="1878"/>
        <w:gridCol w:w="1879"/>
        <w:gridCol w:w="1879"/>
      </w:tblGrid>
      <w:tr>
        <w:trPr>
          <w:trHeight w:val="347" w:hRule="exact"/>
        </w:trPr>
        <w:tc>
          <w:tcPr>
            <w:tcW w:w="188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757"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交易前</w:t>
            </w:r>
          </w:p>
        </w:tc>
        <w:tc>
          <w:tcPr>
            <w:tcW w:w="375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交易后</w:t>
            </w:r>
          </w:p>
        </w:tc>
      </w:tr>
      <w:tr>
        <w:trPr>
          <w:trHeight w:val="659" w:hRule="exact"/>
        </w:trPr>
        <w:tc>
          <w:tcPr>
            <w:tcW w:w="1880" w:type="dxa"/>
            <w:vMerge/>
            <w:tcBorders>
              <w:left w:val="single" w:sz="6" w:space="0" w:color="000000"/>
              <w:bottom w:val="single" w:sz="6" w:space="0" w:color="000000"/>
              <w:right w:val="single" w:sz="6" w:space="0" w:color="000000"/>
            </w:tcBorders>
            <w:shd w:val="clear" w:color="auto" w:fill="CCCCCC"/>
          </w:tcPr>
          <w:p>
            <w:pPr/>
          </w:p>
        </w:tc>
        <w:tc>
          <w:tcPr>
            <w:tcW w:w="187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持有公司股份数量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8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占公司总股本的比例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7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持有公司股份数量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87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占公司总股本的比例</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2" w:right="0"/>
              <w:jc w:val="left"/>
              <w:rPr>
                <w:rFonts w:ascii="宋体" w:hAnsi="宋体" w:cs="宋体" w:eastAsia="宋体" w:hint="default"/>
                <w:sz w:val="18"/>
                <w:szCs w:val="18"/>
              </w:rPr>
            </w:pPr>
            <w:r>
              <w:rPr>
                <w:rFonts w:ascii="宋体" w:hAnsi="宋体" w:cs="宋体" w:eastAsia="宋体" w:hint="default"/>
                <w:sz w:val="18"/>
                <w:szCs w:val="18"/>
              </w:rPr>
              <w:t>晨鸣控股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1" w:right="0"/>
              <w:jc w:val="left"/>
              <w:rPr>
                <w:rFonts w:ascii="Times New Roman" w:hAnsi="Times New Roman" w:cs="Times New Roman" w:eastAsia="Times New Roman" w:hint="default"/>
                <w:sz w:val="18"/>
                <w:szCs w:val="18"/>
              </w:rPr>
            </w:pPr>
            <w:r>
              <w:rPr>
                <w:rFonts w:ascii="Times New Roman"/>
                <w:sz w:val="18"/>
              </w:rPr>
              <w:t>206,403,657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10.45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2" w:right="0"/>
              <w:jc w:val="left"/>
              <w:rPr>
                <w:rFonts w:ascii="Times New Roman" w:hAnsi="Times New Roman" w:cs="Times New Roman" w:eastAsia="Times New Roman" w:hint="default"/>
                <w:sz w:val="18"/>
                <w:szCs w:val="18"/>
              </w:rPr>
            </w:pPr>
            <w:r>
              <w:rPr>
                <w:rFonts w:ascii="Times New Roman"/>
                <w:sz w:val="18"/>
              </w:rPr>
              <w:t>293,003,657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14.83</w:t>
            </w:r>
          </w:p>
        </w:tc>
      </w:tr>
    </w:tbl>
    <w:p>
      <w:pPr>
        <w:pStyle w:val="BodyText"/>
        <w:spacing w:line="240" w:lineRule="auto" w:before="13"/>
        <w:ind w:left="454" w:right="90"/>
        <w:jc w:val="left"/>
      </w:pPr>
      <w:r>
        <w:rPr/>
        <w:t>详情请参阅公司于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日在联交所网站及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日在巨潮资讯网上披露的公告，公告编号：</w:t>
      </w:r>
      <w:r>
        <w:rPr>
          <w:rFonts w:ascii="Times New Roman" w:hAnsi="Times New Roman" w:cs="Times New Roman" w:eastAsia="Times New Roman" w:hint="default"/>
        </w:rPr>
        <w:t>2014-008</w:t>
      </w:r>
      <w:r>
        <w:rPr/>
        <w:t>。</w:t>
      </w:r>
    </w:p>
    <w:p>
      <w:pPr>
        <w:pStyle w:val="BodyText"/>
        <w:spacing w:line="240" w:lineRule="auto" w:before="62"/>
        <w:ind w:left="454" w:right="90"/>
        <w:jc w:val="left"/>
      </w:pPr>
      <w:r>
        <w:rPr/>
        <w:t>（四）关于购买写字楼物业资产</w:t>
      </w:r>
    </w:p>
    <w:p>
      <w:pPr>
        <w:pStyle w:val="BodyText"/>
        <w:spacing w:line="309" w:lineRule="auto" w:before="76"/>
        <w:ind w:left="154" w:right="100" w:firstLine="299"/>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日，公司召开的第七届董事会第四次临时会议，审议通过了《关于购买写字楼物业资产的议案》。为加快</w:t>
      </w:r>
      <w:r>
        <w:rPr>
          <w:spacing w:val="1"/>
        </w:rPr>
        <w:t> </w:t>
      </w:r>
      <w:r>
        <w:rPr>
          <w:spacing w:val="-2"/>
        </w:rPr>
        <w:t>公司国际化发展步伐，解决晨鸣集团财务公司等单位在济南所设机构的经营场所问题，保证并促进公司在济南及周边地区金</w:t>
      </w:r>
      <w:r>
        <w:rPr>
          <w:spacing w:val="-64"/>
        </w:rPr>
        <w:t> </w:t>
      </w:r>
      <w:r>
        <w:rPr>
          <w:spacing w:val="-64"/>
        </w:rPr>
      </w:r>
      <w:r>
        <w:rPr>
          <w:spacing w:val="-2"/>
        </w:rPr>
        <w:t>融、销售、租赁等各项业务的顺利开展，从而进一步增强公司的综合竞争力和盈利能力，公司董事会同意通过公司全资子公</w:t>
      </w:r>
      <w:r>
        <w:rPr>
          <w:spacing w:val="-66"/>
        </w:rPr>
        <w:t> </w:t>
      </w:r>
      <w:r>
        <w:rPr>
          <w:spacing w:val="-66"/>
        </w:rPr>
      </w:r>
      <w:r>
        <w:rPr>
          <w:spacing w:val="-1"/>
        </w:rPr>
        <w:t>司晨鸣（香港）有限公司之境内全资子公司以约人民币</w:t>
      </w:r>
      <w:r>
        <w:rPr>
          <w:rFonts w:ascii="Times New Roman" w:hAnsi="Times New Roman" w:cs="Times New Roman" w:eastAsia="Times New Roman" w:hint="default"/>
          <w:spacing w:val="-1"/>
        </w:rPr>
        <w:t>3.6</w:t>
      </w:r>
      <w:r>
        <w:rPr>
          <w:spacing w:val="-1"/>
        </w:rPr>
        <w:t>亿元购买写字楼一座，该房产部分用于办公，部分可出售或出租。</w:t>
      </w:r>
      <w:r>
        <w:rPr>
          <w:spacing w:val="-76"/>
        </w:rPr>
        <w:t> </w:t>
      </w:r>
      <w:r>
        <w:rPr>
          <w:spacing w:val="-76"/>
        </w:rPr>
      </w:r>
      <w:r>
        <w:rPr/>
        <w:t>详情请参阅公司于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日在联交所网站及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日在巨潮资讯网上披露的公告，公告编号：</w:t>
      </w:r>
      <w:r>
        <w:rPr>
          <w:rFonts w:ascii="Times New Roman" w:hAnsi="Times New Roman" w:cs="Times New Roman" w:eastAsia="Times New Roman" w:hint="default"/>
        </w:rPr>
        <w:t>2014-002</w:t>
      </w:r>
      <w:r>
        <w:rPr/>
        <w:t>。</w:t>
      </w:r>
    </w:p>
    <w:p>
      <w:pPr>
        <w:pStyle w:val="BodyText"/>
        <w:spacing w:line="240" w:lineRule="auto" w:before="5"/>
        <w:ind w:left="454" w:right="90"/>
        <w:jc w:val="left"/>
      </w:pPr>
      <w:r>
        <w:rPr/>
        <w:t>（五）对外提供委托贷款</w:t>
      </w:r>
    </w:p>
    <w:p>
      <w:pPr>
        <w:pStyle w:val="BodyText"/>
        <w:spacing w:line="309" w:lineRule="auto" w:before="76"/>
        <w:ind w:left="154" w:right="186" w:firstLine="299"/>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日，公司召开的第七届董事会第四次临时会议，审议通过了《关于对外提供委托贷款的议案》。为提高公</w:t>
      </w:r>
      <w:r>
        <w:rPr>
          <w:spacing w:val="1"/>
        </w:rPr>
        <w:t> </w:t>
      </w:r>
      <w:r>
        <w:rPr>
          <w:spacing w:val="-2"/>
        </w:rPr>
        <w:t>司资金使用效率，发挥资金最大效用，提升公司业绩水平，根据目前公司运营和资金情况，公司拟通过交通银行潍坊分行向</w:t>
      </w:r>
      <w:r>
        <w:rPr>
          <w:spacing w:val="-66"/>
        </w:rPr>
        <w:t> </w:t>
      </w:r>
      <w:r>
        <w:rPr>
          <w:spacing w:val="-66"/>
        </w:rPr>
      </w:r>
      <w:r>
        <w:rPr>
          <w:spacing w:val="-2"/>
        </w:rPr>
        <w:t>寿光市金财公有资产经营有限公司发放委托贷款，委托贷款总金额不超过人民币</w:t>
      </w:r>
      <w:r>
        <w:rPr>
          <w:rFonts w:ascii="Times New Roman" w:hAnsi="Times New Roman" w:cs="Times New Roman" w:eastAsia="Times New Roman" w:hint="default"/>
          <w:spacing w:val="-2"/>
        </w:rPr>
        <w:t>10</w:t>
      </w:r>
      <w:r>
        <w:rPr>
          <w:spacing w:val="-2"/>
        </w:rPr>
        <w:t>亿元（含），可分期办理。本次委托贷款</w:t>
      </w:r>
    </w:p>
    <w:p>
      <w:pPr>
        <w:spacing w:after="0" w:line="309" w:lineRule="auto"/>
        <w:jc w:val="both"/>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00" w:lineRule="auto" w:before="44"/>
        <w:ind w:right="146"/>
        <w:jc w:val="both"/>
      </w:pPr>
      <w:r>
        <w:rPr/>
        <w:t>的有效期限不超过</w:t>
      </w:r>
      <w:r>
        <w:rPr>
          <w:rFonts w:ascii="Times New Roman" w:hAnsi="Times New Roman" w:cs="Times New Roman" w:eastAsia="Times New Roman" w:hint="default"/>
        </w:rPr>
        <w:t>3</w:t>
      </w:r>
      <w:r>
        <w:rPr/>
        <w:t>年（含），委托贷款年利率为</w:t>
      </w:r>
      <w:r>
        <w:rPr>
          <w:rFonts w:ascii="Times New Roman" w:hAnsi="Times New Roman" w:cs="Times New Roman" w:eastAsia="Times New Roman" w:hint="default"/>
        </w:rPr>
        <w:t>10%</w:t>
      </w:r>
      <w:r>
        <w:rPr/>
        <w:t>，初步预计每年可为公司产生较为可观的经济效益。寿光市基础设施</w:t>
      </w:r>
      <w:r>
        <w:rPr>
          <w:spacing w:val="-73"/>
        </w:rPr>
        <w:t> </w:t>
      </w:r>
      <w:r>
        <w:rPr>
          <w:spacing w:val="-73"/>
        </w:rPr>
      </w:r>
      <w:r>
        <w:rPr/>
        <w:t>建设资金管理中心以其持有的寿光市金财公有资产经营有限公司</w:t>
      </w:r>
      <w:r>
        <w:rPr>
          <w:rFonts w:ascii="Times New Roman" w:hAnsi="Times New Roman" w:cs="Times New Roman" w:eastAsia="Times New Roman" w:hint="default"/>
        </w:rPr>
        <w:t>20%</w:t>
      </w:r>
      <w:r>
        <w:rPr/>
        <w:t>股权作为质押担保。详情请参阅公司于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w:t>
      </w:r>
      <w:r>
        <w:rPr>
          <w:spacing w:val="-72"/>
        </w:rPr>
        <w:t> </w:t>
      </w:r>
      <w:r>
        <w:rPr/>
        <w:t>在联交所网站及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日在巨潮资讯网上披露的公告，公告编号：</w:t>
      </w:r>
      <w:r>
        <w:rPr>
          <w:rFonts w:ascii="Times New Roman" w:hAnsi="Times New Roman" w:cs="Times New Roman" w:eastAsia="Times New Roman" w:hint="default"/>
        </w:rPr>
        <w:t>2014-006</w:t>
      </w:r>
      <w:r>
        <w:rPr/>
        <w:t>。</w:t>
      </w:r>
    </w:p>
    <w:p>
      <w:pPr>
        <w:spacing w:after="0" w:line="300" w:lineRule="auto"/>
        <w:jc w:val="both"/>
        <w:sectPr>
          <w:pgSz w:w="11910" w:h="16840"/>
          <w:pgMar w:header="877" w:footer="950" w:top="110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4" w:right="0"/>
        <w:jc w:val="left"/>
        <w:rPr>
          <w:b w:val="0"/>
          <w:bCs w:val="0"/>
        </w:rPr>
      </w:pPr>
      <w:bookmarkStart w:name="_bookmark6" w:id="7"/>
      <w:bookmarkEnd w:id="7"/>
      <w:r>
        <w:rPr>
          <w:b w:val="0"/>
          <w:bCs w:val="0"/>
        </w:rPr>
      </w:r>
      <w:r>
        <w:rPr/>
        <w:t>第七节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928"/>
        <w:gridCol w:w="1103"/>
        <w:gridCol w:w="748"/>
        <w:gridCol w:w="748"/>
        <w:gridCol w:w="749"/>
        <w:gridCol w:w="748"/>
        <w:gridCol w:w="926"/>
        <w:gridCol w:w="925"/>
        <w:gridCol w:w="1092"/>
        <w:gridCol w:w="716"/>
      </w:tblGrid>
      <w:tr>
        <w:trPr>
          <w:trHeight w:val="402" w:hRule="exact"/>
        </w:trPr>
        <w:tc>
          <w:tcPr>
            <w:tcW w:w="19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0" w:hRule="exact"/>
        </w:trPr>
        <w:tc>
          <w:tcPr>
            <w:tcW w:w="1928" w:type="dxa"/>
            <w:vMerge w:val="restart"/>
            <w:tcBorders>
              <w:top w:val="nil" w:sz="6" w:space="0" w:color="auto"/>
              <w:left w:val="single" w:sz="4" w:space="0" w:color="000000"/>
              <w:right w:val="single" w:sz="4" w:space="0" w:color="000000"/>
            </w:tcBorders>
            <w:shd w:val="clear" w:color="auto" w:fill="D3D3D3"/>
          </w:tcPr>
          <w:p>
            <w:pPr/>
          </w:p>
        </w:tc>
        <w:tc>
          <w:tcPr>
            <w:tcW w:w="1103" w:type="dxa"/>
            <w:tcBorders>
              <w:top w:val="single" w:sz="4" w:space="0" w:color="000000"/>
              <w:left w:val="single" w:sz="4" w:space="0" w:color="000000"/>
              <w:bottom w:val="nil" w:sz="6" w:space="0" w:color="auto"/>
              <w:right w:val="single" w:sz="4" w:space="0" w:color="000000"/>
            </w:tcBorders>
            <w:shd w:val="clear" w:color="auto" w:fill="D3D3D3"/>
          </w:tcPr>
          <w:p>
            <w:pPr/>
          </w:p>
        </w:tc>
        <w:tc>
          <w:tcPr>
            <w:tcW w:w="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74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8" w:right="97"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49" w:type="dxa"/>
            <w:tcBorders>
              <w:top w:val="single" w:sz="4" w:space="0" w:color="000000"/>
              <w:left w:val="single" w:sz="4" w:space="0" w:color="000000"/>
              <w:bottom w:val="nil" w:sz="6" w:space="0" w:color="auto"/>
              <w:right w:val="single" w:sz="4" w:space="0" w:color="000000"/>
            </w:tcBorders>
            <w:shd w:val="clear" w:color="auto" w:fill="D3D3D3"/>
          </w:tcPr>
          <w:p>
            <w:pPr/>
          </w:p>
        </w:tc>
        <w:tc>
          <w:tcPr>
            <w:tcW w:w="74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88" w:right="9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6" w:type="dxa"/>
            <w:tcBorders>
              <w:top w:val="single" w:sz="4" w:space="0" w:color="000000"/>
              <w:left w:val="single" w:sz="4" w:space="0" w:color="000000"/>
              <w:bottom w:val="nil" w:sz="6" w:space="0" w:color="auto"/>
              <w:right w:val="single" w:sz="4" w:space="0" w:color="000000"/>
            </w:tcBorders>
            <w:shd w:val="clear" w:color="auto" w:fill="D3D3D3"/>
          </w:tcPr>
          <w:p>
            <w:pPr/>
          </w:p>
        </w:tc>
        <w:tc>
          <w:tcPr>
            <w:tcW w:w="92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1928" w:type="dxa"/>
            <w:vMerge/>
            <w:tcBorders>
              <w:left w:val="single" w:sz="4" w:space="0" w:color="000000"/>
              <w:bottom w:val="nil" w:sz="6" w:space="0" w:color="auto"/>
              <w:right w:val="single" w:sz="4" w:space="0" w:color="000000"/>
            </w:tcBorders>
            <w:shd w:val="clear" w:color="auto" w:fill="D3D3D3"/>
          </w:tcPr>
          <w:p>
            <w:pPr/>
          </w:p>
        </w:tc>
        <w:tc>
          <w:tcPr>
            <w:tcW w:w="11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48" w:type="dxa"/>
            <w:vMerge/>
            <w:tcBorders>
              <w:left w:val="single" w:sz="4" w:space="0" w:color="000000"/>
              <w:right w:val="single" w:sz="4" w:space="0" w:color="000000"/>
            </w:tcBorders>
            <w:shd w:val="clear" w:color="auto" w:fill="D3D3D3"/>
          </w:tcPr>
          <w:p>
            <w:pPr/>
          </w:p>
        </w:tc>
        <w:tc>
          <w:tcPr>
            <w:tcW w:w="7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48" w:type="dxa"/>
            <w:vMerge/>
            <w:tcBorders>
              <w:left w:val="single" w:sz="4" w:space="0" w:color="000000"/>
              <w:right w:val="single" w:sz="4" w:space="0" w:color="000000"/>
            </w:tcBorders>
            <w:shd w:val="clear" w:color="auto" w:fill="D3D3D3"/>
          </w:tcPr>
          <w:p>
            <w:pPr/>
          </w:p>
        </w:tc>
        <w:tc>
          <w:tcPr>
            <w:tcW w:w="9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6" w:hRule="exact"/>
        </w:trPr>
        <w:tc>
          <w:tcPr>
            <w:tcW w:w="1928" w:type="dxa"/>
            <w:vMerge w:val="restart"/>
            <w:tcBorders>
              <w:top w:val="nil" w:sz="6" w:space="0" w:color="auto"/>
              <w:left w:val="single" w:sz="4" w:space="0" w:color="000000"/>
              <w:right w:val="single" w:sz="4" w:space="0" w:color="000000"/>
            </w:tcBorders>
            <w:shd w:val="clear" w:color="auto" w:fill="D3D3D3"/>
          </w:tcPr>
          <w:p>
            <w:pPr/>
          </w:p>
        </w:tc>
        <w:tc>
          <w:tcPr>
            <w:tcW w:w="1103" w:type="dxa"/>
            <w:vMerge/>
            <w:tcBorders>
              <w:left w:val="single" w:sz="4" w:space="0" w:color="000000"/>
              <w:bottom w:val="nil" w:sz="6" w:space="0" w:color="auto"/>
              <w:right w:val="single" w:sz="4" w:space="0" w:color="000000"/>
            </w:tcBorders>
            <w:shd w:val="clear" w:color="auto" w:fill="D3D3D3"/>
          </w:tcPr>
          <w:p>
            <w:pPr/>
          </w:p>
        </w:tc>
        <w:tc>
          <w:tcPr>
            <w:tcW w:w="748" w:type="dxa"/>
            <w:vMerge/>
            <w:tcBorders>
              <w:left w:val="single" w:sz="4" w:space="0" w:color="000000"/>
              <w:bottom w:val="nil" w:sz="6" w:space="0" w:color="auto"/>
              <w:right w:val="single" w:sz="4" w:space="0" w:color="000000"/>
            </w:tcBorders>
            <w:shd w:val="clear" w:color="auto" w:fill="D3D3D3"/>
          </w:tcPr>
          <w:p>
            <w:pPr/>
          </w:p>
        </w:tc>
        <w:tc>
          <w:tcPr>
            <w:tcW w:w="748" w:type="dxa"/>
            <w:vMerge/>
            <w:tcBorders>
              <w:left w:val="single" w:sz="4" w:space="0" w:color="000000"/>
              <w:right w:val="single" w:sz="4" w:space="0" w:color="000000"/>
            </w:tcBorders>
            <w:shd w:val="clear" w:color="auto" w:fill="D3D3D3"/>
          </w:tcPr>
          <w:p>
            <w:pPr/>
          </w:p>
        </w:tc>
        <w:tc>
          <w:tcPr>
            <w:tcW w:w="749" w:type="dxa"/>
            <w:vMerge/>
            <w:tcBorders>
              <w:left w:val="single" w:sz="4" w:space="0" w:color="000000"/>
              <w:bottom w:val="nil" w:sz="6" w:space="0" w:color="auto"/>
              <w:right w:val="single" w:sz="4" w:space="0" w:color="000000"/>
            </w:tcBorders>
            <w:shd w:val="clear" w:color="auto" w:fill="D3D3D3"/>
          </w:tcPr>
          <w:p>
            <w:pPr/>
          </w:p>
        </w:tc>
        <w:tc>
          <w:tcPr>
            <w:tcW w:w="748" w:type="dxa"/>
            <w:vMerge/>
            <w:tcBorders>
              <w:left w:val="single" w:sz="4" w:space="0" w:color="000000"/>
              <w:right w:val="single" w:sz="4" w:space="0" w:color="000000"/>
            </w:tcBorders>
            <w:shd w:val="clear" w:color="auto" w:fill="D3D3D3"/>
          </w:tcPr>
          <w:p>
            <w:pPr/>
          </w:p>
        </w:tc>
        <w:tc>
          <w:tcPr>
            <w:tcW w:w="926" w:type="dxa"/>
            <w:vMerge/>
            <w:tcBorders>
              <w:left w:val="single" w:sz="4" w:space="0" w:color="000000"/>
              <w:bottom w:val="nil" w:sz="6" w:space="0" w:color="auto"/>
              <w:right w:val="single" w:sz="4" w:space="0" w:color="000000"/>
            </w:tcBorders>
            <w:shd w:val="clear" w:color="auto" w:fill="D3D3D3"/>
          </w:tcPr>
          <w:p>
            <w:pPr/>
          </w:p>
        </w:tc>
        <w:tc>
          <w:tcPr>
            <w:tcW w:w="925" w:type="dxa"/>
            <w:vMerge/>
            <w:tcBorders>
              <w:left w:val="single" w:sz="4" w:space="0" w:color="000000"/>
              <w:bottom w:val="nil" w:sz="6" w:space="0" w:color="auto"/>
              <w:right w:val="single" w:sz="4" w:space="0" w:color="000000"/>
            </w:tcBorders>
            <w:shd w:val="clear" w:color="auto" w:fill="D3D3D3"/>
          </w:tcPr>
          <w:p>
            <w:pPr/>
          </w:p>
        </w:tc>
        <w:tc>
          <w:tcPr>
            <w:tcW w:w="1092" w:type="dxa"/>
            <w:vMerge/>
            <w:tcBorders>
              <w:left w:val="single" w:sz="4" w:space="0" w:color="000000"/>
              <w:bottom w:val="nil" w:sz="6" w:space="0" w:color="auto"/>
              <w:right w:val="single" w:sz="4" w:space="0" w:color="000000"/>
            </w:tcBorders>
            <w:shd w:val="clear" w:color="auto" w:fill="D3D3D3"/>
          </w:tcPr>
          <w:p>
            <w:pPr/>
          </w:p>
        </w:tc>
        <w:tc>
          <w:tcPr>
            <w:tcW w:w="716" w:type="dxa"/>
            <w:vMerge/>
            <w:tcBorders>
              <w:left w:val="single" w:sz="4" w:space="0" w:color="000000"/>
              <w:bottom w:val="nil" w:sz="6" w:space="0" w:color="auto"/>
              <w:right w:val="single" w:sz="4" w:space="0" w:color="000000"/>
            </w:tcBorders>
            <w:shd w:val="clear" w:color="auto" w:fill="D3D3D3"/>
          </w:tcPr>
          <w:p>
            <w:pPr/>
          </w:p>
        </w:tc>
      </w:tr>
      <w:tr>
        <w:trPr>
          <w:trHeight w:val="162" w:hRule="exact"/>
        </w:trPr>
        <w:tc>
          <w:tcPr>
            <w:tcW w:w="1928" w:type="dxa"/>
            <w:vMerge/>
            <w:tcBorders>
              <w:left w:val="single" w:sz="4" w:space="0" w:color="000000"/>
              <w:bottom w:val="single" w:sz="4" w:space="0" w:color="000000"/>
              <w:right w:val="single" w:sz="4" w:space="0" w:color="000000"/>
            </w:tcBorders>
            <w:shd w:val="clear" w:color="auto" w:fill="D3D3D3"/>
          </w:tcPr>
          <w:p>
            <w:pPr/>
          </w:p>
        </w:tc>
        <w:tc>
          <w:tcPr>
            <w:tcW w:w="1103" w:type="dxa"/>
            <w:tcBorders>
              <w:top w:val="nil" w:sz="6" w:space="0" w:color="auto"/>
              <w:left w:val="single" w:sz="4" w:space="0" w:color="000000"/>
              <w:bottom w:val="single" w:sz="4" w:space="0" w:color="000000"/>
              <w:right w:val="single" w:sz="4" w:space="0" w:color="000000"/>
            </w:tcBorders>
            <w:shd w:val="clear" w:color="auto" w:fill="D3D3D3"/>
          </w:tcPr>
          <w:p>
            <w:pPr/>
          </w:p>
        </w:tc>
        <w:tc>
          <w:tcPr>
            <w:tcW w:w="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748" w:type="dxa"/>
            <w:vMerge/>
            <w:tcBorders>
              <w:left w:val="single" w:sz="4" w:space="0" w:color="000000"/>
              <w:bottom w:val="single" w:sz="4" w:space="0" w:color="000000"/>
              <w:right w:val="single" w:sz="4" w:space="0" w:color="000000"/>
            </w:tcBorders>
            <w:shd w:val="clear" w:color="auto" w:fill="D3D3D3"/>
          </w:tcPr>
          <w:p>
            <w:pPr/>
          </w:p>
        </w:tc>
        <w:tc>
          <w:tcPr>
            <w:tcW w:w="749" w:type="dxa"/>
            <w:tcBorders>
              <w:top w:val="nil" w:sz="6" w:space="0" w:color="auto"/>
              <w:left w:val="single" w:sz="4" w:space="0" w:color="000000"/>
              <w:bottom w:val="single" w:sz="4" w:space="0" w:color="000000"/>
              <w:right w:val="single" w:sz="4" w:space="0" w:color="000000"/>
            </w:tcBorders>
            <w:shd w:val="clear" w:color="auto" w:fill="D3D3D3"/>
          </w:tcPr>
          <w:p>
            <w:pPr/>
          </w:p>
        </w:tc>
        <w:tc>
          <w:tcPr>
            <w:tcW w:w="748" w:type="dxa"/>
            <w:vMerge/>
            <w:tcBorders>
              <w:left w:val="single" w:sz="4" w:space="0" w:color="000000"/>
              <w:bottom w:val="single" w:sz="4" w:space="0" w:color="000000"/>
              <w:right w:val="single" w:sz="4" w:space="0" w:color="000000"/>
            </w:tcBorders>
            <w:shd w:val="clear" w:color="auto" w:fill="D3D3D3"/>
          </w:tcPr>
          <w:p>
            <w:pPr/>
          </w:p>
        </w:tc>
        <w:tc>
          <w:tcPr>
            <w:tcW w:w="926" w:type="dxa"/>
            <w:tcBorders>
              <w:top w:val="nil" w:sz="6" w:space="0" w:color="auto"/>
              <w:left w:val="single" w:sz="4" w:space="0" w:color="000000"/>
              <w:bottom w:val="single" w:sz="4" w:space="0" w:color="000000"/>
              <w:right w:val="single" w:sz="4" w:space="0" w:color="000000"/>
            </w:tcBorders>
            <w:shd w:val="clear" w:color="auto" w:fill="D3D3D3"/>
          </w:tcPr>
          <w:p>
            <w:pPr/>
          </w:p>
        </w:tc>
        <w:tc>
          <w:tcPr>
            <w:tcW w:w="92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2" w:type="dxa"/>
            <w:tcBorders>
              <w:top w:val="nil" w:sz="6" w:space="0" w:color="auto"/>
              <w:left w:val="single" w:sz="4" w:space="0" w:color="000000"/>
              <w:bottom w:val="single" w:sz="4" w:space="0" w:color="000000"/>
              <w:right w:val="single" w:sz="4" w:space="0" w:color="000000"/>
            </w:tcBorders>
            <w:shd w:val="clear" w:color="auto" w:fill="D3D3D3"/>
          </w:tcPr>
          <w:p>
            <w:pPr/>
          </w:p>
        </w:tc>
        <w:tc>
          <w:tcPr>
            <w:tcW w:w="7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9,336,404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-1,170,185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-1,170,185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8,166,219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9,336,404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748"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-1,170,185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-1,170,185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8,166,219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9,336,404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748"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-1,170,185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-1,170,185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8,166,219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2,052,709,537</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-85,403,789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-85,403,789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1,967,305,748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99.59%</w:t>
            </w: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1,103,942,052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53.54%</w:t>
            </w:r>
          </w:p>
        </w:tc>
        <w:tc>
          <w:tcPr>
            <w:tcW w:w="748"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1,170,185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1,170,185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1,105,112,237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55.94%</w:t>
            </w: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557,497,485</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27.04%</w:t>
            </w:r>
          </w:p>
        </w:tc>
        <w:tc>
          <w:tcPr>
            <w:tcW w:w="748"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-86,573,974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-86,573,974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470,923,511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23.84%</w:t>
            </w: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391,270,000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18.97%</w:t>
            </w:r>
          </w:p>
        </w:tc>
        <w:tc>
          <w:tcPr>
            <w:tcW w:w="748"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391,270,000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19.81%</w:t>
            </w:r>
          </w:p>
        </w:tc>
      </w:tr>
      <w:tr>
        <w:trPr>
          <w:trHeight w:val="402" w:hRule="exact"/>
        </w:trPr>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2,062,045,941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-86,573,974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-86,573,974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1,975,471,967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left="154" w:right="0"/>
        <w:jc w:val="both"/>
      </w:pPr>
      <w:r>
        <w:rPr/>
        <w:t>股份变动的原因</w:t>
      </w:r>
    </w:p>
    <w:p>
      <w:pPr>
        <w:pStyle w:val="BodyText"/>
        <w:spacing w:line="240" w:lineRule="auto" w:before="117"/>
        <w:ind w:left="154" w:right="0"/>
        <w:jc w:val="both"/>
      </w:pPr>
      <w:r>
        <w:rPr/>
        <w:t>√ 适用 □ 不适用</w:t>
      </w:r>
    </w:p>
    <w:p>
      <w:pPr>
        <w:pStyle w:val="BodyText"/>
        <w:spacing w:line="307" w:lineRule="auto" w:before="115"/>
        <w:ind w:right="149" w:firstLine="360"/>
        <w:jc w:val="both"/>
      </w:pPr>
      <w:r>
        <w:rPr>
          <w:rFonts w:ascii="Times New Roman" w:hAnsi="Times New Roman" w:cs="Times New Roman" w:eastAsia="Times New Roman" w:hint="default"/>
          <w:spacing w:val="-1"/>
        </w:rPr>
        <w:t>1</w:t>
      </w:r>
      <w:r>
        <w:rPr>
          <w:spacing w:val="-1"/>
        </w:rPr>
        <w:t>、本次变动前后，有限售条件股份中，境内自然人持股由</w:t>
      </w:r>
      <w:r>
        <w:rPr>
          <w:rFonts w:ascii="Times New Roman" w:hAnsi="Times New Roman" w:cs="Times New Roman" w:eastAsia="Times New Roman" w:hint="default"/>
          <w:spacing w:val="-1"/>
        </w:rPr>
        <w:t>9,336,404</w:t>
      </w:r>
      <w:r>
        <w:rPr>
          <w:spacing w:val="-1"/>
        </w:rPr>
        <w:t>股变为</w:t>
      </w:r>
      <w:r>
        <w:rPr>
          <w:rFonts w:ascii="Times New Roman" w:hAnsi="Times New Roman" w:cs="Times New Roman" w:eastAsia="Times New Roman" w:hint="default"/>
          <w:spacing w:val="-1"/>
        </w:rPr>
        <w:t>8,166,219</w:t>
      </w:r>
      <w:r>
        <w:rPr>
          <w:spacing w:val="-1"/>
        </w:rPr>
        <w:t>股，差额为</w:t>
      </w:r>
      <w:r>
        <w:rPr>
          <w:rFonts w:ascii="Times New Roman" w:hAnsi="Times New Roman" w:cs="Times New Roman" w:eastAsia="Times New Roman" w:hint="default"/>
          <w:spacing w:val="-1"/>
        </w:rPr>
        <w:t>-1,170,185</w:t>
      </w:r>
      <w:r>
        <w:rPr>
          <w:spacing w:val="-1"/>
        </w:rPr>
        <w:t>股，变动原因</w:t>
      </w:r>
      <w:r>
        <w:rPr/>
        <w:t> </w:t>
      </w:r>
      <w:r>
        <w:rPr>
          <w:spacing w:val="-2"/>
        </w:rPr>
        <w:t>为：根据《深圳证券交易所上市公司董事、监事和高级管理人员所持本公司股份管理业务操作指南》规定，报告期内，公司</w:t>
      </w:r>
      <w:r>
        <w:rPr>
          <w:spacing w:val="-70"/>
        </w:rPr>
        <w:t> </w:t>
      </w:r>
      <w:r>
        <w:rPr>
          <w:spacing w:val="-70"/>
        </w:rPr>
      </w:r>
      <w:r>
        <w:rPr>
          <w:spacing w:val="-2"/>
        </w:rPr>
        <w:t>离任已满半年的董事、高管所持股限售到期全部解禁，高管持股中的</w:t>
      </w:r>
      <w:r>
        <w:rPr>
          <w:rFonts w:ascii="Times New Roman" w:hAnsi="Times New Roman" w:cs="Times New Roman" w:eastAsia="Times New Roman" w:hint="default"/>
          <w:spacing w:val="-2"/>
        </w:rPr>
        <w:t>1,170,185</w:t>
      </w:r>
      <w:r>
        <w:rPr>
          <w:spacing w:val="-2"/>
        </w:rPr>
        <w:t>股，股权性质由有限售条件境内自然人持股变</w:t>
      </w:r>
      <w:r>
        <w:rPr>
          <w:spacing w:val="-57"/>
        </w:rPr>
        <w:t> </w:t>
      </w:r>
      <w:r>
        <w:rPr>
          <w:spacing w:val="-57"/>
        </w:rPr>
      </w:r>
      <w:r>
        <w:rPr/>
        <w:t>为无限售条件人民币普通股（</w:t>
      </w:r>
      <w:r>
        <w:rPr>
          <w:rFonts w:ascii="Times New Roman" w:hAnsi="Times New Roman" w:cs="Times New Roman" w:eastAsia="Times New Roman" w:hint="default"/>
        </w:rPr>
        <w:t>A</w:t>
      </w:r>
      <w:r>
        <w:rPr/>
        <w:t>股）。</w:t>
      </w:r>
    </w:p>
    <w:p>
      <w:pPr>
        <w:pStyle w:val="BodyText"/>
        <w:spacing w:line="300" w:lineRule="auto" w:before="7"/>
        <w:ind w:left="154" w:right="128" w:firstLine="359"/>
        <w:jc w:val="both"/>
      </w:pPr>
      <w:r>
        <w:rPr>
          <w:rFonts w:ascii="Times New Roman" w:hAnsi="Times New Roman" w:cs="Times New Roman" w:eastAsia="Times New Roman" w:hint="default"/>
          <w:spacing w:val="-2"/>
        </w:rPr>
        <w:t>2</w:t>
      </w:r>
      <w:r>
        <w:rPr>
          <w:spacing w:val="-2"/>
        </w:rPr>
        <w:t>、报告期内，境内上市的外资股由</w:t>
      </w:r>
      <w:r>
        <w:rPr>
          <w:rFonts w:ascii="Times New Roman" w:hAnsi="Times New Roman" w:cs="Times New Roman" w:eastAsia="Times New Roman" w:hint="default"/>
          <w:spacing w:val="-2"/>
        </w:rPr>
        <w:t>557,497,485</w:t>
      </w:r>
      <w:r>
        <w:rPr>
          <w:spacing w:val="-2"/>
        </w:rPr>
        <w:t>股变为</w:t>
      </w:r>
      <w:r>
        <w:rPr>
          <w:rFonts w:ascii="Times New Roman" w:hAnsi="Times New Roman" w:cs="Times New Roman" w:eastAsia="Times New Roman" w:hint="default"/>
          <w:spacing w:val="-2"/>
        </w:rPr>
        <w:t>470,923,511</w:t>
      </w:r>
      <w:r>
        <w:rPr>
          <w:spacing w:val="-2"/>
        </w:rPr>
        <w:t>股，差额为</w:t>
      </w:r>
      <w:r>
        <w:rPr>
          <w:rFonts w:ascii="Times New Roman" w:hAnsi="Times New Roman" w:cs="Times New Roman" w:eastAsia="Times New Roman" w:hint="default"/>
          <w:spacing w:val="-2"/>
        </w:rPr>
        <w:t>86,573,974</w:t>
      </w:r>
      <w:r>
        <w:rPr>
          <w:spacing w:val="-2"/>
        </w:rPr>
        <w:t>股，变动原因为：报告期内，公</w:t>
      </w:r>
      <w:r>
        <w:rPr/>
        <w:t> 司回购部分境内上市外资股（</w:t>
      </w:r>
      <w:r>
        <w:rPr>
          <w:rFonts w:ascii="Times New Roman" w:hAnsi="Times New Roman" w:cs="Times New Roman" w:eastAsia="Times New Roman" w:hint="default"/>
        </w:rPr>
        <w:t>B</w:t>
      </w:r>
      <w:r>
        <w:rPr/>
        <w:t>股）股份，截止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日，公司累计回购 </w:t>
      </w:r>
      <w:r>
        <w:rPr>
          <w:rFonts w:ascii="Times New Roman" w:hAnsi="Times New Roman" w:cs="Times New Roman" w:eastAsia="Times New Roman" w:hint="default"/>
        </w:rPr>
        <w:t>B </w:t>
      </w:r>
      <w:r>
        <w:rPr/>
        <w:t>股股份 </w:t>
      </w:r>
      <w:r>
        <w:rPr>
          <w:rFonts w:ascii="Times New Roman" w:hAnsi="Times New Roman" w:cs="Times New Roman" w:eastAsia="Times New Roman" w:hint="default"/>
        </w:rPr>
        <w:t>86,573,974</w:t>
      </w:r>
      <w:r>
        <w:rPr>
          <w:rFonts w:ascii="Times New Roman" w:hAnsi="Times New Roman" w:cs="Times New Roman" w:eastAsia="Times New Roman" w:hint="default"/>
          <w:spacing w:val="13"/>
        </w:rPr>
        <w:t> </w:t>
      </w:r>
      <w:r>
        <w:rPr/>
        <w:t>股，并于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spacing w:val="-2"/>
        </w:rPr>
        <w:t>24</w:t>
      </w:r>
      <w:r>
        <w:rPr>
          <w:spacing w:val="-2"/>
        </w:rPr>
        <w:t>日在中国证券登记结算有限责任公司深圳分公司办理完毕回购股份的注销事宜。详情请参阅公司于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日在《中</w:t>
      </w:r>
      <w:r>
        <w:rPr>
          <w:spacing w:val="-54"/>
        </w:rPr>
        <w:t> </w:t>
      </w:r>
      <w:r>
        <w:rPr>
          <w:spacing w:val="-54"/>
        </w:rPr>
      </w:r>
      <w:r>
        <w:rPr/>
        <w:t>国证券报》、《上海证券报》、《证券时报》、《证券日报》、巨潮资讯网发布的《关于回购部分境内上市外资股（</w:t>
      </w:r>
      <w:r>
        <w:rPr>
          <w:rFonts w:ascii="Times New Roman" w:hAnsi="Times New Roman" w:cs="Times New Roman" w:eastAsia="Times New Roman" w:hint="default"/>
        </w:rPr>
        <w:t>B</w:t>
      </w:r>
      <w:r>
        <w:rPr/>
        <w:t>股） 股份实施完毕及股份变动报告书》，公告编号为</w:t>
      </w:r>
      <w:r>
        <w:rPr>
          <w:rFonts w:ascii="Times New Roman" w:hAnsi="Times New Roman" w:cs="Times New Roman" w:eastAsia="Times New Roman" w:hint="default"/>
        </w:rPr>
        <w:t>2013-114</w:t>
      </w:r>
      <w:r>
        <w:rPr/>
        <w:t>。</w:t>
      </w:r>
    </w:p>
    <w:p>
      <w:pPr>
        <w:pStyle w:val="BodyText"/>
        <w:spacing w:line="240" w:lineRule="auto" w:before="53"/>
        <w:ind w:left="154" w:right="0"/>
        <w:jc w:val="both"/>
      </w:pPr>
      <w:r>
        <w:rPr/>
        <w:t>股份变动的批准情况</w:t>
      </w:r>
    </w:p>
    <w:p>
      <w:pPr>
        <w:pStyle w:val="BodyText"/>
        <w:spacing w:line="240" w:lineRule="auto" w:before="117"/>
        <w:ind w:left="154" w:right="0"/>
        <w:jc w:val="both"/>
      </w:pPr>
      <w:r>
        <w:rPr/>
        <w:t>√ 适用 □ 不适用</w:t>
      </w:r>
    </w:p>
    <w:p>
      <w:pPr>
        <w:pStyle w:val="BodyText"/>
        <w:spacing w:line="240" w:lineRule="auto" w:before="115"/>
        <w:ind w:left="514"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日，公司召开</w:t>
      </w:r>
      <w:r>
        <w:rPr>
          <w:rFonts w:ascii="Times New Roman" w:hAnsi="Times New Roman" w:cs="Times New Roman" w:eastAsia="Times New Roman" w:hint="default"/>
        </w:rPr>
        <w:t>2012</w:t>
      </w:r>
      <w:r>
        <w:rPr/>
        <w:t>年第三次临时股东大会、</w:t>
      </w:r>
      <w:r>
        <w:rPr>
          <w:rFonts w:ascii="Times New Roman" w:hAnsi="Times New Roman" w:cs="Times New Roman" w:eastAsia="Times New Roman" w:hint="default"/>
        </w:rPr>
        <w:t>2012</w:t>
      </w:r>
      <w:r>
        <w:rPr/>
        <w:t>年第一次境内上市股份（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股）类别股东大会以及</w:t>
      </w:r>
    </w:p>
    <w:p>
      <w:pPr>
        <w:pStyle w:val="BodyText"/>
        <w:spacing w:line="300" w:lineRule="auto" w:before="62"/>
        <w:ind w:right="151"/>
        <w:jc w:val="both"/>
      </w:pPr>
      <w:r>
        <w:rPr>
          <w:rFonts w:ascii="Times New Roman" w:hAnsi="Times New Roman" w:cs="Times New Roman" w:eastAsia="Times New Roman" w:hint="default"/>
        </w:rPr>
        <w:t>2012</w:t>
      </w:r>
      <w:r>
        <w:rPr/>
        <w:t>年第一次境外上市股份（</w:t>
      </w:r>
      <w:r>
        <w:rPr>
          <w:rFonts w:ascii="Times New Roman" w:hAnsi="Times New Roman" w:cs="Times New Roman" w:eastAsia="Times New Roman" w:hint="default"/>
        </w:rPr>
        <w:t>H</w:t>
      </w:r>
      <w:r>
        <w:rPr/>
        <w:t>股）类别股东大会，审议通过《关于回购部分境内上市外资股（</w:t>
      </w:r>
      <w:r>
        <w:rPr>
          <w:rFonts w:ascii="Times New Roman" w:hAnsi="Times New Roman" w:cs="Times New Roman" w:eastAsia="Times New Roman" w:hint="default"/>
        </w:rPr>
        <w:t>B</w:t>
      </w:r>
      <w:r>
        <w:rPr/>
        <w:t>股）股份的议案》，同意 </w:t>
      </w:r>
      <w:r>
        <w:rPr>
          <w:spacing w:val="-2"/>
        </w:rPr>
        <w:t>公司自本次股东大会及类别股东大会通过之日起</w:t>
      </w:r>
      <w:r>
        <w:rPr>
          <w:rFonts w:ascii="Times New Roman" w:hAnsi="Times New Roman" w:cs="Times New Roman" w:eastAsia="Times New Roman" w:hint="default"/>
          <w:spacing w:val="-2"/>
        </w:rPr>
        <w:t>12</w:t>
      </w:r>
      <w:r>
        <w:rPr>
          <w:spacing w:val="-2"/>
        </w:rPr>
        <w:t>个月内，以自有资金回购不超过</w:t>
      </w:r>
      <w:r>
        <w:rPr>
          <w:rFonts w:ascii="Times New Roman" w:hAnsi="Times New Roman" w:cs="Times New Roman" w:eastAsia="Times New Roman" w:hint="default"/>
          <w:spacing w:val="-2"/>
        </w:rPr>
        <w:t>1.5</w:t>
      </w:r>
      <w:r>
        <w:rPr>
          <w:spacing w:val="-2"/>
        </w:rPr>
        <w:t>亿股境内上市外资股（</w:t>
      </w:r>
      <w:r>
        <w:rPr>
          <w:rFonts w:ascii="Times New Roman" w:hAnsi="Times New Roman" w:cs="Times New Roman" w:eastAsia="Times New Roman" w:hint="default"/>
          <w:spacing w:val="-2"/>
        </w:rPr>
        <w:t>B</w:t>
      </w:r>
      <w:r>
        <w:rPr>
          <w:spacing w:val="-2"/>
        </w:rPr>
        <w:t>股）股份，回</w:t>
      </w:r>
      <w:r>
        <w:rPr>
          <w:spacing w:val="-47"/>
        </w:rPr>
        <w:t> </w:t>
      </w:r>
      <w:r>
        <w:rPr>
          <w:spacing w:val="-47"/>
        </w:rPr>
      </w:r>
      <w:r>
        <w:rPr/>
        <w:t>购价格不高于</w:t>
      </w:r>
      <w:r>
        <w:rPr>
          <w:rFonts w:ascii="Times New Roman" w:hAnsi="Times New Roman" w:cs="Times New Roman" w:eastAsia="Times New Roman" w:hint="default"/>
        </w:rPr>
        <w:t>4</w:t>
      </w:r>
      <w:r>
        <w:rPr/>
        <w:t>港币</w:t>
      </w:r>
      <w:r>
        <w:rPr>
          <w:rFonts w:ascii="Times New Roman" w:hAnsi="Times New Roman" w:cs="Times New Roman" w:eastAsia="Times New Roman" w:hint="default"/>
        </w:rPr>
        <w:t>/</w:t>
      </w:r>
      <w:r>
        <w:rPr/>
        <w:t>股，且回购价款总额不超过</w:t>
      </w:r>
      <w:r>
        <w:rPr>
          <w:rFonts w:ascii="Times New Roman" w:hAnsi="Times New Roman" w:cs="Times New Roman" w:eastAsia="Times New Roman" w:hint="default"/>
        </w:rPr>
        <w:t>4</w:t>
      </w:r>
      <w:r>
        <w:rPr/>
        <w:t>亿港币，回购的股份将依法注销。</w:t>
      </w:r>
    </w:p>
    <w:p>
      <w:pPr>
        <w:pStyle w:val="BodyText"/>
        <w:spacing w:line="300" w:lineRule="auto" w:before="13"/>
        <w:ind w:right="149"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日，公司取得山东省商务厅《关于山东晨鸣纸业集团股份有限公司减资的初步批复》，同意公司回购部分</w:t>
      </w:r>
      <w:r>
        <w:rPr/>
        <w:t> 境内上市外资股（</w:t>
      </w:r>
      <w:r>
        <w:rPr>
          <w:rFonts w:ascii="Times New Roman" w:hAnsi="Times New Roman" w:cs="Times New Roman" w:eastAsia="Times New Roman" w:hint="default"/>
        </w:rPr>
        <w:t>B</w:t>
      </w:r>
      <w:r>
        <w:rPr/>
        <w:t>股）股份不超过</w:t>
      </w:r>
      <w:r>
        <w:rPr>
          <w:rFonts w:ascii="Times New Roman" w:hAnsi="Times New Roman" w:cs="Times New Roman" w:eastAsia="Times New Roman" w:hint="default"/>
        </w:rPr>
        <w:t>1.5</w:t>
      </w:r>
      <w:r>
        <w:rPr/>
        <w:t>亿股，回购的股份以实际发生数额为准并相应减少注册资本。</w:t>
      </w:r>
    </w:p>
    <w:p>
      <w:pPr>
        <w:pStyle w:val="BodyText"/>
        <w:spacing w:line="300" w:lineRule="auto" w:before="13"/>
        <w:ind w:right="151" w:firstLine="36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4</w:t>
      </w:r>
      <w:r>
        <w:rPr>
          <w:spacing w:val="-1"/>
        </w:rPr>
        <w:t>日，公司取得国家外汇管理局寿光市支局《关于山东晨鸣纸业集团股份有限公司回购</w:t>
      </w:r>
      <w:r>
        <w:rPr>
          <w:rFonts w:ascii="Times New Roman" w:hAnsi="Times New Roman" w:cs="Times New Roman" w:eastAsia="Times New Roman" w:hint="default"/>
          <w:spacing w:val="-1"/>
        </w:rPr>
        <w:t>B</w:t>
      </w:r>
      <w:r>
        <w:rPr>
          <w:spacing w:val="-1"/>
        </w:rPr>
        <w:t>股股份购汇额度的批</w:t>
      </w:r>
      <w:r>
        <w:rPr/>
        <w:t> 复》，同意公司购汇不超过</w:t>
      </w:r>
      <w:r>
        <w:rPr>
          <w:rFonts w:ascii="Times New Roman" w:hAnsi="Times New Roman" w:cs="Times New Roman" w:eastAsia="Times New Roman" w:hint="default"/>
        </w:rPr>
        <w:t>4</w:t>
      </w:r>
      <w:r>
        <w:rPr/>
        <w:t>亿港币，用于回购其不超过</w:t>
      </w:r>
      <w:r>
        <w:rPr>
          <w:rFonts w:ascii="Times New Roman" w:hAnsi="Times New Roman" w:cs="Times New Roman" w:eastAsia="Times New Roman" w:hint="default"/>
        </w:rPr>
        <w:t>1.5</w:t>
      </w:r>
      <w:r>
        <w:rPr/>
        <w:t>亿股境内上市外资股（</w:t>
      </w:r>
      <w:r>
        <w:rPr>
          <w:rFonts w:ascii="Times New Roman" w:hAnsi="Times New Roman" w:cs="Times New Roman" w:eastAsia="Times New Roman" w:hint="default"/>
        </w:rPr>
        <w:t>B</w:t>
      </w:r>
      <w:r>
        <w:rPr/>
        <w:t>股）。</w:t>
      </w:r>
    </w:p>
    <w:p>
      <w:pPr>
        <w:pStyle w:val="BodyText"/>
        <w:spacing w:line="240" w:lineRule="auto" w:before="13"/>
        <w:ind w:left="514" w:right="0"/>
        <w:jc w:val="left"/>
        <w:rPr>
          <w:rFonts w:ascii="Times New Roman" w:hAnsi="Times New Roman" w:cs="Times New Roman" w:eastAsia="Times New Roman" w:hint="default"/>
        </w:rPr>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日，公司取得山东省商务厅《关于山东晨鸣纸业集团股份有限公司减资的批复》（鲁商务外资字</w:t>
      </w:r>
      <w:r>
        <w:rPr>
          <w:rFonts w:ascii="Times New Roman" w:hAnsi="Times New Roman" w:cs="Times New Roman" w:eastAsia="Times New Roman" w:hint="default"/>
          <w:spacing w:val="-2"/>
        </w:rPr>
        <w:t>[2013]933</w:t>
      </w:r>
    </w:p>
    <w:p>
      <w:pPr>
        <w:spacing w:after="0" w:line="240" w:lineRule="auto"/>
        <w:jc w:val="left"/>
        <w:rPr>
          <w:rFonts w:ascii="Times New Roman" w:hAnsi="Times New Roman" w:cs="Times New Roman" w:eastAsia="Times New Roman" w:hint="default"/>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4"/>
          <w:szCs w:val="24"/>
        </w:rPr>
      </w:pPr>
    </w:p>
    <w:p>
      <w:pPr>
        <w:pStyle w:val="BodyText"/>
        <w:spacing w:line="240" w:lineRule="auto" w:before="44"/>
        <w:ind w:right="0"/>
        <w:jc w:val="left"/>
      </w:pPr>
      <w:r>
        <w:rPr/>
        <w:t>号）和减资后的外商投资企业批准证书，同意公司注册资本由</w:t>
      </w:r>
      <w:r>
        <w:rPr>
          <w:rFonts w:ascii="Times New Roman" w:hAnsi="Times New Roman" w:cs="Times New Roman" w:eastAsia="Times New Roman" w:hint="default"/>
        </w:rPr>
        <w:t>206,204.5941</w:t>
      </w:r>
      <w:r>
        <w:rPr/>
        <w:t>万元人民币减至</w:t>
      </w:r>
      <w:r>
        <w:rPr>
          <w:rFonts w:ascii="Times New Roman" w:hAnsi="Times New Roman" w:cs="Times New Roman" w:eastAsia="Times New Roman" w:hint="default"/>
        </w:rPr>
        <w:t>197,547.1967</w:t>
      </w:r>
      <w:r>
        <w:rPr/>
        <w:t>万元人民币。</w:t>
      </w:r>
    </w:p>
    <w:p>
      <w:pPr>
        <w:pStyle w:val="BodyText"/>
        <w:spacing w:line="300" w:lineRule="auto" w:before="62"/>
        <w:ind w:right="141"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日，公司在山东省工商局办理了减资备案手续，取得了减资后的营业执照，注册资本为</w:t>
      </w:r>
      <w:r>
        <w:rPr>
          <w:rFonts w:ascii="Times New Roman" w:hAnsi="Times New Roman" w:cs="Times New Roman" w:eastAsia="Times New Roman" w:hint="default"/>
        </w:rPr>
        <w:t>197,547.1967</w:t>
      </w:r>
      <w:r>
        <w:rPr/>
        <w:t>万元人 民币。</w:t>
      </w:r>
    </w:p>
    <w:p>
      <w:pPr>
        <w:pStyle w:val="BodyText"/>
        <w:spacing w:line="240" w:lineRule="auto" w:before="72"/>
        <w:ind w:right="0"/>
        <w:jc w:val="left"/>
      </w:pPr>
      <w:r>
        <w:rPr/>
        <w:t>股份变动的过户情况</w:t>
      </w:r>
    </w:p>
    <w:p>
      <w:pPr>
        <w:pStyle w:val="BodyText"/>
        <w:spacing w:line="338" w:lineRule="auto" w:before="117"/>
        <w:ind w:left="154" w:right="4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6"/>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4689"/>
        <w:gridCol w:w="2447"/>
        <w:gridCol w:w="2448"/>
      </w:tblGrid>
      <w:tr>
        <w:trPr>
          <w:trHeight w:val="342" w:hRule="exact"/>
        </w:trPr>
        <w:tc>
          <w:tcPr>
            <w:tcW w:w="46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主要财务指标</w:t>
            </w:r>
          </w:p>
        </w:tc>
        <w:tc>
          <w:tcPr>
            <w:tcW w:w="24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766" w:right="0"/>
              <w:jc w:val="left"/>
              <w:rPr>
                <w:rFonts w:ascii="宋体" w:hAnsi="宋体" w:cs="宋体" w:eastAsia="宋体" w:hint="default"/>
                <w:sz w:val="18"/>
                <w:szCs w:val="18"/>
              </w:rPr>
            </w:pPr>
            <w:r>
              <w:rPr>
                <w:rFonts w:ascii="宋体" w:hAnsi="宋体" w:cs="宋体" w:eastAsia="宋体" w:hint="default"/>
                <w:sz w:val="18"/>
                <w:szCs w:val="18"/>
              </w:rPr>
              <w:t>股份变动后</w:t>
            </w:r>
          </w:p>
        </w:tc>
        <w:tc>
          <w:tcPr>
            <w:tcW w:w="2448" w:type="dxa"/>
            <w:tcBorders>
              <w:top w:val="single" w:sz="6" w:space="0" w:color="000000"/>
              <w:left w:val="single" w:sz="6" w:space="0" w:color="000000"/>
              <w:bottom w:val="single" w:sz="6" w:space="0" w:color="000000"/>
              <w:right w:val="single" w:sz="4" w:space="0" w:color="000000"/>
            </w:tcBorders>
            <w:shd w:val="clear" w:color="auto" w:fill="D9D9D9"/>
          </w:tcPr>
          <w:p>
            <w:pPr>
              <w:pStyle w:val="TableParagraph"/>
              <w:spacing w:line="240" w:lineRule="auto" w:before="15"/>
              <w:ind w:left="766" w:right="0"/>
              <w:jc w:val="left"/>
              <w:rPr>
                <w:rFonts w:ascii="宋体" w:hAnsi="宋体" w:cs="宋体" w:eastAsia="宋体" w:hint="default"/>
                <w:sz w:val="18"/>
                <w:szCs w:val="18"/>
              </w:rPr>
            </w:pPr>
            <w:r>
              <w:rPr>
                <w:rFonts w:ascii="宋体" w:hAnsi="宋体" w:cs="宋体" w:eastAsia="宋体" w:hint="default"/>
                <w:sz w:val="18"/>
                <w:szCs w:val="18"/>
              </w:rPr>
              <w:t>股份变动前</w:t>
            </w:r>
          </w:p>
        </w:tc>
      </w:tr>
      <w:tr>
        <w:trPr>
          <w:trHeight w:val="347" w:hRule="exact"/>
        </w:trPr>
        <w:tc>
          <w:tcPr>
            <w:tcW w:w="46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447" w:type="dxa"/>
            <w:tcBorders>
              <w:top w:val="single" w:sz="9"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0.35</w:t>
            </w:r>
          </w:p>
        </w:tc>
        <w:tc>
          <w:tcPr>
            <w:tcW w:w="2448" w:type="dxa"/>
            <w:tcBorders>
              <w:top w:val="single" w:sz="9" w:space="0" w:color="000000"/>
              <w:left w:val="single" w:sz="6" w:space="0" w:color="000000"/>
              <w:bottom w:val="single" w:sz="6" w:space="0" w:color="000000"/>
              <w:right w:val="single" w:sz="4"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z w:val="18"/>
              </w:rPr>
              <w:t>0.34</w:t>
            </w:r>
          </w:p>
        </w:tc>
      </w:tr>
      <w:tr>
        <w:trPr>
          <w:trHeight w:val="347" w:hRule="exact"/>
        </w:trPr>
        <w:tc>
          <w:tcPr>
            <w:tcW w:w="46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4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0.34</w:t>
            </w:r>
          </w:p>
        </w:tc>
      </w:tr>
      <w:tr>
        <w:trPr>
          <w:trHeight w:val="342" w:hRule="exact"/>
        </w:trPr>
        <w:tc>
          <w:tcPr>
            <w:tcW w:w="46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4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7.15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6.94</w:t>
            </w:r>
          </w:p>
        </w:tc>
      </w:tr>
    </w:tbl>
    <w:p>
      <w:pPr>
        <w:pStyle w:val="BodyText"/>
        <w:spacing w:line="240" w:lineRule="auto" w:before="56"/>
        <w:ind w:left="154" w:right="0"/>
        <w:jc w:val="left"/>
      </w:pPr>
      <w:r>
        <w:rPr/>
        <w:t>公司认为必要或证券监管机构要求披露的其他内容</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60"/>
        <w:gridCol w:w="1474"/>
        <w:gridCol w:w="1368"/>
        <w:gridCol w:w="1118"/>
        <w:gridCol w:w="1616"/>
        <w:gridCol w:w="1084"/>
        <w:gridCol w:w="1651"/>
      </w:tblGrid>
      <w:tr>
        <w:trPr>
          <w:trHeight w:val="713"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4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0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6" w:right="85"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715" w:hRule="exact"/>
        </w:trPr>
        <w:tc>
          <w:tcPr>
            <w:tcW w:w="126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147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36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张，固定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5.95%</w:t>
            </w:r>
          </w:p>
        </w:tc>
        <w:tc>
          <w:tcPr>
            <w:tcW w:w="111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61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8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651"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张，固定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香港晨鸣债</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张，固定</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52"/>
        <w:ind w:left="154" w:right="0"/>
        <w:jc w:val="left"/>
      </w:pPr>
      <w:r>
        <w:rPr/>
        <w:t>前三年历次证券发行情况的说明</w:t>
      </w:r>
    </w:p>
    <w:p>
      <w:pPr>
        <w:pStyle w:val="BodyText"/>
        <w:spacing w:line="300" w:lineRule="auto" w:before="116"/>
        <w:ind w:right="149" w:firstLine="360"/>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日发行总额为人民币</w:t>
      </w:r>
      <w:r>
        <w:rPr>
          <w:rFonts w:ascii="Times New Roman" w:hAnsi="Times New Roman" w:cs="Times New Roman" w:eastAsia="Times New Roman" w:hint="default"/>
        </w:rPr>
        <w:t>20</w:t>
      </w:r>
      <w:r>
        <w:rPr/>
        <w:t>亿元的公司债券，债券面值每张</w:t>
      </w:r>
      <w:r>
        <w:rPr>
          <w:rFonts w:ascii="Times New Roman" w:hAnsi="Times New Roman" w:cs="Times New Roman" w:eastAsia="Times New Roman" w:hint="default"/>
        </w:rPr>
        <w:t>100</w:t>
      </w:r>
      <w:r>
        <w:rPr/>
        <w:t>元，共计</w:t>
      </w:r>
      <w:r>
        <w:rPr>
          <w:rFonts w:ascii="Times New Roman" w:hAnsi="Times New Roman" w:cs="Times New Roman" w:eastAsia="Times New Roman" w:hint="default"/>
        </w:rPr>
        <w:t>2,000</w:t>
      </w:r>
      <w:r>
        <w:rPr/>
        <w:t>万张，发行价格为每 </w:t>
      </w:r>
      <w:r>
        <w:rPr>
          <w:spacing w:val="-1"/>
        </w:rPr>
        <w:t>张</w:t>
      </w:r>
      <w:r>
        <w:rPr>
          <w:rFonts w:ascii="Times New Roman" w:hAnsi="Times New Roman" w:cs="Times New Roman" w:eastAsia="Times New Roman" w:hint="default"/>
          <w:spacing w:val="-1"/>
        </w:rPr>
        <w:t>100</w:t>
      </w:r>
      <w:r>
        <w:rPr>
          <w:spacing w:val="-1"/>
        </w:rPr>
        <w:t>元，本次债券票面利率为</w:t>
      </w:r>
      <w:r>
        <w:rPr>
          <w:rFonts w:ascii="Times New Roman" w:hAnsi="Times New Roman" w:cs="Times New Roman" w:eastAsia="Times New Roman" w:hint="default"/>
          <w:spacing w:val="-1"/>
        </w:rPr>
        <w:t>5.95%</w:t>
      </w:r>
      <w:r>
        <w:rPr>
          <w:spacing w:val="-1"/>
        </w:rPr>
        <w:t>，共募集资金人民币</w:t>
      </w:r>
      <w:r>
        <w:rPr>
          <w:rFonts w:ascii="Times New Roman" w:hAnsi="Times New Roman" w:cs="Times New Roman" w:eastAsia="Times New Roman" w:hint="default"/>
          <w:spacing w:val="-1"/>
        </w:rPr>
        <w:t>20</w:t>
      </w:r>
      <w:r>
        <w:rPr>
          <w:spacing w:val="-1"/>
        </w:rPr>
        <w:t>亿元，扣除费用人民币</w:t>
      </w:r>
      <w:r>
        <w:rPr>
          <w:rFonts w:ascii="Times New Roman" w:hAnsi="Times New Roman" w:cs="Times New Roman" w:eastAsia="Times New Roman" w:hint="default"/>
          <w:spacing w:val="-1"/>
        </w:rPr>
        <w:t>0.18</w:t>
      </w:r>
      <w:r>
        <w:rPr>
          <w:spacing w:val="-1"/>
        </w:rPr>
        <w:t>亿元后可使用的募集资金净额为人民</w:t>
      </w:r>
      <w:r>
        <w:rPr>
          <w:spacing w:val="-84"/>
        </w:rPr>
        <w:t> </w:t>
      </w:r>
      <w:r>
        <w:rPr>
          <w:spacing w:val="-84"/>
        </w:rPr>
      </w:r>
      <w:r>
        <w:rPr/>
        <w:t>币</w:t>
      </w:r>
      <w:r>
        <w:rPr>
          <w:rFonts w:ascii="Times New Roman" w:hAnsi="Times New Roman" w:cs="Times New Roman" w:eastAsia="Times New Roman" w:hint="default"/>
        </w:rPr>
        <w:t>19.82</w:t>
      </w:r>
      <w:r>
        <w:rPr/>
        <w:t>亿元。累计使用募集资金人民币</w:t>
      </w:r>
      <w:r>
        <w:rPr>
          <w:rFonts w:ascii="Times New Roman" w:hAnsi="Times New Roman" w:cs="Times New Roman" w:eastAsia="Times New Roman" w:hint="default"/>
        </w:rPr>
        <w:t>19.82</w:t>
      </w:r>
      <w:r>
        <w:rPr/>
        <w:t>亿元，其中补充流动资金约人民币</w:t>
      </w:r>
      <w:r>
        <w:rPr>
          <w:rFonts w:ascii="Times New Roman" w:hAnsi="Times New Roman" w:cs="Times New Roman" w:eastAsia="Times New Roman" w:hint="default"/>
        </w:rPr>
        <w:t>3.82</w:t>
      </w:r>
      <w:r>
        <w:rPr/>
        <w:t>亿元，偿还银行贷款使用募集资金约人 民币</w:t>
      </w:r>
      <w:r>
        <w:rPr>
          <w:rFonts w:ascii="Times New Roman" w:hAnsi="Times New Roman" w:cs="Times New Roman" w:eastAsia="Times New Roman" w:hint="default"/>
        </w:rPr>
        <w:t>16</w:t>
      </w:r>
      <w:r>
        <w:rPr/>
        <w:t>亿元，主要用于归还金融机构借款。</w:t>
      </w:r>
    </w:p>
    <w:p>
      <w:pPr>
        <w:pStyle w:val="BodyText"/>
        <w:spacing w:line="300" w:lineRule="auto" w:before="51"/>
        <w:ind w:right="149" w:firstLine="360"/>
        <w:jc w:val="both"/>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日发行总额为人民币</w:t>
      </w:r>
      <w:r>
        <w:rPr>
          <w:rFonts w:ascii="Times New Roman" w:hAnsi="Times New Roman" w:cs="Times New Roman" w:eastAsia="Times New Roman" w:hint="default"/>
        </w:rPr>
        <w:t>38</w:t>
      </w:r>
      <w:r>
        <w:rPr/>
        <w:t>亿元的公司债券，债券面值每张</w:t>
      </w:r>
      <w:r>
        <w:rPr>
          <w:rFonts w:ascii="Times New Roman" w:hAnsi="Times New Roman" w:cs="Times New Roman" w:eastAsia="Times New Roman" w:hint="default"/>
        </w:rPr>
        <w:t>100</w:t>
      </w:r>
      <w:r>
        <w:rPr/>
        <w:t>元，共计</w:t>
      </w:r>
      <w:r>
        <w:rPr>
          <w:rFonts w:ascii="Times New Roman" w:hAnsi="Times New Roman" w:cs="Times New Roman" w:eastAsia="Times New Roman" w:hint="default"/>
        </w:rPr>
        <w:t>3,800</w:t>
      </w:r>
      <w:r>
        <w:rPr/>
        <w:t>万张，发行价格为 </w:t>
      </w:r>
      <w:r>
        <w:rPr>
          <w:spacing w:val="-1"/>
        </w:rPr>
        <w:t>每张</w:t>
      </w:r>
      <w:r>
        <w:rPr>
          <w:rFonts w:ascii="Times New Roman" w:hAnsi="Times New Roman" w:cs="Times New Roman" w:eastAsia="Times New Roman" w:hint="default"/>
          <w:spacing w:val="-1"/>
        </w:rPr>
        <w:t>100</w:t>
      </w:r>
      <w:r>
        <w:rPr>
          <w:spacing w:val="-1"/>
        </w:rPr>
        <w:t>元，本次债券票面利率为</w:t>
      </w:r>
      <w:r>
        <w:rPr>
          <w:rFonts w:ascii="Times New Roman" w:hAnsi="Times New Roman" w:cs="Times New Roman" w:eastAsia="Times New Roman" w:hint="default"/>
          <w:spacing w:val="-1"/>
        </w:rPr>
        <w:t>5.65%</w:t>
      </w:r>
      <w:r>
        <w:rPr>
          <w:spacing w:val="-1"/>
        </w:rPr>
        <w:t>，共募集资金人民币</w:t>
      </w:r>
      <w:r>
        <w:rPr>
          <w:rFonts w:ascii="Times New Roman" w:hAnsi="Times New Roman" w:cs="Times New Roman" w:eastAsia="Times New Roman" w:hint="default"/>
          <w:spacing w:val="-1"/>
        </w:rPr>
        <w:t>38</w:t>
      </w:r>
      <w:r>
        <w:rPr>
          <w:spacing w:val="-1"/>
        </w:rPr>
        <w:t>亿元，扣除费用人民币</w:t>
      </w:r>
      <w:r>
        <w:rPr>
          <w:rFonts w:ascii="Times New Roman" w:hAnsi="Times New Roman" w:cs="Times New Roman" w:eastAsia="Times New Roman" w:hint="default"/>
          <w:spacing w:val="-1"/>
        </w:rPr>
        <w:t>0.27</w:t>
      </w:r>
      <w:r>
        <w:rPr>
          <w:spacing w:val="-1"/>
        </w:rPr>
        <w:t>亿元后可使用的募集资金净额为人</w:t>
      </w:r>
      <w:r>
        <w:rPr>
          <w:spacing w:val="-86"/>
        </w:rPr>
        <w:t> </w:t>
      </w:r>
      <w:r>
        <w:rPr/>
        <w:t>民币</w:t>
      </w:r>
      <w:r>
        <w:rPr>
          <w:rFonts w:ascii="Times New Roman" w:hAnsi="Times New Roman" w:cs="Times New Roman" w:eastAsia="Times New Roman" w:hint="default"/>
        </w:rPr>
        <w:t>37.73</w:t>
      </w:r>
      <w:r>
        <w:rPr/>
        <w:t>亿元。累计使用募集资金人民币</w:t>
      </w:r>
      <w:r>
        <w:rPr>
          <w:rFonts w:ascii="Times New Roman" w:hAnsi="Times New Roman" w:cs="Times New Roman" w:eastAsia="Times New Roman" w:hint="default"/>
        </w:rPr>
        <w:t>37.73</w:t>
      </w:r>
      <w:r>
        <w:rPr/>
        <w:t>亿元，其中补充流动资金约人民币</w:t>
      </w:r>
      <w:r>
        <w:rPr>
          <w:rFonts w:ascii="Times New Roman" w:hAnsi="Times New Roman" w:cs="Times New Roman" w:eastAsia="Times New Roman" w:hint="default"/>
        </w:rPr>
        <w:t>2.73</w:t>
      </w:r>
      <w:r>
        <w:rPr/>
        <w:t>亿元，偿还银行借款使用募集资金约 人民币</w:t>
      </w:r>
      <w:r>
        <w:rPr>
          <w:rFonts w:ascii="Times New Roman" w:hAnsi="Times New Roman" w:cs="Times New Roman" w:eastAsia="Times New Roman" w:hint="default"/>
        </w:rPr>
        <w:t>35</w:t>
      </w:r>
      <w:r>
        <w:rPr/>
        <w:t>亿元，主要用于置换短期银行借款。</w:t>
      </w:r>
    </w:p>
    <w:p>
      <w:pPr>
        <w:pStyle w:val="BodyText"/>
        <w:spacing w:line="302" w:lineRule="auto" w:before="51"/>
        <w:ind w:right="151" w:firstLine="360"/>
        <w:jc w:val="both"/>
      </w:pPr>
      <w:r>
        <w:rPr/>
        <w:t>（</w:t>
      </w:r>
      <w:r>
        <w:rPr>
          <w:rFonts w:ascii="Times New Roman" w:hAnsi="Times New Roman" w:cs="Times New Roman" w:eastAsia="Times New Roman" w:hint="default"/>
        </w:rPr>
        <w:t>3</w:t>
      </w:r>
      <w:r>
        <w:rPr/>
        <w:t>）公司之子公司晨鸣（香港）有限公司于</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日发行人民币票据</w:t>
      </w:r>
      <w:r>
        <w:rPr>
          <w:rFonts w:ascii="Times New Roman" w:hAnsi="Times New Roman" w:cs="Times New Roman" w:eastAsia="Times New Roman" w:hint="default"/>
        </w:rPr>
        <w:t>5</w:t>
      </w:r>
      <w:r>
        <w:rPr/>
        <w:t>亿元，本次发行的人民币票据利率为年 利率</w:t>
      </w:r>
      <w:r>
        <w:rPr>
          <w:rFonts w:ascii="Times New Roman" w:hAnsi="Times New Roman" w:cs="Times New Roman" w:eastAsia="Times New Roman" w:hint="default"/>
        </w:rPr>
        <w:t>2.95%</w:t>
      </w:r>
      <w:r>
        <w:rPr/>
        <w:t>，并于每半年支付票据利息，所得款项用作晨鸣（香港）有限公司的营运资金。</w:t>
      </w:r>
    </w:p>
    <w:p>
      <w:pPr>
        <w:spacing w:after="0" w:line="302" w:lineRule="auto"/>
        <w:jc w:val="both"/>
        <w:sectPr>
          <w:pgSz w:w="11910" w:h="16840"/>
          <w:pgMar w:header="877" w:footer="950" w:top="1100" w:bottom="114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9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0" w:firstLine="360"/>
        <w:jc w:val="left"/>
      </w:pPr>
      <w:r>
        <w:rPr/>
        <w:t>（</w:t>
      </w:r>
      <w:r>
        <w:rPr>
          <w:rFonts w:ascii="Times New Roman" w:hAnsi="Times New Roman" w:cs="Times New Roman" w:eastAsia="Times New Roman" w:hint="default"/>
        </w:rPr>
        <w:t>1</w:t>
      </w:r>
      <w:r>
        <w:rPr/>
        <w:t>）报告期内，公司回购部分境内上市外资股（</w:t>
      </w:r>
      <w:r>
        <w:rPr>
          <w:rFonts w:ascii="Times New Roman" w:hAnsi="Times New Roman" w:cs="Times New Roman" w:eastAsia="Times New Roman" w:hint="default"/>
        </w:rPr>
        <w:t>B</w:t>
      </w:r>
      <w:r>
        <w:rPr>
          <w:rFonts w:ascii="Times New Roman" w:hAnsi="Times New Roman" w:cs="Times New Roman" w:eastAsia="Times New Roman" w:hint="default"/>
          <w:spacing w:val="8"/>
        </w:rPr>
        <w:t> </w:t>
      </w:r>
      <w:r>
        <w:rPr/>
        <w:t>股）股份，截至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日，公司累计回购</w:t>
      </w:r>
      <w:r>
        <w:rPr>
          <w:rFonts w:ascii="Times New Roman" w:hAnsi="Times New Roman" w:cs="Times New Roman" w:eastAsia="Times New Roman" w:hint="default"/>
        </w:rPr>
        <w:t>B</w:t>
      </w:r>
      <w:r>
        <w:rPr/>
        <w:t>股股份</w:t>
      </w:r>
      <w:r>
        <w:rPr>
          <w:rFonts w:ascii="Times New Roman" w:hAnsi="Times New Roman" w:cs="Times New Roman" w:eastAsia="Times New Roman" w:hint="default"/>
        </w:rPr>
        <w:t>86,573,974 </w:t>
      </w:r>
      <w:r>
        <w:rPr/>
        <w:t>股，并于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日在中国证券登记结算有限责任公司深圳分公司办理完毕回购股份的注销事宜。详情请参阅公司于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日发布的《关于回购部分境内上市外资股（</w:t>
      </w:r>
      <w:r>
        <w:rPr>
          <w:rFonts w:ascii="Times New Roman" w:hAnsi="Times New Roman" w:cs="Times New Roman" w:eastAsia="Times New Roman" w:hint="default"/>
        </w:rPr>
        <w:t>B</w:t>
      </w:r>
      <w:r>
        <w:rPr>
          <w:rFonts w:ascii="Times New Roman" w:hAnsi="Times New Roman" w:cs="Times New Roman" w:eastAsia="Times New Roman" w:hint="default"/>
          <w:spacing w:val="26"/>
        </w:rPr>
        <w:t> </w:t>
      </w:r>
      <w:r>
        <w:rPr/>
        <w:t>股）股份实施完毕及股份变动报告书》，公告编号为</w:t>
      </w:r>
      <w:r>
        <w:rPr>
          <w:rFonts w:ascii="Times New Roman" w:hAnsi="Times New Roman" w:cs="Times New Roman" w:eastAsia="Times New Roman" w:hint="default"/>
        </w:rPr>
        <w:t>2013-114</w:t>
      </w:r>
      <w:r>
        <w:rPr/>
        <w:t>。 回购</w:t>
      </w:r>
      <w:r>
        <w:rPr>
          <w:rFonts w:ascii="Times New Roman" w:hAnsi="Times New Roman" w:cs="Times New Roman" w:eastAsia="Times New Roman" w:hint="default"/>
        </w:rPr>
        <w:t>B</w:t>
      </w:r>
      <w:r>
        <w:rPr/>
        <w:t>股注销后，公司股份总数由</w:t>
      </w:r>
      <w:r>
        <w:rPr>
          <w:rFonts w:ascii="Times New Roman" w:hAnsi="Times New Roman" w:cs="Times New Roman" w:eastAsia="Times New Roman" w:hint="default"/>
        </w:rPr>
        <w:t>2,062,045,941</w:t>
      </w:r>
      <w:r>
        <w:rPr/>
        <w:t>股减少至</w:t>
      </w:r>
      <w:r>
        <w:rPr>
          <w:rFonts w:ascii="Times New Roman" w:hAnsi="Times New Roman" w:cs="Times New Roman" w:eastAsia="Times New Roman" w:hint="default"/>
        </w:rPr>
        <w:t>1,975,471,967</w:t>
      </w:r>
      <w:r>
        <w:rPr/>
        <w:t>股。</w:t>
      </w:r>
    </w:p>
    <w:p>
      <w:pPr>
        <w:pStyle w:val="BodyText"/>
        <w:spacing w:line="300" w:lineRule="auto" w:before="13"/>
        <w:ind w:right="90" w:firstLine="360"/>
        <w:jc w:val="left"/>
      </w:pPr>
      <w:r>
        <w:rPr>
          <w:spacing w:val="-1"/>
        </w:rPr>
        <w:t>（</w:t>
      </w:r>
      <w:r>
        <w:rPr>
          <w:rFonts w:ascii="Times New Roman" w:hAnsi="Times New Roman" w:cs="Times New Roman" w:eastAsia="Times New Roman" w:hint="default"/>
          <w:spacing w:val="-1"/>
        </w:rPr>
        <w:t>2</w:t>
      </w:r>
      <w:r>
        <w:rPr>
          <w:spacing w:val="-1"/>
        </w:rPr>
        <w:t>）报告期内，因回购部分</w:t>
      </w:r>
      <w:r>
        <w:rPr>
          <w:rFonts w:ascii="Times New Roman" w:hAnsi="Times New Roman" w:cs="Times New Roman" w:eastAsia="Times New Roman" w:hint="default"/>
          <w:spacing w:val="-1"/>
        </w:rPr>
        <w:t>B</w:t>
      </w:r>
      <w:r>
        <w:rPr>
          <w:spacing w:val="-1"/>
        </w:rPr>
        <w:t>股并注销，公司控股股东</w:t>
      </w:r>
      <w:r>
        <w:rPr>
          <w:rFonts w:ascii="Times New Roman" w:hAnsi="Times New Roman" w:cs="Times New Roman" w:eastAsia="Times New Roman" w:hint="default"/>
          <w:spacing w:val="-1"/>
        </w:rPr>
        <w:t>-</w:t>
      </w:r>
      <w:r>
        <w:rPr>
          <w:spacing w:val="-1"/>
        </w:rPr>
        <w:t>寿光晨鸣控股有限公司的持股比例由</w:t>
      </w:r>
      <w:r>
        <w:rPr>
          <w:rFonts w:ascii="Times New Roman" w:hAnsi="Times New Roman" w:cs="Times New Roman" w:eastAsia="Times New Roman" w:hint="default"/>
          <w:spacing w:val="-1"/>
        </w:rPr>
        <w:t>14.21%</w:t>
      </w:r>
      <w:r>
        <w:rPr>
          <w:spacing w:val="-1"/>
        </w:rPr>
        <w:t>升至</w:t>
      </w:r>
      <w:r>
        <w:rPr>
          <w:rFonts w:ascii="Times New Roman" w:hAnsi="Times New Roman" w:cs="Times New Roman" w:eastAsia="Times New Roman" w:hint="default"/>
          <w:spacing w:val="-1"/>
        </w:rPr>
        <w:t>14.83%</w:t>
      </w:r>
      <w:r>
        <w:rPr>
          <w:spacing w:val="-1"/>
        </w:rPr>
        <w:t>，其他</w:t>
      </w:r>
      <w:r>
        <w:rPr/>
        <w:t> 股东结构影响很小。股份结构的变动情况，请参阅本章节第一部分、股份变动情况。</w:t>
      </w:r>
    </w:p>
    <w:p>
      <w:pPr>
        <w:pStyle w:val="BodyText"/>
        <w:spacing w:line="300" w:lineRule="auto" w:before="31"/>
        <w:ind w:right="90" w:firstLine="360"/>
        <w:jc w:val="left"/>
      </w:pPr>
      <w:r>
        <w:rPr>
          <w:spacing w:val="-2"/>
        </w:rPr>
        <w:t>（</w:t>
      </w:r>
      <w:r>
        <w:rPr>
          <w:rFonts w:ascii="Times New Roman" w:hAnsi="Times New Roman" w:cs="Times New Roman" w:eastAsia="Times New Roman" w:hint="default"/>
          <w:spacing w:val="-2"/>
        </w:rPr>
        <w:t>3</w:t>
      </w:r>
      <w:r>
        <w:rPr>
          <w:spacing w:val="-2"/>
        </w:rPr>
        <w:t>）报告期内，因回购部分</w:t>
      </w:r>
      <w:r>
        <w:rPr>
          <w:rFonts w:ascii="Times New Roman" w:hAnsi="Times New Roman" w:cs="Times New Roman" w:eastAsia="Times New Roman" w:hint="default"/>
          <w:spacing w:val="-2"/>
        </w:rPr>
        <w:t>B</w:t>
      </w:r>
      <w:r>
        <w:rPr>
          <w:spacing w:val="-2"/>
        </w:rPr>
        <w:t>股并注销，公司股本减少人民币</w:t>
      </w:r>
      <w:r>
        <w:rPr>
          <w:rFonts w:ascii="Times New Roman" w:hAnsi="Times New Roman" w:cs="Times New Roman" w:eastAsia="Times New Roman" w:hint="default"/>
          <w:spacing w:val="-2"/>
        </w:rPr>
        <w:t>86,573,974</w:t>
      </w:r>
      <w:r>
        <w:rPr>
          <w:spacing w:val="-2"/>
        </w:rPr>
        <w:t>元，资本公积减少人民币</w:t>
      </w:r>
      <w:r>
        <w:rPr>
          <w:rFonts w:ascii="Times New Roman" w:hAnsi="Times New Roman" w:cs="Times New Roman" w:eastAsia="Times New Roman" w:hint="default"/>
          <w:spacing w:val="-2"/>
        </w:rPr>
        <w:t>178,789,209.60</w:t>
      </w:r>
      <w:r>
        <w:rPr>
          <w:spacing w:val="-2"/>
        </w:rPr>
        <w:t>元；资</w:t>
      </w:r>
      <w:r>
        <w:rPr/>
        <w:t> 产负债率由</w:t>
      </w:r>
      <w:r>
        <w:rPr>
          <w:rFonts w:ascii="Times New Roman" w:hAnsi="Times New Roman" w:cs="Times New Roman" w:eastAsia="Times New Roman" w:hint="default"/>
        </w:rPr>
        <w:t>68.81%</w:t>
      </w:r>
      <w:r>
        <w:rPr/>
        <w:t>变为</w:t>
      </w:r>
      <w:r>
        <w:rPr>
          <w:rFonts w:ascii="Times New Roman" w:hAnsi="Times New Roman" w:cs="Times New Roman" w:eastAsia="Times New Roman" w:hint="default"/>
        </w:rPr>
        <w:t>69.20%</w:t>
      </w:r>
      <w:r>
        <w:rPr/>
        <w:t>。</w:t>
      </w:r>
    </w:p>
    <w:p>
      <w:pPr>
        <w:spacing w:line="240" w:lineRule="auto" w:before="1"/>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506"/>
        <w:gridCol w:w="3860"/>
        <w:gridCol w:w="3190"/>
      </w:tblGrid>
      <w:tr>
        <w:trPr>
          <w:trHeight w:val="402" w:hRule="exact"/>
        </w:trPr>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内部职工股的发行价格（元）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内部职工股的发行数量（股）</w:t>
            </w:r>
          </w:p>
        </w:tc>
      </w:tr>
      <w:tr>
        <w:trPr>
          <w:trHeight w:val="402" w:hRule="exact"/>
        </w:trPr>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1"/>
              <w:jc w:val="center"/>
              <w:rPr>
                <w:rFonts w:ascii="宋体" w:hAnsi="宋体" w:cs="宋体" w:eastAsia="宋体" w:hint="default"/>
                <w:sz w:val="18"/>
                <w:szCs w:val="18"/>
              </w:rPr>
            </w:pPr>
            <w:r>
              <w:rPr>
                <w:rFonts w:ascii="宋体" w:hAnsi="宋体" w:cs="宋体" w:eastAsia="宋体" w:hint="default"/>
                <w:sz w:val="18"/>
                <w:szCs w:val="18"/>
              </w:rPr>
              <w:t>现存的内部职工股情况的说明</w:t>
            </w:r>
          </w:p>
        </w:tc>
        <w:tc>
          <w:tcPr>
            <w:tcW w:w="7050"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本公司无内部职工股</w:t>
            </w:r>
          </w:p>
        </w:tc>
      </w:tr>
    </w:tbl>
    <w:p>
      <w:pPr>
        <w:spacing w:line="240" w:lineRule="auto" w:before="2"/>
        <w:rPr>
          <w:rFonts w:ascii="宋体" w:hAnsi="宋体" w:cs="宋体" w:eastAsia="宋体" w:hint="default"/>
          <w:b/>
          <w:bCs/>
          <w:sz w:val="18"/>
          <w:szCs w:val="18"/>
        </w:rPr>
      </w:pPr>
    </w:p>
    <w:p>
      <w:pPr>
        <w:pStyle w:val="Heading2"/>
        <w:spacing w:line="240" w:lineRule="auto" w:before="26"/>
        <w:ind w:right="9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7767" w:right="100"/>
        <w:jc w:val="right"/>
      </w:pPr>
      <w:r>
        <w:rPr/>
        <w:pict>
          <v:shape style="position:absolute;margin-left:55.080002pt;margin-top:-18.647989pt;width:485.4pt;height:357.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1"/>
                    <w:gridCol w:w="1093"/>
                    <w:gridCol w:w="730"/>
                    <w:gridCol w:w="1100"/>
                    <w:gridCol w:w="1087"/>
                    <w:gridCol w:w="905"/>
                    <w:gridCol w:w="1099"/>
                    <w:gridCol w:w="912"/>
                    <w:gridCol w:w="576"/>
                  </w:tblGrid>
                  <w:tr>
                    <w:trPr>
                      <w:trHeight w:val="160" w:hRule="exact"/>
                    </w:trPr>
                    <w:tc>
                      <w:tcPr>
                        <w:tcW w:w="2191" w:type="dxa"/>
                        <w:tcBorders>
                          <w:top w:val="single" w:sz="4" w:space="0" w:color="000000"/>
                          <w:left w:val="single" w:sz="4" w:space="0" w:color="000000"/>
                          <w:bottom w:val="nil" w:sz="6" w:space="0" w:color="auto"/>
                          <w:right w:val="single" w:sz="4" w:space="0" w:color="000000"/>
                        </w:tcBorders>
                        <w:shd w:val="clear" w:color="auto" w:fill="D3D3D3"/>
                      </w:tcPr>
                      <w:p>
                        <w:pPr/>
                      </w:p>
                    </w:tc>
                    <w:tc>
                      <w:tcPr>
                        <w:tcW w:w="2923" w:type="dxa"/>
                        <w:gridSpan w:val="3"/>
                        <w:vMerge w:val="restart"/>
                        <w:tcBorders>
                          <w:top w:val="single" w:sz="4" w:space="0" w:color="000000"/>
                          <w:left w:val="single" w:sz="10" w:space="0" w:color="D3D3D3"/>
                          <w:right w:val="single" w:sz="13" w:space="0" w:color="D3D3D3"/>
                        </w:tcBorders>
                      </w:tcPr>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131,890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28,873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1"/>
                          <w:ind w:left="17" w:right="15"/>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 交易日末股东总数</w:t>
                        </w:r>
                      </w:p>
                    </w:tc>
                    <w:tc>
                      <w:tcPr>
                        <w:tcW w:w="2587" w:type="dxa"/>
                        <w:gridSpan w:val="3"/>
                        <w:vMerge w:val="restart"/>
                        <w:tcBorders>
                          <w:top w:val="single" w:sz="4" w:space="0" w:color="000000"/>
                          <w:left w:val="single" w:sz="13" w:space="0" w:color="D3D3D3"/>
                          <w:right w:val="single" w:sz="4" w:space="0" w:color="000000"/>
                        </w:tcBorders>
                      </w:tcPr>
                      <w:p>
                        <w:pPr>
                          <w:pStyle w:val="TableParagraph"/>
                          <w:spacing w:line="240" w:lineRule="auto" w:before="51"/>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131,173  </w:t>
                        </w:r>
                        <w:r>
                          <w:rPr>
                            <w:rFonts w:ascii="宋体" w:hAnsi="宋体" w:cs="宋体" w:eastAsia="宋体" w:hint="default"/>
                            <w:sz w:val="18"/>
                            <w:szCs w:val="18"/>
                          </w:rPr>
                          <w:t>户（其中 </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101,779</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pacing w:val="-19"/>
                            <w:sz w:val="18"/>
                            <w:szCs w:val="18"/>
                          </w:rPr>
                          <w:t>户，</w:t>
                        </w:r>
                        <w:r>
                          <w:rPr>
                            <w:rFonts w:ascii="Times New Roman" w:hAnsi="Times New Roman" w:cs="Times New Roman" w:eastAsia="Times New Roman" w:hint="default"/>
                            <w:spacing w:val="-19"/>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28,837</w:t>
                        </w:r>
                        <w:r>
                          <w:rPr>
                            <w:rFonts w:ascii="Times New Roman" w:hAnsi="Times New Roman" w:cs="Times New Roman" w:eastAsia="Times New Roman" w:hint="default"/>
                            <w:spacing w:val="-1"/>
                            <w:sz w:val="18"/>
                            <w:szCs w:val="18"/>
                          </w:rPr>
                          <w:t> </w:t>
                        </w:r>
                        <w:r>
                          <w:rPr>
                            <w:rFonts w:ascii="宋体" w:hAnsi="宋体" w:cs="宋体" w:eastAsia="宋体" w:hint="default"/>
                            <w:spacing w:val="-19"/>
                            <w:sz w:val="18"/>
                            <w:szCs w:val="18"/>
                          </w:rPr>
                          <w:t>户，</w:t>
                        </w:r>
                        <w:r>
                          <w:rPr>
                            <w:rFonts w:ascii="Times New Roman" w:hAnsi="Times New Roman" w:cs="Times New Roman" w:eastAsia="Times New Roman" w:hint="default"/>
                            <w:spacing w:val="-19"/>
                            <w:sz w:val="18"/>
                            <w:szCs w:val="18"/>
                          </w:rPr>
                          <w:t>H</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557 </w:t>
                        </w:r>
                        <w:r>
                          <w:rPr>
                            <w:rFonts w:ascii="宋体" w:hAnsi="宋体" w:cs="宋体" w:eastAsia="宋体" w:hint="default"/>
                            <w:sz w:val="18"/>
                            <w:szCs w:val="18"/>
                          </w:rPr>
                          <w:t>户</w:t>
                        </w:r>
                      </w:p>
                    </w:tc>
                  </w:tr>
                  <w:tr>
                    <w:trPr>
                      <w:trHeight w:val="393" w:hRule="exact"/>
                    </w:trPr>
                    <w:tc>
                      <w:tcPr>
                        <w:tcW w:w="21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2923" w:type="dxa"/>
                        <w:gridSpan w:val="3"/>
                        <w:vMerge/>
                        <w:tcBorders>
                          <w:left w:val="single" w:sz="10" w:space="0" w:color="D3D3D3"/>
                          <w:right w:val="single" w:sz="13" w:space="0" w:color="D3D3D3"/>
                        </w:tcBorders>
                      </w:tcPr>
                      <w:p>
                        <w:pPr/>
                      </w:p>
                    </w:tc>
                    <w:tc>
                      <w:tcPr>
                        <w:tcW w:w="1992" w:type="dxa"/>
                        <w:gridSpan w:val="2"/>
                        <w:vMerge/>
                        <w:tcBorders>
                          <w:left w:val="single" w:sz="4" w:space="0" w:color="000000"/>
                          <w:right w:val="single" w:sz="4" w:space="0" w:color="000000"/>
                        </w:tcBorders>
                        <w:shd w:val="clear" w:color="auto" w:fill="D3D3D3"/>
                      </w:tcPr>
                      <w:p>
                        <w:pPr/>
                      </w:p>
                    </w:tc>
                    <w:tc>
                      <w:tcPr>
                        <w:tcW w:w="2587" w:type="dxa"/>
                        <w:gridSpan w:val="3"/>
                        <w:vMerge/>
                        <w:tcBorders>
                          <w:left w:val="single" w:sz="13" w:space="0" w:color="D3D3D3"/>
                          <w:right w:val="single" w:sz="4" w:space="0" w:color="000000"/>
                        </w:tcBorders>
                      </w:tcPr>
                      <w:p>
                        <w:pPr/>
                      </w:p>
                    </w:tc>
                  </w:tr>
                  <w:tr>
                    <w:trPr>
                      <w:trHeight w:val="160" w:hRule="exact"/>
                    </w:trPr>
                    <w:tc>
                      <w:tcPr>
                        <w:tcW w:w="2191" w:type="dxa"/>
                        <w:tcBorders>
                          <w:top w:val="nil" w:sz="6" w:space="0" w:color="auto"/>
                          <w:left w:val="single" w:sz="4" w:space="0" w:color="000000"/>
                          <w:bottom w:val="single" w:sz="4" w:space="0" w:color="000000"/>
                          <w:right w:val="single" w:sz="4" w:space="0" w:color="000000"/>
                        </w:tcBorders>
                        <w:shd w:val="clear" w:color="auto" w:fill="D3D3D3"/>
                      </w:tcPr>
                      <w:p>
                        <w:pPr/>
                      </w:p>
                    </w:tc>
                    <w:tc>
                      <w:tcPr>
                        <w:tcW w:w="2923" w:type="dxa"/>
                        <w:gridSpan w:val="3"/>
                        <w:vMerge/>
                        <w:tcBorders>
                          <w:left w:val="single" w:sz="10" w:space="0" w:color="D3D3D3"/>
                          <w:bottom w:val="single" w:sz="4" w:space="0" w:color="000000"/>
                          <w:right w:val="single" w:sz="13" w:space="0" w:color="D3D3D3"/>
                        </w:tcBorders>
                      </w:tcPr>
                      <w:p>
                        <w:pPr/>
                      </w:p>
                    </w:tc>
                    <w:tc>
                      <w:tcPr>
                        <w:tcW w:w="1992" w:type="dxa"/>
                        <w:gridSpan w:val="2"/>
                        <w:vMerge/>
                        <w:tcBorders>
                          <w:left w:val="single" w:sz="4" w:space="0" w:color="000000"/>
                          <w:bottom w:val="single" w:sz="4" w:space="0" w:color="000000"/>
                          <w:right w:val="single" w:sz="4" w:space="0" w:color="000000"/>
                        </w:tcBorders>
                        <w:shd w:val="clear" w:color="auto" w:fill="D3D3D3"/>
                      </w:tcPr>
                      <w:p>
                        <w:pPr/>
                      </w:p>
                    </w:tc>
                    <w:tc>
                      <w:tcPr>
                        <w:tcW w:w="2587" w:type="dxa"/>
                        <w:gridSpan w:val="3"/>
                        <w:vMerge/>
                        <w:tcBorders>
                          <w:left w:val="single" w:sz="13" w:space="0" w:color="D3D3D3"/>
                          <w:bottom w:val="single" w:sz="4" w:space="0" w:color="000000"/>
                          <w:right w:val="single" w:sz="4" w:space="0" w:color="000000"/>
                        </w:tcBorders>
                      </w:tcPr>
                      <w:p>
                        <w:pP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56" w:hRule="exact"/>
                    </w:trPr>
                    <w:tc>
                      <w:tcPr>
                        <w:tcW w:w="2191" w:type="dxa"/>
                        <w:vMerge w:val="restart"/>
                        <w:tcBorders>
                          <w:top w:val="single" w:sz="4" w:space="0" w:color="000000"/>
                          <w:left w:val="single" w:sz="4" w:space="0" w:color="000000"/>
                          <w:right w:val="single" w:sz="4" w:space="0" w:color="000000"/>
                        </w:tcBorders>
                        <w:shd w:val="clear" w:color="auto" w:fill="D3D3D3"/>
                      </w:tcPr>
                      <w:p>
                        <w:pPr/>
                      </w:p>
                    </w:tc>
                    <w:tc>
                      <w:tcPr>
                        <w:tcW w:w="1093" w:type="dxa"/>
                        <w:vMerge w:val="restart"/>
                        <w:tcBorders>
                          <w:top w:val="single" w:sz="4" w:space="0" w:color="000000"/>
                          <w:left w:val="single" w:sz="4" w:space="0" w:color="000000"/>
                          <w:right w:val="single" w:sz="4" w:space="0" w:color="000000"/>
                        </w:tcBorders>
                        <w:shd w:val="clear" w:color="auto" w:fill="D3D3D3"/>
                      </w:tcPr>
                      <w:p>
                        <w:pPr/>
                      </w:p>
                    </w:tc>
                    <w:tc>
                      <w:tcPr>
                        <w:tcW w:w="73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7" w:type="dxa"/>
                        <w:tcBorders>
                          <w:top w:val="single" w:sz="4" w:space="0" w:color="000000"/>
                          <w:left w:val="single" w:sz="4" w:space="0" w:color="000000"/>
                          <w:bottom w:val="nil" w:sz="6" w:space="0" w:color="auto"/>
                          <w:right w:val="single" w:sz="4" w:space="0" w:color="000000"/>
                        </w:tcBorders>
                        <w:shd w:val="clear" w:color="auto" w:fill="D3D3D3"/>
                      </w:tcPr>
                      <w:p>
                        <w:pPr/>
                      </w:p>
                    </w:tc>
                    <w:tc>
                      <w:tcPr>
                        <w:tcW w:w="90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 w:right="8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98" w:right="8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191" w:type="dxa"/>
                        <w:vMerge/>
                        <w:tcBorders>
                          <w:left w:val="single" w:sz="4" w:space="0" w:color="000000"/>
                          <w:bottom w:val="nil" w:sz="6" w:space="0" w:color="auto"/>
                          <w:right w:val="single" w:sz="4" w:space="0" w:color="000000"/>
                        </w:tcBorders>
                        <w:shd w:val="clear" w:color="auto" w:fill="D3D3D3"/>
                      </w:tcPr>
                      <w:p>
                        <w:pPr/>
                      </w:p>
                    </w:tc>
                    <w:tc>
                      <w:tcPr>
                        <w:tcW w:w="1093" w:type="dxa"/>
                        <w:vMerge/>
                        <w:tcBorders>
                          <w:left w:val="single" w:sz="4" w:space="0" w:color="000000"/>
                          <w:bottom w:val="nil" w:sz="6" w:space="0" w:color="auto"/>
                          <w:right w:val="single" w:sz="4" w:space="0" w:color="000000"/>
                        </w:tcBorders>
                        <w:shd w:val="clear" w:color="auto" w:fill="D3D3D3"/>
                      </w:tcPr>
                      <w:p>
                        <w:pPr/>
                      </w:p>
                    </w:tc>
                    <w:tc>
                      <w:tcPr>
                        <w:tcW w:w="73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 w:right="4" w:firstLine="66"/>
                          <w:jc w:val="left"/>
                          <w:rPr>
                            <w:rFonts w:ascii="宋体" w:hAnsi="宋体" w:cs="宋体" w:eastAsia="宋体"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72" w:right="96"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8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86" w:right="8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05" w:type="dxa"/>
                        <w:vMerge/>
                        <w:tcBorders>
                          <w:left w:val="single" w:sz="4" w:space="0" w:color="000000"/>
                          <w:right w:val="single" w:sz="4" w:space="0" w:color="000000"/>
                        </w:tcBorders>
                        <w:shd w:val="clear" w:color="auto" w:fill="D3D3D3"/>
                      </w:tcPr>
                      <w:p>
                        <w:pPr/>
                      </w:p>
                    </w:tc>
                    <w:tc>
                      <w:tcPr>
                        <w:tcW w:w="1099" w:type="dxa"/>
                        <w:vMerge/>
                        <w:tcBorders>
                          <w:left w:val="single" w:sz="4" w:space="0" w:color="000000"/>
                          <w:right w:val="single" w:sz="4" w:space="0" w:color="000000"/>
                        </w:tcBorders>
                        <w:shd w:val="clear" w:color="auto" w:fill="D3D3D3"/>
                      </w:tcPr>
                      <w:p>
                        <w:pPr/>
                      </w:p>
                    </w:tc>
                    <w:tc>
                      <w:tcPr>
                        <w:tcW w:w="1488" w:type="dxa"/>
                        <w:gridSpan w:val="2"/>
                        <w:vMerge/>
                        <w:tcBorders>
                          <w:left w:val="single" w:sz="4" w:space="0" w:color="000000"/>
                          <w:right w:val="single" w:sz="4" w:space="0" w:color="000000"/>
                        </w:tcBorders>
                        <w:shd w:val="clear" w:color="auto" w:fill="D3D3D3"/>
                      </w:tcPr>
                      <w:p>
                        <w:pPr/>
                      </w:p>
                    </w:tc>
                  </w:tr>
                  <w:tr>
                    <w:trPr>
                      <w:trHeight w:val="146" w:hRule="exact"/>
                    </w:trPr>
                    <w:tc>
                      <w:tcPr>
                        <w:tcW w:w="21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09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0" w:type="dxa"/>
                        <w:vMerge/>
                        <w:tcBorders>
                          <w:left w:val="single" w:sz="4" w:space="0" w:color="000000"/>
                          <w:right w:val="single" w:sz="4" w:space="0" w:color="000000"/>
                        </w:tcBorders>
                        <w:shd w:val="clear" w:color="auto" w:fill="D3D3D3"/>
                      </w:tcPr>
                      <w:p>
                        <w:pPr/>
                      </w:p>
                    </w:tc>
                    <w:tc>
                      <w:tcPr>
                        <w:tcW w:w="1100" w:type="dxa"/>
                        <w:vMerge/>
                        <w:tcBorders>
                          <w:left w:val="single" w:sz="4" w:space="0" w:color="000000"/>
                          <w:right w:val="single" w:sz="4" w:space="0" w:color="000000"/>
                        </w:tcBorders>
                        <w:shd w:val="clear" w:color="auto" w:fill="D3D3D3"/>
                      </w:tcPr>
                      <w:p>
                        <w:pPr/>
                      </w:p>
                    </w:tc>
                    <w:tc>
                      <w:tcPr>
                        <w:tcW w:w="1087" w:type="dxa"/>
                        <w:vMerge/>
                        <w:tcBorders>
                          <w:left w:val="single" w:sz="4" w:space="0" w:color="000000"/>
                          <w:right w:val="single" w:sz="4" w:space="0" w:color="000000"/>
                        </w:tcBorders>
                        <w:shd w:val="clear" w:color="auto" w:fill="D3D3D3"/>
                      </w:tcPr>
                      <w:p>
                        <w:pPr/>
                      </w:p>
                    </w:tc>
                    <w:tc>
                      <w:tcPr>
                        <w:tcW w:w="905" w:type="dxa"/>
                        <w:vMerge/>
                        <w:tcBorders>
                          <w:left w:val="single" w:sz="4" w:space="0" w:color="000000"/>
                          <w:right w:val="single" w:sz="4" w:space="0" w:color="000000"/>
                        </w:tcBorders>
                        <w:shd w:val="clear" w:color="auto" w:fill="D3D3D3"/>
                      </w:tcPr>
                      <w:p>
                        <w:pPr/>
                      </w:p>
                    </w:tc>
                    <w:tc>
                      <w:tcPr>
                        <w:tcW w:w="1099" w:type="dxa"/>
                        <w:vMerge/>
                        <w:tcBorders>
                          <w:left w:val="single" w:sz="4" w:space="0" w:color="000000"/>
                          <w:right w:val="single" w:sz="4" w:space="0" w:color="000000"/>
                        </w:tcBorders>
                        <w:shd w:val="clear" w:color="auto" w:fill="D3D3D3"/>
                      </w:tcPr>
                      <w:p>
                        <w:pPr/>
                      </w:p>
                    </w:tc>
                    <w:tc>
                      <w:tcPr>
                        <w:tcW w:w="1488" w:type="dxa"/>
                        <w:gridSpan w:val="2"/>
                        <w:vMerge/>
                        <w:tcBorders>
                          <w:left w:val="single" w:sz="4" w:space="0" w:color="000000"/>
                          <w:bottom w:val="single" w:sz="4" w:space="0" w:color="000000"/>
                          <w:right w:val="single" w:sz="4" w:space="0" w:color="000000"/>
                        </w:tcBorders>
                        <w:shd w:val="clear" w:color="auto" w:fill="D3D3D3"/>
                      </w:tcPr>
                      <w:p>
                        <w:pPr/>
                      </w:p>
                    </w:tc>
                  </w:tr>
                  <w:tr>
                    <w:trPr>
                      <w:trHeight w:val="247" w:hRule="exact"/>
                    </w:trPr>
                    <w:tc>
                      <w:tcPr>
                        <w:tcW w:w="2191" w:type="dxa"/>
                        <w:vMerge/>
                        <w:tcBorders>
                          <w:left w:val="single" w:sz="4" w:space="0" w:color="000000"/>
                          <w:bottom w:val="nil" w:sz="6" w:space="0" w:color="auto"/>
                          <w:right w:val="single" w:sz="4" w:space="0" w:color="000000"/>
                        </w:tcBorders>
                        <w:shd w:val="clear" w:color="auto" w:fill="D3D3D3"/>
                      </w:tcPr>
                      <w:p>
                        <w:pPr/>
                      </w:p>
                    </w:tc>
                    <w:tc>
                      <w:tcPr>
                        <w:tcW w:w="1093" w:type="dxa"/>
                        <w:vMerge/>
                        <w:tcBorders>
                          <w:left w:val="single" w:sz="4" w:space="0" w:color="000000"/>
                          <w:bottom w:val="nil" w:sz="6" w:space="0" w:color="auto"/>
                          <w:right w:val="single" w:sz="4" w:space="0" w:color="000000"/>
                        </w:tcBorders>
                        <w:shd w:val="clear" w:color="auto" w:fill="D3D3D3"/>
                      </w:tcPr>
                      <w:p>
                        <w:pPr/>
                      </w:p>
                    </w:tc>
                    <w:tc>
                      <w:tcPr>
                        <w:tcW w:w="730" w:type="dxa"/>
                        <w:vMerge/>
                        <w:tcBorders>
                          <w:left w:val="single" w:sz="4" w:space="0" w:color="000000"/>
                          <w:right w:val="single" w:sz="4" w:space="0" w:color="000000"/>
                        </w:tcBorders>
                        <w:shd w:val="clear" w:color="auto" w:fill="D3D3D3"/>
                      </w:tcPr>
                      <w:p>
                        <w:pPr/>
                      </w:p>
                    </w:tc>
                    <w:tc>
                      <w:tcPr>
                        <w:tcW w:w="1100" w:type="dxa"/>
                        <w:vMerge/>
                        <w:tcBorders>
                          <w:left w:val="single" w:sz="4" w:space="0" w:color="000000"/>
                          <w:right w:val="single" w:sz="4" w:space="0" w:color="000000"/>
                        </w:tcBorders>
                        <w:shd w:val="clear" w:color="auto" w:fill="D3D3D3"/>
                      </w:tcPr>
                      <w:p>
                        <w:pPr/>
                      </w:p>
                    </w:tc>
                    <w:tc>
                      <w:tcPr>
                        <w:tcW w:w="1087" w:type="dxa"/>
                        <w:vMerge/>
                        <w:tcBorders>
                          <w:left w:val="single" w:sz="4" w:space="0" w:color="000000"/>
                          <w:right w:val="single" w:sz="4" w:space="0" w:color="000000"/>
                        </w:tcBorders>
                        <w:shd w:val="clear" w:color="auto" w:fill="D3D3D3"/>
                      </w:tcPr>
                      <w:p>
                        <w:pPr/>
                      </w:p>
                    </w:tc>
                    <w:tc>
                      <w:tcPr>
                        <w:tcW w:w="905" w:type="dxa"/>
                        <w:vMerge/>
                        <w:tcBorders>
                          <w:left w:val="single" w:sz="4" w:space="0" w:color="000000"/>
                          <w:right w:val="single" w:sz="4" w:space="0" w:color="000000"/>
                        </w:tcBorders>
                        <w:shd w:val="clear" w:color="auto" w:fill="D3D3D3"/>
                      </w:tcPr>
                      <w:p>
                        <w:pPr/>
                      </w:p>
                    </w:tc>
                    <w:tc>
                      <w:tcPr>
                        <w:tcW w:w="1099" w:type="dxa"/>
                        <w:vMerge/>
                        <w:tcBorders>
                          <w:left w:val="single" w:sz="4" w:space="0" w:color="000000"/>
                          <w:right w:val="single" w:sz="4" w:space="0" w:color="000000"/>
                        </w:tcBorders>
                        <w:shd w:val="clear" w:color="auto" w:fill="D3D3D3"/>
                      </w:tcPr>
                      <w:p>
                        <w:pPr/>
                      </w:p>
                    </w:tc>
                    <w:tc>
                      <w:tcPr>
                        <w:tcW w:w="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8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10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191" w:type="dxa"/>
                        <w:vMerge w:val="restart"/>
                        <w:tcBorders>
                          <w:top w:val="nil" w:sz="6" w:space="0" w:color="auto"/>
                          <w:left w:val="single" w:sz="4" w:space="0" w:color="000000"/>
                          <w:right w:val="single" w:sz="4" w:space="0" w:color="000000"/>
                        </w:tcBorders>
                        <w:shd w:val="clear" w:color="auto" w:fill="D3D3D3"/>
                      </w:tcPr>
                      <w:p>
                        <w:pPr/>
                      </w:p>
                    </w:tc>
                    <w:tc>
                      <w:tcPr>
                        <w:tcW w:w="1093" w:type="dxa"/>
                        <w:vMerge w:val="restart"/>
                        <w:tcBorders>
                          <w:top w:val="nil" w:sz="6" w:space="0" w:color="auto"/>
                          <w:left w:val="single" w:sz="4" w:space="0" w:color="000000"/>
                          <w:right w:val="single" w:sz="4" w:space="0" w:color="000000"/>
                        </w:tcBorders>
                        <w:shd w:val="clear" w:color="auto" w:fill="D3D3D3"/>
                      </w:tcPr>
                      <w:p>
                        <w:pPr/>
                      </w:p>
                    </w:tc>
                    <w:tc>
                      <w:tcPr>
                        <w:tcW w:w="730" w:type="dxa"/>
                        <w:vMerge/>
                        <w:tcBorders>
                          <w:left w:val="single" w:sz="4" w:space="0" w:color="000000"/>
                          <w:bottom w:val="nil" w:sz="6" w:space="0" w:color="auto"/>
                          <w:right w:val="single" w:sz="4" w:space="0" w:color="000000"/>
                        </w:tcBorders>
                        <w:shd w:val="clear" w:color="auto" w:fill="D3D3D3"/>
                      </w:tcPr>
                      <w:p>
                        <w:pPr/>
                      </w:p>
                    </w:tc>
                    <w:tc>
                      <w:tcPr>
                        <w:tcW w:w="1100" w:type="dxa"/>
                        <w:vMerge/>
                        <w:tcBorders>
                          <w:left w:val="single" w:sz="4" w:space="0" w:color="000000"/>
                          <w:bottom w:val="nil" w:sz="6" w:space="0" w:color="auto"/>
                          <w:right w:val="single" w:sz="4" w:space="0" w:color="000000"/>
                        </w:tcBorders>
                        <w:shd w:val="clear" w:color="auto" w:fill="D3D3D3"/>
                      </w:tcPr>
                      <w:p>
                        <w:pPr/>
                      </w:p>
                    </w:tc>
                    <w:tc>
                      <w:tcPr>
                        <w:tcW w:w="1087" w:type="dxa"/>
                        <w:vMerge/>
                        <w:tcBorders>
                          <w:left w:val="single" w:sz="4" w:space="0" w:color="000000"/>
                          <w:bottom w:val="nil" w:sz="6" w:space="0" w:color="auto"/>
                          <w:right w:val="single" w:sz="4" w:space="0" w:color="000000"/>
                        </w:tcBorders>
                        <w:shd w:val="clear" w:color="auto" w:fill="D3D3D3"/>
                      </w:tcPr>
                      <w:p>
                        <w:pPr/>
                      </w:p>
                    </w:tc>
                    <w:tc>
                      <w:tcPr>
                        <w:tcW w:w="905" w:type="dxa"/>
                        <w:vMerge/>
                        <w:tcBorders>
                          <w:left w:val="single" w:sz="4" w:space="0" w:color="000000"/>
                          <w:right w:val="single" w:sz="4" w:space="0" w:color="000000"/>
                        </w:tcBorders>
                        <w:shd w:val="clear" w:color="auto" w:fill="D3D3D3"/>
                      </w:tcPr>
                      <w:p>
                        <w:pPr/>
                      </w:p>
                    </w:tc>
                    <w:tc>
                      <w:tcPr>
                        <w:tcW w:w="1099" w:type="dxa"/>
                        <w:vMerge/>
                        <w:tcBorders>
                          <w:left w:val="single" w:sz="4" w:space="0" w:color="000000"/>
                          <w:right w:val="single" w:sz="4" w:space="0" w:color="000000"/>
                        </w:tcBorders>
                        <w:shd w:val="clear" w:color="auto" w:fill="D3D3D3"/>
                      </w:tcPr>
                      <w:p>
                        <w:pPr/>
                      </w:p>
                    </w:tc>
                    <w:tc>
                      <w:tcPr>
                        <w:tcW w:w="912" w:type="dxa"/>
                        <w:vMerge/>
                        <w:tcBorders>
                          <w:left w:val="single" w:sz="4" w:space="0" w:color="000000"/>
                          <w:right w:val="single" w:sz="4" w:space="0" w:color="000000"/>
                        </w:tcBorders>
                        <w:shd w:val="clear" w:color="auto" w:fill="D3D3D3"/>
                      </w:tcPr>
                      <w:p>
                        <w:pPr/>
                      </w:p>
                    </w:tc>
                    <w:tc>
                      <w:tcPr>
                        <w:tcW w:w="576" w:type="dxa"/>
                        <w:vMerge/>
                        <w:tcBorders>
                          <w:left w:val="single" w:sz="4" w:space="0" w:color="000000"/>
                          <w:right w:val="single" w:sz="4" w:space="0" w:color="000000"/>
                        </w:tcBorders>
                        <w:shd w:val="clear" w:color="auto" w:fill="D3D3D3"/>
                      </w:tcPr>
                      <w:p>
                        <w:pPr/>
                      </w:p>
                    </w:tc>
                  </w:tr>
                  <w:tr>
                    <w:trPr>
                      <w:trHeight w:val="166" w:hRule="exact"/>
                    </w:trPr>
                    <w:tc>
                      <w:tcPr>
                        <w:tcW w:w="2191" w:type="dxa"/>
                        <w:vMerge/>
                        <w:tcBorders>
                          <w:left w:val="single" w:sz="4" w:space="0" w:color="000000"/>
                          <w:bottom w:val="single" w:sz="4" w:space="0" w:color="000000"/>
                          <w:right w:val="single" w:sz="4" w:space="0" w:color="000000"/>
                        </w:tcBorders>
                        <w:shd w:val="clear" w:color="auto" w:fill="D3D3D3"/>
                      </w:tcPr>
                      <w:p>
                        <w:pPr/>
                      </w:p>
                    </w:tc>
                    <w:tc>
                      <w:tcPr>
                        <w:tcW w:w="1093" w:type="dxa"/>
                        <w:vMerge/>
                        <w:tcBorders>
                          <w:left w:val="single" w:sz="4" w:space="0" w:color="000000"/>
                          <w:bottom w:val="single" w:sz="4" w:space="0" w:color="000000"/>
                          <w:right w:val="single" w:sz="4" w:space="0" w:color="000000"/>
                        </w:tcBorders>
                        <w:shd w:val="clear" w:color="auto" w:fill="D3D3D3"/>
                      </w:tcPr>
                      <w:p>
                        <w:pPr/>
                      </w:p>
                    </w:tc>
                    <w:tc>
                      <w:tcPr>
                        <w:tcW w:w="73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7" w:type="dxa"/>
                        <w:tcBorders>
                          <w:top w:val="nil" w:sz="6" w:space="0" w:color="auto"/>
                          <w:left w:val="single" w:sz="4" w:space="0" w:color="000000"/>
                          <w:bottom w:val="single" w:sz="4" w:space="0" w:color="000000"/>
                          <w:right w:val="single" w:sz="4" w:space="0" w:color="000000"/>
                        </w:tcBorders>
                        <w:shd w:val="clear" w:color="auto" w:fill="D3D3D3"/>
                      </w:tcPr>
                      <w:p>
                        <w:pPr/>
                      </w:p>
                    </w:tc>
                    <w:tc>
                      <w:tcPr>
                        <w:tcW w:w="905" w:type="dxa"/>
                        <w:vMerge/>
                        <w:tcBorders>
                          <w:left w:val="single" w:sz="4" w:space="0" w:color="000000"/>
                          <w:bottom w:val="single" w:sz="4" w:space="0" w:color="000000"/>
                          <w:right w:val="single" w:sz="4" w:space="0" w:color="000000"/>
                        </w:tcBorders>
                        <w:shd w:val="clear" w:color="auto" w:fill="D3D3D3"/>
                      </w:tcPr>
                      <w:p>
                        <w:pPr/>
                      </w:p>
                    </w:tc>
                    <w:tc>
                      <w:tcPr>
                        <w:tcW w:w="1099" w:type="dxa"/>
                        <w:vMerge/>
                        <w:tcBorders>
                          <w:left w:val="single" w:sz="4" w:space="0" w:color="000000"/>
                          <w:bottom w:val="single" w:sz="4" w:space="0" w:color="000000"/>
                          <w:right w:val="single" w:sz="4" w:space="0" w:color="000000"/>
                        </w:tcBorders>
                        <w:shd w:val="clear" w:color="auto" w:fill="D3D3D3"/>
                      </w:tcPr>
                      <w:p>
                        <w:pPr/>
                      </w:p>
                    </w:tc>
                    <w:tc>
                      <w:tcPr>
                        <w:tcW w:w="912" w:type="dxa"/>
                        <w:vMerge/>
                        <w:tcBorders>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left"/>
                          <w:rPr>
                            <w:rFonts w:ascii="宋体" w:hAnsi="宋体" w:cs="宋体" w:eastAsia="宋体" w:hint="default"/>
                            <w:sz w:val="18"/>
                            <w:szCs w:val="18"/>
                          </w:rPr>
                        </w:pPr>
                        <w:r>
                          <w:rPr>
                            <w:rFonts w:ascii="宋体" w:hAnsi="宋体" w:cs="宋体" w:eastAsia="宋体" w:hint="default"/>
                            <w:sz w:val="18"/>
                            <w:szCs w:val="18"/>
                          </w:rPr>
                          <w:t>香港中央结算代理人有限 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19.73%</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389,816,500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389,816,500</w:t>
                        </w:r>
                      </w:p>
                    </w:tc>
                    <w:tc>
                      <w:tcPr>
                        <w:tcW w:w="912" w:type="dxa"/>
                        <w:tcBorders>
                          <w:top w:val="single" w:sz="45" w:space="0" w:color="D3D3D3"/>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5" w:space="0" w:color="D3D3D3"/>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206,403,657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-86,600,000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206,403,657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left"/>
                          <w:rPr>
                            <w:rFonts w:ascii="宋体" w:hAnsi="宋体" w:cs="宋体" w:eastAsia="宋体" w:hint="default"/>
                            <w:sz w:val="18"/>
                            <w:szCs w:val="18"/>
                          </w:rPr>
                        </w:pPr>
                        <w:r>
                          <w:rPr>
                            <w:rFonts w:ascii="宋体" w:hAnsi="宋体" w:cs="宋体" w:eastAsia="宋体" w:hint="default"/>
                            <w:sz w:val="18"/>
                            <w:szCs w:val="18"/>
                          </w:rPr>
                          <w:t>广发证券股份有限公司约 定购回专用账户</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86,600,000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86,600,000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中融国际信托有限公司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海 通伞形宝</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号证券投资集合 资金信托</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35,873,818</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35,873,818</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35,873,818</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47"/>
                          <w:jc w:val="left"/>
                          <w:rPr>
                            <w:rFonts w:ascii="Times New Roman" w:hAnsi="Times New Roman" w:cs="Times New Roman" w:eastAsia="Times New Roman" w:hint="default"/>
                            <w:sz w:val="18"/>
                            <w:szCs w:val="18"/>
                          </w:rPr>
                        </w:pPr>
                        <w:r>
                          <w:rPr>
                            <w:rFonts w:ascii="Times New Roman"/>
                            <w:spacing w:val="-4"/>
                            <w:sz w:val="18"/>
                          </w:rPr>
                          <w:t>PLATINUM</w:t>
                        </w:r>
                        <w:r>
                          <w:rPr>
                            <w:rFonts w:ascii="Times New Roman"/>
                            <w:spacing w:val="15"/>
                            <w:sz w:val="18"/>
                          </w:rPr>
                          <w:t> </w:t>
                        </w:r>
                        <w:r>
                          <w:rPr>
                            <w:rFonts w:ascii="Times New Roman"/>
                            <w:sz w:val="18"/>
                          </w:rPr>
                          <w:t>ASIA</w:t>
                        </w:r>
                        <w:r>
                          <w:rPr>
                            <w:rFonts w:ascii="Times New Roman"/>
                            <w:spacing w:val="-1"/>
                            <w:sz w:val="18"/>
                          </w:rPr>
                          <w:t> </w:t>
                        </w:r>
                        <w:r>
                          <w:rPr>
                            <w:rFonts w:ascii="Times New Roman"/>
                            <w:sz w:val="18"/>
                          </w:rPr>
                          <w:t>FUND</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32,341,052</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-11,139,325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32,341,052</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 金</w:t>
                        </w:r>
                        <w:r>
                          <w:rPr>
                            <w:rFonts w:ascii="Times New Roman" w:hAnsi="Times New Roman" w:cs="Times New Roman" w:eastAsia="Times New Roman" w:hint="default"/>
                            <w:sz w:val="18"/>
                            <w:szCs w:val="18"/>
                          </w:rPr>
                          <w:t>-</w:t>
                        </w:r>
                        <w:r>
                          <w:rPr>
                            <w:rFonts w:ascii="宋体" w:hAnsi="宋体" w:cs="宋体" w:eastAsia="宋体" w:hint="default"/>
                            <w:sz w:val="18"/>
                            <w:szCs w:val="18"/>
                          </w:rPr>
                          <w:t>元美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29,056,556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29,056,556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29,056,556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元美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28,948,049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28,948,049</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28,948,049</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after="0" w:line="240" w:lineRule="auto"/>
        <w:jc w:val="right"/>
        <w:sectPr>
          <w:pgSz w:w="11910" w:h="16840"/>
          <w:pgMar w:header="877" w:footer="950" w:top="1100" w:bottom="1140" w:left="980" w:right="94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191"/>
        <w:gridCol w:w="374"/>
        <w:gridCol w:w="719"/>
        <w:gridCol w:w="730"/>
        <w:gridCol w:w="1094"/>
        <w:gridCol w:w="1093"/>
        <w:gridCol w:w="547"/>
        <w:gridCol w:w="364"/>
        <w:gridCol w:w="1093"/>
        <w:gridCol w:w="106"/>
        <w:gridCol w:w="806"/>
        <w:gridCol w:w="576"/>
      </w:tblGrid>
      <w:tr>
        <w:trPr>
          <w:trHeight w:val="714"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8"/>
              <w:jc w:val="left"/>
              <w:rPr>
                <w:rFonts w:ascii="Times New Roman" w:hAnsi="Times New Roman" w:cs="Times New Roman" w:eastAsia="Times New Roman" w:hint="default"/>
                <w:sz w:val="18"/>
                <w:szCs w:val="18"/>
              </w:rPr>
            </w:pPr>
            <w:r>
              <w:rPr>
                <w:rFonts w:ascii="Times New Roman"/>
                <w:sz w:val="18"/>
              </w:rPr>
              <w:t>BILL &amp; MELINDA</w:t>
            </w:r>
            <w:r>
              <w:rPr>
                <w:rFonts w:ascii="Times New Roman"/>
                <w:spacing w:val="-18"/>
                <w:sz w:val="18"/>
              </w:rPr>
              <w:t> </w:t>
            </w:r>
            <w:r>
              <w:rPr>
                <w:rFonts w:ascii="Times New Roman"/>
                <w:spacing w:val="-5"/>
                <w:sz w:val="18"/>
              </w:rPr>
              <w:t>GATES</w:t>
            </w:r>
            <w:r>
              <w:rPr>
                <w:rFonts w:ascii="Times New Roman"/>
                <w:sz w:val="18"/>
              </w:rPr>
              <w:t> </w:t>
            </w:r>
            <w:r>
              <w:rPr>
                <w:rFonts w:ascii="Times New Roman"/>
                <w:spacing w:val="-3"/>
                <w:sz w:val="18"/>
              </w:rPr>
              <w:t>FOUNDATION</w:t>
            </w:r>
            <w:r>
              <w:rPr>
                <w:rFonts w:ascii="Times New Roman"/>
                <w:spacing w:val="-6"/>
                <w:sz w:val="18"/>
              </w:rPr>
              <w:t> </w:t>
            </w:r>
            <w:r>
              <w:rPr>
                <w:rFonts w:ascii="Times New Roman"/>
                <w:sz w:val="18"/>
              </w:rPr>
              <w:t>TRUST</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22,757,391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-3,874,244</w:t>
            </w:r>
          </w:p>
        </w:tc>
        <w:tc>
          <w:tcPr>
            <w:tcW w:w="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22,757,391</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6"/>
              <w:jc w:val="both"/>
              <w:rPr>
                <w:rFonts w:ascii="宋体" w:hAnsi="宋体" w:cs="宋体" w:eastAsia="宋体" w:hint="default"/>
                <w:sz w:val="18"/>
                <w:szCs w:val="18"/>
              </w:rPr>
            </w:pPr>
            <w:r>
              <w:rPr>
                <w:rFonts w:ascii="宋体" w:hAnsi="宋体" w:cs="宋体" w:eastAsia="宋体" w:hint="default"/>
                <w:sz w:val="18"/>
                <w:szCs w:val="18"/>
              </w:rPr>
              <w:t>云南国际信托有限公司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云 信成长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2013-2 </w:t>
            </w:r>
            <w:r>
              <w:rPr>
                <w:rFonts w:ascii="宋体" w:hAnsi="宋体" w:cs="宋体" w:eastAsia="宋体" w:hint="default"/>
                <w:sz w:val="18"/>
                <w:szCs w:val="18"/>
              </w:rPr>
              <w:t>号集合资金 信托计划</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13,969,597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13,969,597</w:t>
            </w:r>
          </w:p>
        </w:tc>
        <w:tc>
          <w:tcPr>
            <w:tcW w:w="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13,969,597</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02"/>
              <w:jc w:val="left"/>
              <w:rPr>
                <w:rFonts w:ascii="Times New Roman" w:hAnsi="Times New Roman" w:cs="Times New Roman" w:eastAsia="Times New Roman" w:hint="default"/>
                <w:sz w:val="18"/>
                <w:szCs w:val="18"/>
              </w:rPr>
            </w:pPr>
            <w:r>
              <w:rPr>
                <w:rFonts w:ascii="Times New Roman"/>
                <w:sz w:val="18"/>
              </w:rPr>
              <w:t>BBH A/C</w:t>
            </w:r>
            <w:r>
              <w:rPr>
                <w:rFonts w:ascii="Times New Roman"/>
                <w:spacing w:val="-16"/>
                <w:sz w:val="18"/>
              </w:rPr>
              <w:t> </w:t>
            </w:r>
            <w:r>
              <w:rPr>
                <w:rFonts w:ascii="Times New Roman"/>
                <w:spacing w:val="-4"/>
                <w:sz w:val="18"/>
              </w:rPr>
              <w:t>VANGUARD</w:t>
            </w:r>
            <w:r>
              <w:rPr>
                <w:rFonts w:ascii="Times New Roman"/>
                <w:spacing w:val="-1"/>
                <w:sz w:val="18"/>
              </w:rPr>
              <w:t> </w:t>
            </w:r>
            <w:r>
              <w:rPr>
                <w:rFonts w:ascii="Times New Roman"/>
                <w:sz w:val="18"/>
              </w:rPr>
              <w:t>EMERGING</w:t>
            </w:r>
            <w:r>
              <w:rPr>
                <w:rFonts w:ascii="Times New Roman"/>
                <w:spacing w:val="-5"/>
                <w:sz w:val="18"/>
              </w:rPr>
              <w:t> </w:t>
            </w:r>
            <w:r>
              <w:rPr>
                <w:rFonts w:ascii="Times New Roman"/>
                <w:sz w:val="18"/>
              </w:rPr>
              <w:t>MARKETS</w:t>
            </w:r>
            <w:r>
              <w:rPr>
                <w:rFonts w:ascii="Times New Roman"/>
                <w:spacing w:val="-1"/>
                <w:sz w:val="18"/>
              </w:rPr>
              <w:t> </w:t>
            </w:r>
            <w:r>
              <w:rPr>
                <w:rFonts w:ascii="Times New Roman"/>
                <w:sz w:val="18"/>
              </w:rPr>
              <w:t>STOCK INDEX</w:t>
            </w:r>
            <w:r>
              <w:rPr>
                <w:rFonts w:ascii="Times New Roman"/>
                <w:spacing w:val="-14"/>
                <w:sz w:val="18"/>
              </w:rPr>
              <w:t> </w:t>
            </w:r>
            <w:r>
              <w:rPr>
                <w:rFonts w:ascii="Times New Roman"/>
                <w:sz w:val="18"/>
              </w:rPr>
              <w:t>FUND</w:t>
            </w:r>
          </w:p>
        </w:tc>
        <w:tc>
          <w:tcPr>
            <w:tcW w:w="10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12,036,985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10,180,285</w:t>
            </w:r>
          </w:p>
        </w:tc>
        <w:tc>
          <w:tcPr>
            <w:tcW w:w="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12,036,985</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629" w:hRule="exact"/>
        </w:trPr>
        <w:tc>
          <w:tcPr>
            <w:tcW w:w="3284"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409" w:type="dxa"/>
            <w:gridSpan w:val="9"/>
            <w:vMerge w:val="restart"/>
            <w:tcBorders>
              <w:top w:val="single" w:sz="4" w:space="0" w:color="000000"/>
              <w:left w:val="single" w:sz="9" w:space="0" w:color="D3D3D3"/>
              <w:right w:val="single" w:sz="4" w:space="0" w:color="000000"/>
            </w:tcBorders>
          </w:tcPr>
          <w:p>
            <w:pPr>
              <w:pStyle w:val="TableParagraph"/>
              <w:spacing w:line="309" w:lineRule="auto" w:before="51"/>
              <w:ind w:left="17" w:right="20"/>
              <w:jc w:val="both"/>
              <w:rPr>
                <w:rFonts w:ascii="宋体" w:hAnsi="宋体" w:cs="宋体" w:eastAsia="宋体" w:hint="default"/>
                <w:sz w:val="18"/>
                <w:szCs w:val="18"/>
              </w:rPr>
            </w:pPr>
            <w:r>
              <w:rPr>
                <w:rFonts w:ascii="宋体" w:hAnsi="宋体" w:cs="宋体" w:eastAsia="宋体" w:hint="default"/>
                <w:sz w:val="18"/>
                <w:szCs w:val="18"/>
              </w:rPr>
              <w:t>国有法人股股东寿光晨鸣控股有限公司与上述股东之间不存在关联关系，也不属 于《上市公司股东持股变动信息披露管理办法》中规定的一致行动人；财通基金</w:t>
            </w:r>
            <w:r>
              <w:rPr>
                <w:rFonts w:ascii="Times New Roman" w:hAnsi="Times New Roman" w:cs="Times New Roman" w:eastAsia="Times New Roman" w:hint="default"/>
                <w:sz w:val="18"/>
                <w:szCs w:val="18"/>
              </w:rPr>
              <w:t>- </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元美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号资产管理计划和财通基金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元美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号资产管 理计划是同属财通基金管理有限公司管理的基金，除此之外，未知其他流动股东 是否属于一致行动人，也未知其他流动股股东之间是否存在关联关系。</w:t>
            </w:r>
          </w:p>
        </w:tc>
      </w:tr>
      <w:tr>
        <w:trPr>
          <w:trHeight w:val="392" w:hRule="exact"/>
        </w:trPr>
        <w:tc>
          <w:tcPr>
            <w:tcW w:w="3284"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09" w:type="dxa"/>
            <w:gridSpan w:val="9"/>
            <w:vMerge/>
            <w:tcBorders>
              <w:left w:val="single" w:sz="9" w:space="0" w:color="D3D3D3"/>
              <w:right w:val="single" w:sz="4" w:space="0" w:color="000000"/>
            </w:tcBorders>
          </w:tcPr>
          <w:p>
            <w:pPr/>
          </w:p>
        </w:tc>
      </w:tr>
      <w:tr>
        <w:trPr>
          <w:trHeight w:val="629" w:hRule="exact"/>
        </w:trPr>
        <w:tc>
          <w:tcPr>
            <w:tcW w:w="3284"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409" w:type="dxa"/>
            <w:gridSpan w:val="9"/>
            <w:vMerge/>
            <w:tcBorders>
              <w:left w:val="single" w:sz="9" w:space="0" w:color="D3D3D3"/>
              <w:bottom w:val="single" w:sz="4" w:space="0" w:color="000000"/>
              <w:right w:val="single" w:sz="4" w:space="0" w:color="000000"/>
            </w:tcBorders>
          </w:tcPr>
          <w:p>
            <w:pPr/>
          </w:p>
        </w:tc>
      </w:tr>
      <w:tr>
        <w:trPr>
          <w:trHeight w:val="402" w:hRule="exact"/>
        </w:trPr>
        <w:tc>
          <w:tcPr>
            <w:tcW w:w="969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5108"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16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85" w:right="92"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945"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5108"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40" w:type="dxa"/>
            <w:gridSpan w:val="2"/>
            <w:vMerge/>
            <w:tcBorders>
              <w:left w:val="single" w:sz="4" w:space="0" w:color="000000"/>
              <w:right w:val="single" w:sz="4" w:space="0" w:color="000000"/>
            </w:tcBorders>
            <w:shd w:val="clear" w:color="auto" w:fill="D3D3D3"/>
          </w:tcPr>
          <w:p>
            <w:pPr/>
          </w:p>
        </w:tc>
        <w:tc>
          <w:tcPr>
            <w:tcW w:w="2945" w:type="dxa"/>
            <w:gridSpan w:val="5"/>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5108" w:type="dxa"/>
            <w:gridSpan w:val="5"/>
            <w:vMerge/>
            <w:tcBorders>
              <w:left w:val="single" w:sz="4" w:space="0" w:color="000000"/>
              <w:bottom w:val="nil" w:sz="6" w:space="0" w:color="auto"/>
              <w:right w:val="single" w:sz="4" w:space="0" w:color="000000"/>
            </w:tcBorders>
            <w:shd w:val="clear" w:color="auto" w:fill="D3D3D3"/>
          </w:tcPr>
          <w:p>
            <w:pPr/>
          </w:p>
        </w:tc>
        <w:tc>
          <w:tcPr>
            <w:tcW w:w="1640" w:type="dxa"/>
            <w:gridSpan w:val="2"/>
            <w:vMerge/>
            <w:tcBorders>
              <w:left w:val="single" w:sz="4" w:space="0" w:color="000000"/>
              <w:right w:val="single" w:sz="4" w:space="0" w:color="000000"/>
            </w:tcBorders>
            <w:shd w:val="clear" w:color="auto" w:fill="D3D3D3"/>
          </w:tcPr>
          <w:p>
            <w:pPr/>
          </w:p>
        </w:tc>
        <w:tc>
          <w:tcPr>
            <w:tcW w:w="156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5108"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640" w:type="dxa"/>
            <w:gridSpan w:val="2"/>
            <w:vMerge/>
            <w:tcBorders>
              <w:left w:val="single" w:sz="4" w:space="0" w:color="000000"/>
              <w:bottom w:val="single" w:sz="4" w:space="0" w:color="000000"/>
              <w:right w:val="single" w:sz="4" w:space="0" w:color="000000"/>
            </w:tcBorders>
            <w:shd w:val="clear" w:color="auto" w:fill="D3D3D3"/>
          </w:tcPr>
          <w:p>
            <w:pPr/>
          </w:p>
        </w:tc>
        <w:tc>
          <w:tcPr>
            <w:tcW w:w="1562" w:type="dxa"/>
            <w:gridSpan w:val="3"/>
            <w:vMerge/>
            <w:tcBorders>
              <w:left w:val="single" w:sz="4" w:space="0" w:color="000000"/>
              <w:bottom w:val="single" w:sz="4" w:space="0" w:color="000000"/>
              <w:right w:val="single" w:sz="4" w:space="0" w:color="000000"/>
            </w:tcBorders>
            <w:shd w:val="clear" w:color="auto" w:fill="D3D3D3"/>
          </w:tcPr>
          <w:p>
            <w:pPr/>
          </w:p>
        </w:tc>
        <w:tc>
          <w:tcPr>
            <w:tcW w:w="1382"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香港中央结算代理人有限公司</w:t>
            </w:r>
          </w:p>
        </w:tc>
        <w:tc>
          <w:tcPr>
            <w:tcW w:w="1640" w:type="dxa"/>
            <w:gridSpan w:val="2"/>
            <w:tcBorders>
              <w:top w:val="single" w:sz="24" w:space="0" w:color="D3D3D3"/>
              <w:left w:val="single" w:sz="4" w:space="0" w:color="000000"/>
              <w:bottom w:val="single" w:sz="4" w:space="0" w:color="000000"/>
              <w:right w:val="single" w:sz="4" w:space="0" w:color="000000"/>
            </w:tcBorders>
          </w:tcPr>
          <w:p>
            <w:pPr>
              <w:pStyle w:val="TableParagraph"/>
              <w:spacing w:line="240" w:lineRule="auto" w:before="66"/>
              <w:ind w:left="706" w:right="0"/>
              <w:jc w:val="left"/>
              <w:rPr>
                <w:rFonts w:ascii="Times New Roman" w:hAnsi="Times New Roman" w:cs="Times New Roman" w:eastAsia="Times New Roman" w:hint="default"/>
                <w:sz w:val="18"/>
                <w:szCs w:val="18"/>
              </w:rPr>
            </w:pPr>
            <w:r>
              <w:rPr>
                <w:rFonts w:ascii="Times New Roman"/>
                <w:sz w:val="18"/>
              </w:rPr>
              <w:t>389,816,500</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境外上市外资股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389,816,500</w:t>
            </w:r>
          </w:p>
        </w:tc>
      </w:tr>
      <w:tr>
        <w:trPr>
          <w:trHeight w:val="402" w:hRule="exact"/>
        </w:trPr>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6" w:right="0"/>
              <w:jc w:val="left"/>
              <w:rPr>
                <w:rFonts w:ascii="Times New Roman" w:hAnsi="Times New Roman" w:cs="Times New Roman" w:eastAsia="Times New Roman" w:hint="default"/>
                <w:sz w:val="18"/>
                <w:szCs w:val="18"/>
              </w:rPr>
            </w:pPr>
            <w:r>
              <w:rPr>
                <w:rFonts w:ascii="Times New Roman"/>
                <w:sz w:val="18"/>
              </w:rPr>
              <w:t>206,403,657</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206,403,657</w:t>
            </w:r>
          </w:p>
        </w:tc>
      </w:tr>
      <w:tr>
        <w:trPr>
          <w:trHeight w:val="402" w:hRule="exact"/>
        </w:trPr>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广发证券股份有限公司约定购回专用账户</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6" w:right="0"/>
              <w:jc w:val="left"/>
              <w:rPr>
                <w:rFonts w:ascii="Times New Roman" w:hAnsi="Times New Roman" w:cs="Times New Roman" w:eastAsia="Times New Roman" w:hint="default"/>
                <w:sz w:val="18"/>
                <w:szCs w:val="18"/>
              </w:rPr>
            </w:pPr>
            <w:r>
              <w:rPr>
                <w:rFonts w:ascii="Times New Roman"/>
                <w:sz w:val="18"/>
              </w:rPr>
              <w:t>86,600,000</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86,600,000</w:t>
            </w:r>
          </w:p>
        </w:tc>
      </w:tr>
      <w:tr>
        <w:trPr>
          <w:trHeight w:val="402" w:hRule="exact"/>
        </w:trPr>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中融国际信托有限公司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海通伞形宝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号证券投资集合资金信托</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6" w:right="0"/>
              <w:jc w:val="left"/>
              <w:rPr>
                <w:rFonts w:ascii="Times New Roman" w:hAnsi="Times New Roman" w:cs="Times New Roman" w:eastAsia="Times New Roman" w:hint="default"/>
                <w:sz w:val="18"/>
                <w:szCs w:val="18"/>
              </w:rPr>
            </w:pPr>
            <w:r>
              <w:rPr>
                <w:rFonts w:ascii="Times New Roman"/>
                <w:sz w:val="18"/>
              </w:rPr>
              <w:t>35,873,818</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35,873,818</w:t>
            </w:r>
          </w:p>
        </w:tc>
      </w:tr>
      <w:tr>
        <w:trPr>
          <w:trHeight w:val="402" w:hRule="exact"/>
        </w:trPr>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PLATINUM    </w:t>
            </w:r>
            <w:r>
              <w:rPr>
                <w:rFonts w:ascii="Times New Roman"/>
                <w:sz w:val="18"/>
              </w:rPr>
              <w:t>ASIA  </w:t>
            </w:r>
            <w:r>
              <w:rPr>
                <w:rFonts w:ascii="Times New Roman"/>
                <w:spacing w:val="41"/>
                <w:sz w:val="18"/>
              </w:rPr>
              <w:t> </w:t>
            </w:r>
            <w:r>
              <w:rPr>
                <w:rFonts w:ascii="Times New Roman"/>
                <w:sz w:val="18"/>
              </w:rPr>
              <w:t>FUND</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7" w:right="0"/>
              <w:jc w:val="left"/>
              <w:rPr>
                <w:rFonts w:ascii="Times New Roman" w:hAnsi="Times New Roman" w:cs="Times New Roman" w:eastAsia="Times New Roman" w:hint="default"/>
                <w:sz w:val="18"/>
                <w:szCs w:val="18"/>
              </w:rPr>
            </w:pPr>
            <w:r>
              <w:rPr>
                <w:rFonts w:ascii="Times New Roman"/>
                <w:sz w:val="18"/>
              </w:rPr>
              <w:t>32,341,052</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32,341,052</w:t>
            </w:r>
          </w:p>
        </w:tc>
      </w:tr>
      <w:tr>
        <w:trPr>
          <w:trHeight w:val="402" w:hRule="exact"/>
        </w:trPr>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元美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6" w:right="0"/>
              <w:jc w:val="left"/>
              <w:rPr>
                <w:rFonts w:ascii="Times New Roman" w:hAnsi="Times New Roman" w:cs="Times New Roman" w:eastAsia="Times New Roman" w:hint="default"/>
                <w:sz w:val="18"/>
                <w:szCs w:val="18"/>
              </w:rPr>
            </w:pPr>
            <w:r>
              <w:rPr>
                <w:rFonts w:ascii="Times New Roman"/>
                <w:sz w:val="18"/>
              </w:rPr>
              <w:t>29,056,556</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29,056,556</w:t>
            </w:r>
          </w:p>
        </w:tc>
      </w:tr>
      <w:tr>
        <w:trPr>
          <w:trHeight w:val="402" w:hRule="exact"/>
        </w:trPr>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元美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6" w:right="0"/>
              <w:jc w:val="left"/>
              <w:rPr>
                <w:rFonts w:ascii="Times New Roman" w:hAnsi="Times New Roman" w:cs="Times New Roman" w:eastAsia="Times New Roman" w:hint="default"/>
                <w:sz w:val="18"/>
                <w:szCs w:val="18"/>
              </w:rPr>
            </w:pPr>
            <w:r>
              <w:rPr>
                <w:rFonts w:ascii="Times New Roman"/>
                <w:sz w:val="18"/>
              </w:rPr>
              <w:t>28,948,049</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28,948,049</w:t>
            </w:r>
          </w:p>
        </w:tc>
      </w:tr>
      <w:tr>
        <w:trPr>
          <w:trHeight w:val="402" w:hRule="exact"/>
        </w:trPr>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BILL &amp; MELINDA </w:t>
            </w:r>
            <w:r>
              <w:rPr>
                <w:rFonts w:ascii="Times New Roman"/>
                <w:spacing w:val="-5"/>
                <w:sz w:val="18"/>
              </w:rPr>
              <w:t>GATES </w:t>
            </w:r>
            <w:r>
              <w:rPr>
                <w:rFonts w:ascii="Times New Roman"/>
                <w:spacing w:val="-3"/>
                <w:sz w:val="18"/>
              </w:rPr>
              <w:t>FOUNDATION</w:t>
            </w:r>
            <w:r>
              <w:rPr>
                <w:rFonts w:ascii="Times New Roman"/>
                <w:spacing w:val="-8"/>
                <w:sz w:val="18"/>
              </w:rPr>
              <w:t> </w:t>
            </w:r>
            <w:r>
              <w:rPr>
                <w:rFonts w:ascii="Times New Roman"/>
                <w:sz w:val="18"/>
              </w:rPr>
              <w:t>TRUST</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7" w:right="0"/>
              <w:jc w:val="left"/>
              <w:rPr>
                <w:rFonts w:ascii="Times New Roman" w:hAnsi="Times New Roman" w:cs="Times New Roman" w:eastAsia="Times New Roman" w:hint="default"/>
                <w:sz w:val="18"/>
                <w:szCs w:val="18"/>
              </w:rPr>
            </w:pPr>
            <w:r>
              <w:rPr>
                <w:rFonts w:ascii="Times New Roman"/>
                <w:sz w:val="18"/>
              </w:rPr>
              <w:t>22,757,391</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22,757,391</w:t>
            </w:r>
          </w:p>
        </w:tc>
      </w:tr>
      <w:tr>
        <w:trPr>
          <w:trHeight w:val="402" w:hRule="exact"/>
        </w:trPr>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云南国际信托有限公司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云信成长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6" w:right="0"/>
              <w:jc w:val="left"/>
              <w:rPr>
                <w:rFonts w:ascii="Times New Roman" w:hAnsi="Times New Roman" w:cs="Times New Roman" w:eastAsia="Times New Roman" w:hint="default"/>
                <w:sz w:val="18"/>
                <w:szCs w:val="18"/>
              </w:rPr>
            </w:pPr>
            <w:r>
              <w:rPr>
                <w:rFonts w:ascii="Times New Roman"/>
                <w:sz w:val="18"/>
              </w:rPr>
              <w:t>13,969,597</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8" w:right="0"/>
              <w:jc w:val="left"/>
              <w:rPr>
                <w:rFonts w:ascii="Times New Roman" w:hAnsi="Times New Roman" w:cs="Times New Roman" w:eastAsia="Times New Roman" w:hint="default"/>
                <w:sz w:val="18"/>
                <w:szCs w:val="18"/>
              </w:rPr>
            </w:pPr>
            <w:r>
              <w:rPr>
                <w:rFonts w:ascii="Times New Roman"/>
                <w:sz w:val="18"/>
              </w:rPr>
              <w:t>13,969,597</w:t>
            </w:r>
          </w:p>
        </w:tc>
      </w:tr>
      <w:tr>
        <w:trPr>
          <w:trHeight w:val="714" w:hRule="exact"/>
        </w:trPr>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84"/>
              <w:jc w:val="left"/>
              <w:rPr>
                <w:rFonts w:ascii="Times New Roman" w:hAnsi="Times New Roman" w:cs="Times New Roman" w:eastAsia="Times New Roman" w:hint="default"/>
                <w:sz w:val="18"/>
                <w:szCs w:val="18"/>
              </w:rPr>
            </w:pPr>
            <w:r>
              <w:rPr>
                <w:rFonts w:ascii="Times New Roman"/>
                <w:sz w:val="18"/>
              </w:rPr>
              <w:t>BBH A/C </w:t>
            </w:r>
            <w:r>
              <w:rPr>
                <w:rFonts w:ascii="Times New Roman"/>
                <w:spacing w:val="-4"/>
                <w:sz w:val="18"/>
              </w:rPr>
              <w:t>VANGUARD </w:t>
            </w:r>
            <w:r>
              <w:rPr>
                <w:rFonts w:ascii="Times New Roman"/>
                <w:sz w:val="18"/>
              </w:rPr>
              <w:t>EMERGING MARKETS STOCK</w:t>
            </w:r>
            <w:r>
              <w:rPr>
                <w:rFonts w:ascii="Times New Roman"/>
                <w:spacing w:val="-29"/>
                <w:sz w:val="18"/>
              </w:rPr>
              <w:t> </w:t>
            </w:r>
            <w:r>
              <w:rPr>
                <w:rFonts w:ascii="Times New Roman"/>
                <w:sz w:val="18"/>
              </w:rPr>
              <w:t>INDEX</w:t>
            </w:r>
            <w:r>
              <w:rPr>
                <w:rFonts w:ascii="Times New Roman"/>
                <w:sz w:val="18"/>
              </w:rPr>
              <w:t> FUND</w:t>
            </w:r>
          </w:p>
        </w:tc>
        <w:tc>
          <w:tcPr>
            <w:tcW w:w="1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6" w:right="0"/>
              <w:jc w:val="left"/>
              <w:rPr>
                <w:rFonts w:ascii="Times New Roman" w:hAnsi="Times New Roman" w:cs="Times New Roman" w:eastAsia="Times New Roman" w:hint="default"/>
                <w:sz w:val="18"/>
                <w:szCs w:val="18"/>
              </w:rPr>
            </w:pPr>
            <w:r>
              <w:rPr>
                <w:rFonts w:ascii="Times New Roman"/>
                <w:sz w:val="18"/>
              </w:rPr>
              <w:t>12,036,985</w:t>
            </w:r>
          </w:p>
        </w:tc>
        <w:tc>
          <w:tcPr>
            <w:tcW w:w="15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境内上市外资股</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12,036,985</w:t>
            </w:r>
          </w:p>
        </w:tc>
      </w:tr>
      <w:tr>
        <w:trPr>
          <w:trHeight w:val="1650" w:hRule="exact"/>
        </w:trPr>
        <w:tc>
          <w:tcPr>
            <w:tcW w:w="2565" w:type="dxa"/>
            <w:gridSpan w:val="2"/>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2" w:lineRule="auto" w:before="63"/>
              <w:ind w:left="22" w:right="89"/>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p>
        </w:tc>
        <w:tc>
          <w:tcPr>
            <w:tcW w:w="7129" w:type="dxa"/>
            <w:gridSpan w:val="10"/>
            <w:tcBorders>
              <w:top w:val="single" w:sz="4" w:space="0" w:color="000000"/>
              <w:left w:val="single" w:sz="13" w:space="0" w:color="FFFFFF"/>
              <w:bottom w:val="single" w:sz="4" w:space="0" w:color="000000"/>
              <w:right w:val="single" w:sz="4" w:space="0" w:color="000000"/>
            </w:tcBorders>
          </w:tcPr>
          <w:p>
            <w:pPr>
              <w:pStyle w:val="TableParagraph"/>
              <w:spacing w:line="196" w:lineRule="exact" w:before="51"/>
              <w:ind w:right="0"/>
              <w:jc w:val="both"/>
              <w:rPr>
                <w:rFonts w:ascii="宋体" w:hAnsi="宋体" w:cs="宋体" w:eastAsia="宋体" w:hint="default"/>
                <w:sz w:val="18"/>
                <w:szCs w:val="18"/>
              </w:rPr>
            </w:pPr>
            <w:r>
              <w:rPr>
                <w:rFonts w:ascii="宋体" w:hAnsi="宋体" w:cs="宋体" w:eastAsia="宋体" w:hint="default"/>
                <w:sz w:val="18"/>
                <w:szCs w:val="18"/>
              </w:rPr>
              <w:t>国有法人股股东寿光晨鸣控股有限公司与上述股东之间不存在关联关系，也不属于《上市</w:t>
            </w:r>
          </w:p>
          <w:p>
            <w:pPr>
              <w:pStyle w:val="TableParagraph"/>
              <w:spacing w:line="155"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right="0"/>
              <w:jc w:val="both"/>
              <w:rPr>
                <w:rFonts w:ascii="宋体" w:hAnsi="宋体" w:cs="宋体" w:eastAsia="宋体" w:hint="default"/>
                <w:sz w:val="18"/>
                <w:szCs w:val="18"/>
              </w:rPr>
            </w:pPr>
            <w:r>
              <w:rPr>
                <w:rFonts w:ascii="宋体" w:hAnsi="宋体" w:cs="宋体" w:eastAsia="宋体" w:hint="default"/>
                <w:spacing w:val="-2"/>
                <w:sz w:val="18"/>
                <w:szCs w:val="18"/>
              </w:rPr>
              <w:t>公司股东持股变动信息披露管理办法》中规定的一致行动人；财通基金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光大银行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财通基金</w:t>
            </w:r>
          </w:p>
          <w:p>
            <w:pPr>
              <w:pStyle w:val="TableParagraph"/>
              <w:spacing w:line="309" w:lineRule="auto" w:before="63"/>
              <w:ind w:right="8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号资产管理计划和财通基金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光大银行</w:t>
            </w:r>
            <w:r>
              <w:rPr>
                <w:rFonts w:ascii="Times New Roman" w:hAnsi="Times New Roman" w:cs="Times New Roman" w:eastAsia="Times New Roman" w:hint="default"/>
                <w:sz w:val="18"/>
                <w:szCs w:val="18"/>
              </w:rPr>
              <w:t>-</w:t>
            </w:r>
            <w:r>
              <w:rPr>
                <w:rFonts w:ascii="宋体" w:hAnsi="宋体" w:cs="宋体" w:eastAsia="宋体" w:hint="default"/>
                <w:sz w:val="18"/>
                <w:szCs w:val="18"/>
              </w:rPr>
              <w:t>元美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号资产管理计划是同属财通基金管理 有限公司管理的基金，除此之外，未知其他流动股东是否属于一致行动人，也未知其他流 动股股东之间是否存在关联关系。</w:t>
            </w:r>
          </w:p>
        </w:tc>
      </w:tr>
    </w:tbl>
    <w:p>
      <w:pPr>
        <w:pStyle w:val="BodyText"/>
        <w:spacing w:line="240" w:lineRule="auto" w:before="51"/>
        <w:ind w:left="154" w:right="0"/>
        <w:jc w:val="left"/>
      </w:pPr>
      <w:r>
        <w:rPr/>
        <w:pict>
          <v:group style="position:absolute;margin-left:184.380005pt;margin-top:-82.517982pt;width:354.2pt;height:33.2pt;mso-position-horizontal-relative:page;mso-position-vertical-relative:paragraph;z-index:-1456288" coordorigin="3688,-1650" coordsize="7084,664">
            <v:group style="position:absolute;left:3688;top:-1650;width:7084;height:352" coordorigin="3688,-1650" coordsize="7084,352">
              <v:shape style="position:absolute;left:3688;top:-1650;width:7084;height:352" coordorigin="3688,-1650" coordsize="7084,352" path="m3688,-1299l10771,-1299,10771,-1650,3688,-1650,3688,-1299xe" filled="true" fillcolor="#ffffff" stroked="false">
                <v:path arrowok="t"/>
                <v:fill type="solid"/>
              </v:shape>
            </v:group>
            <v:group style="position:absolute;left:3688;top:-1299;width:7084;height:312" coordorigin="3688,-1299" coordsize="7084,312">
              <v:shape style="position:absolute;left:3688;top:-1299;width:7084;height:312" coordorigin="3688,-1299" coordsize="7084,312" path="m3688,-987l10771,-987,10771,-1299,3688,-1299,3688,-987xe" filled="true" fillcolor="#ffffff" stroked="false">
                <v:path arrowok="t"/>
                <v:fill type="solid"/>
              </v:shape>
            </v:group>
            <w10:wrap type="none"/>
          </v:group>
        </w:pict>
      </w:r>
      <w:r>
        <w:rPr/>
        <w:t>公司股东在报告期内是否进行约定购回交易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pStyle w:val="BodyText"/>
        <w:spacing w:line="309" w:lineRule="auto" w:before="101"/>
        <w:ind w:left="154" w:right="149" w:firstLine="359"/>
        <w:jc w:val="both"/>
      </w:pPr>
      <w:r>
        <w:rPr/>
        <w:t>（</w:t>
      </w:r>
      <w:r>
        <w:rPr>
          <w:rFonts w:ascii="Times New Roman" w:hAnsi="Times New Roman" w:cs="Times New Roman" w:eastAsia="Times New Roman" w:hint="default"/>
        </w:rPr>
        <w:t>1</w:t>
      </w:r>
      <w:r>
        <w:rPr/>
        <w:t>）公司持股5%以上股东寿光晨鸣控股有限公司于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日，通过约定购回式证券交易售出所持公司股份</w:t>
      </w:r>
      <w:r>
        <w:rPr>
          <w:rFonts w:ascii="Times New Roman" w:hAnsi="Times New Roman" w:cs="Times New Roman" w:eastAsia="Times New Roman" w:hint="default"/>
        </w:rPr>
        <w:t>8,660</w:t>
      </w:r>
      <w:r>
        <w:rPr>
          <w:rFonts w:ascii="Times New Roman" w:hAnsi="Times New Roman" w:cs="Times New Roman" w:eastAsia="Times New Roman" w:hint="default"/>
          <w:spacing w:val="1"/>
        </w:rPr>
        <w:t> </w:t>
      </w:r>
      <w:r>
        <w:rPr>
          <w:spacing w:val="-2"/>
        </w:rPr>
        <w:t>万股，参与交易的证券公司为广发证券股份有限公司，回购期限为一年。本报告期内，晨鸣控股无购回交易，广发证券通过</w:t>
      </w:r>
      <w:r>
        <w:rPr>
          <w:spacing w:val="-66"/>
        </w:rPr>
        <w:t> </w:t>
      </w:r>
      <w:r>
        <w:rPr>
          <w:spacing w:val="-66"/>
        </w:rPr>
      </w:r>
      <w:r>
        <w:rPr/>
        <w:t>约定购回专用账户，持有本公司股份</w:t>
      </w:r>
      <w:r>
        <w:rPr>
          <w:rFonts w:ascii="Times New Roman" w:hAnsi="Times New Roman" w:cs="Times New Roman" w:eastAsia="Times New Roman" w:hint="default"/>
        </w:rPr>
        <w:t>8,660</w:t>
      </w:r>
      <w:r>
        <w:rPr/>
        <w:t>万股。</w:t>
      </w:r>
    </w:p>
    <w:p>
      <w:pPr>
        <w:pStyle w:val="BodyText"/>
        <w:spacing w:line="300" w:lineRule="auto" w:before="5"/>
        <w:ind w:left="154" w:right="203" w:firstLine="36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日，寿光晨鸣控股有限公司购回通过约定购回式证券交易售出的</w:t>
      </w:r>
      <w:r>
        <w:rPr>
          <w:rFonts w:ascii="Times New Roman" w:hAnsi="Times New Roman" w:cs="Times New Roman" w:eastAsia="Times New Roman" w:hint="default"/>
        </w:rPr>
        <w:t>8,660</w:t>
      </w:r>
      <w:r>
        <w:rPr/>
        <w:t>万股，本次交易前后持股情况 如下：</w:t>
      </w:r>
    </w:p>
    <w:p>
      <w:pPr>
        <w:spacing w:after="0" w:line="300" w:lineRule="auto"/>
        <w:jc w:val="both"/>
        <w:sectPr>
          <w:pgSz w:w="11910" w:h="16840"/>
          <w:pgMar w:header="877" w:footer="950" w:top="1100" w:bottom="114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7767" w:right="190"/>
        <w:jc w:val="right"/>
      </w:pPr>
      <w:r>
        <w:rPr/>
        <w:t>单位：股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7767" w:right="100"/>
        <w:jc w:val="right"/>
      </w:pPr>
      <w:r>
        <w:rPr/>
        <w:pict>
          <v:shape style="position:absolute;margin-left:337.97699pt;margin-top:-.527966pt;width:99.8pt;height:15.6pt;mso-position-horizontal-relative:page;mso-position-vertical-relative:paragraph;z-index:-1456264" type="#_x0000_t202" filled="false" stroked="false">
            <v:textbox inset="0,0,0,0">
              <w:txbxContent>
                <w:p>
                  <w:pPr>
                    <w:pStyle w:val="BodyText"/>
                    <w:spacing w:line="240" w:lineRule="auto" w:before="10"/>
                    <w:ind w:left="0" w:right="0"/>
                    <w:jc w:val="left"/>
                  </w:pPr>
                  <w:r>
                    <w:rPr/>
                    <w:t>）</w:t>
                  </w:r>
                </w:p>
              </w:txbxContent>
            </v:textbox>
            <w10:wrap type="none"/>
          </v:shape>
        </w:pict>
      </w:r>
      <w:r>
        <w:rPr/>
        <w:pict>
          <v:shape style="position:absolute;margin-left:55.860001pt;margin-top:-18.767967pt;width:484pt;height:52.4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0"/>
                    <w:gridCol w:w="1726"/>
                    <w:gridCol w:w="2020"/>
                    <w:gridCol w:w="1906"/>
                    <w:gridCol w:w="2017"/>
                  </w:tblGrid>
                  <w:tr>
                    <w:trPr>
                      <w:trHeight w:val="340" w:hRule="exact"/>
                    </w:trPr>
                    <w:tc>
                      <w:tcPr>
                        <w:tcW w:w="199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4"/>
                          <w:ind w:left="62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74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交易前</w:t>
                        </w:r>
                      </w:p>
                    </w:tc>
                    <w:tc>
                      <w:tcPr>
                        <w:tcW w:w="3923"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交易后</w:t>
                        </w:r>
                      </w:p>
                    </w:tc>
                  </w:tr>
                  <w:tr>
                    <w:trPr>
                      <w:trHeight w:val="347" w:hRule="exact"/>
                    </w:trPr>
                    <w:tc>
                      <w:tcPr>
                        <w:tcW w:w="1990" w:type="dxa"/>
                        <w:vMerge/>
                        <w:tcBorders>
                          <w:left w:val="single" w:sz="6" w:space="0" w:color="000000"/>
                          <w:bottom w:val="single" w:sz="6" w:space="0" w:color="000000"/>
                          <w:right w:val="single" w:sz="6" w:space="0" w:color="000000"/>
                        </w:tcBorders>
                        <w:shd w:val="clear" w:color="auto" w:fill="CCCCCC"/>
                      </w:tcPr>
                      <w:p>
                        <w:pPr/>
                      </w:p>
                    </w:tc>
                    <w:tc>
                      <w:tcPr>
                        <w:tcW w:w="17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持有公司股份数量</w:t>
                        </w:r>
                      </w:p>
                    </w:tc>
                    <w:tc>
                      <w:tcPr>
                        <w:tcW w:w="20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88"/>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占公司总股本的比例（</w:t>
                        </w:r>
                        <w:r>
                          <w:rPr>
                            <w:rFonts w:ascii="Times New Roman" w:hAnsi="Times New Roman" w:cs="Times New Roman" w:eastAsia="Times New Roman" w:hint="default"/>
                            <w:spacing w:val="-4"/>
                            <w:sz w:val="18"/>
                            <w:szCs w:val="18"/>
                          </w:rPr>
                          <w:t>%</w:t>
                        </w:r>
                      </w:p>
                    </w:tc>
                    <w:tc>
                      <w:tcPr>
                        <w:tcW w:w="190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持有公司股份数量</w:t>
                        </w:r>
                      </w:p>
                    </w:tc>
                    <w:tc>
                      <w:tcPr>
                        <w:tcW w:w="201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86"/>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占公司总股本的比例（</w:t>
                        </w:r>
                        <w:r>
                          <w:rPr>
                            <w:rFonts w:ascii="Times New Roman" w:hAnsi="Times New Roman" w:cs="Times New Roman" w:eastAsia="Times New Roman" w:hint="default"/>
                            <w:spacing w:val="-4"/>
                            <w:sz w:val="18"/>
                            <w:szCs w:val="18"/>
                          </w:rPr>
                          <w:t>%</w:t>
                        </w:r>
                      </w:p>
                    </w:tc>
                  </w:tr>
                  <w:tr>
                    <w:trPr>
                      <w:trHeight w:val="348" w:hRule="exact"/>
                    </w:trPr>
                    <w:tc>
                      <w:tcPr>
                        <w:tcW w:w="1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7"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206,403,657</w:t>
                        </w:r>
                      </w:p>
                    </w:tc>
                    <w:tc>
                      <w:tcPr>
                        <w:tcW w:w="2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10.45%</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293,003,657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14.83%</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right="9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0"/>
        <w:jc w:val="left"/>
      </w:pPr>
      <w:r>
        <w:rPr/>
        <w:t>法人</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82"/>
        <w:gridCol w:w="1418"/>
        <w:gridCol w:w="1620"/>
        <w:gridCol w:w="1440"/>
        <w:gridCol w:w="1105"/>
        <w:gridCol w:w="1802"/>
      </w:tblGrid>
      <w:tr>
        <w:trPr>
          <w:trHeight w:val="714"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34" w:right="47"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78348518-9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对造纸、电力、热力、 林业项目的投资</w:t>
            </w:r>
          </w:p>
        </w:tc>
      </w:tr>
      <w:tr>
        <w:trPr>
          <w:trHeight w:val="1338"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0"/>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77"/>
                <w:sz w:val="18"/>
                <w:szCs w:val="18"/>
              </w:rPr>
              <w:t>，</w:t>
            </w:r>
            <w:r>
              <w:rPr>
                <w:rFonts w:ascii="宋体" w:hAnsi="宋体" w:cs="宋体" w:eastAsia="宋体" w:hint="default"/>
                <w:sz w:val="18"/>
                <w:szCs w:val="18"/>
              </w:rPr>
              <w:t>晨鸣控股实现营业收入人民币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77"/>
                <w:sz w:val="18"/>
                <w:szCs w:val="18"/>
              </w:rPr>
              <w:t>，</w:t>
            </w:r>
            <w:r>
              <w:rPr>
                <w:rFonts w:ascii="宋体" w:hAnsi="宋体" w:cs="宋体" w:eastAsia="宋体" w:hint="default"/>
                <w:sz w:val="18"/>
                <w:szCs w:val="18"/>
              </w:rPr>
              <w:t>营业成本人民币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77"/>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日，晨鸣控股总资产为人民币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493.91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亿元，总负债为人民币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345.34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亿元；经营活</w:t>
            </w:r>
          </w:p>
          <w:p>
            <w:pPr>
              <w:pStyle w:val="TableParagraph"/>
              <w:spacing w:line="302"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动产生的现金流净额为</w:t>
            </w:r>
            <w:r>
              <w:rPr>
                <w:rFonts w:ascii="宋体" w:hAnsi="宋体" w:cs="宋体" w:eastAsia="宋体" w:hint="default"/>
                <w:spacing w:val="-37"/>
                <w:sz w:val="18"/>
                <w:szCs w:val="18"/>
              </w:rPr>
              <w:t> </w:t>
            </w:r>
            <w:r>
              <w:rPr>
                <w:rFonts w:ascii="Times New Roman" w:hAnsi="Times New Roman" w:cs="Times New Roman" w:eastAsia="Times New Roman" w:hint="default"/>
                <w:spacing w:val="-2"/>
                <w:sz w:val="18"/>
                <w:szCs w:val="18"/>
              </w:rPr>
              <w:t>11.63</w:t>
            </w:r>
            <w:r>
              <w:rPr>
                <w:rFonts w:ascii="Times New Roman" w:hAnsi="Times New Roman" w:cs="Times New Roman" w:eastAsia="Times New Roman" w:hint="default"/>
                <w:spacing w:val="9"/>
                <w:sz w:val="18"/>
                <w:szCs w:val="18"/>
              </w:rPr>
              <w:t> </w:t>
            </w:r>
            <w:r>
              <w:rPr>
                <w:rFonts w:ascii="宋体" w:hAnsi="宋体" w:cs="宋体" w:eastAsia="宋体" w:hint="default"/>
                <w:spacing w:val="-7"/>
                <w:sz w:val="18"/>
                <w:szCs w:val="18"/>
              </w:rPr>
              <w:t>亿元（未经审计）。未来，寿光晨鸣控股有限公司将继续致力于造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纸、电力、热力和林业项目等的投资。</w:t>
            </w:r>
          </w:p>
        </w:tc>
      </w:tr>
      <w:tr>
        <w:trPr>
          <w:trHeight w:val="1027"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4" w:right="21"/>
              <w:jc w:val="left"/>
              <w:rPr>
                <w:rFonts w:ascii="宋体" w:hAnsi="宋体" w:cs="宋体" w:eastAsia="宋体" w:hint="default"/>
                <w:sz w:val="18"/>
                <w:szCs w:val="18"/>
              </w:rPr>
            </w:pPr>
            <w:r>
              <w:rPr>
                <w:rFonts w:ascii="宋体" w:hAnsi="宋体" w:cs="宋体" w:eastAsia="宋体" w:hint="default"/>
                <w:sz w:val="18"/>
                <w:szCs w:val="18"/>
              </w:rPr>
              <w:t>寿光晨鸣控股有限公司持有本公司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14.83%</w:t>
            </w:r>
            <w:r>
              <w:rPr>
                <w:rFonts w:ascii="宋体" w:hAnsi="宋体" w:cs="宋体" w:eastAsia="宋体" w:hint="default"/>
                <w:spacing w:val="-4"/>
                <w:sz w:val="18"/>
                <w:szCs w:val="18"/>
              </w:rPr>
              <w:t>的股权（注），除此之外，不存在控股和参股其他境</w:t>
            </w:r>
            <w:r>
              <w:rPr>
                <w:rFonts w:ascii="宋体" w:hAnsi="宋体" w:cs="宋体" w:eastAsia="宋体" w:hint="default"/>
                <w:sz w:val="18"/>
                <w:szCs w:val="18"/>
              </w:rPr>
              <w:t> 内外上市公司股权的情况。</w:t>
            </w:r>
          </w:p>
        </w:tc>
      </w:tr>
    </w:tbl>
    <w:p>
      <w:pPr>
        <w:pStyle w:val="BodyText"/>
        <w:spacing w:line="300" w:lineRule="auto" w:before="51"/>
        <w:ind w:right="219" w:firstLine="360"/>
        <w:jc w:val="left"/>
      </w:pPr>
      <w:r>
        <w:rPr/>
        <w:t>注：</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日，寿光晨鸣控股有限公司购回通过约定购回式证券交易售出的</w:t>
      </w:r>
      <w:r>
        <w:rPr>
          <w:spacing w:val="-46"/>
        </w:rPr>
        <w:t> </w:t>
      </w:r>
      <w:r>
        <w:rPr>
          <w:rFonts w:ascii="Times New Roman" w:hAnsi="Times New Roman" w:cs="Times New Roman" w:eastAsia="Times New Roman" w:hint="default"/>
        </w:rPr>
        <w:t>8,660</w:t>
      </w:r>
      <w:r>
        <w:rPr>
          <w:rFonts w:ascii="Times New Roman" w:hAnsi="Times New Roman" w:cs="Times New Roman" w:eastAsia="Times New Roman" w:hint="default"/>
          <w:spacing w:val="-9"/>
        </w:rPr>
        <w:t> </w:t>
      </w:r>
      <w:r>
        <w:rPr/>
        <w:t>万股，此次交易后持有公司 股份数量为</w:t>
      </w:r>
      <w:r>
        <w:rPr>
          <w:spacing w:val="-47"/>
        </w:rPr>
        <w:t> </w:t>
      </w:r>
      <w:r>
        <w:rPr>
          <w:rFonts w:ascii="Times New Roman" w:hAnsi="Times New Roman" w:cs="Times New Roman" w:eastAsia="Times New Roman" w:hint="default"/>
        </w:rPr>
        <w:t>293,003,657</w:t>
      </w:r>
      <w:r>
        <w:rPr>
          <w:rFonts w:ascii="Times New Roman" w:hAnsi="Times New Roman" w:cs="Times New Roman" w:eastAsia="Times New Roman" w:hint="default"/>
          <w:spacing w:val="-10"/>
        </w:rPr>
        <w:t> </w:t>
      </w:r>
      <w:r>
        <w:rPr/>
        <w:t>股，占公司总股本的比例为</w:t>
      </w:r>
      <w:r>
        <w:rPr>
          <w:spacing w:val="-47"/>
        </w:rPr>
        <w:t> </w:t>
      </w:r>
      <w:r>
        <w:rPr>
          <w:rFonts w:ascii="Times New Roman" w:hAnsi="Times New Roman" w:cs="Times New Roman" w:eastAsia="Times New Roman" w:hint="default"/>
        </w:rPr>
        <w:t>14.83%</w:t>
      </w:r>
      <w:r>
        <w:rPr/>
        <w:t>。</w:t>
      </w:r>
    </w:p>
    <w:p>
      <w:pPr>
        <w:pStyle w:val="BodyText"/>
        <w:spacing w:line="240" w:lineRule="auto" w:before="52"/>
        <w:ind w:left="154" w:right="90"/>
        <w:jc w:val="left"/>
      </w:pPr>
      <w:r>
        <w:rPr/>
        <w:t>控股股东报告期内变更</w:t>
      </w:r>
    </w:p>
    <w:p>
      <w:pPr>
        <w:spacing w:line="547" w:lineRule="auto" w:before="117"/>
        <w:ind w:left="154" w:right="7597" w:firstLine="0"/>
        <w:jc w:val="left"/>
        <w:rPr>
          <w:rFonts w:ascii="宋体" w:hAnsi="宋体" w:cs="宋体" w:eastAsia="宋体" w:hint="default"/>
          <w:sz w:val="18"/>
          <w:szCs w:val="18"/>
        </w:rPr>
      </w:pPr>
      <w:r>
        <w:rPr/>
        <w:pict>
          <v:shape style="position:absolute;margin-left:56.459999pt;margin-top:84.108009pt;width:479.1pt;height:158.9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0"/>
                    <w:gridCol w:w="1260"/>
                    <w:gridCol w:w="1620"/>
                    <w:gridCol w:w="1260"/>
                    <w:gridCol w:w="925"/>
                    <w:gridCol w:w="1802"/>
                  </w:tblGrid>
                  <w:tr>
                    <w:trPr>
                      <w:trHeight w:val="714"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4"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63" w:right="59"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270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925" w:type="dxa"/>
                        <w:tcBorders>
                          <w:top w:val="single" w:sz="4" w:space="0" w:color="000000"/>
                          <w:left w:val="single" w:sz="4" w:space="0" w:color="000000"/>
                          <w:bottom w:val="nil" w:sz="6" w:space="0" w:color="auto"/>
                          <w:right w:val="single" w:sz="4" w:space="0" w:color="000000"/>
                        </w:tcBorders>
                      </w:tcPr>
                      <w:p>
                        <w:pPr/>
                      </w:p>
                    </w:tc>
                    <w:tc>
                      <w:tcPr>
                        <w:tcW w:w="180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负责全市企事业单位</w:t>
                        </w:r>
                      </w:p>
                    </w:tc>
                  </w:tr>
                  <w:tr>
                    <w:trPr>
                      <w:trHeight w:val="318" w:hRule="exact"/>
                    </w:trPr>
                    <w:tc>
                      <w:tcPr>
                        <w:tcW w:w="27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寿光市国有资产监督管理办公室</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353" w:right="0"/>
                          <w:jc w:val="left"/>
                          <w:rPr>
                            <w:rFonts w:ascii="宋体" w:hAnsi="宋体" w:cs="宋体" w:eastAsia="宋体" w:hint="default"/>
                            <w:sz w:val="18"/>
                            <w:szCs w:val="18"/>
                          </w:rPr>
                        </w:pPr>
                        <w:r>
                          <w:rPr>
                            <w:rFonts w:ascii="宋体" w:hAnsi="宋体" w:cs="宋体" w:eastAsia="宋体" w:hint="default"/>
                            <w:sz w:val="18"/>
                            <w:szCs w:val="18"/>
                          </w:rPr>
                          <w:t>付心刚</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137078300401</w:t>
                        </w:r>
                      </w:p>
                    </w:tc>
                    <w:tc>
                      <w:tcPr>
                        <w:tcW w:w="9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国有资产管理及资本</w:t>
                        </w:r>
                      </w:p>
                    </w:tc>
                  </w:tr>
                  <w:tr>
                    <w:trPr>
                      <w:trHeight w:val="351" w:hRule="exact"/>
                    </w:trPr>
                    <w:tc>
                      <w:tcPr>
                        <w:tcW w:w="270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925" w:type="dxa"/>
                        <w:tcBorders>
                          <w:top w:val="nil" w:sz="6" w:space="0" w:color="auto"/>
                          <w:left w:val="single" w:sz="4" w:space="0" w:color="000000"/>
                          <w:bottom w:val="single" w:sz="4" w:space="0" w:color="000000"/>
                          <w:right w:val="single" w:sz="4" w:space="0" w:color="000000"/>
                        </w:tcBorders>
                      </w:tcPr>
                      <w:p>
                        <w:pPr/>
                      </w:p>
                    </w:tc>
                    <w:tc>
                      <w:tcPr>
                        <w:tcW w:w="18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运营工作</w:t>
                        </w:r>
                      </w:p>
                    </w:tc>
                  </w:tr>
                  <w:tr>
                    <w:trPr>
                      <w:trHeight w:val="358" w:hRule="exact"/>
                    </w:trPr>
                    <w:tc>
                      <w:tcPr>
                        <w:tcW w:w="27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经营成果、财务状况、现金流和未</w:t>
                        </w:r>
                      </w:p>
                    </w:tc>
                    <w:tc>
                      <w:tcPr>
                        <w:tcW w:w="6868" w:type="dxa"/>
                        <w:gridSpan w:val="5"/>
                        <w:tcBorders>
                          <w:top w:val="single" w:sz="4" w:space="0" w:color="000000"/>
                          <w:left w:val="single" w:sz="10" w:space="0" w:color="D3D3D3"/>
                          <w:bottom w:val="nil" w:sz="6" w:space="0" w:color="auto"/>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pacing w:val="-1"/>
                            <w:sz w:val="18"/>
                            <w:szCs w:val="18"/>
                          </w:rPr>
                          <w:t>寿光市国有资产监督管理办公室负责全市企事业单位国有资产管理及资本运营，致力于</w:t>
                        </w:r>
                      </w:p>
                    </w:tc>
                  </w:tr>
                  <w:tr>
                    <w:trPr>
                      <w:trHeight w:val="356" w:hRule="exact"/>
                    </w:trPr>
                    <w:tc>
                      <w:tcPr>
                        <w:tcW w:w="27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来发展战略等</w:t>
                        </w:r>
                      </w:p>
                    </w:tc>
                    <w:tc>
                      <w:tcPr>
                        <w:tcW w:w="6868" w:type="dxa"/>
                        <w:gridSpan w:val="5"/>
                        <w:tcBorders>
                          <w:top w:val="nil" w:sz="6" w:space="0" w:color="auto"/>
                          <w:left w:val="single" w:sz="10" w:space="0" w:color="D3D3D3"/>
                          <w:bottom w:val="single" w:sz="4" w:space="0" w:color="000000"/>
                          <w:right w:val="single" w:sz="4"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国有资产的保值、增值。</w:t>
                        </w:r>
                      </w:p>
                    </w:tc>
                  </w:tr>
                  <w:tr>
                    <w:trPr>
                      <w:trHeight w:val="358" w:hRule="exact"/>
                    </w:trPr>
                    <w:tc>
                      <w:tcPr>
                        <w:tcW w:w="27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w:t>
                        </w:r>
                      </w:p>
                    </w:tc>
                    <w:tc>
                      <w:tcPr>
                        <w:tcW w:w="6868" w:type="dxa"/>
                        <w:gridSpan w:val="5"/>
                        <w:tcBorders>
                          <w:top w:val="single" w:sz="4" w:space="0" w:color="000000"/>
                          <w:left w:val="single" w:sz="10" w:space="0" w:color="D3D3D3"/>
                          <w:bottom w:val="nil" w:sz="6" w:space="0" w:color="auto"/>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pacing w:val="-1"/>
                            <w:sz w:val="18"/>
                            <w:szCs w:val="18"/>
                          </w:rPr>
                          <w:t>除本公司外，寿光市国有资产监督管理办公室不存在控制的其他境内外上市公司的股权</w:t>
                        </w:r>
                      </w:p>
                    </w:tc>
                  </w:tr>
                  <w:tr>
                    <w:trPr>
                      <w:trHeight w:val="356" w:hRule="exact"/>
                    </w:trPr>
                    <w:tc>
                      <w:tcPr>
                        <w:tcW w:w="27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境内外上市公司的股权情况</w:t>
                        </w:r>
                      </w:p>
                    </w:tc>
                    <w:tc>
                      <w:tcPr>
                        <w:tcW w:w="6868" w:type="dxa"/>
                        <w:gridSpan w:val="5"/>
                        <w:tcBorders>
                          <w:top w:val="nil" w:sz="6" w:space="0" w:color="auto"/>
                          <w:left w:val="single" w:sz="10" w:space="0" w:color="D3D3D3"/>
                          <w:bottom w:val="single" w:sz="4" w:space="0" w:color="000000"/>
                          <w:right w:val="single" w:sz="4"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情况。</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99"/>
          <w:sz w:val="21"/>
          <w:szCs w:val="21"/>
        </w:rPr>
        <w:t> </w:t>
      </w: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154" w:right="90"/>
        <w:jc w:val="left"/>
      </w:pPr>
      <w:r>
        <w:rPr/>
        <w:t>实际控制人报告期内变更</w:t>
      </w:r>
    </w:p>
    <w:p>
      <w:pPr>
        <w:pStyle w:val="BodyText"/>
        <w:spacing w:line="338" w:lineRule="auto" w:before="117"/>
        <w:ind w:left="154" w:right="585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公司与实际控制人之间的产权及控制关系的方框图</w:t>
      </w:r>
    </w:p>
    <w:p>
      <w:pPr>
        <w:spacing w:after="0" w:line="338" w:lineRule="auto"/>
        <w:jc w:val="left"/>
        <w:sectPr>
          <w:pgSz w:w="11910" w:h="16840"/>
          <w:pgMar w:header="877" w:footer="950" w:top="1100" w:bottom="1140" w:left="980" w:right="940"/>
        </w:sectPr>
      </w:pPr>
    </w:p>
    <w:p>
      <w:pPr>
        <w:spacing w:line="240" w:lineRule="auto" w:before="10"/>
        <w:rPr>
          <w:rFonts w:ascii="宋体" w:hAnsi="宋体" w:cs="宋体" w:eastAsia="宋体" w:hint="default"/>
          <w:sz w:val="26"/>
          <w:szCs w:val="26"/>
        </w:rPr>
      </w:pPr>
    </w:p>
    <w:p>
      <w:pPr>
        <w:spacing w:line="4305" w:lineRule="exact"/>
        <w:ind w:left="154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350724" cy="27336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4350724" cy="2733675"/>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3"/>
        <w:rPr>
          <w:rFonts w:ascii="宋体" w:hAnsi="宋体" w:cs="宋体" w:eastAsia="宋体" w:hint="default"/>
          <w:sz w:val="15"/>
          <w:szCs w:val="15"/>
        </w:rPr>
      </w:pPr>
    </w:p>
    <w:p>
      <w:pPr>
        <w:pStyle w:val="BodyText"/>
        <w:spacing w:line="302" w:lineRule="auto" w:before="44"/>
        <w:ind w:right="179" w:firstLine="360"/>
        <w:jc w:val="left"/>
      </w:pPr>
      <w:r>
        <w:rPr/>
        <w:t>注：</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日，寿光晨鸣控股有限公司购回通过约定购回式证券交易售出的</w:t>
      </w:r>
      <w:r>
        <w:rPr>
          <w:spacing w:val="-46"/>
        </w:rPr>
        <w:t> </w:t>
      </w:r>
      <w:r>
        <w:rPr>
          <w:rFonts w:ascii="Times New Roman" w:hAnsi="Times New Roman" w:cs="Times New Roman" w:eastAsia="Times New Roman" w:hint="default"/>
        </w:rPr>
        <w:t>8,660</w:t>
      </w:r>
      <w:r>
        <w:rPr>
          <w:rFonts w:ascii="Times New Roman" w:hAnsi="Times New Roman" w:cs="Times New Roman" w:eastAsia="Times New Roman" w:hint="default"/>
          <w:spacing w:val="-9"/>
        </w:rPr>
        <w:t> </w:t>
      </w:r>
      <w:r>
        <w:rPr/>
        <w:t>万股，此次交易后持有公司 股份数量为</w:t>
      </w:r>
      <w:r>
        <w:rPr>
          <w:spacing w:val="-47"/>
        </w:rPr>
        <w:t> </w:t>
      </w:r>
      <w:r>
        <w:rPr>
          <w:rFonts w:ascii="Times New Roman" w:hAnsi="Times New Roman" w:cs="Times New Roman" w:eastAsia="Times New Roman" w:hint="default"/>
        </w:rPr>
        <w:t>293,003,657</w:t>
      </w:r>
      <w:r>
        <w:rPr>
          <w:rFonts w:ascii="Times New Roman" w:hAnsi="Times New Roman" w:cs="Times New Roman" w:eastAsia="Times New Roman" w:hint="default"/>
          <w:spacing w:val="-10"/>
        </w:rPr>
        <w:t> </w:t>
      </w:r>
      <w:r>
        <w:rPr/>
        <w:t>股，占公司总股本的比例为</w:t>
      </w:r>
      <w:r>
        <w:rPr>
          <w:spacing w:val="-47"/>
        </w:rPr>
        <w:t> </w:t>
      </w:r>
      <w:r>
        <w:rPr>
          <w:rFonts w:ascii="Times New Roman" w:hAnsi="Times New Roman" w:cs="Times New Roman" w:eastAsia="Times New Roman" w:hint="default"/>
        </w:rPr>
        <w:t>14.83%</w:t>
      </w:r>
      <w:r>
        <w:rPr/>
        <w:t>。</w:t>
      </w:r>
    </w:p>
    <w:p>
      <w:pPr>
        <w:pStyle w:val="BodyText"/>
        <w:spacing w:line="240" w:lineRule="auto" w:before="50"/>
        <w:ind w:left="154"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877" w:footer="950" w:top="110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bookmark7" w:id="8"/>
      <w:bookmarkEnd w:id="8"/>
      <w:r>
        <w:rPr>
          <w:b w:val="0"/>
          <w:bCs w:val="0"/>
        </w:rPr>
      </w:r>
      <w:r>
        <w:rPr/>
        <w:t>第八节</w:t>
      </w:r>
      <w:r>
        <w:rPr>
          <w:spacing w:val="-17"/>
        </w:rPr>
        <w:t> </w:t>
      </w:r>
      <w:r>
        <w:rPr/>
        <w:t>董事、监事、高级管理人员和员工情况</w:t>
      </w:r>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1116"/>
        <w:gridCol w:w="900"/>
        <w:gridCol w:w="720"/>
        <w:gridCol w:w="744"/>
        <w:gridCol w:w="869"/>
        <w:gridCol w:w="870"/>
        <w:gridCol w:w="870"/>
        <w:gridCol w:w="870"/>
        <w:gridCol w:w="870"/>
        <w:gridCol w:w="870"/>
      </w:tblGrid>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0"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70"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6,334,527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6,334,527</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尹同远</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2,423,640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2,423,640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  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471,818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471,818</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437,433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437,433</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谭道诚</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70,100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侯焕才</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628,915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628,915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周少华</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123,007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123,007</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崔友平</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王效群</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张志元</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王玉玫</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王翔飞</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864"/>
        <w:gridCol w:w="1116"/>
        <w:gridCol w:w="900"/>
        <w:gridCol w:w="720"/>
        <w:gridCol w:w="744"/>
        <w:gridCol w:w="869"/>
        <w:gridCol w:w="87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高俊杰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39,606</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  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杨洪芹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尹启祥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郭光耀</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李雪芹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429,348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429,348</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王春方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1,238</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邵震中</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副总经理、营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销总监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常立亭</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李振中</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张延军</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102,393</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夏继钢</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潘兆昌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公司秘书、合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资格会计师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06"/>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11,207,625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115,600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11,192,025</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5"/>
        <w:spacing w:line="240" w:lineRule="auto"/>
        <w:ind w:left="576" w:right="0"/>
        <w:jc w:val="left"/>
        <w:rPr>
          <w:b w:val="0"/>
          <w:bCs w:val="0"/>
        </w:rPr>
      </w:pPr>
      <w:r>
        <w:rPr>
          <w:rFonts w:ascii="Times New Roman" w:hAnsi="Times New Roman" w:cs="Times New Roman" w:eastAsia="Times New Roman" w:hint="default"/>
        </w:rPr>
        <w:t>1</w:t>
      </w:r>
      <w:r>
        <w:rPr/>
        <w:t>、公司董事简介</w:t>
      </w:r>
      <w:r>
        <w:rPr>
          <w:b w:val="0"/>
          <w:bCs w:val="0"/>
        </w:rPr>
      </w:r>
    </w:p>
    <w:p>
      <w:pPr>
        <w:pStyle w:val="BodyText"/>
        <w:spacing w:line="300" w:lineRule="auto" w:before="62"/>
        <w:ind w:left="514" w:right="0" w:firstLine="6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）执行董事简介</w:t>
      </w:r>
      <w:r>
        <w:rPr>
          <w:rFonts w:ascii="宋体" w:hAnsi="宋体" w:cs="宋体" w:eastAsia="宋体" w:hint="default"/>
          <w:b/>
          <w:bCs/>
          <w:w w:val="99"/>
        </w:rPr>
        <w:t> </w:t>
      </w:r>
      <w:r>
        <w:rPr>
          <w:spacing w:val="-2"/>
        </w:rPr>
        <w:t>陈洪国先生，1987年加入本公司，历任车间主任、分厂厂长、副总经理、公司董事、武汉晨鸣汉阳纸业股份有限公司董</w:t>
      </w:r>
    </w:p>
    <w:p>
      <w:pPr>
        <w:pStyle w:val="BodyText"/>
        <w:spacing w:line="316" w:lineRule="auto" w:before="31"/>
        <w:ind w:left="154" w:right="0"/>
        <w:jc w:val="left"/>
      </w:pPr>
      <w:r>
        <w:rPr>
          <w:spacing w:val="-2"/>
        </w:rPr>
        <w:t>事长等职务，现任本公司董事长兼总经理，寿光晨鸣控股有限公司董事长兼总经理。陈洪国先生为本公司副总经理李雪芹女</w:t>
      </w:r>
      <w:r>
        <w:rPr>
          <w:spacing w:val="-66"/>
        </w:rPr>
        <w:t> </w:t>
      </w:r>
      <w:r>
        <w:rPr>
          <w:spacing w:val="-66"/>
        </w:rPr>
      </w:r>
      <w:r>
        <w:rPr/>
        <w:t>士的配偶。</w:t>
      </w:r>
    </w:p>
    <w:p>
      <w:pPr>
        <w:spacing w:after="0" w:line="316" w:lineRule="auto"/>
        <w:jc w:val="left"/>
        <w:sectPr>
          <w:pgSz w:w="11910" w:h="16840"/>
          <w:pgMar w:header="877" w:footer="950" w:top="1100" w:bottom="1140" w:left="980" w:right="980"/>
        </w:sectPr>
      </w:pPr>
    </w:p>
    <w:p>
      <w:pPr>
        <w:spacing w:line="240" w:lineRule="auto" w:before="12"/>
        <w:rPr>
          <w:rFonts w:ascii="宋体" w:hAnsi="宋体" w:cs="宋体" w:eastAsia="宋体" w:hint="default"/>
          <w:sz w:val="21"/>
          <w:szCs w:val="21"/>
        </w:rPr>
      </w:pPr>
    </w:p>
    <w:p>
      <w:pPr>
        <w:pStyle w:val="BodyText"/>
        <w:spacing w:line="316" w:lineRule="auto" w:before="44"/>
        <w:ind w:right="191" w:firstLine="360"/>
        <w:jc w:val="both"/>
      </w:pPr>
      <w:r>
        <w:rPr>
          <w:spacing w:val="-2"/>
        </w:rPr>
        <w:t>尹同远先生，1982年加入本公司，历任车间主任、技术处长、副厂长、常务副厂长、总经理等职务，现任本公司副董事</w:t>
      </w:r>
      <w:r>
        <w:rPr/>
        <w:t> 长、寿光晨鸣控股有限公司董事。</w:t>
      </w:r>
    </w:p>
    <w:p>
      <w:pPr>
        <w:pStyle w:val="BodyText"/>
        <w:spacing w:line="300" w:lineRule="auto" w:before="18"/>
        <w:ind w:left="154" w:right="100" w:firstLine="359"/>
        <w:jc w:val="both"/>
      </w:pPr>
      <w:r>
        <w:rPr/>
        <w:t>李</w:t>
      </w:r>
      <w:r>
        <w:rPr>
          <w:spacing w:val="72"/>
        </w:rPr>
        <w:t> </w:t>
      </w:r>
      <w:r>
        <w:rPr>
          <w:spacing w:val="-3"/>
        </w:rPr>
        <w:t>峰先生，</w:t>
      </w:r>
      <w:r>
        <w:rPr>
          <w:rFonts w:ascii="Times New Roman" w:hAnsi="Times New Roman" w:cs="Times New Roman" w:eastAsia="Times New Roman" w:hint="default"/>
          <w:spacing w:val="-3"/>
        </w:rPr>
        <w:t>1992</w:t>
      </w:r>
      <w:r>
        <w:rPr>
          <w:spacing w:val="-3"/>
        </w:rPr>
        <w:t>年加入本公司，历任公司车间主任、总经理助理，武汉晨鸣汉阳纸业股份有限公司副总经理、董事长，</w:t>
      </w:r>
      <w:r>
        <w:rPr/>
        <w:t> 现任本公司执行董事、副总经理兼营销副总监。李峰先生为本公司副总经理李雪芹女士的弟弟。</w:t>
      </w:r>
    </w:p>
    <w:p>
      <w:pPr>
        <w:pStyle w:val="BodyText"/>
        <w:spacing w:line="309" w:lineRule="auto" w:before="31"/>
        <w:ind w:left="154" w:right="189" w:firstLine="360"/>
        <w:jc w:val="both"/>
      </w:pPr>
      <w:r>
        <w:rPr>
          <w:spacing w:val="-2"/>
        </w:rPr>
        <w:t>耿光林先生，</w:t>
      </w:r>
      <w:r>
        <w:rPr>
          <w:rFonts w:ascii="Times New Roman" w:hAnsi="Times New Roman" w:cs="Times New Roman" w:eastAsia="Times New Roman" w:hint="default"/>
          <w:spacing w:val="-2"/>
        </w:rPr>
        <w:t>1992</w:t>
      </w:r>
      <w:r>
        <w:rPr>
          <w:spacing w:val="-2"/>
        </w:rPr>
        <w:t>年加入本公司，历任本公司车间主任、武汉晨鸣汉阳纸业股份有限公司董事长、吉林晨鸣纸业有限责</w:t>
      </w:r>
      <w:r>
        <w:rPr/>
        <w:t> </w:t>
      </w:r>
      <w:r>
        <w:rPr>
          <w:spacing w:val="-2"/>
        </w:rPr>
        <w:t>任公司董事长、江西晨鸣纸业有限责任公司董事长等职务，现任公司董事、副总经理兼集团生产总监，寿光晨鸣控股有限公</w:t>
      </w:r>
      <w:r>
        <w:rPr>
          <w:spacing w:val="-66"/>
        </w:rPr>
        <w:t> </w:t>
      </w:r>
      <w:r>
        <w:rPr>
          <w:spacing w:val="-66"/>
        </w:rPr>
      </w:r>
      <w:r>
        <w:rPr/>
        <w:t>司董事。</w:t>
      </w:r>
    </w:p>
    <w:p>
      <w:pPr>
        <w:pStyle w:val="BodyText"/>
        <w:spacing w:line="300" w:lineRule="auto" w:before="24"/>
        <w:ind w:left="154" w:right="190" w:firstLine="360"/>
        <w:jc w:val="both"/>
      </w:pPr>
      <w:r>
        <w:rPr>
          <w:spacing w:val="-2"/>
        </w:rPr>
        <w:t>周少华先生，</w:t>
      </w:r>
      <w:r>
        <w:rPr>
          <w:rFonts w:ascii="Times New Roman" w:hAnsi="Times New Roman" w:cs="Times New Roman" w:eastAsia="Times New Roman" w:hint="default"/>
          <w:spacing w:val="-2"/>
        </w:rPr>
        <w:t>1997</w:t>
      </w:r>
      <w:r>
        <w:rPr>
          <w:spacing w:val="-2"/>
        </w:rPr>
        <w:t>年加入公司，历任武汉晨鸣汉阳纸业股份有限公司常务副总经理、总工程师、副董事长，江西晨鸣纸</w:t>
      </w:r>
      <w:r>
        <w:rPr/>
        <w:t> 业有限责任公司董事长，现任本公司董事、副总经理，分管黄冈浆纸项目。</w:t>
      </w:r>
    </w:p>
    <w:p>
      <w:pPr>
        <w:pStyle w:val="BodyText"/>
        <w:spacing w:line="300" w:lineRule="auto" w:before="31"/>
        <w:ind w:left="154" w:right="190" w:firstLine="360"/>
        <w:jc w:val="both"/>
      </w:pPr>
      <w:r>
        <w:rPr>
          <w:spacing w:val="-2"/>
        </w:rPr>
        <w:t>侯焕才先生，</w:t>
      </w:r>
      <w:r>
        <w:rPr>
          <w:rFonts w:ascii="Times New Roman" w:hAnsi="Times New Roman" w:cs="Times New Roman" w:eastAsia="Times New Roman" w:hint="default"/>
          <w:spacing w:val="-2"/>
        </w:rPr>
        <w:t>1983</w:t>
      </w:r>
      <w:r>
        <w:rPr>
          <w:spacing w:val="-2"/>
        </w:rPr>
        <w:t>年加入本公司，历任车间主任、分厂厂长、吉林晨鸣纸业有限公司董事长、江西晨鸣纸业有限责任公</w:t>
      </w:r>
      <w:r>
        <w:rPr/>
        <w:t> 司董事长、第一届和第二届监事会主席。现任本公司董事，吉林晨鸣总经理。</w:t>
      </w:r>
    </w:p>
    <w:p>
      <w:pPr>
        <w:pStyle w:val="BodyText"/>
        <w:spacing w:line="300" w:lineRule="auto" w:before="31"/>
        <w:ind w:left="514" w:right="90" w:firstLine="6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）公司非执行董事简介</w:t>
      </w:r>
      <w:r>
        <w:rPr>
          <w:rFonts w:ascii="宋体" w:hAnsi="宋体" w:cs="宋体" w:eastAsia="宋体" w:hint="default"/>
          <w:b/>
          <w:bCs/>
          <w:spacing w:val="1"/>
          <w:w w:val="99"/>
        </w:rPr>
        <w:t> </w:t>
      </w:r>
      <w:r>
        <w:rPr>
          <w:spacing w:val="-2"/>
        </w:rPr>
        <w:t>崔友平先生，教授、经济学博士，曾任山东经济学院经济学系副主任、主任、科研处处长、山东经济学院副院长，现任</w:t>
      </w:r>
    </w:p>
    <w:p>
      <w:pPr>
        <w:pStyle w:val="BodyText"/>
        <w:spacing w:line="300" w:lineRule="auto" w:before="31"/>
        <w:ind w:left="514" w:right="180" w:hanging="360"/>
        <w:jc w:val="left"/>
        <w:rPr>
          <w:rFonts w:ascii="Times New Roman" w:hAnsi="Times New Roman" w:cs="Times New Roman" w:eastAsia="Times New Roman" w:hint="default"/>
        </w:rPr>
      </w:pPr>
      <w:r>
        <w:rPr/>
        <w:t>山东财经大学副校长、山东省经济学会副会长、山东省商业经济学会副会长等职务，</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月开始任本公司非执行董事。 </w:t>
      </w:r>
      <w:r>
        <w:rPr>
          <w:spacing w:val="-2"/>
        </w:rPr>
        <w:t>王效群先生，</w:t>
      </w:r>
      <w:r>
        <w:rPr>
          <w:rFonts w:ascii="Times New Roman" w:hAnsi="Times New Roman" w:cs="Times New Roman" w:eastAsia="Times New Roman" w:hint="default"/>
          <w:spacing w:val="-2"/>
        </w:rPr>
        <w:t>1984</w:t>
      </w:r>
      <w:r>
        <w:rPr>
          <w:spacing w:val="-2"/>
        </w:rPr>
        <w:t>年至</w:t>
      </w:r>
      <w:r>
        <w:rPr>
          <w:rFonts w:ascii="Times New Roman" w:hAnsi="Times New Roman" w:cs="Times New Roman" w:eastAsia="Times New Roman" w:hint="default"/>
          <w:spacing w:val="-2"/>
        </w:rPr>
        <w:t>1988</w:t>
      </w:r>
      <w:r>
        <w:rPr>
          <w:spacing w:val="-2"/>
        </w:rPr>
        <w:t>年任寿光市财政局企财科科长，</w:t>
      </w:r>
      <w:r>
        <w:rPr>
          <w:rFonts w:ascii="Times New Roman" w:hAnsi="Times New Roman" w:cs="Times New Roman" w:eastAsia="Times New Roman" w:hint="default"/>
          <w:spacing w:val="-2"/>
        </w:rPr>
        <w:t>1989</w:t>
      </w:r>
      <w:r>
        <w:rPr>
          <w:spacing w:val="-2"/>
        </w:rPr>
        <w:t>年至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月任寿光市国有资产管理局副局长，</w:t>
      </w:r>
      <w:r>
        <w:rPr>
          <w:rFonts w:ascii="Times New Roman" w:hAnsi="Times New Roman" w:cs="Times New Roman" w:eastAsia="Times New Roman" w:hint="default"/>
          <w:spacing w:val="-2"/>
        </w:rPr>
        <w:t>2008</w:t>
      </w:r>
    </w:p>
    <w:p>
      <w:pPr>
        <w:pStyle w:val="BodyText"/>
        <w:spacing w:line="240" w:lineRule="auto" w:before="13"/>
        <w:ind w:left="154" w:right="90"/>
        <w:jc w:val="left"/>
      </w:pPr>
      <w:r>
        <w:rPr/>
        <w:t>年</w:t>
      </w:r>
      <w:r>
        <w:rPr>
          <w:rFonts w:ascii="Times New Roman" w:hAnsi="Times New Roman" w:cs="Times New Roman" w:eastAsia="Times New Roman" w:hint="default"/>
        </w:rPr>
        <w:t>12</w:t>
      </w:r>
      <w:r>
        <w:rPr/>
        <w:t>月退休。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月开始担任本公司非执行董事。</w:t>
      </w:r>
    </w:p>
    <w:p>
      <w:pPr>
        <w:pStyle w:val="BodyText"/>
        <w:spacing w:line="300" w:lineRule="auto" w:before="62"/>
        <w:ind w:left="514" w:right="90" w:hanging="4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）独立非执行董事简介</w:t>
      </w:r>
      <w:r>
        <w:rPr>
          <w:rFonts w:ascii="宋体" w:hAnsi="宋体" w:cs="宋体" w:eastAsia="宋体" w:hint="default"/>
          <w:b/>
          <w:bCs/>
          <w:spacing w:val="1"/>
          <w:w w:val="99"/>
        </w:rPr>
        <w:t> </w:t>
      </w:r>
      <w:r>
        <w:rPr>
          <w:spacing w:val="-7"/>
        </w:rPr>
        <w:t>王爱国先生，教授、博士生导师、会计学博士后，全国优秀教师、山东省教学名师、山东省高等学校首席专家（会计学）、</w:t>
      </w:r>
    </w:p>
    <w:p>
      <w:pPr>
        <w:pStyle w:val="BodyText"/>
        <w:spacing w:line="314" w:lineRule="auto" w:before="31"/>
        <w:ind w:left="154" w:right="189"/>
        <w:jc w:val="both"/>
      </w:pPr>
      <w:r>
        <w:rPr>
          <w:spacing w:val="-2"/>
        </w:rPr>
        <w:t>山东省有突出贡献的中青年专家，历任山东经济学院会计系副主任、山东经济学院研究生部副主任、山东经济学院会计学院</w:t>
      </w:r>
      <w:r>
        <w:rPr>
          <w:spacing w:val="-66"/>
        </w:rPr>
        <w:t> </w:t>
      </w:r>
      <w:r>
        <w:rPr>
          <w:spacing w:val="-66"/>
        </w:rPr>
      </w:r>
      <w:r>
        <w:rPr>
          <w:spacing w:val="-2"/>
        </w:rPr>
        <w:t>院长，现任山东财经大学会计学院院长、兼任中国会计学会理事、中国资产评估协会理事、山东省会计教育委员会副会长兼</w:t>
      </w:r>
      <w:r>
        <w:rPr>
          <w:spacing w:val="-66"/>
        </w:rPr>
        <w:t> </w:t>
      </w:r>
      <w:r>
        <w:rPr>
          <w:spacing w:val="-66"/>
        </w:rPr>
      </w:r>
      <w:r>
        <w:rPr>
          <w:spacing w:val="-2"/>
        </w:rPr>
        <w:t>秘书长、山东省企业信用评级专家委员会委员等职务，兼任山东钢铁集团股份有限公司独立董事、中国玉米油股份有限公司</w:t>
      </w:r>
      <w:r>
        <w:rPr>
          <w:spacing w:val="-66"/>
        </w:rPr>
        <w:t> </w:t>
      </w:r>
      <w:r>
        <w:rPr>
          <w:spacing w:val="-66"/>
        </w:rPr>
      </w:r>
      <w:r>
        <w:rPr/>
        <w:t>独立非执行董事、海信科龙电器股份有限公司独立非执行董事、山东省章丘鼓风机股份有限公司独立董事。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w:t>
      </w:r>
      <w:r>
        <w:rPr>
          <w:spacing w:val="-85"/>
        </w:rPr>
        <w:t> </w:t>
      </w:r>
      <w:r>
        <w:rPr>
          <w:spacing w:val="-85"/>
        </w:rPr>
      </w:r>
      <w:r>
        <w:rPr/>
        <w:t>担任公司独立非执行董事。</w:t>
      </w:r>
    </w:p>
    <w:p>
      <w:pPr>
        <w:pStyle w:val="BodyText"/>
        <w:spacing w:line="312" w:lineRule="auto" w:before="20"/>
        <w:ind w:left="154" w:right="187" w:firstLine="360"/>
        <w:jc w:val="both"/>
      </w:pPr>
      <w:r>
        <w:rPr>
          <w:spacing w:val="-2"/>
        </w:rPr>
        <w:t>张志元先生，教授、管理学博士、经济学博士后。历任山东经济学院财政金融学院院长、山东区域经济研究院院长。现</w:t>
      </w:r>
      <w:r>
        <w:rPr/>
        <w:t> </w:t>
      </w:r>
      <w:r>
        <w:rPr>
          <w:spacing w:val="-2"/>
        </w:rPr>
        <w:t>任山东财经大学金融学院院长、区域经济研究院院长，博士生导师。金融学国家级特色专业建设点负责人，山东省重点学科</w:t>
      </w:r>
      <w:r>
        <w:rPr>
          <w:spacing w:val="-66"/>
        </w:rPr>
        <w:t> </w:t>
      </w:r>
      <w:r>
        <w:rPr>
          <w:spacing w:val="-66"/>
        </w:rPr>
      </w:r>
      <w:r>
        <w:rPr>
          <w:spacing w:val="-2"/>
        </w:rPr>
        <w:t>首席专家，金融产业优化与区域发展管理协同创新中心首席科学家，山东省政府决策服务调研基地负责人，山东省区域经济</w:t>
      </w:r>
      <w:r>
        <w:rPr>
          <w:spacing w:val="-66"/>
        </w:rPr>
        <w:t> </w:t>
      </w:r>
      <w:r>
        <w:rPr>
          <w:spacing w:val="-66"/>
        </w:rPr>
      </w:r>
      <w:r>
        <w:rPr>
          <w:spacing w:val="-2"/>
        </w:rPr>
        <w:t>发展研究基地负责人兼首席专家，山东省高校学科带头人，山东省</w:t>
      </w:r>
      <w:r>
        <w:rPr>
          <w:rFonts w:ascii="Times New Roman" w:hAnsi="Times New Roman" w:cs="Times New Roman" w:eastAsia="Times New Roman" w:hint="default"/>
          <w:spacing w:val="-2"/>
        </w:rPr>
        <w:t>“</w:t>
      </w:r>
      <w:r>
        <w:rPr>
          <w:spacing w:val="-2"/>
        </w:rPr>
        <w:t>百人工程</w:t>
      </w:r>
      <w:r>
        <w:rPr>
          <w:rFonts w:ascii="Times New Roman" w:hAnsi="Times New Roman" w:cs="Times New Roman" w:eastAsia="Times New Roman" w:hint="default"/>
          <w:spacing w:val="-2"/>
        </w:rPr>
        <w:t>”</w:t>
      </w:r>
      <w:r>
        <w:rPr>
          <w:spacing w:val="-2"/>
        </w:rPr>
        <w:t>理论人才，山东省高校十大师德标兵。兼任山</w:t>
      </w:r>
      <w:r>
        <w:rPr>
          <w:spacing w:val="-44"/>
        </w:rPr>
        <w:t> </w:t>
      </w:r>
      <w:r>
        <w:rPr>
          <w:spacing w:val="-44"/>
        </w:rPr>
      </w:r>
      <w:r>
        <w:rPr>
          <w:spacing w:val="-2"/>
        </w:rPr>
        <w:t>东区域经济学会副会长兼秘书长、山东省金融学会常务理事兼学术委员会委员、中国区域经济学会常务理事等。近年来，主</w:t>
      </w:r>
      <w:r>
        <w:rPr>
          <w:spacing w:val="-66"/>
        </w:rPr>
        <w:t> </w:t>
      </w:r>
      <w:r>
        <w:rPr>
          <w:spacing w:val="-66"/>
        </w:rPr>
      </w:r>
      <w:r>
        <w:rPr/>
        <w:t>持国家项目</w:t>
      </w:r>
      <w:r>
        <w:rPr>
          <w:rFonts w:ascii="Times New Roman" w:hAnsi="Times New Roman" w:cs="Times New Roman" w:eastAsia="Times New Roman" w:hint="default"/>
        </w:rPr>
        <w:t>4</w:t>
      </w:r>
      <w:r>
        <w:rPr/>
        <w:t>项、地方政府委托项目</w:t>
      </w:r>
      <w:r>
        <w:rPr>
          <w:rFonts w:ascii="Times New Roman" w:hAnsi="Times New Roman" w:cs="Times New Roman" w:eastAsia="Times New Roman" w:hint="default"/>
        </w:rPr>
        <w:t>10</w:t>
      </w:r>
      <w:r>
        <w:rPr/>
        <w:t>余项，多项成果获教育部和山东省科研奖励。担任山东省、济南市、日照市等多家地</w:t>
      </w:r>
      <w:r>
        <w:rPr>
          <w:spacing w:val="-84"/>
        </w:rPr>
        <w:t> </w:t>
      </w:r>
      <w:r>
        <w:rPr>
          <w:spacing w:val="-84"/>
        </w:rPr>
      </w:r>
      <w:r>
        <w:rPr/>
        <w:t>方政府的专家顾问。山东天业恒基股份有限公司独立董事。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月开始担任公司独立非执行董事。</w:t>
      </w:r>
    </w:p>
    <w:p>
      <w:pPr>
        <w:pStyle w:val="BodyText"/>
        <w:spacing w:line="316" w:lineRule="auto" w:before="3"/>
        <w:ind w:left="154" w:right="188" w:firstLine="360"/>
        <w:jc w:val="both"/>
      </w:pPr>
      <w:r>
        <w:rPr/>
        <w:t>张</w:t>
      </w:r>
      <w:r>
        <w:rPr>
          <w:spacing w:val="9"/>
        </w:rPr>
        <w:t> </w:t>
      </w:r>
      <w:r>
        <w:rPr/>
        <w:t>宏女士，现任山东大学教授、博士生导师、跨国公司研究所所长、中国国际贸易学会理事、山东省对外贸易学会理</w:t>
      </w:r>
      <w:r>
        <w:rPr/>
        <w:t> </w:t>
      </w:r>
      <w:r>
        <w:rPr>
          <w:spacing w:val="-2"/>
        </w:rPr>
        <w:t>事、山东省商业学会理事、山东省日本学会理事，兼任山东海化股份有限公司独立董事、山东新能泰山发电股份有限公司独</w:t>
      </w:r>
      <w:r>
        <w:rPr>
          <w:spacing w:val="-66"/>
        </w:rPr>
        <w:t> </w:t>
      </w:r>
      <w:r>
        <w:rPr>
          <w:spacing w:val="-66"/>
        </w:rPr>
      </w:r>
      <w:r>
        <w:rPr/>
        <w:t>立董事、山东共达电声股份有限公司独立董事。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月开始担任本公司独立非执行董事。</w:t>
      </w:r>
    </w:p>
    <w:p>
      <w:pPr>
        <w:pStyle w:val="BodyText"/>
        <w:spacing w:line="312" w:lineRule="auto"/>
        <w:ind w:left="154" w:right="90" w:firstLine="360"/>
        <w:jc w:val="left"/>
      </w:pPr>
      <w:r>
        <w:rPr>
          <w:spacing w:val="-2"/>
        </w:rPr>
        <w:t>潘爱玲女士，经济学博士，财务管理博士后，现为山东大学管理学院教授，会计系主任，博士生导师，中国注册会计师</w:t>
      </w:r>
      <w:r>
        <w:rPr/>
        <w:t> 非执业会员，山东省会计学会理事，台湾东吴大学客座教授，美国康涅狄格大学访问学者，教育部新世纪优秀人才获得者， 新世纪</w:t>
      </w:r>
      <w:r>
        <w:rPr>
          <w:rFonts w:ascii="Times New Roman" w:hAnsi="Times New Roman" w:cs="Times New Roman" w:eastAsia="Times New Roman" w:hint="default"/>
        </w:rPr>
        <w:t>“</w:t>
      </w:r>
      <w:r>
        <w:rPr/>
        <w:t>百千万人才工程</w:t>
      </w:r>
      <w:r>
        <w:rPr>
          <w:rFonts w:ascii="Times New Roman" w:hAnsi="Times New Roman" w:cs="Times New Roman" w:eastAsia="Times New Roman" w:hint="default"/>
        </w:rPr>
        <w:t>”</w:t>
      </w:r>
      <w:r>
        <w:rPr/>
        <w:t>国家级人选。完成多项国家级及省级课题，在</w:t>
      </w:r>
      <w:r>
        <w:rPr>
          <w:rFonts w:ascii="Times New Roman" w:hAnsi="Times New Roman" w:cs="Times New Roman" w:eastAsia="Times New Roman" w:hint="default"/>
        </w:rPr>
        <w:t>CSSCI</w:t>
      </w:r>
      <w:r>
        <w:rPr/>
        <w:t>学术期刊发表论文</w:t>
      </w:r>
      <w:r>
        <w:rPr>
          <w:rFonts w:ascii="Times New Roman" w:hAnsi="Times New Roman" w:cs="Times New Roman" w:eastAsia="Times New Roman" w:hint="default"/>
        </w:rPr>
        <w:t>70</w:t>
      </w:r>
      <w:r>
        <w:rPr/>
        <w:t>余篇。研究成果获山东省 社会科学优秀成果一等奖和山东省软科学优秀成果一等奖。</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月开始担任本公司独立非执行董事。</w:t>
      </w:r>
    </w:p>
    <w:p>
      <w:pPr>
        <w:pStyle w:val="BodyText"/>
        <w:spacing w:line="300" w:lineRule="auto" w:before="3"/>
        <w:ind w:left="514" w:right="90" w:firstLine="59"/>
        <w:jc w:val="left"/>
      </w:pPr>
      <w:r>
        <w:rPr>
          <w:rFonts w:ascii="Times New Roman" w:hAnsi="Times New Roman" w:cs="Times New Roman" w:eastAsia="Times New Roman" w:hint="default"/>
          <w:b/>
          <w:bCs/>
        </w:rPr>
        <w:t>2</w:t>
      </w:r>
      <w:r>
        <w:rPr>
          <w:rFonts w:ascii="宋体" w:hAnsi="宋体" w:cs="宋体" w:eastAsia="宋体" w:hint="default"/>
          <w:b/>
          <w:bCs/>
        </w:rPr>
        <w:t>、公司监事简介</w:t>
      </w:r>
      <w:r>
        <w:rPr>
          <w:rFonts w:ascii="宋体" w:hAnsi="宋体" w:cs="宋体" w:eastAsia="宋体" w:hint="default"/>
          <w:b/>
          <w:bCs/>
          <w:w w:val="99"/>
        </w:rPr>
        <w:t> </w:t>
      </w:r>
      <w:r>
        <w:rPr>
          <w:spacing w:val="-2"/>
        </w:rPr>
        <w:t>高俊杰先生，</w:t>
      </w:r>
      <w:r>
        <w:rPr>
          <w:rFonts w:ascii="Times New Roman" w:hAnsi="Times New Roman" w:cs="Times New Roman" w:eastAsia="Times New Roman" w:hint="default"/>
          <w:spacing w:val="-2"/>
        </w:rPr>
        <w:t>1994</w:t>
      </w:r>
      <w:r>
        <w:rPr>
          <w:spacing w:val="-2"/>
        </w:rPr>
        <w:t>年加入公司，历任公司法律事务科科长、审计部部长等职务，现任公司监事会主席、总经理助理分管</w:t>
      </w:r>
    </w:p>
    <w:p>
      <w:pPr>
        <w:pStyle w:val="BodyText"/>
        <w:spacing w:line="316" w:lineRule="auto" w:before="13"/>
        <w:ind w:left="514" w:right="90" w:hanging="360"/>
        <w:jc w:val="left"/>
        <w:rPr>
          <w:rFonts w:ascii="Times New Roman" w:hAnsi="Times New Roman" w:cs="Times New Roman" w:eastAsia="Times New Roman" w:hint="default"/>
        </w:rPr>
      </w:pPr>
      <w:r>
        <w:rPr/>
        <w:t>稽察部工作、寿光晨鸣控股有限公司监事、寿光市恒联企业投资有限公司监事。 </w:t>
      </w:r>
      <w:r>
        <w:rPr>
          <w:spacing w:val="-5"/>
        </w:rPr>
        <w:t>尹启祥先生，曾任寿光市经济贸易委员会主任、山东省寿光市体政部部长、寿光市轻化局局长等职务，</w:t>
      </w:r>
      <w:r>
        <w:rPr>
          <w:rFonts w:ascii="Times New Roman" w:hAnsi="Times New Roman" w:cs="Times New Roman" w:eastAsia="Times New Roman" w:hint="default"/>
          <w:spacing w:val="-5"/>
        </w:rPr>
        <w:t>1998</w:t>
      </w:r>
      <w:r>
        <w:rPr>
          <w:spacing w:val="-5"/>
        </w:rPr>
        <w:t>年退休。</w:t>
      </w:r>
      <w:r>
        <w:rPr>
          <w:rFonts w:ascii="Times New Roman" w:hAnsi="Times New Roman" w:cs="Times New Roman" w:eastAsia="Times New Roman" w:hint="default"/>
          <w:spacing w:val="-5"/>
        </w:rPr>
        <w:t>2010</w:t>
      </w:r>
    </w:p>
    <w:p>
      <w:pPr>
        <w:pStyle w:val="BodyText"/>
        <w:spacing w:line="300" w:lineRule="auto"/>
        <w:ind w:left="514" w:right="90" w:hanging="360"/>
        <w:jc w:val="left"/>
      </w:pPr>
      <w:r>
        <w:rPr/>
        <w:t>年</w:t>
      </w:r>
      <w:r>
        <w:rPr>
          <w:rFonts w:ascii="Times New Roman" w:hAnsi="Times New Roman" w:cs="Times New Roman" w:eastAsia="Times New Roman" w:hint="default"/>
        </w:rPr>
        <w:t>4</w:t>
      </w:r>
      <w:r>
        <w:rPr/>
        <w:t>月开始任本公司监事。 郭光耀先生，</w:t>
      </w:r>
      <w:r>
        <w:rPr>
          <w:rFonts w:ascii="Times New Roman" w:hAnsi="Times New Roman" w:cs="Times New Roman" w:eastAsia="Times New Roman" w:hint="default"/>
        </w:rPr>
        <w:t>1969</w:t>
      </w:r>
      <w:r>
        <w:rPr/>
        <w:t>年至</w:t>
      </w:r>
      <w:r>
        <w:rPr>
          <w:rFonts w:ascii="Times New Roman" w:hAnsi="Times New Roman" w:cs="Times New Roman" w:eastAsia="Times New Roman" w:hint="default"/>
        </w:rPr>
        <w:t>1981</w:t>
      </w:r>
      <w:r>
        <w:rPr/>
        <w:t>年于航空部太行仪表厂工作，任主管工艺员、工程师；</w:t>
      </w:r>
      <w:r>
        <w:rPr>
          <w:rFonts w:ascii="Times New Roman" w:hAnsi="Times New Roman" w:cs="Times New Roman" w:eastAsia="Times New Roman" w:hint="default"/>
        </w:rPr>
        <w:t>1981</w:t>
      </w:r>
      <w:r>
        <w:rPr/>
        <w:t>年至</w:t>
      </w:r>
      <w:r>
        <w:rPr>
          <w:rFonts w:ascii="Times New Roman" w:hAnsi="Times New Roman" w:cs="Times New Roman" w:eastAsia="Times New Roman" w:hint="default"/>
        </w:rPr>
        <w:t>1987</w:t>
      </w:r>
      <w:r>
        <w:rPr/>
        <w:t>年于寿光化肥厂工作，</w:t>
      </w:r>
    </w:p>
    <w:p>
      <w:pPr>
        <w:pStyle w:val="BodyText"/>
        <w:spacing w:line="240" w:lineRule="auto" w:before="13"/>
        <w:ind w:left="154" w:right="90"/>
        <w:jc w:val="left"/>
      </w:pPr>
      <w:r>
        <w:rPr/>
        <w:t>历任副厂长、党委书记；</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1989</w:t>
      </w:r>
      <w:r>
        <w:rPr/>
        <w:t>年在寿光市啤酒厂工作，任党委书记、总工程师；</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3</w:t>
      </w:r>
      <w:r>
        <w:rPr/>
        <w:t>月在寿光市经贸委工作，</w:t>
      </w:r>
    </w:p>
    <w:p>
      <w:pPr>
        <w:spacing w:after="0" w:line="240"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任副主任、机关党委书记，兼寿光市企业管理办公室主任，</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月退休。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月开始任本公司监事。</w:t>
      </w:r>
    </w:p>
    <w:p>
      <w:pPr>
        <w:pStyle w:val="BodyText"/>
        <w:spacing w:line="300" w:lineRule="auto" w:before="62"/>
        <w:ind w:right="133" w:firstLine="360"/>
        <w:jc w:val="left"/>
      </w:pPr>
      <w:r>
        <w:rPr/>
        <w:t>王</w:t>
      </w:r>
      <w:r>
        <w:rPr>
          <w:spacing w:val="8"/>
        </w:rPr>
        <w:t> </w:t>
      </w:r>
      <w:r>
        <w:rPr/>
        <w:t>菊女士，</w:t>
      </w:r>
      <w:r>
        <w:rPr>
          <w:rFonts w:ascii="Times New Roman" w:hAnsi="Times New Roman" w:cs="Times New Roman" w:eastAsia="Times New Roman" w:hint="default"/>
        </w:rPr>
        <w:t>1987</w:t>
      </w:r>
      <w:r>
        <w:rPr/>
        <w:t>年加入本公司，历任车间副主任、主任、寿光晨鸣总经理助理、寿光晨鸣副总经理、寿光晨鸣制浆工 厂副总经理，现任本公司监事。</w:t>
      </w:r>
    </w:p>
    <w:p>
      <w:pPr>
        <w:pStyle w:val="BodyText"/>
        <w:spacing w:line="300" w:lineRule="auto" w:before="31"/>
        <w:ind w:right="0" w:firstLine="360"/>
        <w:jc w:val="left"/>
      </w:pPr>
      <w:r>
        <w:rPr>
          <w:spacing w:val="-2"/>
        </w:rPr>
        <w:t>杨洪芹女士，</w:t>
      </w:r>
      <w:r>
        <w:rPr>
          <w:rFonts w:ascii="Times New Roman" w:hAnsi="Times New Roman" w:cs="Times New Roman" w:eastAsia="Times New Roman" w:hint="default"/>
          <w:spacing w:val="-2"/>
        </w:rPr>
        <w:t>1987</w:t>
      </w:r>
      <w:r>
        <w:rPr>
          <w:spacing w:val="-2"/>
        </w:rPr>
        <w:t>年加入本公司，历任公司质检科副科长、科长、售后服务处处长、物业管理公司经理，现任本公司监</w:t>
      </w:r>
      <w:r>
        <w:rPr/>
        <w:t> 事、山东晨鸣热电股份有限公司总经理助理。</w:t>
      </w:r>
    </w:p>
    <w:p>
      <w:pPr>
        <w:pStyle w:val="BodyText"/>
        <w:spacing w:line="340" w:lineRule="auto" w:before="31"/>
        <w:ind w:left="513" w:right="0" w:firstLine="45"/>
        <w:jc w:val="left"/>
      </w:pPr>
      <w:r>
        <w:rPr>
          <w:rFonts w:ascii="Times New Roman" w:hAnsi="Times New Roman" w:cs="Times New Roman" w:eastAsia="Times New Roman" w:hint="default"/>
          <w:b/>
          <w:bCs/>
        </w:rPr>
        <w:t>3</w:t>
      </w:r>
      <w:r>
        <w:rPr>
          <w:rFonts w:ascii="宋体" w:hAnsi="宋体" w:cs="宋体" w:eastAsia="宋体" w:hint="default"/>
          <w:b/>
          <w:bCs/>
        </w:rPr>
        <w:t>、公司高级管理人员简介</w:t>
      </w:r>
      <w:r>
        <w:rPr>
          <w:rFonts w:ascii="宋体" w:hAnsi="宋体" w:cs="宋体" w:eastAsia="宋体" w:hint="default"/>
          <w:b/>
          <w:bCs/>
          <w:spacing w:val="1"/>
          <w:w w:val="99"/>
        </w:rPr>
        <w:t> </w:t>
      </w:r>
      <w:r>
        <w:rPr>
          <w:spacing w:val="-2"/>
        </w:rPr>
        <w:t>李雪芹女士，先后荣获</w:t>
      </w:r>
      <w:r>
        <w:rPr>
          <w:rFonts w:ascii="Times New Roman" w:hAnsi="Times New Roman" w:cs="Times New Roman" w:eastAsia="Times New Roman" w:hint="default"/>
          <w:spacing w:val="-2"/>
        </w:rPr>
        <w:t>“</w:t>
      </w:r>
      <w:r>
        <w:rPr>
          <w:spacing w:val="-2"/>
        </w:rPr>
        <w:t>山东省劳动模范、全国劳动模范、全国五一劳动奖章等称号</w:t>
      </w:r>
      <w:r>
        <w:rPr>
          <w:rFonts w:ascii="Times New Roman" w:hAnsi="Times New Roman" w:cs="Times New Roman" w:eastAsia="Times New Roman" w:hint="default"/>
          <w:spacing w:val="-2"/>
        </w:rPr>
        <w:t>”</w:t>
      </w:r>
      <w:r>
        <w:rPr>
          <w:spacing w:val="-2"/>
        </w:rPr>
        <w:t>，第十届、第十一届、第十二届全</w:t>
      </w:r>
    </w:p>
    <w:p>
      <w:pPr>
        <w:pStyle w:val="BodyText"/>
        <w:spacing w:line="227" w:lineRule="exact"/>
        <w:ind w:left="154" w:right="0"/>
        <w:jc w:val="left"/>
      </w:pPr>
      <w:r>
        <w:rPr/>
        <w:t>国人大代表，</w:t>
      </w:r>
      <w:r>
        <w:rPr>
          <w:rFonts w:ascii="Times New Roman" w:hAnsi="Times New Roman" w:cs="Times New Roman" w:eastAsia="Times New Roman" w:hint="default"/>
        </w:rPr>
        <w:t>1987</w:t>
      </w:r>
      <w:r>
        <w:rPr/>
        <w:t>年加入本公司，历任本公司审计部部长、副总经理等职务，自</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月开始担任本公司副总经理，寿光</w:t>
      </w:r>
    </w:p>
    <w:p>
      <w:pPr>
        <w:pStyle w:val="BodyText"/>
        <w:spacing w:line="357" w:lineRule="auto" w:before="64"/>
        <w:ind w:left="514" w:right="140" w:hanging="360"/>
        <w:jc w:val="left"/>
      </w:pPr>
      <w:r>
        <w:rPr/>
        <w:t>晨鸣控股有限公司董事。李雪芹女士为本公司董事长陈洪国先生的配偶。 王春方先生，大学本科学历，长江商学院CFO班学员，寿光市会计协会副会长，</w:t>
      </w:r>
      <w:r>
        <w:rPr>
          <w:rFonts w:ascii="Times New Roman" w:hAnsi="Times New Roman" w:cs="Times New Roman" w:eastAsia="Times New Roman" w:hint="default"/>
        </w:rPr>
        <w:t>1997</w:t>
      </w:r>
      <w:r>
        <w:rPr/>
        <w:t>年加入本公司，历任公司销售分公</w:t>
      </w:r>
    </w:p>
    <w:p>
      <w:pPr>
        <w:pStyle w:val="BodyText"/>
        <w:spacing w:line="201" w:lineRule="exact"/>
        <w:ind w:left="154" w:right="0"/>
        <w:jc w:val="left"/>
      </w:pPr>
      <w:r>
        <w:rPr/>
        <w:t>司财务主管、销售总公司财务总监、吉林晨鸣纸业有限责任公司财务总监、公司总经理助理、财务部长、公司财务总监等职</w:t>
      </w:r>
    </w:p>
    <w:p>
      <w:pPr>
        <w:pStyle w:val="BodyText"/>
        <w:spacing w:line="316" w:lineRule="auto" w:before="76"/>
        <w:ind w:left="514" w:right="0" w:hanging="360"/>
        <w:jc w:val="left"/>
      </w:pPr>
      <w:r>
        <w:rPr/>
        <w:t>务。现任公司副总经理、董事会秘书兼财务公司（筹）董事长。 </w:t>
      </w:r>
      <w:r>
        <w:rPr>
          <w:spacing w:val="-2"/>
        </w:rPr>
        <w:t>胡长青先生，</w:t>
      </w:r>
      <w:r>
        <w:rPr>
          <w:rFonts w:ascii="Times New Roman" w:hAnsi="Times New Roman" w:cs="Times New Roman" w:eastAsia="Times New Roman" w:hint="default"/>
          <w:spacing w:val="-2"/>
        </w:rPr>
        <w:t>1988</w:t>
      </w:r>
      <w:r>
        <w:rPr>
          <w:spacing w:val="-2"/>
        </w:rPr>
        <w:t>年加入本公司，历任本公司技改部长、分厂厂长、副总经理、董事等职务，现任公司副总经理，分管</w:t>
      </w:r>
    </w:p>
    <w:p>
      <w:pPr>
        <w:pStyle w:val="BodyText"/>
        <w:spacing w:line="316" w:lineRule="auto"/>
        <w:ind w:left="514" w:right="0" w:hanging="360"/>
        <w:jc w:val="left"/>
      </w:pPr>
      <w:r>
        <w:rPr/>
        <w:t>湛江晨鸣浆纸项目工作。 </w:t>
      </w:r>
      <w:r>
        <w:rPr>
          <w:spacing w:val="-2"/>
        </w:rPr>
        <w:t>邵震中先生，</w:t>
      </w:r>
      <w:r>
        <w:rPr>
          <w:rFonts w:ascii="Times New Roman" w:hAnsi="Times New Roman" w:cs="Times New Roman" w:eastAsia="Times New Roman" w:hint="default"/>
          <w:spacing w:val="-2"/>
        </w:rPr>
        <w:t>52</w:t>
      </w:r>
      <w:r>
        <w:rPr>
          <w:spacing w:val="-2"/>
        </w:rPr>
        <w:t>岁，大学本科学历，</w:t>
      </w:r>
      <w:r>
        <w:rPr>
          <w:rFonts w:ascii="Times New Roman" w:hAnsi="Times New Roman" w:cs="Times New Roman" w:eastAsia="Times New Roman" w:hint="default"/>
          <w:spacing w:val="-2"/>
        </w:rPr>
        <w:t>2013</w:t>
      </w:r>
      <w:r>
        <w:rPr>
          <w:spacing w:val="-2"/>
        </w:rPr>
        <w:t>年加入本公司。历任上海巴特勒机械制造有限公司市场部经理、芬欧汇川（中</w:t>
      </w:r>
    </w:p>
    <w:p>
      <w:pPr>
        <w:pStyle w:val="BodyText"/>
        <w:spacing w:line="316" w:lineRule="auto"/>
        <w:ind w:left="514" w:right="0" w:hanging="360"/>
        <w:jc w:val="left"/>
      </w:pPr>
      <w:r>
        <w:rPr/>
        <w:t>国）有限公司亚太区销售及市场副总裁，现任公司副总经理兼营销总监。 </w:t>
      </w:r>
      <w:r>
        <w:rPr>
          <w:spacing w:val="-2"/>
        </w:rPr>
        <w:t>李振中先生，</w:t>
      </w:r>
      <w:r>
        <w:rPr>
          <w:rFonts w:ascii="Times New Roman" w:hAnsi="Times New Roman" w:cs="Times New Roman" w:eastAsia="Times New Roman" w:hint="default"/>
          <w:spacing w:val="-2"/>
        </w:rPr>
        <w:t>1995</w:t>
      </w:r>
      <w:r>
        <w:rPr>
          <w:spacing w:val="-2"/>
        </w:rPr>
        <w:t>年加入本公司，历任销售公司上海管理区首席代表、轻涂文化纸产品销售经理等职务，现任公司副总</w:t>
      </w:r>
    </w:p>
    <w:p>
      <w:pPr>
        <w:pStyle w:val="BodyText"/>
        <w:spacing w:line="235" w:lineRule="exact"/>
        <w:ind w:left="154" w:right="0"/>
        <w:jc w:val="left"/>
      </w:pPr>
      <w:r>
        <w:rPr/>
        <w:t>经理。</w:t>
      </w:r>
    </w:p>
    <w:p>
      <w:pPr>
        <w:pStyle w:val="BodyText"/>
        <w:spacing w:line="300" w:lineRule="auto" w:before="76"/>
        <w:ind w:left="154" w:right="0" w:firstLine="360"/>
        <w:jc w:val="left"/>
      </w:pPr>
      <w:r>
        <w:rPr/>
        <w:t>常立亭先生，</w:t>
      </w:r>
      <w:r>
        <w:rPr>
          <w:rFonts w:ascii="Times New Roman" w:hAnsi="Times New Roman" w:cs="Times New Roman" w:eastAsia="Times New Roman" w:hint="default"/>
        </w:rPr>
        <w:t>1985</w:t>
      </w:r>
      <w:r>
        <w:rPr/>
        <w:t>年加入本公司</w:t>
      </w:r>
      <w:r>
        <w:rPr>
          <w:rFonts w:ascii="Times New Roman" w:hAnsi="Times New Roman" w:cs="Times New Roman" w:eastAsia="Times New Roman" w:hint="default"/>
        </w:rPr>
        <w:t>,</w:t>
      </w:r>
      <w:r>
        <w:rPr/>
        <w:t>历任公司工会主席、销售公司产品总经理，现任公司工会主席、副总经理，兼任营销 副总监。</w:t>
      </w:r>
    </w:p>
    <w:p>
      <w:pPr>
        <w:pStyle w:val="BodyText"/>
        <w:spacing w:line="316" w:lineRule="auto" w:before="31"/>
        <w:ind w:left="154" w:right="0" w:firstLine="360"/>
        <w:jc w:val="left"/>
      </w:pPr>
      <w:r>
        <w:rPr>
          <w:spacing w:val="-2"/>
        </w:rPr>
        <w:t>潘兆昌先生，现为香港会计师公会及澳洲会计师公会资深会计师，取得中央昆士兰大学会计系硕士学位和南格斯大学工</w:t>
      </w:r>
      <w:r>
        <w:rPr/>
        <w:t> 商管理硕士学位。</w:t>
      </w:r>
      <w:r>
        <w:rPr>
          <w:rFonts w:ascii="Times New Roman" w:hAnsi="Times New Roman" w:cs="Times New Roman" w:eastAsia="Times New Roman" w:hint="default"/>
        </w:rPr>
        <w:t>2008</w:t>
      </w:r>
      <w:r>
        <w:rPr/>
        <w:t>年加入本公司，现任本公司之合资格会计师及公司秘书。</w:t>
      </w:r>
    </w:p>
    <w:p>
      <w:pPr>
        <w:pStyle w:val="BodyText"/>
        <w:spacing w:line="240" w:lineRule="auto" w:before="40"/>
        <w:ind w:left="154" w:right="0"/>
        <w:jc w:val="left"/>
      </w:pPr>
      <w:r>
        <w:rPr/>
        <w:t>在股东单位任职情况</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2039"/>
        <w:gridCol w:w="1440"/>
        <w:gridCol w:w="1620"/>
        <w:gridCol w:w="1800"/>
        <w:gridCol w:w="146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3" w:right="84"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8" w:right="9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陈洪国</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尹同远</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耿光林</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李雪芹</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高俊杰</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2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63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00"/>
        <w:gridCol w:w="2700"/>
        <w:gridCol w:w="1260"/>
        <w:gridCol w:w="1620"/>
        <w:gridCol w:w="1620"/>
        <w:gridCol w:w="1468"/>
      </w:tblGrid>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8" w:right="97"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  宏</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山东海化股份有限公司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  宏</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山东新能泰山发电股份有限公司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  宏</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山东共达电声股份有限公司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张志元</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山东天业恒基股份有限公司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00"/>
        <w:gridCol w:w="2700"/>
        <w:gridCol w:w="1260"/>
        <w:gridCol w:w="1620"/>
        <w:gridCol w:w="1620"/>
        <w:gridCol w:w="1468"/>
      </w:tblGrid>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山东钢铁集团股份有限公司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中国玉米油股份有限公司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海信科龙电器股份有限公司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山东省章丘鼓风机股份有限公司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山东三维石化工程股份有限公司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6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在其他单位任职情况的说明</w:t>
            </w:r>
          </w:p>
        </w:tc>
        <w:tc>
          <w:tcPr>
            <w:tcW w:w="5968" w:type="dxa"/>
            <w:gridSpan w:val="4"/>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以上四位均为公司独立董事。</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48" w:hanging="360"/>
        <w:jc w:val="left"/>
      </w:pPr>
      <w:r>
        <w:rPr/>
        <w:t>董事、监事、高级管理人员报酬的决策程序、确定依据、实际支付情况 1、公司每位执行董事与高级管理人员年度薪酬在人民币20万元-500万元（含税）之间，具体分配金额由董事会薪酬与</w:t>
      </w:r>
    </w:p>
    <w:p>
      <w:pPr>
        <w:pStyle w:val="BodyText"/>
        <w:spacing w:line="224" w:lineRule="exact"/>
        <w:ind w:right="0"/>
        <w:jc w:val="left"/>
      </w:pPr>
      <w:r>
        <w:rPr/>
        <w:t>考核委员会根据公司主要财务指标和经营目标完成情况、公司执行董事和高级管理人员分管工作范围及主要职责情况、岗位</w:t>
      </w:r>
    </w:p>
    <w:p>
      <w:pPr>
        <w:pStyle w:val="BodyText"/>
        <w:spacing w:line="319" w:lineRule="auto" w:before="76"/>
        <w:ind w:right="0"/>
        <w:jc w:val="left"/>
      </w:pPr>
      <w:r>
        <w:rPr>
          <w:spacing w:val="-2"/>
        </w:rPr>
        <w:t>工作业绩考评系统中涉及指标的完成情况、业务创新能力和创利能力等确定。具体执行方案由董事会之薪酬与考核委员会制</w:t>
      </w:r>
      <w:r>
        <w:rPr>
          <w:spacing w:val="-64"/>
        </w:rPr>
        <w:t> </w:t>
      </w:r>
      <w:r>
        <w:rPr>
          <w:spacing w:val="-64"/>
        </w:rPr>
      </w:r>
      <w:r>
        <w:rPr/>
        <w:t>定，由董事会审议确定。</w:t>
      </w:r>
    </w:p>
    <w:p>
      <w:pPr>
        <w:pStyle w:val="BodyText"/>
        <w:spacing w:line="302" w:lineRule="auto" w:before="55"/>
        <w:ind w:right="0" w:firstLine="360"/>
        <w:jc w:val="left"/>
      </w:pPr>
      <w:r>
        <w:rPr/>
        <w:t>2、公司向每位独立非执行董事和非执行董事每年支付津贴</w:t>
      </w:r>
      <w:r>
        <w:rPr>
          <w:rFonts w:ascii="Times New Roman" w:hAnsi="Times New Roman" w:cs="Times New Roman" w:eastAsia="Times New Roman" w:hint="default"/>
        </w:rPr>
        <w:t>4-10</w:t>
      </w:r>
      <w:r>
        <w:rPr/>
        <w:t>万元人民币（税后），独立非执行董事和非执行董事出</w:t>
      </w:r>
      <w:r>
        <w:rPr>
          <w:spacing w:val="1"/>
        </w:rPr>
        <w:t> </w:t>
      </w:r>
      <w:r>
        <w:rPr/>
        <w:t>席公司董事会和股东大会的差旅费及按《公司章程》行使职权所需的合理费用由公司据实报销。</w:t>
      </w:r>
    </w:p>
    <w:p>
      <w:pPr>
        <w:pStyle w:val="BodyText"/>
        <w:spacing w:line="360" w:lineRule="auto" w:before="69"/>
        <w:ind w:right="1491" w:firstLine="360"/>
        <w:jc w:val="left"/>
      </w:pPr>
      <w:r>
        <w:rPr/>
        <w:t>3、本公司各董事、监事及高级管理人员薪酬详情载于财务报告附注（九）、4关键管理人员报酬内。 公司报告期内董事、监事和高级管理人员报酬情况</w:t>
      </w:r>
    </w:p>
    <w:p>
      <w:pPr>
        <w:pStyle w:val="BodyText"/>
        <w:spacing w:line="240" w:lineRule="auto" w:before="26"/>
        <w:ind w:left="0" w:right="149"/>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1980"/>
        <w:gridCol w:w="900"/>
        <w:gridCol w:w="900"/>
        <w:gridCol w:w="1120"/>
        <w:gridCol w:w="1196"/>
        <w:gridCol w:w="1196"/>
        <w:gridCol w:w="1195"/>
      </w:tblGrid>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尹同远</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  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86.26</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279.64</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谭道诚</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20.21</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侯焕才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103.57</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周少华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109.83</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崔友平</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王效群</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张志元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  宏</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王玉玫</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王翔飞</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80"/>
        <w:gridCol w:w="1980"/>
        <w:gridCol w:w="900"/>
        <w:gridCol w:w="900"/>
        <w:gridCol w:w="1120"/>
        <w:gridCol w:w="1196"/>
        <w:gridCol w:w="1196"/>
        <w:gridCol w:w="1195"/>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高俊杰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39.28</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  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18.68</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杨洪芹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17.62</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尹启祥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76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郭光耀</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71</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李雪芹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121.86</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王春方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38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90.67</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185.36</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邵震中</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副总经理、营销总监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53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330.73</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常立亭</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60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95.72</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李振中</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126.05</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张延军</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29.31</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夏继钢</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38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43.95</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潘兆昌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6"/>
                <w:sz w:val="18"/>
                <w:szCs w:val="18"/>
              </w:rPr>
              <w:t>公司秘书、合资格会计师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44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11.89</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2,555.00</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466"/>
        <w:gridCol w:w="2340"/>
        <w:gridCol w:w="1910"/>
        <w:gridCol w:w="2232"/>
        <w:gridCol w:w="1745"/>
      </w:tblGrid>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1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陈洪国</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尹同远</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  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周少华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侯焕才</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王爱国</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张志元</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  宏</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崔友平</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王效群</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高俊杰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杨洪芹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bl>
    <w:p>
      <w:pPr>
        <w:spacing w:after="0" w:line="240" w:lineRule="auto"/>
        <w:jc w:val="center"/>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1466"/>
        <w:gridCol w:w="2340"/>
        <w:gridCol w:w="1910"/>
        <w:gridCol w:w="2232"/>
        <w:gridCol w:w="1745"/>
      </w:tblGrid>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  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郭光耀</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尹启祥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换届选举</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李雪芹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  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耿光林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周少华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王春方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vMerge/>
            <w:tcBorders>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胡长青</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邵震中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李振中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常立亭</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潘兆昌</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公司秘书、合资格会计师</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聘任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谭道诚</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王玉玫</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张延军</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夏继钢</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王翔飞</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五、董事及监事资料变动</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35" w:firstLine="360"/>
        <w:jc w:val="left"/>
      </w:pPr>
      <w:r>
        <w:rPr/>
        <w:t>根据上市规则第</w:t>
      </w:r>
      <w:r>
        <w:rPr>
          <w:rFonts w:ascii="Times New Roman" w:hAnsi="Times New Roman" w:cs="Times New Roman" w:eastAsia="Times New Roman" w:hint="default"/>
        </w:rPr>
        <w:t>13.51(B)</w:t>
      </w:r>
      <w:r>
        <w:rPr>
          <w:rFonts w:ascii="Times New Roman" w:hAnsi="Times New Roman" w:cs="Times New Roman" w:eastAsia="Times New Roman" w:hint="default"/>
          <w:spacing w:val="28"/>
        </w:rPr>
        <w:t> </w:t>
      </w:r>
      <w:r>
        <w:rPr>
          <w:spacing w:val="-2"/>
        </w:rPr>
        <w:t>条，董事及监事资料自本公司截至二零一三年十二月三十一日止年度之年报日期起之变动载列</w:t>
      </w:r>
      <w:r>
        <w:rPr/>
        <w:t> 如下：</w:t>
      </w:r>
    </w:p>
    <w:tbl>
      <w:tblPr>
        <w:tblW w:w="0" w:type="auto"/>
        <w:jc w:val="left"/>
        <w:tblInd w:w="146" w:type="dxa"/>
        <w:tblLayout w:type="fixed"/>
        <w:tblCellMar>
          <w:top w:w="0" w:type="dxa"/>
          <w:left w:w="0" w:type="dxa"/>
          <w:bottom w:w="0" w:type="dxa"/>
          <w:right w:w="0" w:type="dxa"/>
        </w:tblCellMar>
        <w:tblLook w:val="01E0"/>
      </w:tblPr>
      <w:tblGrid>
        <w:gridCol w:w="3070"/>
        <w:gridCol w:w="6588"/>
      </w:tblGrid>
      <w:tr>
        <w:trPr>
          <w:trHeight w:val="427" w:hRule="exact"/>
        </w:trPr>
        <w:tc>
          <w:tcPr>
            <w:tcW w:w="307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董事姓名</w:t>
            </w:r>
            <w:r>
              <w:rPr>
                <w:rFonts w:ascii="宋体" w:hAnsi="宋体" w:cs="宋体" w:eastAsia="宋体" w:hint="default"/>
                <w:sz w:val="18"/>
                <w:szCs w:val="18"/>
              </w:rPr>
            </w:r>
          </w:p>
        </w:tc>
        <w:tc>
          <w:tcPr>
            <w:tcW w:w="65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变动详情</w:t>
            </w:r>
            <w:r>
              <w:rPr>
                <w:rFonts w:ascii="宋体" w:hAnsi="宋体" w:cs="宋体" w:eastAsia="宋体" w:hint="default"/>
                <w:sz w:val="18"/>
                <w:szCs w:val="18"/>
              </w:rPr>
            </w:r>
          </w:p>
        </w:tc>
      </w:tr>
      <w:tr>
        <w:trPr>
          <w:trHeight w:val="42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谭道诚</w:t>
            </w:r>
          </w:p>
        </w:tc>
        <w:tc>
          <w:tcPr>
            <w:tcW w:w="6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日任期满离任执行董事</w:t>
            </w:r>
          </w:p>
        </w:tc>
      </w:tr>
      <w:tr>
        <w:trPr>
          <w:trHeight w:val="42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王玉玫</w:t>
            </w:r>
          </w:p>
        </w:tc>
        <w:tc>
          <w:tcPr>
            <w:tcW w:w="6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日任期满离任独立非执行董事</w:t>
            </w:r>
          </w:p>
        </w:tc>
      </w:tr>
      <w:tr>
        <w:trPr>
          <w:trHeight w:val="42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王凤荣</w:t>
            </w:r>
          </w:p>
        </w:tc>
        <w:tc>
          <w:tcPr>
            <w:tcW w:w="6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日任期满离任非执行董事</w:t>
            </w:r>
          </w:p>
        </w:tc>
      </w:tr>
      <w:tr>
        <w:trPr>
          <w:trHeight w:val="42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王翔飞</w:t>
            </w:r>
          </w:p>
        </w:tc>
        <w:tc>
          <w:tcPr>
            <w:tcW w:w="6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日任期满离任独立非执行董事</w:t>
            </w:r>
          </w:p>
        </w:tc>
      </w:tr>
      <w:tr>
        <w:trPr>
          <w:trHeight w:val="427" w:hRule="exact"/>
        </w:trPr>
        <w:tc>
          <w:tcPr>
            <w:tcW w:w="3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潘爱玲</w:t>
            </w:r>
          </w:p>
        </w:tc>
        <w:tc>
          <w:tcPr>
            <w:tcW w:w="6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自</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日起获委任为独立非执行董事</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4" w:right="0"/>
        <w:jc w:val="left"/>
      </w:pPr>
      <w:r>
        <w:rPr/>
        <w:t>报告期内，公司核心技术团队或关键技术人员（非董事、监事、高级管理人员）等对公司核心竞争力有重大影响的人员</w:t>
      </w:r>
    </w:p>
    <w:p>
      <w:pPr>
        <w:spacing w:after="0" w:line="240" w:lineRule="auto"/>
        <w:jc w:val="left"/>
        <w:sectPr>
          <w:pgSz w:w="11910" w:h="16840"/>
          <w:pgMar w:header="877" w:footer="950" w:top="1100" w:bottom="1140" w:left="980" w:right="980"/>
        </w:sectPr>
      </w:pPr>
    </w:p>
    <w:p>
      <w:pPr>
        <w:spacing w:line="240" w:lineRule="auto" w:before="12"/>
        <w:rPr>
          <w:rFonts w:ascii="宋体" w:hAnsi="宋体" w:cs="宋体" w:eastAsia="宋体" w:hint="default"/>
          <w:sz w:val="21"/>
          <w:szCs w:val="21"/>
        </w:rPr>
      </w:pPr>
    </w:p>
    <w:p>
      <w:pPr>
        <w:pStyle w:val="BodyText"/>
        <w:spacing w:line="240" w:lineRule="auto" w:before="44"/>
        <w:ind w:right="90"/>
        <w:jc w:val="left"/>
      </w:pPr>
      <w:r>
        <w:rPr/>
        <w:t>未发生变动，未对公司经营产生影响。</w:t>
      </w:r>
    </w:p>
    <w:p>
      <w:pPr>
        <w:spacing w:line="240" w:lineRule="auto" w:before="2"/>
        <w:rPr>
          <w:rFonts w:ascii="宋体" w:hAnsi="宋体" w:cs="宋体" w:eastAsia="宋体" w:hint="default"/>
          <w:sz w:val="25"/>
          <w:szCs w:val="25"/>
        </w:rPr>
      </w:pPr>
    </w:p>
    <w:p>
      <w:pPr>
        <w:pStyle w:val="Heading2"/>
        <w:spacing w:line="240" w:lineRule="auto"/>
        <w:ind w:right="90"/>
        <w:jc w:val="left"/>
        <w:rPr>
          <w:b w:val="0"/>
          <w:bCs w:val="0"/>
        </w:rPr>
      </w:pPr>
      <w:r>
        <w:rPr/>
        <w:t>七、公司员工情况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90"/>
        <w:jc w:val="left"/>
      </w:pPr>
      <w:r>
        <w:rPr/>
        <w:t>报告期末，集团在职员工总数为</w:t>
      </w:r>
      <w:r>
        <w:rPr>
          <w:rFonts w:ascii="Times New Roman" w:hAnsi="Times New Roman" w:cs="Times New Roman" w:eastAsia="Times New Roman" w:hint="default"/>
        </w:rPr>
        <w:t>12,954</w:t>
      </w:r>
      <w:r>
        <w:rPr/>
        <w:t>人。</w:t>
      </w:r>
    </w:p>
    <w:p>
      <w:pPr>
        <w:pStyle w:val="BodyText"/>
        <w:spacing w:line="240" w:lineRule="auto" w:before="62"/>
        <w:ind w:right="90"/>
        <w:jc w:val="left"/>
      </w:pPr>
      <w:r>
        <w:rPr/>
        <w:t>（</w:t>
      </w:r>
      <w:r>
        <w:rPr>
          <w:rFonts w:ascii="Times New Roman" w:hAnsi="Times New Roman" w:cs="Times New Roman" w:eastAsia="Times New Roman" w:hint="default"/>
        </w:rPr>
        <w:t>1</w:t>
      </w:r>
      <w:r>
        <w:rPr/>
        <w:t>）专业构成</w:t>
      </w:r>
    </w:p>
    <w:p>
      <w:pPr>
        <w:spacing w:line="240" w:lineRule="auto" w:before="12"/>
        <w:rPr>
          <w:rFonts w:ascii="宋体" w:hAnsi="宋体" w:cs="宋体" w:eastAsia="宋体" w:hint="default"/>
          <w:sz w:val="13"/>
          <w:szCs w:val="13"/>
        </w:rPr>
      </w:pPr>
    </w:p>
    <w:p>
      <w:pPr>
        <w:spacing w:line="5040" w:lineRule="exact"/>
        <w:ind w:left="541" w:right="0" w:firstLine="0"/>
        <w:rPr>
          <w:rFonts w:ascii="宋体" w:hAnsi="宋体" w:cs="宋体" w:eastAsia="宋体" w:hint="default"/>
          <w:sz w:val="20"/>
          <w:szCs w:val="20"/>
        </w:rPr>
      </w:pPr>
      <w:r>
        <w:rPr>
          <w:rFonts w:ascii="宋体" w:hAnsi="宋体" w:cs="宋体" w:eastAsia="宋体" w:hint="default"/>
          <w:position w:val="-100"/>
          <w:sz w:val="20"/>
          <w:szCs w:val="20"/>
        </w:rPr>
        <w:pict>
          <v:group style="width:442.3pt;height:252pt;mso-position-horizontal-relative:char;mso-position-vertical-relative:line" coordorigin="0,0" coordsize="8846,5040">
            <v:group style="position:absolute;left:1;top:1;width:8844;height:5039" coordorigin="1,1" coordsize="8844,5039">
              <v:shape style="position:absolute;left:1;top:1;width:8844;height:5039" coordorigin="1,1" coordsize="8844,5039" path="m1,1l8845,1,8845,5039,1,5039,1,1xe" filled="false" stroked="true" strokeweight=".06pt" strokecolor="#000000">
                <v:path arrowok="t"/>
              </v:shape>
              <v:shape style="position:absolute;left:1417;top:1313;width:6011;height:1964" type="#_x0000_t75" stroked="false">
                <v:imagedata r:id="rId19" o:title=""/>
              </v:shape>
            </v:group>
            <v:group style="position:absolute;left:983;top:4679;width:6846;height:300" coordorigin="983,4679" coordsize="6846,300">
              <v:shape style="position:absolute;left:983;top:4679;width:6846;height:300" coordorigin="983,4679" coordsize="6846,300" path="m983,4679l7829,4679,7829,4979,983,4979,983,4679xe" filled="false" stroked="true" strokeweight=".06pt" strokecolor="#000000">
                <v:path arrowok="t"/>
              </v:shape>
            </v:group>
            <v:group style="position:absolute;left:1065;top:4785;width:114;height:105" coordorigin="1065,4785" coordsize="114,105">
              <v:shape style="position:absolute;left:1065;top:4785;width:114;height:105" coordorigin="1065,4785" coordsize="114,105" path="m1065,4785l1179,4785,1179,4889,1065,4889,1065,4785xe" filled="true" fillcolor="#9a9aff" stroked="false">
                <v:path arrowok="t"/>
                <v:fill type="solid"/>
              </v:shape>
            </v:group>
            <v:group style="position:absolute;left:1065;top:4785;width:114;height:105" coordorigin="1065,4785" coordsize="114,105">
              <v:shape style="position:absolute;left:1065;top:4785;width:114;height:105" coordorigin="1065,4785" coordsize="114,105" path="m1065,4785l1179,4785,1179,4889,1065,4889,1065,4785xe" filled="false" stroked="true" strokeweight=".780736pt" strokecolor="#000000">
                <v:path arrowok="t"/>
              </v:shape>
            </v:group>
            <v:group style="position:absolute;left:2195;top:4785;width:114;height:105" coordorigin="2195,4785" coordsize="114,105">
              <v:shape style="position:absolute;left:2195;top:4785;width:114;height:105" coordorigin="2195,4785" coordsize="114,105" path="m2195,4785l2309,4785,2309,4889,2195,4889,2195,4785xe" filled="true" fillcolor="#9a3365" stroked="false">
                <v:path arrowok="t"/>
                <v:fill type="solid"/>
              </v:shape>
            </v:group>
            <v:group style="position:absolute;left:2195;top:4785;width:114;height:105" coordorigin="2195,4785" coordsize="114,105">
              <v:shape style="position:absolute;left:2195;top:4785;width:114;height:105" coordorigin="2195,4785" coordsize="114,105" path="m2195,4785l2309,4785,2309,4889,2195,4889,2195,4785xe" filled="false" stroked="true" strokeweight=".780736pt" strokecolor="#000000">
                <v:path arrowok="t"/>
              </v:shape>
            </v:group>
            <v:group style="position:absolute;left:3325;top:4785;width:116;height:105" coordorigin="3325,4785" coordsize="116,105">
              <v:shape style="position:absolute;left:3325;top:4785;width:116;height:105" coordorigin="3325,4785" coordsize="116,105" path="m3325,4785l3440,4785,3440,4889,3325,4889,3325,4785xe" filled="true" fillcolor="#ffffcc" stroked="false">
                <v:path arrowok="t"/>
                <v:fill type="solid"/>
              </v:shape>
            </v:group>
            <v:group style="position:absolute;left:3325;top:4785;width:116;height:105" coordorigin="3325,4785" coordsize="116,105">
              <v:shape style="position:absolute;left:3325;top:4785;width:116;height:105" coordorigin="3325,4785" coordsize="116,105" path="m3325,4785l3440,4785,3440,4889,3325,4889,3325,4785xe" filled="false" stroked="true" strokeweight=".780381pt" strokecolor="#000000">
                <v:path arrowok="t"/>
              </v:shape>
            </v:group>
            <v:group style="position:absolute;left:4455;top:4785;width:116;height:105" coordorigin="4455,4785" coordsize="116,105">
              <v:shape style="position:absolute;left:4455;top:4785;width:116;height:105" coordorigin="4455,4785" coordsize="116,105" path="m4455,4785l4570,4785,4570,4889,4455,4889,4455,4785xe" filled="true" fillcolor="#ccffff" stroked="false">
                <v:path arrowok="t"/>
                <v:fill type="solid"/>
              </v:shape>
            </v:group>
            <v:group style="position:absolute;left:4455;top:4785;width:116;height:105" coordorigin="4455,4785" coordsize="116,105">
              <v:shape style="position:absolute;left:4455;top:4785;width:116;height:105" coordorigin="4455,4785" coordsize="116,105" path="m4455,4785l4570,4785,4570,4889,4455,4889,4455,4785xe" filled="false" stroked="true" strokeweight=".780381pt" strokecolor="#000000">
                <v:path arrowok="t"/>
              </v:shape>
            </v:group>
            <v:group style="position:absolute;left:5585;top:4785;width:114;height:105" coordorigin="5585,4785" coordsize="114,105">
              <v:shape style="position:absolute;left:5585;top:4785;width:114;height:105" coordorigin="5585,4785" coordsize="114,105" path="m5585,4785l5699,4785,5699,4889,5585,4889,5585,4785xe" filled="true" fillcolor="#650065" stroked="false">
                <v:path arrowok="t"/>
                <v:fill type="solid"/>
              </v:shape>
            </v:group>
            <v:group style="position:absolute;left:5585;top:4785;width:114;height:105" coordorigin="5585,4785" coordsize="114,105">
              <v:shape style="position:absolute;left:5585;top:4785;width:114;height:105" coordorigin="5585,4785" coordsize="114,105" path="m5585,4785l5699,4785,5699,4889,5585,4889,5585,4785xe" filled="false" stroked="true" strokeweight=".780736pt" strokecolor="#000000">
                <v:path arrowok="t"/>
              </v:shape>
            </v:group>
            <v:group style="position:absolute;left:6716;top:4785;width:114;height:105" coordorigin="6716,4785" coordsize="114,105">
              <v:shape style="position:absolute;left:6716;top:4785;width:114;height:105" coordorigin="6716,4785" coordsize="114,105" path="m6716,4785l6830,4785,6830,4889,6716,4889,6716,4785xe" filled="true" fillcolor="#ff8080" stroked="false">
                <v:path arrowok="t"/>
                <v:fill type="solid"/>
              </v:shape>
            </v:group>
            <v:group style="position:absolute;left:6716;top:4785;width:114;height:105" coordorigin="6716,4785" coordsize="114,105">
              <v:shape style="position:absolute;left:6716;top:4785;width:114;height:105" coordorigin="6716,4785" coordsize="114,105" path="m6716,4785l6830,4785,6830,4889,6716,4889,6716,4785xe" filled="false" stroked="true" strokeweight=".780736pt" strokecolor="#000000">
                <v:path arrowok="t"/>
              </v:shape>
            </v:group>
            <v:group style="position:absolute;left:1;top:1;width:8844;height:5039" coordorigin="1,1" coordsize="8844,5039">
              <v:shape style="position:absolute;left:1;top:1;width:8844;height:5039" coordorigin="1,1" coordsize="8844,5039" path="m1,1l8845,1,8845,5039,1,5039,1,1xe" filled="false" stroked="true" strokeweight=".06pt" strokecolor="#000000">
                <v:path arrowok="t"/>
              </v:shape>
              <v:shape style="position:absolute;left:983;top:4679;width:6846;height:330" type="#_x0000_t202" filled="false" stroked="false">
                <v:textbox inset="0,0,0,0">
                  <w:txbxContent>
                    <w:p>
                      <w:pPr>
                        <w:tabs>
                          <w:tab w:pos="1391" w:val="left" w:leader="none"/>
                          <w:tab w:pos="2522" w:val="left" w:leader="none"/>
                          <w:tab w:pos="3652" w:val="left" w:leader="none"/>
                          <w:tab w:pos="4783" w:val="left" w:leader="none"/>
                          <w:tab w:pos="5912" w:val="left" w:leader="none"/>
                        </w:tabs>
                        <w:spacing w:before="7"/>
                        <w:ind w:left="262" w:right="0" w:firstLine="0"/>
                        <w:jc w:val="left"/>
                        <w:rPr>
                          <w:rFonts w:ascii="宋体" w:hAnsi="宋体" w:cs="宋体" w:eastAsia="宋体" w:hint="default"/>
                          <w:sz w:val="19"/>
                          <w:szCs w:val="19"/>
                        </w:rPr>
                      </w:pPr>
                      <w:r>
                        <w:rPr>
                          <w:rFonts w:ascii="宋体" w:hAnsi="宋体" w:cs="宋体" w:eastAsia="宋体" w:hint="default"/>
                          <w:spacing w:val="-1"/>
                          <w:w w:val="110"/>
                          <w:sz w:val="19"/>
                          <w:szCs w:val="19"/>
                        </w:rPr>
                        <w:t>生产人员</w:t>
                        <w:tab/>
                        <w:t>销售人员</w:t>
                        <w:tab/>
                        <w:t>技术人员</w:t>
                        <w:tab/>
                        <w:t>财务人员</w:t>
                        <w:tab/>
                        <w:t>行政人员</w:t>
                        <w:tab/>
                        <w:t>其他人员</w:t>
                      </w:r>
                      <w:r>
                        <w:rPr>
                          <w:rFonts w:ascii="宋体" w:hAnsi="宋体" w:cs="宋体" w:eastAsia="宋体" w:hint="default"/>
                          <w:spacing w:val="-1"/>
                          <w:sz w:val="19"/>
                          <w:szCs w:val="19"/>
                        </w:rPr>
                      </w:r>
                    </w:p>
                  </w:txbxContent>
                </v:textbox>
                <w10:wrap type="none"/>
              </v:shape>
              <v:shape style="position:absolute;left:2932;top:1068;width:443;height:195" type="#_x0000_t202" filled="false" stroked="false">
                <v:textbox inset="0,0,0,0">
                  <w:txbxContent>
                    <w:p>
                      <w:pPr>
                        <w:spacing w:line="195" w:lineRule="exact" w:before="0"/>
                        <w:ind w:left="0" w:right="0" w:firstLine="0"/>
                        <w:jc w:val="left"/>
                        <w:rPr>
                          <w:rFonts w:ascii="Times New Roman" w:hAnsi="Times New Roman" w:cs="Times New Roman" w:eastAsia="Times New Roman" w:hint="default"/>
                          <w:sz w:val="19"/>
                          <w:szCs w:val="19"/>
                        </w:rPr>
                      </w:pPr>
                      <w:r>
                        <w:rPr>
                          <w:rFonts w:ascii="Times New Roman"/>
                          <w:spacing w:val="-8"/>
                          <w:w w:val="110"/>
                          <w:sz w:val="19"/>
                        </w:rPr>
                        <w:t>1,352</w:t>
                      </w:r>
                      <w:r>
                        <w:rPr>
                          <w:rFonts w:ascii="Times New Roman"/>
                          <w:sz w:val="19"/>
                        </w:rPr>
                      </w:r>
                    </w:p>
                  </w:txbxContent>
                </v:textbox>
                <w10:wrap type="none"/>
              </v:shape>
              <v:shape style="position:absolute;left:1377;top:1413;width:442;height:195" type="#_x0000_t202" filled="false" stroked="false">
                <v:textbox inset="0,0,0,0">
                  <w:txbxContent>
                    <w:p>
                      <w:pPr>
                        <w:spacing w:line="195" w:lineRule="exact" w:before="0"/>
                        <w:ind w:left="0" w:right="0" w:firstLine="0"/>
                        <w:jc w:val="left"/>
                        <w:rPr>
                          <w:rFonts w:ascii="Times New Roman" w:hAnsi="Times New Roman" w:cs="Times New Roman" w:eastAsia="Times New Roman" w:hint="default"/>
                          <w:sz w:val="19"/>
                          <w:szCs w:val="19"/>
                        </w:rPr>
                      </w:pPr>
                      <w:r>
                        <w:rPr>
                          <w:rFonts w:ascii="Times New Roman"/>
                          <w:spacing w:val="-8"/>
                          <w:w w:val="110"/>
                          <w:sz w:val="19"/>
                        </w:rPr>
                        <w:t>1,279</w:t>
                      </w:r>
                      <w:r>
                        <w:rPr>
                          <w:rFonts w:ascii="Times New Roman"/>
                          <w:sz w:val="19"/>
                        </w:rPr>
                      </w:r>
                    </w:p>
                  </w:txbxContent>
                </v:textbox>
                <w10:wrap type="none"/>
              </v:shape>
              <v:shape style="position:absolute;left:1082;top:1728;width:296;height:195" type="#_x0000_t202" filled="false" stroked="false">
                <v:textbox inset="0,0,0,0">
                  <w:txbxContent>
                    <w:p>
                      <w:pPr>
                        <w:spacing w:line="195" w:lineRule="exact" w:before="0"/>
                        <w:ind w:left="0" w:right="0" w:firstLine="0"/>
                        <w:jc w:val="left"/>
                        <w:rPr>
                          <w:rFonts w:ascii="Times New Roman" w:hAnsi="Times New Roman" w:cs="Times New Roman" w:eastAsia="Times New Roman" w:hint="default"/>
                          <w:sz w:val="19"/>
                          <w:szCs w:val="19"/>
                        </w:rPr>
                      </w:pPr>
                      <w:r>
                        <w:rPr>
                          <w:rFonts w:ascii="Times New Roman"/>
                          <w:spacing w:val="-8"/>
                          <w:w w:val="110"/>
                          <w:sz w:val="19"/>
                        </w:rPr>
                        <w:t>197</w:t>
                      </w:r>
                      <w:r>
                        <w:rPr>
                          <w:rFonts w:ascii="Times New Roman"/>
                          <w:sz w:val="19"/>
                        </w:rPr>
                      </w:r>
                    </w:p>
                  </w:txbxContent>
                </v:textbox>
                <w10:wrap type="none"/>
              </v:shape>
              <v:shape style="position:absolute;left:919;top:2762;width:442;height:195" type="#_x0000_t202" filled="false" stroked="false">
                <v:textbox inset="0,0,0,0">
                  <w:txbxContent>
                    <w:p>
                      <w:pPr>
                        <w:spacing w:line="195" w:lineRule="exact" w:before="0"/>
                        <w:ind w:left="0" w:right="0" w:firstLine="0"/>
                        <w:jc w:val="left"/>
                        <w:rPr>
                          <w:rFonts w:ascii="Times New Roman" w:hAnsi="Times New Roman" w:cs="Times New Roman" w:eastAsia="Times New Roman" w:hint="default"/>
                          <w:sz w:val="19"/>
                          <w:szCs w:val="19"/>
                        </w:rPr>
                      </w:pPr>
                      <w:r>
                        <w:rPr>
                          <w:rFonts w:ascii="Times New Roman"/>
                          <w:spacing w:val="-8"/>
                          <w:w w:val="110"/>
                          <w:sz w:val="19"/>
                        </w:rPr>
                        <w:t>1,801</w:t>
                      </w:r>
                      <w:r>
                        <w:rPr>
                          <w:rFonts w:ascii="Times New Roman"/>
                          <w:sz w:val="19"/>
                        </w:rPr>
                      </w:r>
                    </w:p>
                  </w:txbxContent>
                </v:textbox>
                <w10:wrap type="none"/>
              </v:shape>
              <v:shape style="position:absolute;left:7551;top:2748;width:443;height:195" type="#_x0000_t202" filled="false" stroked="false">
                <v:textbox inset="0,0,0,0">
                  <w:txbxContent>
                    <w:p>
                      <w:pPr>
                        <w:spacing w:line="195" w:lineRule="exact" w:before="0"/>
                        <w:ind w:left="0" w:right="0" w:firstLine="0"/>
                        <w:jc w:val="left"/>
                        <w:rPr>
                          <w:rFonts w:ascii="Times New Roman" w:hAnsi="Times New Roman" w:cs="Times New Roman" w:eastAsia="Times New Roman" w:hint="default"/>
                          <w:sz w:val="19"/>
                          <w:szCs w:val="19"/>
                        </w:rPr>
                      </w:pPr>
                      <w:r>
                        <w:rPr>
                          <w:rFonts w:ascii="Times New Roman"/>
                          <w:spacing w:val="-8"/>
                          <w:w w:val="110"/>
                          <w:sz w:val="19"/>
                        </w:rPr>
                        <w:t>7,382</w:t>
                      </w:r>
                      <w:r>
                        <w:rPr>
                          <w:rFonts w:ascii="Times New Roman"/>
                          <w:sz w:val="19"/>
                        </w:rPr>
                      </w:r>
                    </w:p>
                  </w:txbxContent>
                </v:textbox>
                <w10:wrap type="none"/>
              </v:shape>
              <v:shape style="position:absolute;left:2180;top:3302;width:303;height:195" type="#_x0000_t202" filled="false" stroked="false">
                <v:textbox inset="0,0,0,0">
                  <w:txbxContent>
                    <w:p>
                      <w:pPr>
                        <w:spacing w:line="195" w:lineRule="exact" w:before="0"/>
                        <w:ind w:left="0" w:right="0" w:firstLine="0"/>
                        <w:jc w:val="left"/>
                        <w:rPr>
                          <w:rFonts w:ascii="Times New Roman" w:hAnsi="Times New Roman" w:cs="Times New Roman" w:eastAsia="Times New Roman" w:hint="default"/>
                          <w:sz w:val="19"/>
                          <w:szCs w:val="19"/>
                        </w:rPr>
                      </w:pPr>
                      <w:r>
                        <w:rPr>
                          <w:rFonts w:ascii="Times New Roman"/>
                          <w:spacing w:val="-6"/>
                          <w:w w:val="110"/>
                          <w:sz w:val="19"/>
                        </w:rPr>
                        <w:t>943</w:t>
                      </w:r>
                      <w:r>
                        <w:rPr>
                          <w:rFonts w:ascii="Times New Roman"/>
                          <w:spacing w:val="-6"/>
                          <w:sz w:val="19"/>
                        </w:rPr>
                      </w:r>
                    </w:p>
                  </w:txbxContent>
                </v:textbox>
                <w10:wrap type="none"/>
              </v:shape>
            </v:group>
          </v:group>
        </w:pict>
      </w:r>
      <w:r>
        <w:rPr>
          <w:rFonts w:ascii="宋体" w:hAnsi="宋体" w:cs="宋体" w:eastAsia="宋体" w:hint="default"/>
          <w:position w:val="-100"/>
          <w:sz w:val="20"/>
          <w:szCs w:val="20"/>
        </w:rPr>
      </w:r>
    </w:p>
    <w:p>
      <w:pPr>
        <w:spacing w:line="240" w:lineRule="auto" w:before="8"/>
        <w:rPr>
          <w:rFonts w:ascii="宋体" w:hAnsi="宋体" w:cs="宋体" w:eastAsia="宋体" w:hint="default"/>
          <w:sz w:val="7"/>
          <w:szCs w:val="7"/>
        </w:rPr>
      </w:pPr>
    </w:p>
    <w:p>
      <w:pPr>
        <w:pStyle w:val="BodyText"/>
        <w:spacing w:line="240" w:lineRule="auto" w:before="44"/>
        <w:ind w:right="90"/>
        <w:jc w:val="left"/>
      </w:pPr>
      <w:r>
        <w:rPr/>
        <w:t>（</w:t>
      </w:r>
      <w:r>
        <w:rPr>
          <w:rFonts w:ascii="Times New Roman" w:hAnsi="Times New Roman" w:cs="Times New Roman" w:eastAsia="Times New Roman" w:hint="default"/>
        </w:rPr>
        <w:t>2</w:t>
      </w:r>
      <w:r>
        <w:rPr/>
        <w:t>）教育程度</w:t>
      </w:r>
    </w:p>
    <w:p>
      <w:pPr>
        <w:spacing w:line="240" w:lineRule="auto" w:before="8"/>
        <w:rPr>
          <w:rFonts w:ascii="宋体" w:hAnsi="宋体" w:cs="宋体" w:eastAsia="宋体" w:hint="default"/>
          <w:sz w:val="10"/>
          <w:szCs w:val="10"/>
        </w:rPr>
      </w:pPr>
    </w:p>
    <w:p>
      <w:pPr>
        <w:spacing w:line="4815" w:lineRule="exact"/>
        <w:ind w:left="568" w:right="0" w:firstLine="0"/>
        <w:rPr>
          <w:rFonts w:ascii="宋体" w:hAnsi="宋体" w:cs="宋体" w:eastAsia="宋体" w:hint="default"/>
          <w:sz w:val="20"/>
          <w:szCs w:val="20"/>
        </w:rPr>
      </w:pPr>
      <w:r>
        <w:rPr>
          <w:rFonts w:ascii="宋体" w:hAnsi="宋体" w:cs="宋体" w:eastAsia="宋体" w:hint="default"/>
          <w:position w:val="-95"/>
          <w:sz w:val="20"/>
          <w:szCs w:val="20"/>
        </w:rPr>
        <w:pict>
          <v:group style="width:439.4pt;height:240.8pt;mso-position-horizontal-relative:char;mso-position-vertical-relative:line" coordorigin="0,0" coordsize="8788,4816">
            <v:group style="position:absolute;left:1;top:1;width:8787;height:4815" coordorigin="1,1" coordsize="8787,4815">
              <v:shape style="position:absolute;left:1;top:1;width:8787;height:4815" coordorigin="1,1" coordsize="8787,4815" path="m1,1l8787,1,8787,4815,1,4815,1,1xe" filled="false" stroked="true" strokeweight=".06pt" strokecolor="#000000">
                <v:path arrowok="t"/>
              </v:shape>
              <v:shape style="position:absolute;left:1491;top:1168;width:5873;height:2020" type="#_x0000_t75" stroked="false">
                <v:imagedata r:id="rId20" o:title=""/>
              </v:shape>
            </v:group>
            <v:group style="position:absolute;left:2213;top:4455;width:4346;height:300" coordorigin="2213,4455" coordsize="4346,300">
              <v:shape style="position:absolute;left:2213;top:4455;width:4346;height:300" coordorigin="2213,4455" coordsize="4346,300" path="m2213,4455l6559,4455,6559,4755,2213,4755,2213,4455xe" filled="false" stroked="true" strokeweight=".06pt" strokecolor="#000000">
                <v:path arrowok="t"/>
              </v:shape>
            </v:group>
            <v:group style="position:absolute;left:2295;top:4559;width:114;height:106" coordorigin="2295,4559" coordsize="114,106">
              <v:shape style="position:absolute;left:2295;top:4559;width:114;height:106" coordorigin="2295,4559" coordsize="114,106" path="m2295,4559l2409,4559,2409,4665,2295,4665,2295,4559xe" filled="true" fillcolor="#9a9aff" stroked="false">
                <v:path arrowok="t"/>
                <v:fill type="solid"/>
              </v:shape>
            </v:group>
            <v:group style="position:absolute;left:2295;top:4559;width:114;height:106" coordorigin="2295,4559" coordsize="114,106">
              <v:shape style="position:absolute;left:2295;top:4559;width:114;height:106" coordorigin="2295,4559" coordsize="114,106" path="m2295,4559l2409,4559,2409,4665,2295,4665,2295,4559xe" filled="false" stroked="true" strokeweight=".779219pt" strokecolor="#000000">
                <v:path arrowok="t"/>
              </v:shape>
            </v:group>
            <v:group style="position:absolute;left:3841;top:4559;width:114;height:106" coordorigin="3841,4559" coordsize="114,106">
              <v:shape style="position:absolute;left:3841;top:4559;width:114;height:106" coordorigin="3841,4559" coordsize="114,106" path="m3841,4559l3955,4559,3955,4665,3841,4665,3841,4559xe" filled="true" fillcolor="#9a3365" stroked="false">
                <v:path arrowok="t"/>
                <v:fill type="solid"/>
              </v:shape>
            </v:group>
            <v:group style="position:absolute;left:3841;top:4559;width:114;height:106" coordorigin="3841,4559" coordsize="114,106">
              <v:shape style="position:absolute;left:3841;top:4559;width:114;height:106" coordorigin="3841,4559" coordsize="114,106" path="m3841,4559l3955,4559,3955,4665,3841,4665,3841,4559xe" filled="false" stroked="true" strokeweight=".779219pt" strokecolor="#000000">
                <v:path arrowok="t"/>
              </v:shape>
            </v:group>
            <v:group style="position:absolute;left:4540;top:4559;width:114;height:106" coordorigin="4540,4559" coordsize="114,106">
              <v:shape style="position:absolute;left:4540;top:4559;width:114;height:106" coordorigin="4540,4559" coordsize="114,106" path="m4540,4559l4654,4559,4654,4665,4540,4665,4540,4559xe" filled="true" fillcolor="#ffffcc" stroked="false">
                <v:path arrowok="t"/>
                <v:fill type="solid"/>
              </v:shape>
            </v:group>
            <v:group style="position:absolute;left:4540;top:4559;width:114;height:106" coordorigin="4540,4559" coordsize="114,106">
              <v:shape style="position:absolute;left:4540;top:4559;width:114;height:106" coordorigin="4540,4559" coordsize="114,106" path="m4540,4559l4654,4559,4654,4665,4540,4665,4540,4559xe" filled="false" stroked="true" strokeweight=".779219pt" strokecolor="#000000">
                <v:path arrowok="t"/>
              </v:shape>
            </v:group>
            <v:group style="position:absolute;left:5240;top:4559;width:114;height:106" coordorigin="5240,4559" coordsize="114,106">
              <v:shape style="position:absolute;left:5240;top:4559;width:114;height:106" coordorigin="5240,4559" coordsize="114,106" path="m5240,4559l5354,4559,5354,4665,5240,4665,5240,4559xe" filled="true" fillcolor="#ccffff" stroked="false">
                <v:path arrowok="t"/>
                <v:fill type="solid"/>
              </v:shape>
            </v:group>
            <v:group style="position:absolute;left:5240;top:4559;width:114;height:106" coordorigin="5240,4559" coordsize="114,106">
              <v:shape style="position:absolute;left:5240;top:4559;width:114;height:106" coordorigin="5240,4559" coordsize="114,106" path="m5240,4559l5354,4559,5354,4665,5240,4665,5240,4559xe" filled="false" stroked="true" strokeweight=".779219pt" strokecolor="#000000">
                <v:path arrowok="t"/>
              </v:shape>
            </v:group>
            <v:group style="position:absolute;left:1;top:1;width:8787;height:4815" coordorigin="1,1" coordsize="8787,4815">
              <v:shape style="position:absolute;left:1;top:1;width:8787;height:4815" coordorigin="1,1" coordsize="8787,4815" path="m1,1l8787,1,8787,4815,1,4815,1,1xe" filled="false" stroked="true" strokeweight=".06pt" strokecolor="#000000">
                <v:path arrowok="t"/>
              </v:shape>
              <v:shape style="position:absolute;left:4330;top:903;width:195;height:195" type="#_x0000_t202" filled="false" stroked="false">
                <v:textbox inset="0,0,0,0">
                  <w:txbxContent>
                    <w:p>
                      <w:pPr>
                        <w:spacing w:line="195" w:lineRule="exact" w:before="0"/>
                        <w:ind w:left="0" w:right="0" w:firstLine="0"/>
                        <w:jc w:val="left"/>
                        <w:rPr>
                          <w:rFonts w:ascii="Times New Roman" w:hAnsi="Times New Roman" w:cs="Times New Roman" w:eastAsia="Times New Roman" w:hint="default"/>
                          <w:sz w:val="19"/>
                          <w:szCs w:val="19"/>
                        </w:rPr>
                      </w:pPr>
                      <w:r>
                        <w:rPr>
                          <w:rFonts w:ascii="Times New Roman"/>
                          <w:spacing w:val="-9"/>
                          <w:w w:val="110"/>
                          <w:sz w:val="19"/>
                        </w:rPr>
                        <w:t>26</w:t>
                      </w:r>
                      <w:r>
                        <w:rPr>
                          <w:rFonts w:ascii="Times New Roman"/>
                          <w:sz w:val="19"/>
                        </w:rPr>
                      </w:r>
                    </w:p>
                  </w:txbxContent>
                </v:textbox>
                <w10:wrap type="none"/>
              </v:shape>
              <v:shape style="position:absolute;left:5290;top:933;width:438;height:195" type="#_x0000_t202" filled="false" stroked="false">
                <v:textbox inset="0,0,0,0">
                  <w:txbxContent>
                    <w:p>
                      <w:pPr>
                        <w:spacing w:line="195" w:lineRule="exact" w:before="0"/>
                        <w:ind w:left="0" w:right="0" w:firstLine="0"/>
                        <w:jc w:val="left"/>
                        <w:rPr>
                          <w:rFonts w:ascii="Times New Roman" w:hAnsi="Times New Roman" w:cs="Times New Roman" w:eastAsia="Times New Roman" w:hint="default"/>
                          <w:sz w:val="19"/>
                          <w:szCs w:val="19"/>
                        </w:rPr>
                      </w:pPr>
                      <w:r>
                        <w:rPr>
                          <w:rFonts w:ascii="Times New Roman"/>
                          <w:spacing w:val="-8"/>
                          <w:w w:val="110"/>
                          <w:sz w:val="19"/>
                        </w:rPr>
                        <w:t>1,135</w:t>
                      </w:r>
                      <w:r>
                        <w:rPr>
                          <w:rFonts w:ascii="Times New Roman"/>
                          <w:sz w:val="19"/>
                        </w:rPr>
                      </w:r>
                    </w:p>
                  </w:txbxContent>
                </v:textbox>
                <w10:wrap type="none"/>
              </v:shape>
              <v:shape style="position:absolute;left:7421;top:1533;width:448;height:195" type="#_x0000_t202" filled="false" stroked="false">
                <v:textbox inset="0,0,0,0">
                  <w:txbxContent>
                    <w:p>
                      <w:pPr>
                        <w:spacing w:line="195" w:lineRule="exact" w:before="0"/>
                        <w:ind w:left="0" w:right="0" w:firstLine="0"/>
                        <w:jc w:val="left"/>
                        <w:rPr>
                          <w:rFonts w:ascii="Times New Roman" w:hAnsi="Times New Roman" w:cs="Times New Roman" w:eastAsia="Times New Roman" w:hint="default"/>
                          <w:sz w:val="19"/>
                          <w:szCs w:val="19"/>
                        </w:rPr>
                      </w:pPr>
                      <w:r>
                        <w:rPr>
                          <w:rFonts w:ascii="Times New Roman"/>
                          <w:spacing w:val="-6"/>
                          <w:w w:val="110"/>
                          <w:sz w:val="19"/>
                        </w:rPr>
                        <w:t>2,900</w:t>
                      </w:r>
                      <w:r>
                        <w:rPr>
                          <w:rFonts w:ascii="Times New Roman"/>
                          <w:spacing w:val="-6"/>
                          <w:sz w:val="19"/>
                        </w:rPr>
                      </w:r>
                    </w:p>
                  </w:txbxContent>
                </v:textbox>
                <w10:wrap type="none"/>
              </v:shape>
              <v:shape style="position:absolute;left:1369;top:2958;width:448;height:195" type="#_x0000_t202" filled="false" stroked="false">
                <v:textbox inset="0,0,0,0">
                  <w:txbxContent>
                    <w:p>
                      <w:pPr>
                        <w:spacing w:line="195" w:lineRule="exact" w:before="0"/>
                        <w:ind w:left="0" w:right="0" w:firstLine="0"/>
                        <w:jc w:val="left"/>
                        <w:rPr>
                          <w:rFonts w:ascii="Times New Roman" w:hAnsi="Times New Roman" w:cs="Times New Roman" w:eastAsia="Times New Roman" w:hint="default"/>
                          <w:sz w:val="19"/>
                          <w:szCs w:val="19"/>
                        </w:rPr>
                      </w:pPr>
                      <w:r>
                        <w:rPr>
                          <w:rFonts w:ascii="Times New Roman"/>
                          <w:spacing w:val="-6"/>
                          <w:w w:val="110"/>
                          <w:sz w:val="19"/>
                        </w:rPr>
                        <w:t>8,893</w:t>
                      </w:r>
                      <w:r>
                        <w:rPr>
                          <w:rFonts w:ascii="Times New Roman"/>
                          <w:spacing w:val="-6"/>
                          <w:sz w:val="19"/>
                        </w:rPr>
                      </w:r>
                    </w:p>
                  </w:txbxContent>
                </v:textbox>
                <w10:wrap type="none"/>
              </v:shape>
              <v:shape style="position:absolute;left:2475;top:4515;width:4003;height:195" type="#_x0000_t202" filled="false" stroked="false">
                <v:textbox inset="0,0,0,0">
                  <w:txbxContent>
                    <w:p>
                      <w:pPr>
                        <w:tabs>
                          <w:tab w:pos="1545" w:val="left" w:leader="none"/>
                          <w:tab w:pos="2245" w:val="left" w:leader="none"/>
                          <w:tab w:pos="2944" w:val="left" w:leader="none"/>
                        </w:tabs>
                        <w:spacing w:line="194" w:lineRule="exact" w:before="0"/>
                        <w:ind w:left="0" w:right="0" w:firstLine="0"/>
                        <w:jc w:val="left"/>
                        <w:rPr>
                          <w:rFonts w:ascii="宋体" w:hAnsi="宋体" w:cs="宋体" w:eastAsia="宋体" w:hint="default"/>
                          <w:sz w:val="19"/>
                          <w:szCs w:val="19"/>
                        </w:rPr>
                      </w:pPr>
                      <w:r>
                        <w:rPr>
                          <w:rFonts w:ascii="宋体" w:hAnsi="宋体" w:cs="宋体" w:eastAsia="宋体" w:hint="default"/>
                          <w:spacing w:val="-1"/>
                          <w:w w:val="110"/>
                          <w:sz w:val="19"/>
                          <w:szCs w:val="19"/>
                        </w:rPr>
                        <w:t>研究生及以上</w:t>
                        <w:tab/>
                        <w:t>本科</w:t>
                        <w:tab/>
                        <w:t>大专</w:t>
                        <w:tab/>
                        <w:t>中专及以下</w:t>
                      </w:r>
                      <w:r>
                        <w:rPr>
                          <w:rFonts w:ascii="宋体" w:hAnsi="宋体" w:cs="宋体" w:eastAsia="宋体" w:hint="default"/>
                          <w:sz w:val="19"/>
                          <w:szCs w:val="19"/>
                        </w:rPr>
                      </w:r>
                    </w:p>
                  </w:txbxContent>
                </v:textbox>
                <w10:wrap type="none"/>
              </v:shape>
            </v:group>
          </v:group>
        </w:pict>
      </w:r>
      <w:r>
        <w:rPr>
          <w:rFonts w:ascii="宋体" w:hAnsi="宋体" w:cs="宋体" w:eastAsia="宋体" w:hint="default"/>
          <w:position w:val="-95"/>
          <w:sz w:val="20"/>
          <w:szCs w:val="20"/>
        </w:rPr>
      </w:r>
    </w:p>
    <w:p>
      <w:pPr>
        <w:spacing w:line="240" w:lineRule="auto" w:before="5"/>
        <w:rPr>
          <w:rFonts w:ascii="宋体" w:hAnsi="宋体" w:cs="宋体" w:eastAsia="宋体" w:hint="default"/>
          <w:sz w:val="7"/>
          <w:szCs w:val="7"/>
        </w:rPr>
      </w:pPr>
    </w:p>
    <w:p>
      <w:pPr>
        <w:pStyle w:val="BodyText"/>
        <w:spacing w:line="240" w:lineRule="auto" w:before="44"/>
        <w:ind w:left="513" w:right="90"/>
        <w:jc w:val="left"/>
      </w:pPr>
      <w:r>
        <w:rPr/>
        <w:t>公司需承担费用的离退休职工</w:t>
      </w:r>
      <w:r>
        <w:rPr>
          <w:rFonts w:ascii="Times New Roman" w:hAnsi="Times New Roman" w:cs="Times New Roman" w:eastAsia="Times New Roman" w:hint="default"/>
        </w:rPr>
        <w:t>4</w:t>
      </w:r>
      <w:r>
        <w:rPr/>
        <w:t>名。以上人员包括控股子公司员工。</w:t>
      </w:r>
    </w:p>
    <w:p>
      <w:pPr>
        <w:pStyle w:val="BodyText"/>
        <w:spacing w:line="240" w:lineRule="auto" w:before="103"/>
        <w:ind w:right="90"/>
        <w:jc w:val="left"/>
      </w:pPr>
      <w:r>
        <w:rPr/>
        <w:t>（</w:t>
      </w:r>
      <w:r>
        <w:rPr>
          <w:rFonts w:ascii="Times New Roman" w:hAnsi="Times New Roman" w:cs="Times New Roman" w:eastAsia="Times New Roman" w:hint="default"/>
        </w:rPr>
        <w:t>3</w:t>
      </w:r>
      <w:r>
        <w:rPr/>
        <w:t>）薪酬政策</w:t>
      </w:r>
    </w:p>
    <w:p>
      <w:pPr>
        <w:pStyle w:val="BodyText"/>
        <w:spacing w:line="316" w:lineRule="auto" w:before="101"/>
        <w:ind w:right="91" w:firstLine="360"/>
        <w:jc w:val="left"/>
      </w:pPr>
      <w:r>
        <w:rPr/>
        <w:t>公司员工的薪酬包括工资奖金及其它福利计划。本公司在遵循中国有关法律及法规的情况下，根据员工的业绩、资历、 </w:t>
      </w:r>
      <w:r>
        <w:rPr>
          <w:spacing w:val="-2"/>
        </w:rPr>
        <w:t>职务等因素，对不同的员工执行不同的薪酬标准。本集团员工</w:t>
      </w:r>
      <w:r>
        <w:rPr>
          <w:rFonts w:ascii="Times New Roman" w:hAnsi="Times New Roman" w:cs="Times New Roman" w:eastAsia="Times New Roman" w:hint="default"/>
          <w:spacing w:val="-2"/>
        </w:rPr>
        <w:t>2013</w:t>
      </w:r>
      <w:r>
        <w:rPr>
          <w:spacing w:val="-2"/>
        </w:rPr>
        <w:t>年度薪酬详情载列于按企业会计准则编制的财务报表注释</w:t>
      </w:r>
    </w:p>
    <w:p>
      <w:pPr>
        <w:spacing w:after="0" w:line="316" w:lineRule="auto"/>
        <w:jc w:val="left"/>
        <w:sectPr>
          <w:pgSz w:w="11910" w:h="16840"/>
          <w:pgMar w:header="877" w:footer="950" w:top="1100" w:bottom="1140" w:left="980" w:right="94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rFonts w:ascii="Times New Roman" w:hAnsi="Times New Roman" w:cs="Times New Roman" w:eastAsia="Times New Roman" w:hint="default"/>
        </w:rPr>
        <w:t>[26]</w:t>
      </w:r>
      <w:r>
        <w:rPr/>
        <w:t>。</w:t>
      </w:r>
    </w:p>
    <w:p>
      <w:pPr>
        <w:pStyle w:val="BodyText"/>
        <w:spacing w:line="319" w:lineRule="auto" w:before="101"/>
        <w:ind w:right="0" w:firstLine="360"/>
        <w:jc w:val="left"/>
      </w:pPr>
      <w:r>
        <w:rPr>
          <w:spacing w:val="-2"/>
        </w:rPr>
        <w:t>同时，本集团之中国员工为地方政府组织之国营退休福利计划之成员。本集团须向退休福利计划按彼等薪金成本之若干</w:t>
      </w:r>
      <w:r>
        <w:rPr/>
        <w:t> 百分比供款，为有关福利提供资金。本集团提供的员工退休福利详情载列于按企业会计准则编制的财务报表注释</w:t>
      </w:r>
      <w:r>
        <w:rPr>
          <w:rFonts w:ascii="Times New Roman" w:hAnsi="Times New Roman" w:cs="Times New Roman" w:eastAsia="Times New Roman" w:hint="default"/>
        </w:rPr>
        <w:t>[26]</w:t>
      </w:r>
      <w:r>
        <w:rPr/>
        <w:t>。</w:t>
      </w:r>
    </w:p>
    <w:p>
      <w:pPr>
        <w:pStyle w:val="BodyText"/>
        <w:spacing w:line="338" w:lineRule="auto" w:before="38"/>
        <w:ind w:left="513" w:right="0"/>
        <w:jc w:val="left"/>
      </w:pPr>
      <w:r>
        <w:rPr/>
        <w:t>（</w:t>
      </w:r>
      <w:r>
        <w:rPr>
          <w:rFonts w:ascii="Times New Roman" w:hAnsi="Times New Roman" w:cs="Times New Roman" w:eastAsia="Times New Roman" w:hint="default"/>
        </w:rPr>
        <w:t>4</w:t>
      </w:r>
      <w:r>
        <w:rPr/>
        <w:t>）培训计划 </w:t>
      </w:r>
      <w:r>
        <w:rPr>
          <w:spacing w:val="-2"/>
        </w:rPr>
        <w:t>公司高度重视员工培养工作，积极营造全员学习氛围，各集团部室及子公司均制定详细培训计划，多形式、多渠道、分</w:t>
      </w:r>
    </w:p>
    <w:p>
      <w:pPr>
        <w:pStyle w:val="BodyText"/>
        <w:spacing w:line="319" w:lineRule="auto" w:before="2"/>
        <w:ind w:right="0"/>
        <w:jc w:val="left"/>
      </w:pPr>
      <w:r>
        <w:rPr>
          <w:spacing w:val="-2"/>
        </w:rPr>
        <w:t>层级、分专业开展员工培训。修订完善培训管理体系，明确培训工作流程、标准，充分开发内部培训资源，编制简单实用全</w:t>
      </w:r>
      <w:r>
        <w:rPr>
          <w:spacing w:val="-67"/>
        </w:rPr>
        <w:t> </w:t>
      </w:r>
      <w:r>
        <w:rPr>
          <w:spacing w:val="-67"/>
        </w:rPr>
      </w:r>
      <w:r>
        <w:rPr/>
        <w:t>员培训教材，激励引导员工学习热情，全面提升业务技能。</w:t>
      </w:r>
    </w:p>
    <w:p>
      <w:pPr>
        <w:spacing w:after="0" w:line="319" w:lineRule="auto"/>
        <w:jc w:val="left"/>
        <w:sectPr>
          <w:pgSz w:w="11910" w:h="16840"/>
          <w:pgMar w:header="877" w:footer="950" w:top="110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3627"/>
        <w:jc w:val="center"/>
        <w:rPr>
          <w:b w:val="0"/>
          <w:bCs w:val="0"/>
        </w:rPr>
      </w:pPr>
      <w:bookmarkStart w:name="_bookmark8" w:id="9"/>
      <w:bookmarkEnd w:id="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一、公司治理的基本状况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90"/>
        <w:jc w:val="left"/>
      </w:pPr>
      <w:r>
        <w:rPr/>
        <w:t>（一）公司治理现状 </w:t>
      </w:r>
      <w:r>
        <w:rPr>
          <w:spacing w:val="-2"/>
        </w:rPr>
        <w:t>报告期内，公司按照《公司法》、《证券法》、《上市公司治理准则》、《深圳证券交易所股票上市规则》、《香港联</w:t>
      </w:r>
    </w:p>
    <w:p>
      <w:pPr>
        <w:pStyle w:val="BodyText"/>
        <w:spacing w:line="224" w:lineRule="exact"/>
        <w:ind w:right="0"/>
        <w:jc w:val="left"/>
      </w:pPr>
      <w:r>
        <w:rPr/>
        <w:t>合交易所上市规则》和中国证监会有关规定的要求规范运作，不断健全和完善公司法人治理结构。除本节第九（一）条另有</w:t>
      </w:r>
    </w:p>
    <w:p>
      <w:pPr>
        <w:pStyle w:val="BodyText"/>
        <w:spacing w:line="240" w:lineRule="auto" w:before="77"/>
        <w:ind w:right="90"/>
        <w:jc w:val="left"/>
      </w:pPr>
      <w:r>
        <w:rPr/>
        <w:t>说明外，董事会认为公司治理的实际情况与《上市公司治理准则》等规范性文件的规定和要求基本相符。</w:t>
      </w:r>
    </w:p>
    <w:p>
      <w:pPr>
        <w:pStyle w:val="BodyText"/>
        <w:spacing w:line="357" w:lineRule="auto" w:before="116"/>
        <w:ind w:left="513" w:right="90"/>
        <w:jc w:val="left"/>
      </w:pPr>
      <w:r>
        <w:rPr/>
        <w:t>（二）公司治理活动 </w:t>
      </w:r>
      <w:r>
        <w:rPr>
          <w:spacing w:val="-2"/>
        </w:rPr>
        <w:t>报告期内，公司在巩固</w:t>
      </w:r>
      <w:r>
        <w:rPr>
          <w:rFonts w:ascii="Times New Roman" w:hAnsi="Times New Roman" w:cs="Times New Roman" w:eastAsia="Times New Roman" w:hint="default"/>
          <w:spacing w:val="-2"/>
        </w:rPr>
        <w:t>2013</w:t>
      </w:r>
      <w:r>
        <w:rPr>
          <w:spacing w:val="-2"/>
        </w:rPr>
        <w:t>年上市公司治理专项活动的基础上，董事会着力从完善公司治理入手，规范公司运行。根据</w:t>
      </w:r>
    </w:p>
    <w:p>
      <w:pPr>
        <w:pStyle w:val="BodyText"/>
        <w:spacing w:line="201" w:lineRule="exact"/>
        <w:ind w:right="0"/>
        <w:jc w:val="left"/>
      </w:pPr>
      <w:r>
        <w:rPr/>
        <w:t>监管规定，适时完善公司治理制度，修订完善了《董事会议事规则》、《监事会议事规则》、《关联交易管理制度》、《股</w:t>
      </w:r>
    </w:p>
    <w:p>
      <w:pPr>
        <w:pStyle w:val="BodyText"/>
        <w:spacing w:line="319" w:lineRule="auto" w:before="76"/>
        <w:ind w:right="191"/>
        <w:jc w:val="both"/>
      </w:pPr>
      <w:r>
        <w:rPr>
          <w:spacing w:val="-2"/>
        </w:rPr>
        <w:t>东大会议事规则》、《董事会提名委员会实施细则》；制订了《重大交易决策制度》、《对外投资决策制度》、《对外担保</w:t>
      </w:r>
      <w:r>
        <w:rPr>
          <w:spacing w:val="-71"/>
        </w:rPr>
        <w:t> </w:t>
      </w:r>
      <w:r>
        <w:rPr>
          <w:spacing w:val="-71"/>
        </w:rPr>
      </w:r>
      <w:r>
        <w:rPr>
          <w:spacing w:val="-2"/>
        </w:rPr>
        <w:t>决策制度》、《投资者关系管理制度》、《公司章程》修订案等管理制度。在持续推进公司治理水平提高方面开展了如下活</w:t>
      </w:r>
      <w:r>
        <w:rPr>
          <w:spacing w:val="-67"/>
        </w:rPr>
        <w:t> </w:t>
      </w:r>
      <w:r>
        <w:rPr>
          <w:spacing w:val="-67"/>
        </w:rPr>
      </w:r>
      <w:r>
        <w:rPr/>
        <w:t>动：</w:t>
      </w:r>
    </w:p>
    <w:p>
      <w:pPr>
        <w:pStyle w:val="BodyText"/>
        <w:spacing w:line="307" w:lineRule="auto" w:before="55"/>
        <w:ind w:right="90" w:firstLine="360"/>
        <w:jc w:val="left"/>
      </w:pPr>
      <w:r>
        <w:rPr>
          <w:rFonts w:ascii="Times New Roman" w:hAnsi="Times New Roman" w:cs="Times New Roman" w:eastAsia="Times New Roman" w:hint="default"/>
        </w:rPr>
        <w:t>1</w:t>
      </w:r>
      <w:r>
        <w:rPr/>
        <w:t>、为贯彻落实证监会《关于做好</w:t>
      </w:r>
      <w:r>
        <w:rPr>
          <w:rFonts w:ascii="Times New Roman" w:hAnsi="Times New Roman" w:cs="Times New Roman" w:eastAsia="Times New Roman" w:hint="default"/>
        </w:rPr>
        <w:t>2013</w:t>
      </w:r>
      <w:r>
        <w:rPr/>
        <w:t>年投资者保护工作的通知》（证监办发</w:t>
      </w:r>
      <w:r>
        <w:rPr>
          <w:rFonts w:ascii="Times New Roman" w:hAnsi="Times New Roman" w:cs="Times New Roman" w:eastAsia="Times New Roman" w:hint="default"/>
        </w:rPr>
        <w:t>[2013]21</w:t>
      </w:r>
      <w:r>
        <w:rPr/>
        <w:t>号）及山东证监局下发的《关于 </w:t>
      </w:r>
      <w:r>
        <w:rPr>
          <w:spacing w:val="-1"/>
        </w:rPr>
        <w:t>进一步做好上市公司投资者保护工作的通知》（鲁证监公司字</w:t>
      </w:r>
      <w:r>
        <w:rPr>
          <w:rFonts w:ascii="Times New Roman" w:hAnsi="Times New Roman" w:cs="Times New Roman" w:eastAsia="Times New Roman" w:hint="default"/>
          <w:spacing w:val="-1"/>
        </w:rPr>
        <w:t>[2013]33</w:t>
      </w:r>
      <w:r>
        <w:rPr>
          <w:spacing w:val="-1"/>
        </w:rPr>
        <w:t>号）的精神，切实保护好投资者，特别是社会公众投</w:t>
      </w:r>
      <w:r>
        <w:rPr>
          <w:spacing w:val="-57"/>
        </w:rPr>
        <w:t> </w:t>
      </w:r>
      <w:r>
        <w:rPr>
          <w:spacing w:val="-57"/>
        </w:rPr>
      </w:r>
      <w:r>
        <w:rPr>
          <w:spacing w:val="-2"/>
        </w:rPr>
        <w:t>资者的合法权益，公司按照《上市公司与投资者关系工作指引》及上述通知的要求，特制定了《投资者关系管理制度》，经</w:t>
      </w:r>
      <w:r>
        <w:rPr>
          <w:spacing w:val="-71"/>
        </w:rPr>
        <w:t> </w:t>
      </w:r>
      <w:r>
        <w:rPr>
          <w:spacing w:val="-71"/>
        </w:rPr>
      </w:r>
      <w:r>
        <w:rPr/>
        <w:t>第七届董事会第一次临时会议审议通过，并实施。</w:t>
      </w:r>
    </w:p>
    <w:p>
      <w:pPr>
        <w:pStyle w:val="BodyText"/>
        <w:spacing w:line="307" w:lineRule="auto" w:before="64"/>
        <w:ind w:left="154" w:right="188" w:firstLine="359"/>
        <w:jc w:val="both"/>
      </w:pPr>
      <w:r>
        <w:rPr>
          <w:rFonts w:ascii="Times New Roman" w:hAnsi="Times New Roman" w:cs="Times New Roman" w:eastAsia="Times New Roman" w:hint="default"/>
          <w:spacing w:val="-1"/>
        </w:rPr>
        <w:t>2</w:t>
      </w:r>
      <w:r>
        <w:rPr>
          <w:spacing w:val="-1"/>
        </w:rPr>
        <w:t>、根据公司</w:t>
      </w:r>
      <w:r>
        <w:rPr>
          <w:rFonts w:ascii="Times New Roman" w:hAnsi="Times New Roman" w:cs="Times New Roman" w:eastAsia="Times New Roman" w:hint="default"/>
          <w:spacing w:val="-1"/>
        </w:rPr>
        <w:t>2012</w:t>
      </w:r>
      <w:r>
        <w:rPr>
          <w:spacing w:val="-1"/>
        </w:rPr>
        <w:t>年度股东大会审议通过的《关于减少公司董事会成员人数并修订</w:t>
      </w:r>
      <w:r>
        <w:rPr>
          <w:rFonts w:ascii="Times New Roman" w:hAnsi="Times New Roman" w:cs="Times New Roman" w:eastAsia="Times New Roman" w:hint="default"/>
          <w:spacing w:val="-1"/>
        </w:rPr>
        <w:t>&lt;</w:t>
      </w:r>
      <w:r>
        <w:rPr>
          <w:spacing w:val="-1"/>
        </w:rPr>
        <w:t>公司章程</w:t>
      </w:r>
      <w:r>
        <w:rPr>
          <w:rFonts w:ascii="Times New Roman" w:hAnsi="Times New Roman" w:cs="Times New Roman" w:eastAsia="Times New Roman" w:hint="default"/>
          <w:spacing w:val="-1"/>
        </w:rPr>
        <w:t>&gt;</w:t>
      </w:r>
      <w:r>
        <w:rPr>
          <w:spacing w:val="-1"/>
        </w:rPr>
        <w:t>的议案》及《关于董事会</w:t>
      </w:r>
      <w:r>
        <w:rPr/>
        <w:t> </w:t>
      </w:r>
      <w:r>
        <w:rPr>
          <w:spacing w:val="-4"/>
        </w:rPr>
        <w:t>换届选举的议案》，公司第七届董事会成员人数由</w:t>
      </w:r>
      <w:r>
        <w:rPr>
          <w:rFonts w:ascii="Times New Roman" w:hAnsi="Times New Roman" w:cs="Times New Roman" w:eastAsia="Times New Roman" w:hint="default"/>
          <w:spacing w:val="-4"/>
        </w:rPr>
        <w:t>15</w:t>
      </w:r>
      <w:r>
        <w:rPr>
          <w:spacing w:val="-4"/>
        </w:rPr>
        <w:t>名减少至</w:t>
      </w:r>
      <w:r>
        <w:rPr>
          <w:rFonts w:ascii="Times New Roman" w:hAnsi="Times New Roman" w:cs="Times New Roman" w:eastAsia="Times New Roman" w:hint="default"/>
          <w:spacing w:val="-4"/>
        </w:rPr>
        <w:t>12</w:t>
      </w:r>
      <w:r>
        <w:rPr>
          <w:spacing w:val="-4"/>
        </w:rPr>
        <w:t>名，其中独立董事减少为</w:t>
      </w:r>
      <w:r>
        <w:rPr>
          <w:rFonts w:ascii="Times New Roman" w:hAnsi="Times New Roman" w:cs="Times New Roman" w:eastAsia="Times New Roman" w:hint="default"/>
          <w:spacing w:val="-4"/>
        </w:rPr>
        <w:t>4</w:t>
      </w:r>
      <w:r>
        <w:rPr>
          <w:spacing w:val="-4"/>
        </w:rPr>
        <w:t>人。公司根据上述变化情况对《董</w:t>
      </w:r>
      <w:r>
        <w:rPr>
          <w:spacing w:val="-37"/>
        </w:rPr>
        <w:t> </w:t>
      </w:r>
      <w:r>
        <w:rPr>
          <w:spacing w:val="-37"/>
        </w:rPr>
      </w:r>
      <w:r>
        <w:rPr>
          <w:spacing w:val="-2"/>
        </w:rPr>
        <w:t>事会审计委员会实施细则》、《董事会薪酬与考核委员会实施细则》、《董事会提名委员会实施细则》和《董事会战略委员</w:t>
      </w:r>
      <w:r>
        <w:rPr>
          <w:spacing w:val="-67"/>
        </w:rPr>
        <w:t> </w:t>
      </w:r>
      <w:r>
        <w:rPr>
          <w:spacing w:val="-67"/>
        </w:rPr>
      </w:r>
      <w:r>
        <w:rPr/>
        <w:t>会实施细则》进行修订，并实施。</w:t>
      </w:r>
    </w:p>
    <w:p>
      <w:pPr>
        <w:pStyle w:val="BodyText"/>
        <w:spacing w:line="309" w:lineRule="auto" w:before="65"/>
        <w:ind w:left="154" w:right="188" w:firstLine="360"/>
        <w:jc w:val="both"/>
      </w:pPr>
      <w:r>
        <w:rPr>
          <w:rFonts w:ascii="Times New Roman" w:hAnsi="Times New Roman" w:cs="Times New Roman" w:eastAsia="Times New Roman" w:hint="default"/>
        </w:rPr>
        <w:t>3</w:t>
      </w:r>
      <w:r>
        <w:rPr/>
        <w:t>、为确保公司重大交易、对外投资、对外担保等决策工作的规范、有效，依据《公司法》等有关法律、法规、规范性 </w:t>
      </w:r>
      <w:r>
        <w:rPr>
          <w:spacing w:val="-2"/>
        </w:rPr>
        <w:t>文件及《公司章程》的规定，结合公司的实际情况制订了《重大交易决策制度》、《对外投资决策制度》、《对外担保决策</w:t>
      </w:r>
      <w:r>
        <w:rPr>
          <w:spacing w:val="-69"/>
        </w:rPr>
        <w:t> </w:t>
      </w:r>
      <w:r>
        <w:rPr>
          <w:spacing w:val="-69"/>
        </w:rPr>
      </w:r>
      <w:r>
        <w:rPr/>
        <w:t>制度》，经</w:t>
      </w:r>
      <w:r>
        <w:rPr>
          <w:rFonts w:ascii="Times New Roman" w:hAnsi="Times New Roman" w:cs="Times New Roman" w:eastAsia="Times New Roman" w:hint="default"/>
        </w:rPr>
        <w:t>2013</w:t>
      </w:r>
      <w:r>
        <w:rPr/>
        <w:t>年第二次临时股东大会审议通过，并实施。</w:t>
      </w:r>
    </w:p>
    <w:p>
      <w:pPr>
        <w:pStyle w:val="BodyText"/>
        <w:spacing w:line="338" w:lineRule="auto" w:before="43"/>
        <w:ind w:left="154" w:right="90" w:firstLine="360"/>
        <w:jc w:val="left"/>
      </w:pPr>
      <w:r>
        <w:rPr>
          <w:spacing w:val="-2"/>
        </w:rPr>
        <w:t>通过严格执行内部控制的相关制度，促进了公司的规范运作和健康发展，保护了投资者合法权益，公司治理总体情况与</w:t>
      </w:r>
      <w:r>
        <w:rPr/>
        <w:t> 中国证监会的要求不存在差异，随着公司的发展，公司规范运作状况及内部控制水平将不断提升。 公司治理与《公司法》和中国证监会相关规定的要求是否存在差异</w:t>
      </w:r>
    </w:p>
    <w:p>
      <w:pPr>
        <w:pStyle w:val="BodyText"/>
        <w:spacing w:line="357" w:lineRule="auto" w:before="43"/>
        <w:ind w:left="154" w:right="4590"/>
        <w:jc w:val="left"/>
      </w:pPr>
      <w:r>
        <w:rPr/>
        <w:t>□ 是 √ 否 公司治理与《公司法》和中国证监会相关规定的要求不存在差异。</w:t>
      </w:r>
    </w:p>
    <w:p>
      <w:pPr>
        <w:pStyle w:val="BodyText"/>
        <w:spacing w:line="357" w:lineRule="auto" w:before="27"/>
        <w:ind w:left="514" w:right="90" w:hanging="360"/>
        <w:jc w:val="left"/>
      </w:pPr>
      <w:r>
        <w:rPr/>
        <w:t>公司治理专项活动开展情况以及内幕信息知情人登记管理制度的制定、实施情况 </w:t>
      </w:r>
      <w:r>
        <w:rPr>
          <w:spacing w:val="-2"/>
        </w:rPr>
        <w:t>为规范公司内幕信息管理行为，加强公司内幕信息保密工作，维护信息披露的公平原则，公司依据中国证券监督管理委</w:t>
      </w:r>
    </w:p>
    <w:p>
      <w:pPr>
        <w:pStyle w:val="BodyText"/>
        <w:spacing w:line="237" w:lineRule="exact"/>
        <w:ind w:left="154" w:right="90"/>
        <w:jc w:val="left"/>
      </w:pPr>
      <w:r>
        <w:rPr/>
        <w:t>员会《关于上市公司建立内幕信息知情人登记管理制度的规定</w:t>
      </w:r>
      <w:r>
        <w:rPr>
          <w:spacing w:val="-90"/>
        </w:rPr>
        <w:t>》</w:t>
      </w:r>
      <w:r>
        <w:rPr/>
        <w:t>（证监会公告</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号）和深圳证券交易所</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p>
    <w:p>
      <w:pPr>
        <w:pStyle w:val="BodyText"/>
        <w:spacing w:line="314" w:lineRule="auto" w:before="62"/>
        <w:ind w:left="154" w:right="90"/>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日发布的修订后的《信息披露业务备忘录第</w:t>
      </w:r>
      <w:r>
        <w:rPr>
          <w:spacing w:val="-54"/>
        </w:rPr>
        <w:t> </w:t>
      </w:r>
      <w:r>
        <w:rPr>
          <w:rFonts w:ascii="Times New Roman" w:hAnsi="Times New Roman" w:cs="Times New Roman" w:eastAsia="Times New Roman" w:hint="default"/>
        </w:rPr>
        <w:t>34</w:t>
      </w:r>
      <w:r>
        <w:rPr>
          <w:rFonts w:ascii="Times New Roman" w:hAnsi="Times New Roman" w:cs="Times New Roman" w:eastAsia="Times New Roman" w:hint="default"/>
          <w:spacing w:val="-9"/>
        </w:rPr>
        <w:t> </w:t>
      </w:r>
      <w:r>
        <w:rPr/>
        <w:t>号――内幕信息知情人员登记管理事项》相关要求，并结合实际情况，修 </w:t>
      </w:r>
      <w:r>
        <w:rPr>
          <w:spacing w:val="-2"/>
        </w:rPr>
        <w:t>订了《内幕信息知情人登记制度》明确了内幕信息的范围、内幕信息知情人及其范围、登记备案管理、保密及相关的责任追</w:t>
      </w:r>
      <w:r>
        <w:rPr>
          <w:spacing w:val="-66"/>
        </w:rPr>
        <w:t> </w:t>
      </w:r>
      <w:r>
        <w:rPr>
          <w:spacing w:val="-66"/>
        </w:rPr>
      </w:r>
      <w:r>
        <w:rPr>
          <w:spacing w:val="-2"/>
        </w:rPr>
        <w:t>究等。董事会是内幕信息的管理机构，指定董事会秘书为内幕信息管理工作负责人。公司强化内幕信息知情人的登记管理制</w:t>
      </w:r>
      <w:r>
        <w:rPr>
          <w:spacing w:val="-66"/>
        </w:rPr>
        <w:t> </w:t>
      </w:r>
      <w:r>
        <w:rPr>
          <w:spacing w:val="-66"/>
        </w:rPr>
      </w:r>
      <w:r>
        <w:rPr/>
        <w:t>度和监督检查工作，规范重大信息的内部流转程序，保证信息披露的公平。切实避免内幕信息外泄和内幕交易行为的发生。 </w:t>
      </w:r>
      <w:r>
        <w:rPr>
          <w:spacing w:val="-2"/>
        </w:rPr>
        <w:t>公司严格执行内幕信息知情人登记制度及相关制度，禁止内幕信息知情人在影响公司股价的重大敏感信息披露前买卖公司股</w:t>
      </w:r>
      <w:r>
        <w:rPr>
          <w:spacing w:val="-64"/>
        </w:rPr>
        <w:t> </w:t>
      </w:r>
      <w:r>
        <w:rPr>
          <w:spacing w:val="-64"/>
        </w:rPr>
      </w:r>
      <w:r>
        <w:rPr/>
        <w:t>份。</w:t>
      </w:r>
    </w:p>
    <w:p>
      <w:pPr>
        <w:pStyle w:val="BodyText"/>
        <w:spacing w:line="240" w:lineRule="auto" w:before="61"/>
        <w:ind w:left="514" w:right="90"/>
        <w:jc w:val="left"/>
      </w:pPr>
      <w:r>
        <w:rPr/>
        <w:t>通过自查，未发现公司内幕信息知情人在敏感期买卖公司股票的行为，无监管处罚记录。</w:t>
      </w:r>
    </w:p>
    <w:p>
      <w:pPr>
        <w:spacing w:after="0" w:line="240" w:lineRule="auto"/>
        <w:jc w:val="left"/>
        <w:sectPr>
          <w:pgSz w:w="11910" w:h="16840"/>
          <w:pgMar w:header="877" w:footer="950" w:top="1100" w:bottom="1140" w:left="980" w:right="940"/>
        </w:sectPr>
      </w:pPr>
    </w:p>
    <w:p>
      <w:pPr>
        <w:spacing w:line="240" w:lineRule="auto" w:before="8"/>
        <w:rPr>
          <w:rFonts w:ascii="宋体" w:hAnsi="宋体" w:cs="宋体" w:eastAsia="宋体" w:hint="default"/>
          <w:sz w:val="19"/>
          <w:szCs w:val="19"/>
        </w:rPr>
      </w:pPr>
      <w:r>
        <w:rPr/>
        <w:pict>
          <v:group style="position:absolute;margin-left:371.940002pt;margin-top:682.299988pt;width:53.55pt;height:85.8pt;mso-position-horizontal-relative:page;mso-position-vertical-relative:page;z-index:-1455832" coordorigin="7439,13646" coordsize="1071,1716">
            <v:shape style="position:absolute;left:7439;top:13646;width:1071;height:1716" coordorigin="7439,13646" coordsize="1071,1716" path="m7439,15362l8509,15362,8509,13646,7439,13646,7439,15362xe" filled="true" fillcolor="#ffffff" stroked="false">
              <v:path arrowok="t"/>
              <v:fill type="solid"/>
            </v:shape>
            <w10:wrap type="none"/>
          </v:group>
        </w:pict>
      </w:r>
      <w:r>
        <w:rPr/>
        <w:pict>
          <v:group style="position:absolute;margin-left:371.940002pt;margin-top:561.299988pt;width:53.55pt;height:85.8pt;mso-position-horizontal-relative:page;mso-position-vertical-relative:page;z-index:-1455808" coordorigin="7439,11226" coordsize="1071,1716">
            <v:shape style="position:absolute;left:7439;top:11226;width:1071;height:1716" coordorigin="7439,11226" coordsize="1071,1716" path="m7439,12942l8509,12942,8509,11226,7439,11226,7439,12942xe" filled="true" fillcolor="#ffffff" stroked="false">
              <v:path arrowok="t"/>
              <v:fill type="solid"/>
            </v:shape>
            <w10:wrap type="none"/>
          </v:group>
        </w:pict>
      </w:r>
    </w:p>
    <w:p>
      <w:pPr>
        <w:pStyle w:val="Heading2"/>
        <w:spacing w:line="240" w:lineRule="auto" w:before="26"/>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pict>
          <v:group style="position:absolute;margin-left:361.859985pt;margin-top:51.923988pt;width:46.9pt;height:95.6pt;mso-position-horizontal-relative:page;mso-position-vertical-relative:paragraph;z-index:-1455856" coordorigin="7237,1038" coordsize="938,1912">
            <v:group style="position:absolute;left:7237;top:1038;width:938;height:1560" coordorigin="7237,1038" coordsize="938,1560">
              <v:shape style="position:absolute;left:7237;top:1038;width:938;height:1560" coordorigin="7237,1038" coordsize="938,1560" path="m7237,2598l8174,2598,8174,1038,7237,1038,7237,2598xe" filled="true" fillcolor="#ffffff" stroked="false">
                <v:path arrowok="t"/>
                <v:fill type="solid"/>
              </v:shape>
            </v:group>
            <v:group style="position:absolute;left:7260;top:2598;width:892;height:352" coordorigin="7260,2598" coordsize="892,352">
              <v:shape style="position:absolute;left:7260;top:2598;width:892;height:352" coordorigin="7260,2598" coordsize="892,352" path="m7260,2950l8152,2950,8152,2598,7260,2598,7260,2950xe" filled="true" fillcolor="#ffffff" stroked="false">
                <v:path arrowok="t"/>
                <v:fill type="solid"/>
              </v:shape>
            </v:group>
            <w10:wrap type="none"/>
          </v:group>
        </w:pict>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948"/>
        <w:gridCol w:w="835"/>
        <w:gridCol w:w="4343"/>
        <w:gridCol w:w="947"/>
        <w:gridCol w:w="1130"/>
        <w:gridCol w:w="1364"/>
      </w:tblGrid>
      <w:tr>
        <w:trPr>
          <w:trHeight w:val="402" w:hRule="exact"/>
        </w:trPr>
        <w:tc>
          <w:tcPr>
            <w:tcW w:w="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948" w:type="dxa"/>
            <w:tcBorders>
              <w:top w:val="single" w:sz="4" w:space="0" w:color="000000"/>
              <w:left w:val="single" w:sz="4" w:space="0" w:color="000000"/>
              <w:bottom w:val="nil" w:sz="6" w:space="0" w:color="auto"/>
              <w:right w:val="single" w:sz="4" w:space="0" w:color="000000"/>
            </w:tcBorders>
          </w:tcPr>
          <w:p>
            <w:pPr/>
          </w:p>
        </w:tc>
        <w:tc>
          <w:tcPr>
            <w:tcW w:w="835" w:type="dxa"/>
            <w:tcBorders>
              <w:top w:val="single" w:sz="4" w:space="0" w:color="000000"/>
              <w:left w:val="single" w:sz="4" w:space="0" w:color="000000"/>
              <w:bottom w:val="nil" w:sz="6" w:space="0" w:color="auto"/>
              <w:right w:val="single" w:sz="4" w:space="0" w:color="000000"/>
            </w:tcBorders>
          </w:tcPr>
          <w:p>
            <w:pPr/>
          </w:p>
        </w:tc>
        <w:tc>
          <w:tcPr>
            <w:tcW w:w="43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年度董事会工作报告；</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947" w:type="dxa"/>
            <w:tcBorders>
              <w:top w:val="single" w:sz="4" w:space="0" w:color="000000"/>
              <w:left w:val="single" w:sz="4" w:space="0" w:color="000000"/>
              <w:bottom w:val="nil" w:sz="6" w:space="0" w:color="auto"/>
              <w:right w:val="single" w:sz="4" w:space="0" w:color="000000"/>
            </w:tcBorders>
          </w:tcPr>
          <w:p>
            <w:pPr/>
          </w:p>
        </w:tc>
        <w:tc>
          <w:tcPr>
            <w:tcW w:w="1130" w:type="dxa"/>
            <w:tcBorders>
              <w:top w:val="single" w:sz="4" w:space="0" w:color="000000"/>
              <w:left w:val="single" w:sz="4" w:space="0" w:color="000000"/>
              <w:bottom w:val="nil" w:sz="6" w:space="0" w:color="auto"/>
              <w:right w:val="single" w:sz="4" w:space="0" w:color="000000"/>
            </w:tcBorders>
          </w:tcPr>
          <w:p>
            <w:pPr/>
          </w:p>
        </w:tc>
        <w:tc>
          <w:tcPr>
            <w:tcW w:w="136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4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43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8"/>
                <w:sz w:val="18"/>
                <w:szCs w:val="18"/>
              </w:rPr>
              <w:t>监事会工作报告；</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、公司独立董事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年度述职报告</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30" w:type="dxa"/>
            <w:tcBorders>
              <w:top w:val="nil" w:sz="6" w:space="0" w:color="auto"/>
              <w:left w:val="single" w:sz="4" w:space="0" w:color="000000"/>
              <w:bottom w:val="nil" w:sz="6" w:space="0" w:color="auto"/>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43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年度报告全文和摘要；</w:t>
            </w:r>
            <w:r>
              <w:rPr>
                <w:rFonts w:ascii="Times New Roman" w:hAnsi="Times New Roman" w:cs="Times New Roman" w:eastAsia="Times New Roman" w:hint="default"/>
                <w:sz w:val="18"/>
                <w:szCs w:val="18"/>
              </w:rPr>
              <w:t>5</w:t>
            </w:r>
            <w:r>
              <w:rPr>
                <w:rFonts w:ascii="宋体" w:hAnsi="宋体" w:cs="宋体" w:eastAsia="宋体" w:hint="default"/>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w:t>
            </w:r>
          </w:p>
        </w:tc>
        <w:tc>
          <w:tcPr>
            <w:tcW w:w="947"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43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财务决算报告；</w:t>
            </w:r>
            <w:r>
              <w:rPr>
                <w:rFonts w:ascii="Times New Roman" w:hAnsi="Times New Roman" w:cs="Times New Roman" w:eastAsia="Times New Roman" w:hint="default"/>
                <w:sz w:val="18"/>
                <w:szCs w:val="18"/>
              </w:rPr>
              <w:t>6</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947"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43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公司关于向银行申请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pacing w:val="-4"/>
                <w:sz w:val="18"/>
                <w:szCs w:val="18"/>
              </w:rPr>
              <w:t>年度授信额度的议案；</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、公</w:t>
            </w:r>
            <w:r>
              <w:rPr>
                <w:rFonts w:ascii="宋体" w:hAnsi="宋体" w:cs="宋体" w:eastAsia="宋体" w:hint="default"/>
                <w:sz w:val="18"/>
                <w:szCs w:val="18"/>
              </w:rPr>
            </w:r>
          </w:p>
        </w:tc>
        <w:tc>
          <w:tcPr>
            <w:tcW w:w="947"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05</w:t>
            </w:r>
          </w:p>
        </w:tc>
        <w:tc>
          <w:tcPr>
            <w:tcW w:w="4343"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44"/>
              <w:jc w:val="left"/>
              <w:rPr>
                <w:rFonts w:ascii="宋体" w:hAnsi="宋体" w:cs="宋体" w:eastAsia="宋体" w:hint="default"/>
                <w:sz w:val="18"/>
                <w:szCs w:val="18"/>
              </w:rPr>
            </w:pPr>
            <w:r>
              <w:rPr>
                <w:rFonts w:ascii="宋体" w:hAnsi="宋体" w:cs="宋体" w:eastAsia="宋体" w:hint="default"/>
                <w:spacing w:val="-3"/>
                <w:sz w:val="18"/>
                <w:szCs w:val="18"/>
              </w:rPr>
              <w:t>司关于为部分控股子公司综合授信提供担保的议案；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宋体" w:hAnsi="宋体" w:cs="宋体" w:eastAsia="宋体" w:hint="default"/>
                <w:sz w:val="18"/>
                <w:szCs w:val="18"/>
              </w:rPr>
            </w:r>
          </w:p>
        </w:tc>
        <w:tc>
          <w:tcPr>
            <w:tcW w:w="947"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全部审议</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http://www.cninf</w:t>
            </w:r>
          </w:p>
        </w:tc>
      </w:tr>
      <w:tr>
        <w:trPr>
          <w:trHeight w:val="312" w:hRule="exact"/>
        </w:trPr>
        <w:tc>
          <w:tcPr>
            <w:tcW w:w="9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8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43"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公司关于对部分控股子公司提供财务资助的议案；</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947"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13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3" w:right="0"/>
              <w:jc w:val="left"/>
              <w:rPr>
                <w:rFonts w:ascii="Times New Roman" w:hAnsi="Times New Roman" w:cs="Times New Roman" w:eastAsia="Times New Roman" w:hint="default"/>
                <w:sz w:val="18"/>
                <w:szCs w:val="18"/>
              </w:rPr>
            </w:pPr>
            <w:r>
              <w:rPr>
                <w:rFonts w:ascii="Times New Roman"/>
                <w:sz w:val="18"/>
              </w:rPr>
              <w:t>o.com.cn</w:t>
            </w:r>
          </w:p>
        </w:tc>
      </w:tr>
      <w:tr>
        <w:trPr>
          <w:trHeight w:val="311" w:hRule="exact"/>
        </w:trPr>
        <w:tc>
          <w:tcPr>
            <w:tcW w:w="94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43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公司关于聘任</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年度审计机构的议案；</w:t>
            </w:r>
            <w:r>
              <w:rPr>
                <w:rFonts w:ascii="Times New Roman" w:hAnsi="Times New Roman" w:cs="Times New Roman" w:eastAsia="Times New Roman" w:hint="default"/>
                <w:sz w:val="18"/>
                <w:szCs w:val="18"/>
              </w:rPr>
              <w:t>11</w:t>
            </w:r>
            <w:r>
              <w:rPr>
                <w:rFonts w:ascii="宋体" w:hAnsi="宋体" w:cs="宋体" w:eastAsia="宋体" w:hint="default"/>
                <w:sz w:val="18"/>
                <w:szCs w:val="18"/>
              </w:rPr>
              <w:t>、公司关</w:t>
            </w:r>
          </w:p>
        </w:tc>
        <w:tc>
          <w:tcPr>
            <w:tcW w:w="947"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43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于董事会换届选举的议案；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、公司关于监事会换届选</w:t>
            </w:r>
          </w:p>
        </w:tc>
        <w:tc>
          <w:tcPr>
            <w:tcW w:w="947"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43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举的议案；</w:t>
            </w:r>
            <w:r>
              <w:rPr>
                <w:rFonts w:ascii="Times New Roman" w:hAnsi="Times New Roman" w:cs="Times New Roman" w:eastAsia="Times New Roman" w:hint="default"/>
                <w:spacing w:val="-2"/>
                <w:sz w:val="18"/>
                <w:szCs w:val="18"/>
              </w:rPr>
              <w:t>13</w:t>
            </w:r>
            <w:r>
              <w:rPr>
                <w:rFonts w:ascii="宋体" w:hAnsi="宋体" w:cs="宋体" w:eastAsia="宋体" w:hint="default"/>
                <w:spacing w:val="-2"/>
                <w:sz w:val="18"/>
                <w:szCs w:val="18"/>
              </w:rPr>
              <w:t>、公司关于减少公司董事会成员人数并修</w:t>
            </w:r>
          </w:p>
        </w:tc>
        <w:tc>
          <w:tcPr>
            <w:tcW w:w="947"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48" w:type="dxa"/>
            <w:tcBorders>
              <w:top w:val="nil" w:sz="6" w:space="0" w:color="auto"/>
              <w:left w:val="single" w:sz="4" w:space="0" w:color="000000"/>
              <w:bottom w:val="nil" w:sz="6" w:space="0" w:color="auto"/>
              <w:right w:val="single" w:sz="4" w:space="0" w:color="000000"/>
            </w:tcBorders>
          </w:tcPr>
          <w:p>
            <w:pPr/>
          </w:p>
        </w:tc>
        <w:tc>
          <w:tcPr>
            <w:tcW w:w="835" w:type="dxa"/>
            <w:tcBorders>
              <w:top w:val="nil" w:sz="6" w:space="0" w:color="auto"/>
              <w:left w:val="single" w:sz="4" w:space="0" w:color="000000"/>
              <w:bottom w:val="nil" w:sz="6" w:space="0" w:color="auto"/>
              <w:right w:val="single" w:sz="4" w:space="0" w:color="000000"/>
            </w:tcBorders>
          </w:tcPr>
          <w:p>
            <w:pPr/>
          </w:p>
        </w:tc>
        <w:tc>
          <w:tcPr>
            <w:tcW w:w="43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订《公司章程》的议案；</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、公司关于广东慧锐投资建</w:t>
            </w:r>
          </w:p>
        </w:tc>
        <w:tc>
          <w:tcPr>
            <w:tcW w:w="947" w:type="dxa"/>
            <w:tcBorders>
              <w:top w:val="nil" w:sz="6" w:space="0" w:color="auto"/>
              <w:left w:val="single" w:sz="4" w:space="0" w:color="000000"/>
              <w:bottom w:val="nil" w:sz="6" w:space="0" w:color="auto"/>
              <w:right w:val="single" w:sz="4" w:space="0" w:color="000000"/>
            </w:tcBorders>
          </w:tcPr>
          <w:p>
            <w:pPr/>
          </w:p>
        </w:tc>
        <w:tc>
          <w:tcPr>
            <w:tcW w:w="1130" w:type="dxa"/>
            <w:tcBorders>
              <w:top w:val="nil" w:sz="6" w:space="0" w:color="auto"/>
              <w:left w:val="single" w:sz="4" w:space="0" w:color="000000"/>
              <w:bottom w:val="nil" w:sz="6" w:space="0" w:color="auto"/>
              <w:right w:val="single" w:sz="4" w:space="0" w:color="000000"/>
            </w:tcBorders>
          </w:tcPr>
          <w:p>
            <w:pPr/>
          </w:p>
        </w:tc>
        <w:tc>
          <w:tcPr>
            <w:tcW w:w="1364"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948" w:type="dxa"/>
            <w:tcBorders>
              <w:top w:val="nil" w:sz="6" w:space="0" w:color="auto"/>
              <w:left w:val="single" w:sz="4" w:space="0" w:color="000000"/>
              <w:bottom w:val="single" w:sz="4" w:space="0" w:color="000000"/>
              <w:right w:val="single" w:sz="4" w:space="0" w:color="000000"/>
            </w:tcBorders>
          </w:tcPr>
          <w:p>
            <w:pPr/>
          </w:p>
        </w:tc>
        <w:tc>
          <w:tcPr>
            <w:tcW w:w="835" w:type="dxa"/>
            <w:tcBorders>
              <w:top w:val="nil" w:sz="6" w:space="0" w:color="auto"/>
              <w:left w:val="single" w:sz="4" w:space="0" w:color="000000"/>
              <w:bottom w:val="single" w:sz="4" w:space="0" w:color="000000"/>
              <w:right w:val="single" w:sz="4" w:space="0" w:color="000000"/>
            </w:tcBorders>
          </w:tcPr>
          <w:p>
            <w:pPr/>
          </w:p>
        </w:tc>
        <w:tc>
          <w:tcPr>
            <w:tcW w:w="43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设治理工程项目并授权的议案</w:t>
            </w:r>
          </w:p>
        </w:tc>
        <w:tc>
          <w:tcPr>
            <w:tcW w:w="947" w:type="dxa"/>
            <w:tcBorders>
              <w:top w:val="nil" w:sz="6" w:space="0" w:color="auto"/>
              <w:left w:val="single" w:sz="4" w:space="0" w:color="000000"/>
              <w:bottom w:val="single" w:sz="4" w:space="0" w:color="000000"/>
              <w:right w:val="single" w:sz="4" w:space="0" w:color="000000"/>
            </w:tcBorders>
          </w:tcPr>
          <w:p>
            <w:pPr/>
          </w:p>
        </w:tc>
        <w:tc>
          <w:tcPr>
            <w:tcW w:w="1130" w:type="dxa"/>
            <w:tcBorders>
              <w:top w:val="nil" w:sz="6" w:space="0" w:color="auto"/>
              <w:left w:val="single" w:sz="4" w:space="0" w:color="000000"/>
              <w:bottom w:val="single" w:sz="4" w:space="0" w:color="000000"/>
              <w:right w:val="single" w:sz="4" w:space="0" w:color="000000"/>
            </w:tcBorders>
          </w:tcPr>
          <w:p>
            <w:pPr/>
          </w:p>
        </w:tc>
        <w:tc>
          <w:tcPr>
            <w:tcW w:w="1364"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60"/>
        <w:gridCol w:w="900"/>
        <w:gridCol w:w="4140"/>
        <w:gridCol w:w="1080"/>
        <w:gridCol w:w="900"/>
        <w:gridCol w:w="1286"/>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4"/>
              <w:jc w:val="right"/>
              <w:rPr>
                <w:rFonts w:ascii="宋体" w:hAnsi="宋体" w:cs="宋体" w:eastAsia="宋体" w:hint="default"/>
                <w:sz w:val="18"/>
                <w:szCs w:val="18"/>
              </w:rPr>
            </w:pPr>
            <w:r>
              <w:rPr>
                <w:rFonts w:ascii="宋体" w:hAnsi="宋体" w:cs="宋体" w:eastAsia="宋体" w:hint="default"/>
                <w:sz w:val="18"/>
                <w:szCs w:val="18"/>
              </w:rPr>
              <w:t>决议情况</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2" w:hRule="exact"/>
        </w:trPr>
        <w:tc>
          <w:tcPr>
            <w:tcW w:w="126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、关于为全资子公司江西晨鸣增资的议案；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、关于</w:t>
            </w: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8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江西晨鸣建设高档包装纸项目的议案；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、关于更换</w:t>
            </w: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审计机构的议案；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、关于建设黄冈晨鸣林纸一体化</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45"/>
              <w:jc w:val="right"/>
              <w:rPr>
                <w:rFonts w:ascii="宋体" w:hAnsi="宋体" w:cs="宋体" w:eastAsia="宋体" w:hint="default"/>
                <w:sz w:val="18"/>
                <w:szCs w:val="18"/>
              </w:rPr>
            </w:pPr>
            <w:r>
              <w:rPr>
                <w:rFonts w:ascii="宋体" w:hAnsi="宋体" w:cs="宋体" w:eastAsia="宋体" w:hint="default"/>
                <w:sz w:val="18"/>
                <w:szCs w:val="18"/>
              </w:rPr>
              <w:t>全部审议通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http://www.cninf</w:t>
            </w: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项目的议案；</w:t>
            </w:r>
            <w:r>
              <w:rPr>
                <w:rFonts w:ascii="Times New Roman" w:hAnsi="Times New Roman" w:cs="Times New Roman" w:eastAsia="Times New Roman" w:hint="default"/>
                <w:sz w:val="18"/>
                <w:szCs w:val="18"/>
              </w:rPr>
              <w:t>5</w:t>
            </w:r>
            <w:r>
              <w:rPr>
                <w:rFonts w:ascii="宋体" w:hAnsi="宋体" w:cs="宋体" w:eastAsia="宋体" w:hint="default"/>
                <w:sz w:val="18"/>
                <w:szCs w:val="18"/>
              </w:rPr>
              <w:t>、关于为湛江晨鸣增加综合授信提供</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过</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担保的议案；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、关于授权董事会回购部分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股股份</w:t>
            </w: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6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一般性授权的议案</w:t>
            </w: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股类 别股东会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07"/>
              <w:jc w:val="left"/>
              <w:rPr>
                <w:rFonts w:ascii="宋体" w:hAnsi="宋体" w:cs="宋体" w:eastAsia="宋体" w:hint="default"/>
                <w:sz w:val="18"/>
                <w:szCs w:val="18"/>
              </w:rPr>
            </w:pPr>
            <w:r>
              <w:rPr>
                <w:rFonts w:ascii="宋体" w:hAnsi="宋体" w:cs="宋体" w:eastAsia="宋体" w:hint="default"/>
                <w:sz w:val="18"/>
                <w:szCs w:val="18"/>
              </w:rPr>
              <w:t>关于授权董事会回购部分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 </w:t>
            </w:r>
            <w:r>
              <w:rPr>
                <w:rFonts w:ascii="宋体" w:hAnsi="宋体" w:cs="宋体" w:eastAsia="宋体" w:hint="default"/>
                <w:sz w:val="18"/>
                <w:szCs w:val="18"/>
              </w:rPr>
              <w:t>股股份一般性授权的议 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2" w:right="28"/>
              <w:jc w:val="left"/>
              <w:rPr>
                <w:rFonts w:ascii="Times New Roman" w:hAnsi="Times New Roman" w:cs="Times New Roman" w:eastAsia="Times New Roman" w:hint="default"/>
                <w:sz w:val="18"/>
                <w:szCs w:val="18"/>
              </w:rPr>
            </w:pPr>
            <w:r>
              <w:rPr>
                <w:rFonts w:ascii="Times New Roman"/>
                <w:spacing w:val="-1"/>
                <w:sz w:val="18"/>
              </w:rPr>
              <w:t>http://www.cninf</w:t>
            </w:r>
            <w:r>
              <w:rPr>
                <w:rFonts w:ascii="Times New Roman"/>
                <w:spacing w:val="-43"/>
                <w:sz w:val="18"/>
              </w:rPr>
              <w:t> </w:t>
            </w:r>
            <w:r>
              <w:rPr>
                <w:rFonts w:ascii="Times New Roman"/>
                <w:spacing w:val="-43"/>
                <w:sz w:val="18"/>
              </w:rPr>
            </w:r>
            <w:r>
              <w:rPr>
                <w:rFonts w:ascii="Times New Roman"/>
                <w:sz w:val="18"/>
              </w:rPr>
              <w:t>o.com.cn</w:t>
            </w:r>
          </w:p>
        </w:tc>
      </w:tr>
      <w:tr>
        <w:trPr>
          <w:trHeight w:val="362" w:hRule="exact"/>
        </w:trPr>
        <w:tc>
          <w:tcPr>
            <w:tcW w:w="126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、关于为黄冈晨鸣提供担保的议案；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、关于湛江晨</w:t>
            </w: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8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鸣履行贷款抵押合同的议案；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、关于成立富裕销售</w:t>
            </w: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公司的议案；</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、关于武汉万兴置业购买土地的议案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0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、关于武汉晨鸣与湖北浙商合作开发房地产项目的</w:t>
            </w: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议案；</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、关于江西晨鸣合作建设港口的议案；</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、关</w:t>
            </w:r>
            <w:r>
              <w:rPr>
                <w:rFonts w:ascii="宋体" w:hAnsi="宋体" w:cs="宋体" w:eastAsia="宋体" w:hint="default"/>
                <w:sz w:val="18"/>
                <w:szCs w:val="18"/>
              </w:rPr>
            </w: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00" w:lineRule="auto"/>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于湛江晨鸣建设纸杯原纸和文化纸项目的议案；</w:t>
            </w:r>
            <w:r>
              <w:rPr>
                <w:rFonts w:ascii="Times New Roman" w:hAnsi="Times New Roman" w:cs="Times New Roman" w:eastAsia="Times New Roman" w:hint="default"/>
                <w:sz w:val="18"/>
                <w:szCs w:val="18"/>
              </w:rPr>
              <w:t>8</w:t>
            </w:r>
            <w:r>
              <w:rPr>
                <w:rFonts w:ascii="宋体" w:hAnsi="宋体" w:cs="宋体" w:eastAsia="宋体" w:hint="default"/>
                <w:sz w:val="18"/>
                <w:szCs w:val="18"/>
              </w:rPr>
              <w:t>、 关于重新制定《董事会议事规则》的议案；</w:t>
            </w:r>
            <w:r>
              <w:rPr>
                <w:rFonts w:ascii="Times New Roman" w:hAnsi="Times New Roman" w:cs="Times New Roman" w:eastAsia="Times New Roman" w:hint="default"/>
                <w:sz w:val="18"/>
                <w:szCs w:val="18"/>
              </w:rPr>
              <w:t>9</w:t>
            </w:r>
            <w:r>
              <w:rPr>
                <w:rFonts w:ascii="宋体" w:hAnsi="宋体" w:cs="宋体" w:eastAsia="宋体" w:hint="default"/>
                <w:sz w:val="18"/>
                <w:szCs w:val="18"/>
              </w:rPr>
              <w:t>、关于 </w:t>
            </w:r>
            <w:r>
              <w:rPr>
                <w:rFonts w:ascii="宋体" w:hAnsi="宋体" w:cs="宋体" w:eastAsia="宋体" w:hint="default"/>
                <w:spacing w:val="-3"/>
                <w:sz w:val="18"/>
                <w:szCs w:val="18"/>
              </w:rPr>
              <w:t>重新制定《监事会议事规则》的议案；</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、关于修订</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全部审议通 过</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62" w:lineRule="auto"/>
              <w:ind w:left="22" w:right="28"/>
              <w:jc w:val="left"/>
              <w:rPr>
                <w:rFonts w:ascii="Times New Roman" w:hAnsi="Times New Roman" w:cs="Times New Roman" w:eastAsia="Times New Roman" w:hint="default"/>
                <w:sz w:val="18"/>
                <w:szCs w:val="18"/>
              </w:rPr>
            </w:pPr>
            <w:r>
              <w:rPr>
                <w:rFonts w:ascii="Times New Roman"/>
                <w:spacing w:val="-1"/>
                <w:sz w:val="18"/>
              </w:rPr>
              <w:t>http://www.cninf</w:t>
            </w:r>
            <w:r>
              <w:rPr>
                <w:rFonts w:ascii="Times New Roman"/>
                <w:spacing w:val="-43"/>
                <w:sz w:val="18"/>
              </w:rPr>
              <w:t> </w:t>
            </w:r>
            <w:r>
              <w:rPr>
                <w:rFonts w:ascii="Times New Roman"/>
                <w:spacing w:val="-43"/>
                <w:sz w:val="18"/>
              </w:rPr>
            </w:r>
            <w:r>
              <w:rPr>
                <w:rFonts w:ascii="Times New Roman"/>
                <w:sz w:val="18"/>
              </w:rPr>
              <w:t>o.com.cn</w:t>
            </w: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《关联交易管理制度》的议案；</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、关于制定《重大</w:t>
            </w: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交易决策制度》的议案；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、关于制定《对外投资决</w:t>
            </w: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7"/>
                <w:sz w:val="18"/>
                <w:szCs w:val="18"/>
              </w:rPr>
              <w:t>策制度》的议案；</w:t>
            </w:r>
            <w:r>
              <w:rPr>
                <w:rFonts w:ascii="Times New Roman" w:hAnsi="Times New Roman" w:cs="Times New Roman" w:eastAsia="Times New Roman" w:hint="default"/>
                <w:spacing w:val="-7"/>
                <w:sz w:val="18"/>
                <w:szCs w:val="18"/>
              </w:rPr>
              <w:t>13</w:t>
            </w:r>
            <w:r>
              <w:rPr>
                <w:rFonts w:ascii="宋体" w:hAnsi="宋体" w:cs="宋体" w:eastAsia="宋体" w:hint="default"/>
                <w:spacing w:val="-7"/>
                <w:sz w:val="18"/>
                <w:szCs w:val="18"/>
              </w:rPr>
              <w:t>、关于制定《对外担保决策制度</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0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1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的议案；</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、关于修订《公司章程》的议案；</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、关</w:t>
            </w:r>
            <w:r>
              <w:rPr>
                <w:rFonts w:ascii="宋体" w:hAnsi="宋体" w:cs="宋体" w:eastAsia="宋体" w:hint="default"/>
                <w:sz w:val="18"/>
                <w:szCs w:val="18"/>
              </w:rPr>
            </w:r>
          </w:p>
        </w:tc>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6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1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于重新制定《股东大会议事规则》的议案</w:t>
            </w: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9"/>
        <w:rPr>
          <w:rFonts w:ascii="宋体" w:hAnsi="宋体" w:cs="宋体" w:eastAsia="宋体" w:hint="default"/>
          <w:b/>
          <w:bCs/>
          <w:sz w:val="19"/>
          <w:szCs w:val="19"/>
        </w:rPr>
      </w:pPr>
    </w:p>
    <w:p>
      <w:pPr>
        <w:pStyle w:val="Heading2"/>
        <w:spacing w:line="240" w:lineRule="auto" w:before="26"/>
        <w:ind w:right="90"/>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张志元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王爱国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王玉玫</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王翔飞</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潘爱玲</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90"/>
        <w:jc w:val="left"/>
      </w:pPr>
      <w:r>
        <w:rPr/>
        <w:t>连续两次未亲自出席董事会的说明：公司独立董事无连续两次未出席董事会的情况。</w:t>
      </w:r>
    </w:p>
    <w:p>
      <w:pPr>
        <w:spacing w:line="240" w:lineRule="auto" w:before="11"/>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0"/>
        <w:jc w:val="left"/>
      </w:pPr>
      <w:r>
        <w:rPr/>
        <w:t>独立董事对公司有关事项是否提出异议</w:t>
      </w:r>
    </w:p>
    <w:p>
      <w:pPr>
        <w:pStyle w:val="BodyText"/>
        <w:spacing w:line="360" w:lineRule="auto" w:before="116"/>
        <w:ind w:right="6031"/>
        <w:jc w:val="left"/>
      </w:pPr>
      <w:r>
        <w:rPr/>
        <w:t>□ 是 √ 否 报告期内独立董事对公司有关事项未提出异议。</w:t>
      </w:r>
    </w:p>
    <w:p>
      <w:pPr>
        <w:spacing w:line="240" w:lineRule="auto" w:before="11"/>
        <w:rPr>
          <w:rFonts w:ascii="宋体" w:hAnsi="宋体" w:cs="宋体" w:eastAsia="宋体" w:hint="default"/>
          <w:sz w:val="19"/>
          <w:szCs w:val="19"/>
        </w:rPr>
      </w:pPr>
    </w:p>
    <w:p>
      <w:pPr>
        <w:pStyle w:val="Heading4"/>
        <w:spacing w:line="240" w:lineRule="auto"/>
        <w:ind w:right="9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90"/>
        <w:jc w:val="left"/>
      </w:pPr>
      <w:r>
        <w:rPr/>
        <w:t>独立董事对公司有关建议是否被采纳</w:t>
      </w:r>
    </w:p>
    <w:p>
      <w:pPr>
        <w:pStyle w:val="BodyText"/>
        <w:spacing w:line="357" w:lineRule="auto" w:before="116"/>
        <w:ind w:right="631"/>
        <w:jc w:val="left"/>
      </w:pPr>
      <w:r>
        <w:rPr/>
        <w:t>√ 是 □ 否 独立董事对公司有关建议被采纳或未被采纳的说明：公司采纳独立董事建议继续购买董监高责任险，防范职业风险。</w:t>
      </w:r>
    </w:p>
    <w:p>
      <w:pPr>
        <w:spacing w:line="240" w:lineRule="auto" w:before="4"/>
        <w:rPr>
          <w:rFonts w:ascii="宋体" w:hAnsi="宋体" w:cs="宋体" w:eastAsia="宋体" w:hint="default"/>
          <w:sz w:val="18"/>
          <w:szCs w:val="18"/>
        </w:rPr>
      </w:pPr>
    </w:p>
    <w:p>
      <w:pPr>
        <w:pStyle w:val="Heading2"/>
        <w:spacing w:line="240" w:lineRule="auto"/>
        <w:ind w:right="90"/>
        <w:jc w:val="left"/>
        <w:rPr>
          <w:b w:val="0"/>
          <w:bCs w:val="0"/>
        </w:rPr>
      </w:pPr>
      <w:r>
        <w:rPr/>
        <w:t>四、董事会下设专门委员会在报告期内履行职责情况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76" w:right="90"/>
        <w:jc w:val="left"/>
        <w:rPr>
          <w:b w:val="0"/>
          <w:bCs w:val="0"/>
        </w:rPr>
      </w:pPr>
      <w:r>
        <w:rPr>
          <w:rFonts w:ascii="Times New Roman" w:hAnsi="Times New Roman" w:cs="Times New Roman" w:eastAsia="Times New Roman" w:hint="default"/>
        </w:rPr>
        <w:t>1</w:t>
      </w:r>
      <w:r>
        <w:rPr/>
        <w:t>、审计委员会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2013</w:t>
      </w:r>
      <w:r>
        <w:rPr/>
        <w:t>年度主要做了以下工作：</w:t>
      </w:r>
    </w:p>
    <w:p>
      <w:pPr>
        <w:pStyle w:val="BodyText"/>
        <w:spacing w:line="302" w:lineRule="auto" w:before="102"/>
        <w:ind w:right="90" w:firstLine="360"/>
        <w:jc w:val="left"/>
      </w:pPr>
      <w:r>
        <w:rPr>
          <w:spacing w:val="-2"/>
        </w:rPr>
        <w:t>①与公司聘请的外部审计机构对</w:t>
      </w:r>
      <w:r>
        <w:rPr>
          <w:rFonts w:ascii="Times New Roman" w:hAnsi="Times New Roman" w:cs="Times New Roman" w:eastAsia="Times New Roman" w:hint="default"/>
          <w:spacing w:val="-2"/>
        </w:rPr>
        <w:t>2012</w:t>
      </w:r>
      <w:r>
        <w:rPr>
          <w:spacing w:val="-2"/>
        </w:rPr>
        <w:t>年度财务报告的审计工作进行审计前的沟通，并审阅了</w:t>
      </w:r>
      <w:r>
        <w:rPr>
          <w:rFonts w:ascii="Times New Roman" w:hAnsi="Times New Roman" w:cs="Times New Roman" w:eastAsia="Times New Roman" w:hint="default"/>
          <w:spacing w:val="-2"/>
        </w:rPr>
        <w:t>2012</w:t>
      </w:r>
      <w:r>
        <w:rPr>
          <w:spacing w:val="-2"/>
        </w:rPr>
        <w:t>年度审计报告和财务报</w:t>
      </w:r>
      <w:r>
        <w:rPr/>
        <w:t> 告，向公司董事会提交了该报告；</w:t>
      </w:r>
    </w:p>
    <w:p>
      <w:pPr>
        <w:pStyle w:val="BodyText"/>
        <w:spacing w:line="240" w:lineRule="auto" w:before="69"/>
        <w:ind w:left="513" w:right="90"/>
        <w:jc w:val="left"/>
      </w:pPr>
      <w:r>
        <w:rPr/>
        <w:t>②审阅截至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日止六个月的本公司半年度财务报告，并提交董事会审议通过。</w:t>
      </w:r>
    </w:p>
    <w:p>
      <w:pPr>
        <w:pStyle w:val="BodyText"/>
        <w:spacing w:line="240" w:lineRule="auto" w:before="102"/>
        <w:ind w:left="513" w:right="90"/>
        <w:jc w:val="left"/>
      </w:pPr>
      <w:r>
        <w:rPr/>
        <w:t>（</w:t>
      </w:r>
      <w:r>
        <w:rPr>
          <w:rFonts w:ascii="Times New Roman" w:hAnsi="Times New Roman" w:cs="Times New Roman" w:eastAsia="Times New Roman" w:hint="default"/>
        </w:rPr>
        <w:t>2</w:t>
      </w:r>
      <w:r>
        <w:rPr/>
        <w:t>）对公司</w:t>
      </w:r>
      <w:r>
        <w:rPr>
          <w:rFonts w:ascii="Times New Roman" w:hAnsi="Times New Roman" w:cs="Times New Roman" w:eastAsia="Times New Roman" w:hint="default"/>
        </w:rPr>
        <w:t>2013</w:t>
      </w:r>
      <w:r>
        <w:rPr/>
        <w:t>年度财务报告审计工作情况如下：</w:t>
      </w:r>
    </w:p>
    <w:p>
      <w:pPr>
        <w:pStyle w:val="BodyText"/>
        <w:spacing w:line="302" w:lineRule="auto" w:before="102"/>
        <w:ind w:right="91" w:firstLine="360"/>
        <w:jc w:val="left"/>
      </w:pPr>
      <w:r>
        <w:rPr>
          <w:spacing w:val="-2"/>
        </w:rPr>
        <w:t>①在会计师进场审计前，与年度审计注册会计师、公司财务部门召开会议，认真审阅了公司</w:t>
      </w:r>
      <w:r>
        <w:rPr>
          <w:rFonts w:ascii="Times New Roman" w:hAnsi="Times New Roman" w:cs="Times New Roman" w:eastAsia="Times New Roman" w:hint="default"/>
          <w:spacing w:val="-2"/>
        </w:rPr>
        <w:t>2013</w:t>
      </w:r>
      <w:r>
        <w:rPr>
          <w:spacing w:val="-2"/>
        </w:rPr>
        <w:t>年度审计工作计划及相</w:t>
      </w:r>
      <w:r>
        <w:rPr/>
        <w:t> 关资料，与负责公司年度审计工作的瑞华会计师事务所注册会计师协商确定了公司</w:t>
      </w:r>
      <w:r>
        <w:rPr>
          <w:rFonts w:ascii="Times New Roman" w:hAnsi="Times New Roman" w:cs="Times New Roman" w:eastAsia="Times New Roman" w:hint="default"/>
        </w:rPr>
        <w:t>2013</w:t>
      </w:r>
      <w:r>
        <w:rPr/>
        <w:t>年度财务审计报告的时间安排计划；</w:t>
      </w:r>
    </w:p>
    <w:p>
      <w:pPr>
        <w:pStyle w:val="BodyText"/>
        <w:spacing w:line="240" w:lineRule="auto" w:before="50"/>
        <w:ind w:left="514" w:right="90"/>
        <w:jc w:val="left"/>
      </w:pPr>
      <w:r>
        <w:rPr/>
        <w:t>②在年度审计注册会计师进场前认真审阅了公司初步编制的财务会计报表，并出具了同意审计的意见；</w:t>
      </w:r>
    </w:p>
    <w:p>
      <w:pPr>
        <w:pStyle w:val="BodyText"/>
        <w:spacing w:line="240" w:lineRule="auto" w:before="115"/>
        <w:ind w:left="514" w:right="0"/>
        <w:jc w:val="left"/>
      </w:pPr>
      <w:r>
        <w:rPr/>
        <w:t>③公司年度审计注册会计师进场后，审计委员会不断加强与会计师的沟通，并发出督促函，督促其在约定的时间内提交</w:t>
      </w:r>
    </w:p>
    <w:p>
      <w:pPr>
        <w:spacing w:after="0" w:line="240" w:lineRule="auto"/>
        <w:jc w:val="left"/>
        <w:sectPr>
          <w:pgSz w:w="11910" w:h="16840"/>
          <w:pgMar w:header="877" w:footer="950" w:top="1100" w:bottom="1140" w:left="980" w:right="940"/>
        </w:sectPr>
      </w:pPr>
    </w:p>
    <w:p>
      <w:pPr>
        <w:spacing w:line="240" w:lineRule="auto" w:before="13"/>
        <w:rPr>
          <w:rFonts w:ascii="宋体" w:hAnsi="宋体" w:cs="宋体" w:eastAsia="宋体" w:hint="default"/>
          <w:sz w:val="21"/>
          <w:szCs w:val="21"/>
        </w:rPr>
      </w:pPr>
    </w:p>
    <w:p>
      <w:pPr>
        <w:pStyle w:val="BodyText"/>
        <w:spacing w:line="240" w:lineRule="auto" w:before="44"/>
        <w:ind w:right="0"/>
        <w:jc w:val="both"/>
      </w:pPr>
      <w:r>
        <w:rPr/>
        <w:t>审计报告；</w:t>
      </w:r>
    </w:p>
    <w:p>
      <w:pPr>
        <w:pStyle w:val="BodyText"/>
        <w:spacing w:line="319" w:lineRule="auto" w:before="115"/>
        <w:ind w:right="101" w:firstLine="360"/>
        <w:jc w:val="both"/>
      </w:pPr>
      <w:r>
        <w:rPr>
          <w:spacing w:val="-4"/>
        </w:rPr>
        <w:t>④公司年度审计注册会计师出具初步审计意见后审计委员会又一次审阅了公司财务报表，认为公司财务报表真实、准确、</w:t>
      </w:r>
      <w:r>
        <w:rPr/>
        <w:t> 完整的反映了公司的整体情况；</w:t>
      </w:r>
    </w:p>
    <w:p>
      <w:pPr>
        <w:pStyle w:val="BodyText"/>
        <w:spacing w:line="302" w:lineRule="auto" w:before="56"/>
        <w:ind w:right="190" w:firstLine="360"/>
        <w:jc w:val="both"/>
      </w:pPr>
      <w:r>
        <w:rPr>
          <w:spacing w:val="-2"/>
        </w:rPr>
        <w:t>⑤审计委员会</w:t>
      </w:r>
      <w:r>
        <w:rPr>
          <w:rFonts w:ascii="Times New Roman" w:hAnsi="Times New Roman" w:cs="Times New Roman" w:eastAsia="Times New Roman" w:hint="default"/>
          <w:spacing w:val="-2"/>
        </w:rPr>
        <w:t>2013</w:t>
      </w:r>
      <w:r>
        <w:rPr>
          <w:spacing w:val="-2"/>
        </w:rPr>
        <w:t>年第一次会议审议了公司年度审计会计师事务所出具的本年度审计工作总结，并向董事会提交了该报</w:t>
      </w:r>
      <w:r>
        <w:rPr/>
        <w:t> 告；</w:t>
      </w:r>
    </w:p>
    <w:p>
      <w:pPr>
        <w:pStyle w:val="BodyText"/>
        <w:spacing w:line="240" w:lineRule="auto" w:before="69"/>
        <w:ind w:left="513" w:right="90"/>
        <w:jc w:val="left"/>
      </w:pPr>
      <w:r>
        <w:rPr/>
        <w:t>⑥审阅截至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日止年度的本公司内部审计及内部控制情况的报告。</w:t>
      </w:r>
    </w:p>
    <w:p>
      <w:pPr>
        <w:spacing w:line="240" w:lineRule="auto" w:before="9"/>
        <w:rPr>
          <w:rFonts w:ascii="宋体" w:hAnsi="宋体" w:cs="宋体" w:eastAsia="宋体" w:hint="default"/>
          <w:sz w:val="25"/>
          <w:szCs w:val="25"/>
        </w:rPr>
      </w:pPr>
    </w:p>
    <w:p>
      <w:pPr>
        <w:pStyle w:val="Heading4"/>
        <w:spacing w:line="240" w:lineRule="auto"/>
        <w:ind w:left="576" w:right="90"/>
        <w:jc w:val="left"/>
        <w:rPr>
          <w:b w:val="0"/>
          <w:bCs w:val="0"/>
        </w:rPr>
      </w:pPr>
      <w:r>
        <w:rPr>
          <w:rFonts w:ascii="Times New Roman" w:hAnsi="Times New Roman" w:cs="Times New Roman" w:eastAsia="Times New Roman" w:hint="default"/>
        </w:rPr>
        <w:t>2</w:t>
      </w:r>
      <w:r>
        <w:rPr/>
        <w:t>、薪酬与考核委员会</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91" w:firstLine="360"/>
        <w:jc w:val="both"/>
      </w:pPr>
      <w:r>
        <w:rPr>
          <w:spacing w:val="-2"/>
        </w:rPr>
        <w:t>公司董事会下设薪酬与考核委员会，主要负责制定公司董事及高管人员的薪酬考核、制定、审查董事及高管人员的薪酬</w:t>
      </w:r>
      <w:r>
        <w:rPr/>
        <w:t> </w:t>
      </w:r>
      <w:r>
        <w:rPr>
          <w:spacing w:val="-2"/>
        </w:rPr>
        <w:t>方案，对董事会负责。报告期内，公司董事会薪酬和考核委员会根据</w:t>
      </w:r>
      <w:r>
        <w:rPr>
          <w:rFonts w:ascii="Times New Roman" w:hAnsi="Times New Roman" w:cs="Times New Roman" w:eastAsia="Times New Roman" w:hint="default"/>
          <w:spacing w:val="-2"/>
        </w:rPr>
        <w:t>2013</w:t>
      </w:r>
      <w:r>
        <w:rPr>
          <w:spacing w:val="-2"/>
        </w:rPr>
        <w:t>年的经营情况、董事及高管人员的考核情况，制定</w:t>
      </w:r>
      <w:r>
        <w:rPr>
          <w:spacing w:val="-63"/>
        </w:rPr>
        <w:t> </w:t>
      </w:r>
      <w:r>
        <w:rPr>
          <w:spacing w:val="-63"/>
        </w:rPr>
      </w:r>
      <w:r>
        <w:rPr/>
        <w:t>了公司董事及高管人员</w:t>
      </w:r>
      <w:r>
        <w:rPr>
          <w:rFonts w:ascii="Times New Roman" w:hAnsi="Times New Roman" w:cs="Times New Roman" w:eastAsia="Times New Roman" w:hint="default"/>
        </w:rPr>
        <w:t>2013</w:t>
      </w:r>
      <w:r>
        <w:rPr/>
        <w:t>年度的薪酬方案，并提交了董事会。</w:t>
      </w:r>
    </w:p>
    <w:p>
      <w:pPr>
        <w:spacing w:line="240" w:lineRule="auto" w:before="4"/>
        <w:rPr>
          <w:rFonts w:ascii="宋体" w:hAnsi="宋体" w:cs="宋体" w:eastAsia="宋体" w:hint="default"/>
          <w:sz w:val="21"/>
          <w:szCs w:val="21"/>
        </w:rPr>
      </w:pPr>
    </w:p>
    <w:p>
      <w:pPr>
        <w:pStyle w:val="Heading4"/>
        <w:spacing w:line="240" w:lineRule="auto"/>
        <w:ind w:left="576" w:right="90"/>
        <w:jc w:val="left"/>
        <w:rPr>
          <w:b w:val="0"/>
          <w:bCs w:val="0"/>
        </w:rPr>
      </w:pPr>
      <w:r>
        <w:rPr>
          <w:rFonts w:ascii="Times New Roman" w:hAnsi="Times New Roman" w:cs="Times New Roman" w:eastAsia="Times New Roman" w:hint="default"/>
        </w:rPr>
        <w:t>3</w:t>
      </w:r>
      <w:r>
        <w:rPr/>
        <w:t>、提名委员会</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54" w:right="191" w:firstLine="360"/>
        <w:jc w:val="both"/>
      </w:pPr>
      <w:r>
        <w:rPr>
          <w:spacing w:val="-2"/>
        </w:rPr>
        <w:t>报告期内，提名委员会召开一次会议。</w:t>
      </w:r>
      <w:r>
        <w:rPr>
          <w:rFonts w:ascii="Times New Roman" w:hAnsi="Times New Roman" w:cs="Times New Roman" w:eastAsia="Times New Roman" w:hint="default"/>
          <w:spacing w:val="-2"/>
        </w:rPr>
        <w:t>2013</w:t>
      </w:r>
      <w:r>
        <w:rPr>
          <w:spacing w:val="-2"/>
        </w:rPr>
        <w:t>年第一次会议审议了《关于对公司董事会进行换届选举的议案》，并提交本</w:t>
      </w:r>
      <w:r>
        <w:rPr/>
        <w:t> 公司第六届董事会第十六次会议审议通过。</w:t>
      </w:r>
    </w:p>
    <w:p>
      <w:pPr>
        <w:spacing w:line="240" w:lineRule="auto" w:before="2"/>
        <w:rPr>
          <w:rFonts w:ascii="宋体" w:hAnsi="宋体" w:cs="宋体" w:eastAsia="宋体" w:hint="default"/>
          <w:sz w:val="23"/>
          <w:szCs w:val="23"/>
        </w:rPr>
      </w:pPr>
    </w:p>
    <w:p>
      <w:pPr>
        <w:pStyle w:val="Heading4"/>
        <w:spacing w:line="240" w:lineRule="auto"/>
        <w:ind w:left="576" w:right="90"/>
        <w:jc w:val="left"/>
        <w:rPr>
          <w:b w:val="0"/>
          <w:bCs w:val="0"/>
        </w:rPr>
      </w:pPr>
      <w:r>
        <w:rPr>
          <w:rFonts w:ascii="Times New Roman" w:hAnsi="Times New Roman" w:cs="Times New Roman" w:eastAsia="Times New Roman" w:hint="default"/>
        </w:rPr>
        <w:t>4</w:t>
      </w:r>
      <w:r>
        <w:rPr/>
        <w:t>、战略委员会</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90" w:firstLine="360"/>
        <w:jc w:val="both"/>
      </w:pPr>
      <w:r>
        <w:rPr>
          <w:spacing w:val="-5"/>
        </w:rPr>
        <w:t>报告期内，战略委员会召开三次会议。</w:t>
      </w:r>
      <w:r>
        <w:rPr>
          <w:rFonts w:ascii="Times New Roman" w:hAnsi="Times New Roman" w:cs="Times New Roman" w:eastAsia="Times New Roman" w:hint="default"/>
          <w:spacing w:val="-5"/>
        </w:rPr>
        <w:t>2013</w:t>
      </w:r>
      <w:r>
        <w:rPr>
          <w:spacing w:val="-5"/>
        </w:rPr>
        <w:t>年第一次会议审议了《关于武汉晨鸣投资生活用纸及技改项目的议案》、《关</w:t>
      </w:r>
      <w:r>
        <w:rPr>
          <w:spacing w:val="-2"/>
        </w:rPr>
        <w:t> </w:t>
      </w:r>
      <w:r>
        <w:rPr>
          <w:spacing w:val="-5"/>
        </w:rPr>
        <w:t>于广东慧锐建设治理工程项目的议案》，并提交本公司第六届董事会第八次临时会议审议通过；</w:t>
      </w:r>
      <w:r>
        <w:rPr>
          <w:rFonts w:ascii="Times New Roman" w:hAnsi="Times New Roman" w:cs="Times New Roman" w:eastAsia="Times New Roman" w:hint="default"/>
          <w:spacing w:val="-5"/>
        </w:rPr>
        <w:t>2013</w:t>
      </w:r>
      <w:r>
        <w:rPr>
          <w:spacing w:val="-5"/>
        </w:rPr>
        <w:t>年第二次会议审议了《关</w:t>
      </w:r>
      <w:r>
        <w:rPr>
          <w:spacing w:val="-72"/>
        </w:rPr>
        <w:t> </w:t>
      </w:r>
      <w:r>
        <w:rPr>
          <w:spacing w:val="-72"/>
        </w:rPr>
      </w:r>
      <w:r>
        <w:rPr>
          <w:spacing w:val="-2"/>
        </w:rPr>
        <w:t>于江西晨鸣投资高档包装纸项目的议案》，并提交本公司第七届董事会第一次临时会议审议通过；</w:t>
      </w:r>
      <w:r>
        <w:rPr>
          <w:rFonts w:ascii="Times New Roman" w:hAnsi="Times New Roman" w:cs="Times New Roman" w:eastAsia="Times New Roman" w:hint="default"/>
          <w:spacing w:val="-2"/>
        </w:rPr>
        <w:t>2013</w:t>
      </w:r>
      <w:r>
        <w:rPr>
          <w:spacing w:val="-2"/>
        </w:rPr>
        <w:t>年第三次会议审议了</w:t>
      </w:r>
    </w:p>
    <w:p>
      <w:pPr>
        <w:pStyle w:val="BodyText"/>
        <w:spacing w:line="316" w:lineRule="auto" w:before="13"/>
        <w:ind w:right="190"/>
        <w:jc w:val="both"/>
      </w:pPr>
      <w:r>
        <w:rPr>
          <w:spacing w:val="-2"/>
        </w:rPr>
        <w:t>《关于成立富裕销售公司的议案》、《关于武汉万兴置业购买土地的议案》、《关于武汉晨鸣与湖北浙商合作开发房地产项</w:t>
      </w:r>
      <w:r>
        <w:rPr>
          <w:spacing w:val="-68"/>
        </w:rPr>
        <w:t> </w:t>
      </w:r>
      <w:r>
        <w:rPr>
          <w:spacing w:val="-68"/>
        </w:rPr>
      </w:r>
      <w:r>
        <w:rPr>
          <w:spacing w:val="-2"/>
        </w:rPr>
        <w:t>目的议案》、《关于江西晨鸣合作建设港口的议案》、《关于湛江晨鸣建设纸杯原纸和文化纸项目的议案》，并提交本公司</w:t>
      </w:r>
      <w:r>
        <w:rPr>
          <w:spacing w:val="-67"/>
        </w:rPr>
        <w:t> </w:t>
      </w:r>
      <w:r>
        <w:rPr>
          <w:spacing w:val="-67"/>
        </w:rPr>
      </w:r>
      <w:r>
        <w:rPr/>
        <w:t>第七届董事会第二次临时会议审议通过。</w:t>
      </w:r>
    </w:p>
    <w:p>
      <w:pPr>
        <w:pStyle w:val="BodyText"/>
        <w:spacing w:line="316" w:lineRule="auto" w:before="18"/>
        <w:ind w:right="190" w:firstLine="360"/>
        <w:jc w:val="both"/>
      </w:pPr>
      <w:r>
        <w:rPr>
          <w:spacing w:val="-2"/>
        </w:rPr>
        <w:t>战略委员会关注董事会对项目发展和融资等授权情况，与管理层保持着顺畅的日常沟通，对授权范围内各项事务保持充</w:t>
      </w:r>
      <w:r>
        <w:rPr/>
        <w:t> 分了解。</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4" w:right="90"/>
        <w:jc w:val="left"/>
      </w:pPr>
      <w:r>
        <w:rPr/>
        <w:t>报告期内，公司监事会召开会议六次。 </w:t>
      </w:r>
      <w:r>
        <w:rPr>
          <w:spacing w:val="-2"/>
        </w:rPr>
        <w:t>第六届监事会第十三次会议审议通过了2012年度监事会工作报告、公司2012年度报告全文及摘要、公司2012年度财务决</w:t>
      </w:r>
    </w:p>
    <w:p>
      <w:pPr>
        <w:pStyle w:val="BodyText"/>
        <w:spacing w:line="316" w:lineRule="auto" w:before="18"/>
        <w:ind w:left="154" w:right="189"/>
        <w:jc w:val="both"/>
      </w:pPr>
      <w:r>
        <w:rPr>
          <w:spacing w:val="-2"/>
        </w:rPr>
        <w:t>算报告、为部分全资子公司综合授信提供担保的议案、公司对部分子公司提供财务资助的议案、公司《内部控制自我评价报</w:t>
      </w:r>
      <w:r>
        <w:rPr>
          <w:spacing w:val="-66"/>
        </w:rPr>
        <w:t> </w:t>
      </w:r>
      <w:r>
        <w:rPr>
          <w:spacing w:val="-66"/>
        </w:rPr>
      </w:r>
      <w:r>
        <w:rPr/>
        <w:t>告》、公司聘任2013年度审计机构的议案、监事会进行换届选举的议案共8项议案；</w:t>
      </w:r>
    </w:p>
    <w:p>
      <w:pPr>
        <w:pStyle w:val="BodyText"/>
        <w:spacing w:line="316" w:lineRule="auto" w:before="18"/>
        <w:ind w:left="514" w:right="2700"/>
        <w:jc w:val="left"/>
      </w:pPr>
      <w:r>
        <w:rPr/>
        <w:t>第六届监事会第十四次会议审议通过了公司2013年一季度报告全文和正文共1项议案； 第七届监事会第一次会议审议通过了选举公司监事会主席的议案； 第七届监事会第二次会议审议通过了公司2013年中期报告全文和摘要共1项议案； 第七届监事会第三次会议审议通过了关于重新制定《监事会议事规则》的议案； 第七届监事会第四次会议审议通过了公司2013年三季度报告全文和正文共1项议案。</w:t>
      </w:r>
    </w:p>
    <w:p>
      <w:pPr>
        <w:pStyle w:val="BodyText"/>
        <w:spacing w:line="240" w:lineRule="auto" w:before="59"/>
        <w:ind w:left="514" w:right="90"/>
        <w:jc w:val="left"/>
      </w:pPr>
      <w:r>
        <w:rPr/>
        <w:t>监事会在报告期内的监督活动中发现公司是否存在风险</w:t>
      </w:r>
    </w:p>
    <w:p>
      <w:pPr>
        <w:pStyle w:val="BodyText"/>
        <w:spacing w:line="357" w:lineRule="auto" w:before="117"/>
        <w:ind w:left="513" w:right="6391"/>
        <w:jc w:val="left"/>
      </w:pPr>
      <w:r>
        <w:rPr/>
        <w:t>□ 是 √ 否 监事会对报告期内的监督事项无异议。</w:t>
      </w:r>
    </w:p>
    <w:p>
      <w:pPr>
        <w:spacing w:after="0" w:line="357" w:lineRule="auto"/>
        <w:jc w:val="left"/>
        <w:sectPr>
          <w:pgSz w:w="11910" w:h="16840"/>
          <w:pgMar w:header="877" w:footer="950" w:top="1100" w:bottom="1140" w:left="980" w:right="940"/>
        </w:sectPr>
      </w:pPr>
    </w:p>
    <w:p>
      <w:pPr>
        <w:spacing w:line="240" w:lineRule="auto" w:before="8"/>
        <w:rPr>
          <w:rFonts w:ascii="宋体" w:hAnsi="宋体" w:cs="宋体" w:eastAsia="宋体" w:hint="default"/>
          <w:sz w:val="19"/>
          <w:szCs w:val="19"/>
        </w:rPr>
      </w:pPr>
    </w:p>
    <w:p>
      <w:pPr>
        <w:pStyle w:val="Heading2"/>
        <w:spacing w:line="240" w:lineRule="auto" w:before="26"/>
        <w:ind w:right="90"/>
        <w:jc w:val="left"/>
        <w:rPr>
          <w:b w:val="0"/>
          <w:bCs w:val="0"/>
        </w:rPr>
      </w:pPr>
      <w:r>
        <w:rPr/>
        <w:t>六、公司相对于控股股东在业务、人员、资产、机构、财务等方面的独立完整情况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0"/>
        <w:jc w:val="left"/>
      </w:pPr>
      <w:r>
        <w:rPr>
          <w:rFonts w:ascii="Times New Roman" w:hAnsi="Times New Roman" w:cs="Times New Roman" w:eastAsia="Times New Roman" w:hint="default"/>
        </w:rPr>
        <w:t>1</w:t>
      </w:r>
      <w:r>
        <w:rPr/>
        <w:t>、业务独立情况：公司在业务方面完全独立于控股股东，具有独立完整的业务及自主经营能力。</w:t>
      </w:r>
    </w:p>
    <w:p>
      <w:pPr>
        <w:pStyle w:val="BodyText"/>
        <w:spacing w:line="240" w:lineRule="auto" w:before="102"/>
        <w:ind w:left="513" w:right="90"/>
        <w:jc w:val="left"/>
      </w:pPr>
      <w:r>
        <w:rPr>
          <w:rFonts w:ascii="Times New Roman" w:hAnsi="Times New Roman" w:cs="Times New Roman" w:eastAsia="Times New Roman" w:hint="default"/>
        </w:rPr>
        <w:t>2</w:t>
      </w:r>
      <w:r>
        <w:rPr/>
        <w:t>、人员分开情况：公司在劳动、人事及工资管理方面与控股股东完全分开。</w:t>
      </w:r>
    </w:p>
    <w:p>
      <w:pPr>
        <w:pStyle w:val="BodyText"/>
        <w:spacing w:line="240" w:lineRule="auto" w:before="103"/>
        <w:ind w:left="513" w:right="90"/>
        <w:jc w:val="left"/>
      </w:pPr>
      <w:r>
        <w:rPr>
          <w:rFonts w:ascii="Times New Roman" w:hAnsi="Times New Roman" w:cs="Times New Roman" w:eastAsia="Times New Roman" w:hint="default"/>
        </w:rPr>
        <w:t>3</w:t>
      </w:r>
      <w:r>
        <w:rPr/>
        <w:t>、资产独立情况：公司与控股股东寿光晨鸣控股有限公司在资产方面只有股权投资关系，双方资产完全分开。</w:t>
      </w:r>
    </w:p>
    <w:p>
      <w:pPr>
        <w:pStyle w:val="BodyText"/>
        <w:spacing w:line="302" w:lineRule="auto" w:before="101"/>
        <w:ind w:right="181" w:firstLine="360"/>
        <w:jc w:val="left"/>
      </w:pPr>
      <w:r>
        <w:rPr>
          <w:rFonts w:ascii="Times New Roman" w:hAnsi="Times New Roman" w:cs="Times New Roman" w:eastAsia="Times New Roman" w:hint="default"/>
        </w:rPr>
        <w:t>4</w:t>
      </w:r>
      <w:r>
        <w:rPr/>
        <w:t>、机构分开情况：公司拥有完整的组织机构、机构的设置完全按照法定程序并根据公司情况需要设立，公司机构与控 股股东完全分开。</w:t>
      </w:r>
    </w:p>
    <w:p>
      <w:pPr>
        <w:pStyle w:val="BodyText"/>
        <w:spacing w:line="302" w:lineRule="auto" w:before="68"/>
        <w:ind w:right="181" w:firstLine="360"/>
        <w:jc w:val="left"/>
      </w:pPr>
      <w:r>
        <w:rPr>
          <w:rFonts w:ascii="Times New Roman" w:hAnsi="Times New Roman" w:cs="Times New Roman" w:eastAsia="Times New Roman" w:hint="default"/>
        </w:rPr>
        <w:t>5</w:t>
      </w:r>
      <w:r>
        <w:rPr/>
        <w:t>、财务分开情况：公司拥有独立的财务部门，并建立了独立的会计核算体系和财务管理制度，在银行单独开立帐户， 控股股东不干涉公司的财务活动。</w:t>
      </w:r>
    </w:p>
    <w:p>
      <w:pPr>
        <w:pStyle w:val="BodyText"/>
        <w:spacing w:line="240" w:lineRule="auto" w:before="70"/>
        <w:ind w:left="513" w:right="0"/>
        <w:jc w:val="left"/>
      </w:pPr>
      <w:r>
        <w:rPr/>
        <w:t>综上所述，公司与控股股东在业务、人员、资产、机构、财务等方面完全分开，具有独立完整的业务及自主经营能力。</w:t>
      </w:r>
    </w:p>
    <w:p>
      <w:pPr>
        <w:spacing w:line="240" w:lineRule="auto" w:before="13"/>
        <w:rPr>
          <w:rFonts w:ascii="宋体" w:hAnsi="宋体" w:cs="宋体" w:eastAsia="宋体" w:hint="default"/>
          <w:sz w:val="24"/>
          <w:szCs w:val="24"/>
        </w:rPr>
      </w:pPr>
    </w:p>
    <w:p>
      <w:pPr>
        <w:pStyle w:val="Heading2"/>
        <w:spacing w:line="240" w:lineRule="auto"/>
        <w:ind w:right="90"/>
        <w:jc w:val="left"/>
        <w:rPr>
          <w:b w:val="0"/>
          <w:bCs w:val="0"/>
        </w:rPr>
      </w:pPr>
      <w:r>
        <w:rPr/>
        <w:t>七、同业竞争情况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0"/>
        <w:jc w:val="left"/>
      </w:pPr>
      <w:r>
        <w:rPr/>
        <w:t>公司与控股股东、实际控制人不存在同业竞争的情况。</w:t>
      </w:r>
    </w:p>
    <w:p>
      <w:pPr>
        <w:spacing w:line="240" w:lineRule="auto" w:before="13"/>
        <w:rPr>
          <w:rFonts w:ascii="宋体" w:hAnsi="宋体" w:cs="宋体" w:eastAsia="宋体" w:hint="default"/>
          <w:sz w:val="24"/>
          <w:szCs w:val="24"/>
        </w:rPr>
      </w:pPr>
    </w:p>
    <w:p>
      <w:pPr>
        <w:pStyle w:val="Heading2"/>
        <w:spacing w:line="240" w:lineRule="auto"/>
        <w:ind w:right="9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89" w:firstLine="360"/>
        <w:jc w:val="both"/>
      </w:pPr>
      <w:r>
        <w:rPr>
          <w:spacing w:val="-2"/>
        </w:rPr>
        <w:t>公司对高管人员的考评建立起了月度考评与年度考评相结合的考评机制。月度考评以年度重点工作做指引，结合月度完</w:t>
      </w:r>
      <w:r>
        <w:rPr/>
        <w:t> </w:t>
      </w:r>
      <w:r>
        <w:rPr>
          <w:spacing w:val="-2"/>
        </w:rPr>
        <w:t>成情况及重要绩效指标考评两项硬指标考核为主，并通过互相监督、相互评价，按月进行；年度考评由公司薪酬与考核委员</w:t>
      </w:r>
      <w:r>
        <w:rPr>
          <w:spacing w:val="-66"/>
        </w:rPr>
        <w:t> </w:t>
      </w:r>
      <w:r>
        <w:rPr>
          <w:spacing w:val="-66"/>
        </w:rPr>
      </w:r>
      <w:r>
        <w:rPr/>
        <w:t>会结合高管人员月度考评情况及年度整体情况包括高管综合素质及内部人才培养情况做出评定。</w:t>
      </w:r>
    </w:p>
    <w:p>
      <w:pPr>
        <w:spacing w:line="240" w:lineRule="auto" w:before="6"/>
        <w:rPr>
          <w:rFonts w:ascii="宋体" w:hAnsi="宋体" w:cs="宋体" w:eastAsia="宋体" w:hint="default"/>
          <w:sz w:val="20"/>
          <w:szCs w:val="20"/>
        </w:rPr>
      </w:pPr>
    </w:p>
    <w:p>
      <w:pPr>
        <w:pStyle w:val="Heading2"/>
        <w:spacing w:line="240" w:lineRule="auto"/>
        <w:ind w:right="90"/>
        <w:jc w:val="left"/>
        <w:rPr>
          <w:b w:val="0"/>
          <w:bCs w:val="0"/>
        </w:rPr>
      </w:pPr>
      <w:r>
        <w:rPr/>
        <w:t>九、</w:t>
      </w:r>
      <w:r>
        <w:rPr>
          <w:spacing w:val="-24"/>
        </w:rPr>
        <w:t> </w:t>
      </w:r>
      <w:r>
        <w:rPr/>
        <w:t>根据香港联合交易所有限公司公布的香港上市规则披露</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576" w:right="90"/>
        <w:jc w:val="left"/>
        <w:rPr>
          <w:b w:val="0"/>
          <w:bCs w:val="0"/>
        </w:rPr>
      </w:pPr>
      <w:r>
        <w:rPr>
          <w:rFonts w:ascii="Times New Roman" w:hAnsi="Times New Roman" w:cs="Times New Roman" w:eastAsia="Times New Roman" w:hint="default"/>
        </w:rPr>
        <w:t>1</w:t>
      </w:r>
      <w:r>
        <w:rPr/>
        <w:t>、遵守《企业管治守则》</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60"/>
        <w:jc w:val="left"/>
      </w:pPr>
      <w:r>
        <w:rPr>
          <w:spacing w:val="-2"/>
        </w:rPr>
        <w:t>本公司透过不同的内部监控管制以维持高水平的企业管治常规，董事会并会不时对企业管治常规作出检讨以提高本公司</w:t>
      </w:r>
      <w:r>
        <w:rPr/>
        <w:t> 的企业管治标准。</w:t>
      </w:r>
    </w:p>
    <w:p>
      <w:pPr>
        <w:pStyle w:val="BodyText"/>
        <w:spacing w:line="302" w:lineRule="auto" w:before="55"/>
        <w:ind w:right="220" w:firstLine="360"/>
        <w:jc w:val="left"/>
      </w:pPr>
      <w:r>
        <w:rPr/>
        <w:t>除本节第四点</w:t>
      </w:r>
      <w:r>
        <w:rPr>
          <w:rFonts w:ascii="Times New Roman" w:hAnsi="Times New Roman" w:cs="Times New Roman" w:eastAsia="Times New Roman" w:hint="default"/>
        </w:rPr>
        <w:t>“</w:t>
      </w:r>
      <w:r>
        <w:rPr/>
        <w:t>董事长与总经理</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及本节第十七点“与股东的沟通”所述内容外，本公司报告期内全面遵守香港上市规 则附录十四所载《企业管治守则》中的原则及守则条文。</w:t>
      </w:r>
    </w:p>
    <w:p>
      <w:pPr>
        <w:spacing w:line="240" w:lineRule="auto" w:before="3"/>
        <w:rPr>
          <w:rFonts w:ascii="宋体" w:hAnsi="宋体" w:cs="宋体" w:eastAsia="宋体" w:hint="default"/>
          <w:sz w:val="23"/>
          <w:szCs w:val="23"/>
        </w:rPr>
      </w:pPr>
    </w:p>
    <w:p>
      <w:pPr>
        <w:pStyle w:val="Heading4"/>
        <w:spacing w:line="240" w:lineRule="auto"/>
        <w:ind w:left="576" w:right="90"/>
        <w:jc w:val="left"/>
        <w:rPr>
          <w:b w:val="0"/>
          <w:bCs w:val="0"/>
        </w:rPr>
      </w:pPr>
      <w:r>
        <w:rPr>
          <w:rFonts w:ascii="Times New Roman" w:hAnsi="Times New Roman" w:cs="Times New Roman" w:eastAsia="Times New Roman" w:hint="default"/>
        </w:rPr>
        <w:t>2</w:t>
      </w:r>
      <w:r>
        <w:rPr/>
        <w:t>、董事及监事的证券交易活动</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0" w:firstLine="360"/>
        <w:jc w:val="left"/>
      </w:pPr>
      <w:r>
        <w:rPr>
          <w:spacing w:val="-2"/>
        </w:rPr>
        <w:t>公司董事确认公司已经采纳香港上市规则附录十《上市发行人董事进行证券交易标准守则》。经向公司全体董事及监事</w:t>
      </w:r>
      <w:r>
        <w:rPr/>
        <w:t> 做出充分咨询后，公司并无获悉任何资料合理的显示各位董事及监事于报告期内未遵守该守则所规定的准则。</w:t>
      </w:r>
    </w:p>
    <w:p>
      <w:pPr>
        <w:spacing w:line="240" w:lineRule="auto" w:before="4"/>
        <w:rPr>
          <w:rFonts w:ascii="宋体" w:hAnsi="宋体" w:cs="宋体" w:eastAsia="宋体" w:hint="default"/>
          <w:sz w:val="22"/>
          <w:szCs w:val="22"/>
        </w:rPr>
      </w:pPr>
    </w:p>
    <w:p>
      <w:pPr>
        <w:pStyle w:val="Heading4"/>
        <w:spacing w:line="240" w:lineRule="auto"/>
        <w:ind w:left="576" w:right="90"/>
        <w:jc w:val="left"/>
        <w:rPr>
          <w:b w:val="0"/>
          <w:bCs w:val="0"/>
        </w:rPr>
      </w:pPr>
      <w:r>
        <w:rPr>
          <w:rFonts w:ascii="Times New Roman" w:hAnsi="Times New Roman" w:cs="Times New Roman" w:eastAsia="Times New Roman" w:hint="default"/>
        </w:rPr>
        <w:t>3</w:t>
      </w:r>
      <w:r>
        <w:rPr/>
        <w:t>、董事会</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90" w:firstLine="360"/>
        <w:jc w:val="left"/>
      </w:pPr>
      <w:r>
        <w:rPr/>
        <w:t>本公司董事会由股东大会选举产生，并向股东大会负责，行使下列职权：（</w:t>
      </w:r>
      <w:r>
        <w:rPr>
          <w:rFonts w:ascii="Times New Roman" w:hAnsi="Times New Roman" w:cs="Times New Roman" w:eastAsia="Times New Roman" w:hint="default"/>
        </w:rPr>
        <w:t>1</w:t>
      </w:r>
      <w:r>
        <w:rPr/>
        <w:t>）负责召集股东大会，并向股东大会报告 </w:t>
      </w:r>
      <w:r>
        <w:rPr>
          <w:spacing w:val="-2"/>
        </w:rPr>
        <w:t>工作；（</w:t>
      </w:r>
      <w:r>
        <w:rPr>
          <w:rFonts w:ascii="Times New Roman" w:hAnsi="Times New Roman" w:cs="Times New Roman" w:eastAsia="Times New Roman" w:hint="default"/>
          <w:spacing w:val="-2"/>
        </w:rPr>
        <w:t>2</w:t>
      </w:r>
      <w:r>
        <w:rPr>
          <w:spacing w:val="-2"/>
        </w:rPr>
        <w:t>）执行股东大会的决议；（</w:t>
      </w:r>
      <w:r>
        <w:rPr>
          <w:rFonts w:ascii="Times New Roman" w:hAnsi="Times New Roman" w:cs="Times New Roman" w:eastAsia="Times New Roman" w:hint="default"/>
          <w:spacing w:val="-2"/>
        </w:rPr>
        <w:t>3</w:t>
      </w:r>
      <w:r>
        <w:rPr>
          <w:spacing w:val="-2"/>
        </w:rPr>
        <w:t>）决定公司的经营计划和投资方案；（</w:t>
      </w:r>
      <w:r>
        <w:rPr>
          <w:rFonts w:ascii="Times New Roman" w:hAnsi="Times New Roman" w:cs="Times New Roman" w:eastAsia="Times New Roman" w:hint="default"/>
          <w:spacing w:val="-2"/>
        </w:rPr>
        <w:t>4</w:t>
      </w:r>
      <w:r>
        <w:rPr>
          <w:spacing w:val="-2"/>
        </w:rPr>
        <w:t>）制定公司的年度财务预算方案、决算方案；</w:t>
      </w:r>
    </w:p>
    <w:p>
      <w:pPr>
        <w:pStyle w:val="BodyText"/>
        <w:spacing w:line="300" w:lineRule="auto" w:before="13"/>
        <w:ind w:right="91"/>
        <w:jc w:val="left"/>
      </w:pPr>
      <w:r>
        <w:rPr>
          <w:spacing w:val="-2"/>
        </w:rPr>
        <w:t>（</w:t>
      </w:r>
      <w:r>
        <w:rPr>
          <w:rFonts w:ascii="Times New Roman" w:hAnsi="Times New Roman" w:cs="Times New Roman" w:eastAsia="Times New Roman" w:hint="default"/>
          <w:spacing w:val="-2"/>
        </w:rPr>
        <w:t>5</w:t>
      </w:r>
      <w:r>
        <w:rPr>
          <w:spacing w:val="-2"/>
        </w:rPr>
        <w:t>）制定公司的利润分配方案和弥补亏损方案；（</w:t>
      </w:r>
      <w:r>
        <w:rPr>
          <w:rFonts w:ascii="Times New Roman" w:hAnsi="Times New Roman" w:cs="Times New Roman" w:eastAsia="Times New Roman" w:hint="default"/>
          <w:spacing w:val="-2"/>
        </w:rPr>
        <w:t>6</w:t>
      </w:r>
      <w:r>
        <w:rPr>
          <w:spacing w:val="-2"/>
        </w:rPr>
        <w:t>）制定公司增加或者减少注册资本的方案以及发行公司债券或其它证券</w:t>
      </w:r>
      <w:r>
        <w:rPr>
          <w:spacing w:val="-63"/>
        </w:rPr>
        <w:t> </w:t>
      </w:r>
      <w:r>
        <w:rPr>
          <w:spacing w:val="-63"/>
        </w:rPr>
      </w:r>
      <w:r>
        <w:rPr>
          <w:spacing w:val="-5"/>
        </w:rPr>
        <w:t>及上市方案；（</w:t>
      </w:r>
      <w:r>
        <w:rPr>
          <w:rFonts w:ascii="Times New Roman" w:hAnsi="Times New Roman" w:cs="Times New Roman" w:eastAsia="Times New Roman" w:hint="default"/>
          <w:spacing w:val="-5"/>
        </w:rPr>
        <w:t>7</w:t>
      </w:r>
      <w:r>
        <w:rPr>
          <w:spacing w:val="-5"/>
        </w:rPr>
        <w:t>）拟定公司重大收购、收购公司股票的方案；（</w:t>
      </w:r>
      <w:r>
        <w:rPr>
          <w:rFonts w:ascii="Times New Roman" w:hAnsi="Times New Roman" w:cs="Times New Roman" w:eastAsia="Times New Roman" w:hint="default"/>
          <w:spacing w:val="-5"/>
        </w:rPr>
        <w:t>8</w:t>
      </w:r>
      <w:r>
        <w:rPr>
          <w:spacing w:val="-5"/>
        </w:rPr>
        <w:t>）拟定公司合并、分立、解散及变更公司形式的方案；（</w:t>
      </w:r>
      <w:r>
        <w:rPr>
          <w:rFonts w:ascii="Times New Roman" w:hAnsi="Times New Roman" w:cs="Times New Roman" w:eastAsia="Times New Roman" w:hint="default"/>
          <w:spacing w:val="-5"/>
        </w:rPr>
        <w:t>9</w:t>
      </w:r>
      <w:r>
        <w:rPr>
          <w:spacing w:val="-5"/>
        </w:rPr>
        <w:t>）</w:t>
      </w:r>
      <w:r>
        <w:rPr>
          <w:spacing w:val="-71"/>
        </w:rPr>
        <w:t> </w:t>
      </w:r>
      <w:r>
        <w:rPr>
          <w:spacing w:val="-4"/>
        </w:rPr>
        <w:t>在股东大会授权范围内，决定公司对外投资、收购出售资产、资产抵押、对外担保事项、委托理财、关联交易等事项；（</w:t>
      </w:r>
      <w:r>
        <w:rPr>
          <w:rFonts w:ascii="Times New Roman" w:hAnsi="Times New Roman" w:cs="Times New Roman" w:eastAsia="Times New Roman" w:hint="default"/>
          <w:spacing w:val="-4"/>
        </w:rPr>
        <w:t>10</w:t>
      </w:r>
      <w:r>
        <w:rPr>
          <w:spacing w:val="-4"/>
        </w:rPr>
        <w:t>）</w:t>
      </w:r>
      <w:r>
        <w:rPr>
          <w:spacing w:val="-42"/>
        </w:rPr>
        <w:t> </w:t>
      </w:r>
      <w:r>
        <w:rPr>
          <w:spacing w:val="-2"/>
        </w:rPr>
        <w:t>决定公司内部管理机构的设置；（</w:t>
      </w:r>
      <w:r>
        <w:rPr>
          <w:rFonts w:ascii="Times New Roman" w:hAnsi="Times New Roman" w:cs="Times New Roman" w:eastAsia="Times New Roman" w:hint="default"/>
          <w:spacing w:val="-2"/>
        </w:rPr>
        <w:t>11</w:t>
      </w:r>
      <w:r>
        <w:rPr>
          <w:spacing w:val="-2"/>
        </w:rPr>
        <w:t>）聘任或者解聘公司经理、董事会秘书，根据经理提名，聘任或者解聘公司副经理、财</w:t>
      </w:r>
      <w:r>
        <w:rPr>
          <w:spacing w:val="-68"/>
        </w:rPr>
        <w:t> </w:t>
      </w:r>
      <w:r>
        <w:rPr>
          <w:spacing w:val="-68"/>
        </w:rPr>
      </w:r>
      <w:r>
        <w:rPr/>
        <w:t>务负责人等高级管理人员，决定其报酬和奖惩事项；（</w:t>
      </w:r>
      <w:r>
        <w:rPr>
          <w:rFonts w:ascii="Times New Roman" w:hAnsi="Times New Roman" w:cs="Times New Roman" w:eastAsia="Times New Roman" w:hint="default"/>
        </w:rPr>
        <w:t>12</w:t>
      </w:r>
      <w:r>
        <w:rPr/>
        <w:t>）制定公司的基本管理制度；（</w:t>
      </w:r>
      <w:r>
        <w:rPr>
          <w:rFonts w:ascii="Times New Roman" w:hAnsi="Times New Roman" w:cs="Times New Roman" w:eastAsia="Times New Roman" w:hint="default"/>
        </w:rPr>
        <w:t>13</w:t>
      </w:r>
      <w:r>
        <w:rPr/>
        <w:t>）制定《公司章程》修改方案；</w:t>
      </w:r>
    </w:p>
    <w:p>
      <w:pPr>
        <w:spacing w:after="0" w:line="300"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02" w:lineRule="auto" w:before="44"/>
        <w:ind w:right="90"/>
        <w:jc w:val="left"/>
      </w:pPr>
      <w:r>
        <w:rPr>
          <w:spacing w:val="-2"/>
        </w:rPr>
        <w:t>（</w:t>
      </w:r>
      <w:r>
        <w:rPr>
          <w:rFonts w:ascii="Times New Roman" w:hAnsi="Times New Roman" w:cs="Times New Roman" w:eastAsia="Times New Roman" w:hint="default"/>
          <w:spacing w:val="-2"/>
        </w:rPr>
        <w:t>14</w:t>
      </w:r>
      <w:r>
        <w:rPr>
          <w:spacing w:val="-2"/>
        </w:rPr>
        <w:t>）管理公司资讯披露事项；（</w:t>
      </w:r>
      <w:r>
        <w:rPr>
          <w:rFonts w:ascii="Times New Roman" w:hAnsi="Times New Roman" w:cs="Times New Roman" w:eastAsia="Times New Roman" w:hint="default"/>
          <w:spacing w:val="-2"/>
        </w:rPr>
        <w:t>15</w:t>
      </w:r>
      <w:r>
        <w:rPr>
          <w:spacing w:val="-2"/>
        </w:rPr>
        <w:t>）向股东大会提请聘请或更换为公司审计的会计师事务所；（</w:t>
      </w:r>
      <w:r>
        <w:rPr>
          <w:rFonts w:ascii="Times New Roman" w:hAnsi="Times New Roman" w:cs="Times New Roman" w:eastAsia="Times New Roman" w:hint="default"/>
          <w:spacing w:val="-2"/>
        </w:rPr>
        <w:t>16</w:t>
      </w:r>
      <w:r>
        <w:rPr>
          <w:spacing w:val="-2"/>
        </w:rPr>
        <w:t>）听取公司经理的工作</w:t>
      </w:r>
      <w:r>
        <w:rPr>
          <w:spacing w:val="-62"/>
        </w:rPr>
        <w:t> </w:t>
      </w:r>
      <w:r>
        <w:rPr>
          <w:spacing w:val="-62"/>
        </w:rPr>
      </w:r>
      <w:r>
        <w:rPr/>
        <w:t>汇报并检查经理工作；（</w:t>
      </w:r>
      <w:r>
        <w:rPr>
          <w:rFonts w:ascii="Times New Roman" w:hAnsi="Times New Roman" w:cs="Times New Roman" w:eastAsia="Times New Roman" w:hint="default"/>
        </w:rPr>
        <w:t>17</w:t>
      </w:r>
      <w:r>
        <w:rPr/>
        <w:t>）公司章程规定或者股东大会授予的其它职权。</w:t>
      </w:r>
    </w:p>
    <w:p>
      <w:pPr>
        <w:pStyle w:val="BodyText"/>
        <w:spacing w:line="319" w:lineRule="auto" w:before="49"/>
        <w:ind w:right="191" w:firstLine="360"/>
        <w:jc w:val="both"/>
      </w:pPr>
      <w:r>
        <w:rPr>
          <w:spacing w:val="-2"/>
        </w:rPr>
        <w:t>本公司董事会由六名执行董事：陈洪国（董事长）、尹同远、李峰、耿光林、侯焕才、周少华，两名非执行董事：崔友</w:t>
      </w:r>
      <w:r>
        <w:rPr/>
        <w:t> 平、王效群及四名独立非执行董事：张志元、王爱国、张宏及潘爱玲组成。其个人简历请参见本年度报告的第八节。</w:t>
      </w:r>
    </w:p>
    <w:p>
      <w:pPr>
        <w:pStyle w:val="BodyText"/>
        <w:spacing w:line="319" w:lineRule="auto" w:before="56"/>
        <w:ind w:right="190" w:firstLine="360"/>
        <w:jc w:val="both"/>
      </w:pPr>
      <w:r>
        <w:rPr>
          <w:spacing w:val="-2"/>
        </w:rPr>
        <w:t>本公司董事会负有领导及监控公司的责任，并集体负责统管并监督公司事务以促使公司成功。本公司的日常管理授权执</w:t>
      </w:r>
      <w:r>
        <w:rPr/>
        <w:t> </w:t>
      </w:r>
      <w:r>
        <w:rPr>
          <w:spacing w:val="-2"/>
        </w:rPr>
        <w:t>行董事或负责各分部及职能的高级管理人员及管理层处理。本公司董事客观行事，所作决定亦符合公司利益。公司管理层及</w:t>
      </w:r>
      <w:r>
        <w:rPr>
          <w:spacing w:val="-66"/>
        </w:rPr>
        <w:t> </w:t>
      </w:r>
      <w:r>
        <w:rPr>
          <w:spacing w:val="-66"/>
        </w:rPr>
      </w:r>
      <w:r>
        <w:rPr>
          <w:spacing w:val="-2"/>
        </w:rPr>
        <w:t>高级管理人员定期召开会议与董事会商讨公司的日常业务运作及表现并具体实施董事会的有关决策。如董事会或任何董事会</w:t>
      </w:r>
      <w:r>
        <w:rPr>
          <w:spacing w:val="-64"/>
        </w:rPr>
        <w:t> </w:t>
      </w:r>
      <w:r>
        <w:rPr>
          <w:spacing w:val="-64"/>
        </w:rPr>
      </w:r>
      <w:r>
        <w:rPr/>
        <w:t>辖下委员会认为需要寻求独立的专业意见，公司将按董事或该董事会辖下委员会要求安排独立法律意见。</w:t>
      </w:r>
    </w:p>
    <w:p>
      <w:pPr>
        <w:pStyle w:val="BodyText"/>
        <w:spacing w:line="319" w:lineRule="auto" w:before="55"/>
        <w:ind w:right="189" w:firstLine="360"/>
        <w:jc w:val="both"/>
      </w:pPr>
      <w:r>
        <w:rPr>
          <w:spacing w:val="-2"/>
        </w:rPr>
        <w:t>本公司董事会在报告期内共召开十一次会议，定期会议五次，临时会议六次，除张志元先生、王翔飞先生因公务无法亲</w:t>
      </w:r>
      <w:r>
        <w:rPr/>
        <w:t> </w:t>
      </w:r>
      <w:r>
        <w:rPr>
          <w:spacing w:val="-2"/>
        </w:rPr>
        <w:t>自出席六届十六次董事会会议，分别委托王爱国先生、张宏女士代为出席；潘爱玲女士因公务无法亲自出席七届一次董事会</w:t>
      </w:r>
      <w:r>
        <w:rPr>
          <w:spacing w:val="-66"/>
        </w:rPr>
        <w:t> </w:t>
      </w:r>
      <w:r>
        <w:rPr>
          <w:spacing w:val="-66"/>
        </w:rPr>
      </w:r>
      <w:r>
        <w:rPr/>
        <w:t>会议，委托张宏女士代为出席外，公司其它董事均出席了十一次董事会。</w:t>
      </w:r>
    </w:p>
    <w:p>
      <w:pPr>
        <w:spacing w:line="240" w:lineRule="auto" w:before="6"/>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988"/>
        <w:gridCol w:w="1290"/>
        <w:gridCol w:w="988"/>
        <w:gridCol w:w="1124"/>
        <w:gridCol w:w="1206"/>
        <w:gridCol w:w="1482"/>
        <w:gridCol w:w="1098"/>
        <w:gridCol w:w="1482"/>
      </w:tblGrid>
      <w:tr>
        <w:trPr>
          <w:trHeight w:val="353" w:hRule="exact"/>
        </w:trPr>
        <w:tc>
          <w:tcPr>
            <w:tcW w:w="988"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90"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380" w:type="dxa"/>
            <w:gridSpan w:val="6"/>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2125" w:right="0"/>
              <w:jc w:val="left"/>
              <w:rPr>
                <w:rFonts w:ascii="宋体" w:hAnsi="宋体" w:cs="宋体" w:eastAsia="宋体" w:hint="default"/>
                <w:sz w:val="18"/>
                <w:szCs w:val="18"/>
              </w:rPr>
            </w:pPr>
            <w:r>
              <w:rPr>
                <w:rFonts w:ascii="宋体" w:hAnsi="宋体" w:cs="宋体" w:eastAsia="宋体" w:hint="default"/>
                <w:sz w:val="18"/>
                <w:szCs w:val="18"/>
              </w:rPr>
              <w:t>出席相关会议次数（应出席</w:t>
            </w:r>
            <w:r>
              <w:rPr>
                <w:rFonts w:ascii="Times New Roman" w:hAnsi="Times New Roman" w:cs="Times New Roman" w:eastAsia="Times New Roman" w:hint="default"/>
                <w:sz w:val="18"/>
                <w:szCs w:val="18"/>
              </w:rPr>
              <w:t>/</w:t>
            </w:r>
            <w:r>
              <w:rPr>
                <w:rFonts w:ascii="宋体" w:hAnsi="宋体" w:cs="宋体" w:eastAsia="宋体" w:hint="default"/>
                <w:sz w:val="18"/>
                <w:szCs w:val="18"/>
              </w:rPr>
              <w:t>实际出席）</w:t>
            </w:r>
          </w:p>
        </w:tc>
      </w:tr>
      <w:tr>
        <w:trPr>
          <w:trHeight w:val="669" w:hRule="exact"/>
        </w:trPr>
        <w:tc>
          <w:tcPr>
            <w:tcW w:w="988" w:type="dxa"/>
            <w:vMerge/>
            <w:tcBorders>
              <w:left w:val="single" w:sz="8" w:space="0" w:color="000000"/>
              <w:bottom w:val="single" w:sz="12" w:space="0" w:color="000000"/>
              <w:right w:val="single" w:sz="8" w:space="0" w:color="000000"/>
            </w:tcBorders>
            <w:shd w:val="clear" w:color="auto" w:fill="D9D9D9"/>
          </w:tcPr>
          <w:p>
            <w:pPr/>
          </w:p>
        </w:tc>
        <w:tc>
          <w:tcPr>
            <w:tcW w:w="1290" w:type="dxa"/>
            <w:vMerge/>
            <w:tcBorders>
              <w:left w:val="single" w:sz="8" w:space="0" w:color="000000"/>
              <w:bottom w:val="single" w:sz="12" w:space="0" w:color="000000"/>
              <w:right w:val="single" w:sz="8" w:space="0" w:color="000000"/>
            </w:tcBorders>
            <w:shd w:val="clear" w:color="auto" w:fill="D9D9D9"/>
          </w:tcPr>
          <w:p>
            <w:pPr/>
          </w:p>
        </w:tc>
        <w:tc>
          <w:tcPr>
            <w:tcW w:w="988" w:type="dxa"/>
            <w:tcBorders>
              <w:top w:val="single" w:sz="8" w:space="0" w:color="000000"/>
              <w:left w:val="single" w:sz="8" w:space="0" w:color="000000"/>
              <w:bottom w:val="single" w:sz="12" w:space="0" w:color="000000"/>
              <w:right w:val="single" w:sz="8"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董事会会议</w:t>
            </w:r>
          </w:p>
        </w:tc>
        <w:tc>
          <w:tcPr>
            <w:tcW w:w="1124" w:type="dxa"/>
            <w:tcBorders>
              <w:top w:val="single" w:sz="8" w:space="0" w:color="000000"/>
              <w:left w:val="single" w:sz="8" w:space="0" w:color="000000"/>
              <w:bottom w:val="single" w:sz="12" w:space="0" w:color="000000"/>
              <w:right w:val="single" w:sz="8" w:space="0" w:color="000000"/>
            </w:tcBorders>
            <w:shd w:val="clear" w:color="auto" w:fill="D9D9D9"/>
          </w:tcPr>
          <w:p>
            <w:pPr>
              <w:pStyle w:val="TableParagraph"/>
              <w:spacing w:line="316" w:lineRule="auto" w:before="21"/>
              <w:ind w:left="461" w:right="11" w:hanging="450"/>
              <w:jc w:val="left"/>
              <w:rPr>
                <w:rFonts w:ascii="宋体" w:hAnsi="宋体" w:cs="宋体" w:eastAsia="宋体" w:hint="default"/>
                <w:sz w:val="18"/>
                <w:szCs w:val="18"/>
              </w:rPr>
            </w:pPr>
            <w:r>
              <w:rPr>
                <w:rFonts w:ascii="宋体" w:hAnsi="宋体" w:cs="宋体" w:eastAsia="宋体" w:hint="default"/>
                <w:sz w:val="18"/>
                <w:szCs w:val="18"/>
              </w:rPr>
              <w:t>审计委员会会 议</w:t>
            </w:r>
          </w:p>
        </w:tc>
        <w:tc>
          <w:tcPr>
            <w:tcW w:w="1206" w:type="dxa"/>
            <w:tcBorders>
              <w:top w:val="single" w:sz="8" w:space="0" w:color="000000"/>
              <w:left w:val="single" w:sz="8" w:space="0" w:color="000000"/>
              <w:bottom w:val="single" w:sz="12" w:space="0" w:color="000000"/>
              <w:right w:val="single" w:sz="8" w:space="0" w:color="000000"/>
            </w:tcBorders>
            <w:shd w:val="clear" w:color="auto" w:fill="D9D9D9"/>
          </w:tcPr>
          <w:p>
            <w:pPr>
              <w:pStyle w:val="TableParagraph"/>
              <w:spacing w:line="316" w:lineRule="auto" w:before="21"/>
              <w:ind w:left="502" w:right="53" w:hanging="450"/>
              <w:jc w:val="left"/>
              <w:rPr>
                <w:rFonts w:ascii="宋体" w:hAnsi="宋体" w:cs="宋体" w:eastAsia="宋体" w:hint="default"/>
                <w:sz w:val="18"/>
                <w:szCs w:val="18"/>
              </w:rPr>
            </w:pPr>
            <w:r>
              <w:rPr>
                <w:rFonts w:ascii="宋体" w:hAnsi="宋体" w:cs="宋体" w:eastAsia="宋体" w:hint="default"/>
                <w:sz w:val="18"/>
                <w:szCs w:val="18"/>
              </w:rPr>
              <w:t>提名委员会会 议</w:t>
            </w:r>
          </w:p>
        </w:tc>
        <w:tc>
          <w:tcPr>
            <w:tcW w:w="1482" w:type="dxa"/>
            <w:tcBorders>
              <w:top w:val="single" w:sz="8" w:space="0" w:color="000000"/>
              <w:left w:val="single" w:sz="8" w:space="0" w:color="000000"/>
              <w:bottom w:val="single" w:sz="12" w:space="0" w:color="000000"/>
              <w:right w:val="single" w:sz="8" w:space="0" w:color="000000"/>
            </w:tcBorders>
            <w:shd w:val="clear" w:color="auto" w:fill="D9D9D9"/>
          </w:tcPr>
          <w:p>
            <w:pPr>
              <w:pStyle w:val="TableParagraph"/>
              <w:spacing w:line="316" w:lineRule="auto" w:before="21"/>
              <w:ind w:left="551" w:right="8" w:hanging="540"/>
              <w:jc w:val="left"/>
              <w:rPr>
                <w:rFonts w:ascii="宋体" w:hAnsi="宋体" w:cs="宋体" w:eastAsia="宋体" w:hint="default"/>
                <w:sz w:val="18"/>
                <w:szCs w:val="18"/>
              </w:rPr>
            </w:pPr>
            <w:r>
              <w:rPr>
                <w:rFonts w:ascii="宋体" w:hAnsi="宋体" w:cs="宋体" w:eastAsia="宋体" w:hint="default"/>
                <w:sz w:val="18"/>
                <w:szCs w:val="18"/>
              </w:rPr>
              <w:t>薪酬与考核委员会 会议</w:t>
            </w:r>
          </w:p>
        </w:tc>
        <w:tc>
          <w:tcPr>
            <w:tcW w:w="1098" w:type="dxa"/>
            <w:tcBorders>
              <w:top w:val="single" w:sz="8" w:space="0" w:color="000000"/>
              <w:left w:val="single" w:sz="8" w:space="0" w:color="000000"/>
              <w:bottom w:val="single" w:sz="12" w:space="0" w:color="000000"/>
              <w:right w:val="single" w:sz="8" w:space="0" w:color="000000"/>
            </w:tcBorders>
            <w:shd w:val="clear" w:color="auto" w:fill="D9D9D9"/>
          </w:tcPr>
          <w:p>
            <w:pPr>
              <w:pStyle w:val="TableParagraph"/>
              <w:spacing w:line="316" w:lineRule="auto" w:before="21"/>
              <w:ind w:left="359" w:right="86" w:hanging="270"/>
              <w:jc w:val="left"/>
              <w:rPr>
                <w:rFonts w:ascii="宋体" w:hAnsi="宋体" w:cs="宋体" w:eastAsia="宋体" w:hint="default"/>
                <w:sz w:val="18"/>
                <w:szCs w:val="18"/>
              </w:rPr>
            </w:pPr>
            <w:r>
              <w:rPr>
                <w:rFonts w:ascii="宋体" w:hAnsi="宋体" w:cs="宋体" w:eastAsia="宋体" w:hint="default"/>
                <w:sz w:val="18"/>
                <w:szCs w:val="18"/>
              </w:rPr>
              <w:t>战略委员会 会议</w:t>
            </w:r>
          </w:p>
        </w:tc>
        <w:tc>
          <w:tcPr>
            <w:tcW w:w="1482" w:type="dxa"/>
            <w:tcBorders>
              <w:top w:val="single" w:sz="8" w:space="0" w:color="000000"/>
              <w:left w:val="single" w:sz="8" w:space="0" w:color="000000"/>
              <w:bottom w:val="single" w:sz="12" w:space="0" w:color="000000"/>
              <w:right w:val="single" w:sz="8" w:space="0" w:color="000000"/>
            </w:tcBorders>
            <w:shd w:val="clear" w:color="auto" w:fill="D9D9D9"/>
          </w:tcPr>
          <w:p>
            <w:pPr>
              <w:pStyle w:val="TableParagraph"/>
              <w:spacing w:line="316" w:lineRule="auto" w:before="21"/>
              <w:ind w:left="190" w:right="11" w:hanging="180"/>
              <w:jc w:val="left"/>
              <w:rPr>
                <w:rFonts w:ascii="宋体" w:hAnsi="宋体" w:cs="宋体" w:eastAsia="宋体" w:hint="default"/>
                <w:sz w:val="18"/>
                <w:szCs w:val="18"/>
              </w:rPr>
            </w:pPr>
            <w:r>
              <w:rPr>
                <w:rFonts w:ascii="宋体" w:hAnsi="宋体" w:cs="宋体" w:eastAsia="宋体" w:hint="default"/>
                <w:sz w:val="18"/>
                <w:szCs w:val="18"/>
              </w:rPr>
              <w:t>股东会会议（包含 类别股东会）</w:t>
            </w:r>
          </w:p>
        </w:tc>
      </w:tr>
      <w:tr>
        <w:trPr>
          <w:trHeight w:val="346" w:hRule="exact"/>
        </w:trPr>
        <w:tc>
          <w:tcPr>
            <w:tcW w:w="9658" w:type="dxa"/>
            <w:gridSpan w:val="8"/>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一、执行董事</w:t>
            </w:r>
          </w:p>
        </w:tc>
      </w:tr>
      <w:tr>
        <w:trPr>
          <w:trHeight w:val="353"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r>
      <w:tr>
        <w:trPr>
          <w:trHeight w:val="35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r>
      <w:tr>
        <w:trPr>
          <w:trHeight w:val="35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李</w:t>
            </w:r>
            <w:r>
              <w:rPr>
                <w:rFonts w:ascii="宋体" w:hAnsi="宋体" w:cs="宋体" w:eastAsia="宋体" w:hint="default"/>
                <w:spacing w:val="55"/>
                <w:sz w:val="18"/>
                <w:szCs w:val="18"/>
              </w:rPr>
              <w:t> </w:t>
            </w:r>
            <w:r>
              <w:rPr>
                <w:rFonts w:ascii="宋体" w:hAnsi="宋体" w:cs="宋体" w:eastAsia="宋体" w:hint="default"/>
                <w:sz w:val="18"/>
                <w:szCs w:val="18"/>
              </w:rPr>
              <w:t>峰</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353"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0/2</w:t>
            </w:r>
          </w:p>
        </w:tc>
      </w:tr>
      <w:tr>
        <w:trPr>
          <w:trHeight w:val="35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35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352" w:hRule="exact"/>
        </w:trPr>
        <w:tc>
          <w:tcPr>
            <w:tcW w:w="9658" w:type="dxa"/>
            <w:gridSpan w:val="8"/>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二、非执行董事</w:t>
            </w:r>
          </w:p>
        </w:tc>
      </w:tr>
      <w:tr>
        <w:trPr>
          <w:trHeight w:val="35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5/5</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0/0</w:t>
            </w:r>
          </w:p>
        </w:tc>
      </w:tr>
      <w:tr>
        <w:trPr>
          <w:trHeight w:val="35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0/4</w:t>
            </w:r>
          </w:p>
        </w:tc>
      </w:tr>
      <w:tr>
        <w:trPr>
          <w:trHeight w:val="352" w:hRule="exact"/>
        </w:trPr>
        <w:tc>
          <w:tcPr>
            <w:tcW w:w="9658" w:type="dxa"/>
            <w:gridSpan w:val="8"/>
            <w:tcBorders>
              <w:top w:val="single" w:sz="8" w:space="0" w:color="000000"/>
              <w:left w:val="single" w:sz="8" w:space="0" w:color="000000"/>
              <w:bottom w:val="single" w:sz="8" w:space="0" w:color="000000"/>
              <w:right w:val="single" w:sz="8" w:space="0" w:color="000000"/>
            </w:tcBorders>
            <w:shd w:val="clear" w:color="auto" w:fill="CCCCCC"/>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三、独立非执行董事</w:t>
            </w:r>
          </w:p>
        </w:tc>
      </w:tr>
      <w:tr>
        <w:trPr>
          <w:trHeight w:val="35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张志元</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1/1</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0/0</w:t>
            </w:r>
          </w:p>
        </w:tc>
      </w:tr>
      <w:tr>
        <w:trPr>
          <w:trHeight w:val="352"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5/5</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353"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张  宏</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11/11</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5/5</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r>
        <w:trPr>
          <w:trHeight w:val="353" w:hRule="exact"/>
        </w:trPr>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2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6/6</w:t>
            </w:r>
          </w:p>
        </w:tc>
        <w:tc>
          <w:tcPr>
            <w:tcW w:w="11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0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4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0/0</w:t>
            </w:r>
          </w:p>
        </w:tc>
      </w:tr>
    </w:tbl>
    <w:p>
      <w:pPr>
        <w:pStyle w:val="BodyText"/>
        <w:spacing w:line="357" w:lineRule="auto" w:before="51"/>
        <w:ind w:left="513" w:right="90"/>
        <w:jc w:val="left"/>
      </w:pPr>
      <w:r>
        <w:rPr/>
        <w:t>除在本年报公司董事简介部分所述外，董事会所有成员之间概无任何财务、业务、亲属关系或重大相关关系。 </w:t>
      </w:r>
      <w:r>
        <w:rPr>
          <w:spacing w:val="-4"/>
        </w:rPr>
        <w:t>董事会在本年度举行定期会议</w:t>
      </w:r>
      <w:r>
        <w:rPr>
          <w:rFonts w:ascii="Times New Roman" w:hAnsi="Times New Roman" w:cs="Times New Roman" w:eastAsia="Times New Roman" w:hint="default"/>
          <w:spacing w:val="-4"/>
        </w:rPr>
        <w:t>11</w:t>
      </w:r>
      <w:r>
        <w:rPr>
          <w:spacing w:val="-4"/>
        </w:rPr>
        <w:t>次，每次定期会议均予提前</w:t>
      </w:r>
      <w:r>
        <w:rPr>
          <w:rFonts w:ascii="Times New Roman" w:hAnsi="Times New Roman" w:cs="Times New Roman" w:eastAsia="Times New Roman" w:hint="default"/>
          <w:spacing w:val="-4"/>
        </w:rPr>
        <w:t>14</w:t>
      </w:r>
      <w:r>
        <w:rPr>
          <w:spacing w:val="-4"/>
        </w:rPr>
        <w:t>天通知，以确保全体董事皆有机会提出商讨事项列入议程。</w:t>
      </w:r>
    </w:p>
    <w:p>
      <w:pPr>
        <w:pStyle w:val="BodyText"/>
        <w:spacing w:line="202" w:lineRule="exact"/>
        <w:ind w:right="90"/>
        <w:jc w:val="left"/>
      </w:pPr>
      <w:r>
        <w:rPr/>
        <w:t>其它董事会会议均发出了合理通知，以让所有董事皆有机会腾空出席。</w:t>
      </w:r>
    </w:p>
    <w:p>
      <w:pPr>
        <w:pStyle w:val="BodyText"/>
        <w:spacing w:line="357" w:lineRule="auto" w:before="117"/>
        <w:ind w:left="515" w:right="1531" w:hanging="2"/>
        <w:jc w:val="left"/>
        <w:rPr>
          <w:rFonts w:ascii="宋体" w:hAnsi="宋体" w:cs="宋体" w:eastAsia="宋体" w:hint="default"/>
        </w:rPr>
      </w:pPr>
      <w:r>
        <w:rPr/>
        <w:t>所有董事均可获得董事会秘书的意见及服务，以确保董事会程序及所有适用规则及规例均获得遵守。 </w:t>
      </w:r>
      <w:r>
        <w:rPr>
          <w:rFonts w:ascii="宋体" w:hAnsi="宋体" w:cs="宋体" w:eastAsia="宋体" w:hint="default"/>
          <w:b/>
          <w:bCs/>
        </w:rPr>
        <w:t>保险</w:t>
      </w:r>
      <w:r>
        <w:rPr>
          <w:rFonts w:ascii="宋体" w:hAnsi="宋体" w:cs="宋体" w:eastAsia="宋体" w:hint="default"/>
        </w:rPr>
      </w:r>
    </w:p>
    <w:p>
      <w:pPr>
        <w:spacing w:line="360" w:lineRule="auto" w:before="27"/>
        <w:ind w:left="515" w:right="3871" w:hanging="2"/>
        <w:jc w:val="left"/>
        <w:rPr>
          <w:rFonts w:ascii="宋体" w:hAnsi="宋体" w:cs="宋体" w:eastAsia="宋体" w:hint="default"/>
          <w:sz w:val="18"/>
          <w:szCs w:val="18"/>
        </w:rPr>
      </w:pPr>
      <w:r>
        <w:rPr>
          <w:rFonts w:ascii="宋体" w:hAnsi="宋体" w:cs="宋体" w:eastAsia="宋体" w:hint="default"/>
          <w:sz w:val="18"/>
          <w:szCs w:val="18"/>
        </w:rPr>
        <w:t>本公司已为其董事及高级管理人员购买董事及高级管理人员责任保险。 </w:t>
      </w:r>
      <w:r>
        <w:rPr>
          <w:rFonts w:ascii="宋体" w:hAnsi="宋体" w:cs="宋体" w:eastAsia="宋体" w:hint="default"/>
          <w:b/>
          <w:bCs/>
          <w:sz w:val="18"/>
          <w:szCs w:val="18"/>
        </w:rPr>
        <w:t>董事培圳及专业发展</w:t>
      </w:r>
      <w:r>
        <w:rPr>
          <w:rFonts w:ascii="宋体" w:hAnsi="宋体" w:cs="宋体" w:eastAsia="宋体" w:hint="default"/>
          <w:sz w:val="18"/>
          <w:szCs w:val="18"/>
        </w:rPr>
      </w:r>
    </w:p>
    <w:p>
      <w:pPr>
        <w:pStyle w:val="BodyText"/>
        <w:spacing w:line="319" w:lineRule="auto" w:before="25"/>
        <w:ind w:right="90" w:firstLine="360"/>
        <w:jc w:val="left"/>
      </w:pPr>
      <w:r>
        <w:rPr>
          <w:spacing w:val="-2"/>
        </w:rPr>
        <w:t>所有新委任的董事均获提供必要的入职培训数据，确保其对本公司的运作及业务以至于相关法例、规则及上市规则下的</w:t>
      </w:r>
      <w:r>
        <w:rPr/>
        <w:t> 责任有一定程度的了解。</w:t>
      </w:r>
    </w:p>
    <w:p>
      <w:pPr>
        <w:pStyle w:val="BodyText"/>
        <w:spacing w:line="316" w:lineRule="auto" w:before="55"/>
        <w:ind w:right="90" w:firstLine="360"/>
        <w:jc w:val="left"/>
      </w:pPr>
      <w:r>
        <w:rPr>
          <w:spacing w:val="-4"/>
        </w:rPr>
        <w:t>回顾年内，董事会进行了换届选举，新一届董事会成员为执行董事：陈洪国、尹同远、李峰、耿光林、侯焕才、周少华；</w:t>
      </w:r>
      <w:r>
        <w:rPr/>
        <w:t> </w:t>
      </w:r>
      <w:r>
        <w:rPr>
          <w:spacing w:val="-2"/>
        </w:rPr>
        <w:t>非执行董事：崔友平、王效群；独立非执行董事：张志元、王爱国、张宏、潘爱玲。六届董事会成员谭道诚、王玉玫、王翔</w:t>
      </w:r>
      <w:r>
        <w:rPr>
          <w:spacing w:val="-71"/>
        </w:rPr>
        <w:t> </w:t>
      </w:r>
      <w:r>
        <w:rPr>
          <w:spacing w:val="-71"/>
        </w:rPr>
      </w:r>
      <w:r>
        <w:rPr>
          <w:spacing w:val="-2"/>
        </w:rPr>
        <w:t>飞、王凤荣到期届满后，不再担任公司董事职务。本公司董事、监事获公司安排已参加了中国证券监督管理委员会山东监管</w:t>
      </w:r>
    </w:p>
    <w:p>
      <w:pPr>
        <w:spacing w:after="0" w:line="316" w:lineRule="auto"/>
        <w:jc w:val="left"/>
        <w:sectPr>
          <w:footerReference w:type="default" r:id="rId21"/>
          <w:pgSz w:w="11910" w:h="16840"/>
          <w:pgMar w:footer="950" w:header="877" w:top="1100" w:bottom="1140" w:left="980" w:right="940"/>
          <w:pgNumType w:start="74"/>
        </w:sectPr>
      </w:pPr>
    </w:p>
    <w:p>
      <w:pPr>
        <w:spacing w:line="240" w:lineRule="auto" w:before="12"/>
        <w:rPr>
          <w:rFonts w:ascii="宋体" w:hAnsi="宋体" w:cs="宋体" w:eastAsia="宋体" w:hint="default"/>
          <w:sz w:val="21"/>
          <w:szCs w:val="21"/>
        </w:rPr>
      </w:pPr>
    </w:p>
    <w:p>
      <w:pPr>
        <w:pStyle w:val="BodyText"/>
        <w:spacing w:line="309" w:lineRule="auto" w:before="44"/>
        <w:ind w:right="190"/>
        <w:jc w:val="both"/>
      </w:pPr>
      <w:r>
        <w:rPr>
          <w:spacing w:val="-2"/>
        </w:rPr>
        <w:t>局组织的</w:t>
      </w:r>
      <w:r>
        <w:rPr>
          <w:rFonts w:ascii="Times New Roman" w:hAnsi="Times New Roman" w:cs="Times New Roman" w:eastAsia="Times New Roman" w:hint="default"/>
          <w:spacing w:val="-2"/>
        </w:rPr>
        <w:t>2013</w:t>
      </w:r>
      <w:r>
        <w:rPr>
          <w:spacing w:val="-2"/>
        </w:rPr>
        <w:t>第一期董事、监事培训班和</w:t>
      </w:r>
      <w:r>
        <w:rPr>
          <w:rFonts w:ascii="Times New Roman" w:hAnsi="Times New Roman" w:cs="Times New Roman" w:eastAsia="Times New Roman" w:hint="default"/>
          <w:spacing w:val="-2"/>
        </w:rPr>
        <w:t>2013</w:t>
      </w:r>
      <w:r>
        <w:rPr>
          <w:spacing w:val="-2"/>
        </w:rPr>
        <w:t>年第二期董事、监事培圳班，同时亦就香港《证券及期货条例》就内幕消息披</w:t>
      </w:r>
      <w:r>
        <w:rPr>
          <w:spacing w:val="-58"/>
        </w:rPr>
        <w:t> </w:t>
      </w:r>
      <w:r>
        <w:rPr>
          <w:spacing w:val="-58"/>
        </w:rPr>
      </w:r>
      <w:r>
        <w:rPr>
          <w:spacing w:val="-2"/>
        </w:rPr>
        <w:t>露的新规定向各董事及监事派发由本公司香港法律顾问准备的简介文件，以确保各董事及监事遵守有关法例及遵守良好的企</w:t>
      </w:r>
      <w:r>
        <w:rPr>
          <w:spacing w:val="-64"/>
        </w:rPr>
        <w:t> </w:t>
      </w:r>
      <w:r>
        <w:rPr>
          <w:spacing w:val="-64"/>
        </w:rPr>
      </w:r>
      <w:r>
        <w:rPr/>
        <w:t>业管治常规，并提升其对良好企业管治常规的意识。</w:t>
      </w:r>
    </w:p>
    <w:p>
      <w:pPr>
        <w:spacing w:line="240" w:lineRule="auto" w:before="10"/>
        <w:rPr>
          <w:rFonts w:ascii="宋体" w:hAnsi="宋体" w:cs="宋体" w:eastAsia="宋体" w:hint="default"/>
          <w:sz w:val="22"/>
          <w:szCs w:val="22"/>
        </w:rPr>
      </w:pPr>
    </w:p>
    <w:p>
      <w:pPr>
        <w:pStyle w:val="Heading4"/>
        <w:spacing w:line="240" w:lineRule="auto"/>
        <w:ind w:left="576" w:right="90"/>
        <w:jc w:val="left"/>
        <w:rPr>
          <w:b w:val="0"/>
          <w:bCs w:val="0"/>
        </w:rPr>
      </w:pPr>
      <w:r>
        <w:rPr>
          <w:rFonts w:ascii="Times New Roman" w:hAnsi="Times New Roman" w:cs="Times New Roman" w:eastAsia="Times New Roman" w:hint="default"/>
        </w:rPr>
        <w:t>4</w:t>
      </w:r>
      <w:r>
        <w:rPr/>
        <w:t>、董事长与总经理</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90"/>
        <w:jc w:val="left"/>
      </w:pPr>
      <w:r>
        <w:rPr/>
        <w:t>本公司董事长及总经理均为陈洪国先生，其个人简历请见本年度报告第八节。 </w:t>
      </w:r>
      <w:r>
        <w:rPr>
          <w:spacing w:val="-2"/>
        </w:rPr>
        <w:t>根据《公司章程》，董事长行使下列职权：（</w:t>
      </w:r>
      <w:r>
        <w:rPr>
          <w:rFonts w:ascii="Times New Roman" w:hAnsi="Times New Roman" w:cs="Times New Roman" w:eastAsia="Times New Roman" w:hint="default"/>
          <w:spacing w:val="-2"/>
        </w:rPr>
        <w:t>1</w:t>
      </w:r>
      <w:r>
        <w:rPr>
          <w:spacing w:val="-2"/>
        </w:rPr>
        <w:t>）主持股东大会和召集、主持董事会会议；（</w:t>
      </w:r>
      <w:r>
        <w:rPr>
          <w:rFonts w:ascii="Times New Roman" w:hAnsi="Times New Roman" w:cs="Times New Roman" w:eastAsia="Times New Roman" w:hint="default"/>
          <w:spacing w:val="-2"/>
        </w:rPr>
        <w:t>2</w:t>
      </w:r>
      <w:r>
        <w:rPr>
          <w:spacing w:val="-2"/>
        </w:rPr>
        <w:t>）督促、检查董事会决议</w:t>
      </w:r>
    </w:p>
    <w:p>
      <w:pPr>
        <w:pStyle w:val="BodyText"/>
        <w:spacing w:line="214" w:lineRule="exact"/>
        <w:ind w:right="0"/>
        <w:jc w:val="both"/>
      </w:pPr>
      <w:r>
        <w:rPr/>
        <w:t>的实施情况；（</w:t>
      </w:r>
      <w:r>
        <w:rPr>
          <w:rFonts w:ascii="Times New Roman" w:hAnsi="Times New Roman" w:cs="Times New Roman" w:eastAsia="Times New Roman" w:hint="default"/>
        </w:rPr>
        <w:t>3</w:t>
      </w:r>
      <w:r>
        <w:rPr/>
        <w:t>）签署公司股票、公司债券及其它有价证券；（</w:t>
      </w:r>
      <w:r>
        <w:rPr>
          <w:rFonts w:ascii="Times New Roman" w:hAnsi="Times New Roman" w:cs="Times New Roman" w:eastAsia="Times New Roman" w:hint="default"/>
        </w:rPr>
        <w:t>4</w:t>
      </w:r>
      <w:r>
        <w:rPr/>
        <w:t>）签署董事会重要文件和其它应由公司法定代表人签署的</w:t>
      </w:r>
    </w:p>
    <w:p>
      <w:pPr>
        <w:pStyle w:val="BodyText"/>
        <w:spacing w:line="300" w:lineRule="auto" w:before="62"/>
        <w:ind w:right="198"/>
        <w:jc w:val="both"/>
      </w:pPr>
      <w:r>
        <w:rPr/>
        <w:t>其它文件；（</w:t>
      </w:r>
      <w:r>
        <w:rPr>
          <w:rFonts w:ascii="Times New Roman" w:hAnsi="Times New Roman" w:cs="Times New Roman" w:eastAsia="Times New Roman" w:hint="default"/>
        </w:rPr>
        <w:t>5</w:t>
      </w:r>
      <w:r>
        <w:rPr/>
        <w:t>）行使法定代表人职权；（</w:t>
      </w:r>
      <w:r>
        <w:rPr>
          <w:rFonts w:ascii="Times New Roman" w:hAnsi="Times New Roman" w:cs="Times New Roman" w:eastAsia="Times New Roman" w:hint="default"/>
        </w:rPr>
        <w:t>6</w:t>
      </w:r>
      <w:r>
        <w:rPr/>
        <w:t>）提名公司总经理人选交董事会通过；（</w:t>
      </w:r>
      <w:r>
        <w:rPr>
          <w:rFonts w:ascii="Times New Roman" w:hAnsi="Times New Roman" w:cs="Times New Roman" w:eastAsia="Times New Roman" w:hint="default"/>
        </w:rPr>
        <w:t>7</w:t>
      </w:r>
      <w:r>
        <w:rPr/>
        <w:t>）在发生特大自然灾害等不可抗力的 紧急情况下，对公司事务行使符合法律规定和公司利益的特别处置权，并在事后向公司董事会和股东大会报告；（</w:t>
      </w:r>
      <w:r>
        <w:rPr>
          <w:rFonts w:ascii="Times New Roman" w:hAnsi="Times New Roman" w:cs="Times New Roman" w:eastAsia="Times New Roman" w:hint="default"/>
        </w:rPr>
        <w:t>8</w:t>
      </w:r>
      <w:r>
        <w:rPr/>
        <w:t>）董事 会授予的其它职权。</w:t>
      </w:r>
    </w:p>
    <w:p>
      <w:pPr>
        <w:pStyle w:val="BodyText"/>
        <w:spacing w:line="300" w:lineRule="auto" w:before="71"/>
        <w:ind w:right="191" w:firstLine="360"/>
        <w:jc w:val="both"/>
      </w:pPr>
      <w:r>
        <w:rPr>
          <w:spacing w:val="-2"/>
        </w:rPr>
        <w:t>总经理行使下列职权：（</w:t>
      </w:r>
      <w:r>
        <w:rPr>
          <w:rFonts w:ascii="Times New Roman" w:hAnsi="Times New Roman" w:cs="Times New Roman" w:eastAsia="Times New Roman" w:hint="default"/>
          <w:spacing w:val="-2"/>
        </w:rPr>
        <w:t>1</w:t>
      </w:r>
      <w:r>
        <w:rPr>
          <w:spacing w:val="-2"/>
        </w:rPr>
        <w:t>）主持公司的生产经营管理工作，组织实施董事会决议；（</w:t>
      </w:r>
      <w:r>
        <w:rPr>
          <w:rFonts w:ascii="Times New Roman" w:hAnsi="Times New Roman" w:cs="Times New Roman" w:eastAsia="Times New Roman" w:hint="default"/>
          <w:spacing w:val="-2"/>
        </w:rPr>
        <w:t>2</w:t>
      </w:r>
      <w:r>
        <w:rPr>
          <w:spacing w:val="-2"/>
        </w:rPr>
        <w:t>）组织实施公司年度经营计划和</w:t>
      </w:r>
      <w:r>
        <w:rPr/>
        <w:t> </w:t>
      </w:r>
      <w:r>
        <w:rPr>
          <w:spacing w:val="-2"/>
        </w:rPr>
        <w:t>投资方案；（</w:t>
      </w:r>
      <w:r>
        <w:rPr>
          <w:rFonts w:ascii="Times New Roman" w:hAnsi="Times New Roman" w:cs="Times New Roman" w:eastAsia="Times New Roman" w:hint="default"/>
          <w:spacing w:val="-2"/>
        </w:rPr>
        <w:t>3</w:t>
      </w:r>
      <w:r>
        <w:rPr>
          <w:spacing w:val="-2"/>
        </w:rPr>
        <w:t>）拟订公司内部管理机构设置方案；（</w:t>
      </w:r>
      <w:r>
        <w:rPr>
          <w:rFonts w:ascii="Times New Roman" w:hAnsi="Times New Roman" w:cs="Times New Roman" w:eastAsia="Times New Roman" w:hint="default"/>
          <w:spacing w:val="-2"/>
        </w:rPr>
        <w:t>4</w:t>
      </w:r>
      <w:r>
        <w:rPr>
          <w:spacing w:val="-2"/>
        </w:rPr>
        <w:t>）拟订公司的基本管理制度；（</w:t>
      </w:r>
      <w:r>
        <w:rPr>
          <w:rFonts w:ascii="Times New Roman" w:hAnsi="Times New Roman" w:cs="Times New Roman" w:eastAsia="Times New Roman" w:hint="default"/>
          <w:spacing w:val="-2"/>
        </w:rPr>
        <w:t>5</w:t>
      </w:r>
      <w:r>
        <w:rPr>
          <w:spacing w:val="-2"/>
        </w:rPr>
        <w:t>）制定公司的基本规章；（</w:t>
      </w:r>
      <w:r>
        <w:rPr>
          <w:rFonts w:ascii="Times New Roman" w:hAnsi="Times New Roman" w:cs="Times New Roman" w:eastAsia="Times New Roman" w:hint="default"/>
          <w:spacing w:val="-2"/>
        </w:rPr>
        <w:t>6</w:t>
      </w:r>
      <w:r>
        <w:rPr>
          <w:spacing w:val="-2"/>
        </w:rPr>
        <w:t>）提请</w:t>
      </w:r>
      <w:r>
        <w:rPr>
          <w:spacing w:val="-66"/>
        </w:rPr>
        <w:t> </w:t>
      </w:r>
      <w:r>
        <w:rPr>
          <w:spacing w:val="-66"/>
        </w:rPr>
      </w:r>
      <w:r>
        <w:rPr>
          <w:spacing w:val="-2"/>
        </w:rPr>
        <w:t>聘任或者解聘公司副经理、财务负责人；（</w:t>
      </w:r>
      <w:r>
        <w:rPr>
          <w:rFonts w:ascii="Times New Roman" w:hAnsi="Times New Roman" w:cs="Times New Roman" w:eastAsia="Times New Roman" w:hint="default"/>
          <w:spacing w:val="-2"/>
        </w:rPr>
        <w:t>7</w:t>
      </w:r>
      <w:r>
        <w:rPr>
          <w:spacing w:val="-2"/>
        </w:rPr>
        <w:t>）聘任或者解聘除应由董事会聘任或者解聘以外的负责管理人员；（</w:t>
      </w:r>
      <w:r>
        <w:rPr>
          <w:rFonts w:ascii="Times New Roman" w:hAnsi="Times New Roman" w:cs="Times New Roman" w:eastAsia="Times New Roman" w:hint="default"/>
          <w:spacing w:val="-2"/>
        </w:rPr>
        <w:t>8</w:t>
      </w:r>
      <w:r>
        <w:rPr>
          <w:spacing w:val="-2"/>
        </w:rPr>
        <w:t>）拟定公</w:t>
      </w:r>
      <w:r>
        <w:rPr>
          <w:spacing w:val="-65"/>
        </w:rPr>
        <w:t> </w:t>
      </w:r>
      <w:r>
        <w:rPr>
          <w:spacing w:val="-65"/>
        </w:rPr>
      </w:r>
      <w:r>
        <w:rPr/>
        <w:t>司职工的工资、福利、奖惩，决定公司职工的聘用和解聘；（</w:t>
      </w:r>
      <w:r>
        <w:rPr>
          <w:rFonts w:ascii="Times New Roman" w:hAnsi="Times New Roman" w:cs="Times New Roman" w:eastAsia="Times New Roman" w:hint="default"/>
        </w:rPr>
        <w:t>9</w:t>
      </w:r>
      <w:r>
        <w:rPr/>
        <w:t>）提议召开董事会临时会议；（</w:t>
      </w:r>
      <w:r>
        <w:rPr>
          <w:rFonts w:ascii="Times New Roman" w:hAnsi="Times New Roman" w:cs="Times New Roman" w:eastAsia="Times New Roman" w:hint="default"/>
        </w:rPr>
        <w:t>10</w:t>
      </w:r>
      <w:r>
        <w:rPr/>
        <w:t>）《公司章程》和董事会 授予的其它职权。</w:t>
      </w:r>
    </w:p>
    <w:p>
      <w:pPr>
        <w:pStyle w:val="BodyText"/>
        <w:spacing w:line="319" w:lineRule="auto" w:before="70"/>
        <w:ind w:left="154" w:right="90" w:firstLine="360"/>
        <w:jc w:val="left"/>
      </w:pPr>
      <w:r>
        <w:rPr/>
        <w:t>陈洪国先生兼任董事长与总经理负责本公司的整体管理，尽管出现与香港上市规则附录十四所载《企业管治常规守则》 中A.2条原则条文偏离情况，公司董事相信，让陈洪国先生同时兼任董事长及总经理可让本公司更有效地计划及执行业务策 </w:t>
      </w:r>
      <w:r>
        <w:rPr>
          <w:spacing w:val="-2"/>
        </w:rPr>
        <w:t>略，从而令本集团能够有效、迅速地把握商机。由于所有主要决定是咨询董事会其它成员后才能作出，本公司相信，通过董</w:t>
      </w:r>
      <w:r>
        <w:rPr>
          <w:spacing w:val="-66"/>
        </w:rPr>
        <w:t> </w:t>
      </w:r>
      <w:r>
        <w:rPr>
          <w:spacing w:val="-66"/>
        </w:rPr>
      </w:r>
      <w:r>
        <w:rPr/>
        <w:t>事会及独立非执行董事的监督，此足以维持权力及职权平衡。</w:t>
      </w:r>
    </w:p>
    <w:p>
      <w:pPr>
        <w:spacing w:line="240" w:lineRule="auto" w:before="3"/>
        <w:rPr>
          <w:rFonts w:ascii="宋体" w:hAnsi="宋体" w:cs="宋体" w:eastAsia="宋体" w:hint="default"/>
          <w:sz w:val="22"/>
          <w:szCs w:val="22"/>
        </w:rPr>
      </w:pPr>
    </w:p>
    <w:p>
      <w:pPr>
        <w:pStyle w:val="Heading4"/>
        <w:spacing w:line="240" w:lineRule="auto"/>
        <w:ind w:left="576" w:right="90"/>
        <w:jc w:val="left"/>
        <w:rPr>
          <w:b w:val="0"/>
          <w:bCs w:val="0"/>
        </w:rPr>
      </w:pPr>
      <w:r>
        <w:rPr>
          <w:rFonts w:ascii="Times New Roman" w:hAnsi="Times New Roman" w:cs="Times New Roman" w:eastAsia="Times New Roman" w:hint="default"/>
        </w:rPr>
        <w:t>5</w:t>
      </w:r>
      <w:r>
        <w:rPr/>
        <w:t>、独立非执行董事</w:t>
      </w:r>
      <w:r>
        <w:rPr>
          <w:b w:val="0"/>
          <w:bCs w:val="0"/>
        </w:rPr>
      </w:r>
    </w:p>
    <w:p>
      <w:pPr>
        <w:spacing w:line="240" w:lineRule="auto" w:before="8"/>
        <w:rPr>
          <w:rFonts w:ascii="宋体" w:hAnsi="宋体" w:cs="宋体" w:eastAsia="宋体" w:hint="default"/>
          <w:b/>
          <w:bCs/>
          <w:sz w:val="26"/>
          <w:szCs w:val="26"/>
        </w:rPr>
      </w:pPr>
    </w:p>
    <w:p>
      <w:pPr>
        <w:pStyle w:val="BodyText"/>
        <w:spacing w:line="307" w:lineRule="auto"/>
        <w:ind w:right="189" w:firstLine="360"/>
        <w:jc w:val="both"/>
      </w:pPr>
      <w:r>
        <w:rPr>
          <w:spacing w:val="-2"/>
        </w:rPr>
        <w:t>董事会成员中有四名独立非执行董事，符合香港上市规则有关独立非执行董事人数的最低要求。本公司独立非执行董事</w:t>
      </w:r>
      <w:r>
        <w:rPr/>
        <w:t> </w:t>
      </w:r>
      <w:r>
        <w:rPr>
          <w:spacing w:val="-1"/>
        </w:rPr>
        <w:t>王爱国及潘爱玲具备了适当的会计及财务管理专长，符合香港上市规则第</w:t>
      </w:r>
      <w:r>
        <w:rPr>
          <w:rFonts w:ascii="Times New Roman" w:hAnsi="Times New Roman" w:cs="Times New Roman" w:eastAsia="Times New Roman" w:hint="default"/>
          <w:spacing w:val="-1"/>
        </w:rPr>
        <w:t>3.10</w:t>
      </w:r>
      <w:r>
        <w:rPr>
          <w:spacing w:val="-1"/>
        </w:rPr>
        <w:t>条的要求，其个人简历请参见本年度报告第八</w:t>
      </w:r>
      <w:r>
        <w:rPr>
          <w:spacing w:val="-72"/>
        </w:rPr>
        <w:t> </w:t>
      </w:r>
      <w:r>
        <w:rPr>
          <w:spacing w:val="-72"/>
        </w:rPr>
      </w:r>
      <w:r>
        <w:rPr>
          <w:spacing w:val="-1"/>
        </w:rPr>
        <w:t>节。公司已收取各独立非执行董事根据香港上市规则第</w:t>
      </w:r>
      <w:r>
        <w:rPr>
          <w:rFonts w:ascii="Times New Roman" w:hAnsi="Times New Roman" w:cs="Times New Roman" w:eastAsia="Times New Roman" w:hint="default"/>
          <w:spacing w:val="-1"/>
        </w:rPr>
        <w:t>3.13</w:t>
      </w:r>
      <w:r>
        <w:rPr>
          <w:spacing w:val="-1"/>
        </w:rPr>
        <w:t>条就彼等各自之独立性发出年度确认函。本公司认为各独立非执</w:t>
      </w:r>
      <w:r>
        <w:rPr>
          <w:spacing w:val="-74"/>
        </w:rPr>
        <w:t> </w:t>
      </w:r>
      <w:r>
        <w:rPr>
          <w:spacing w:val="-74"/>
        </w:rPr>
      </w:r>
      <w:r>
        <w:rPr/>
        <w:t>行董事均属独立人士。</w:t>
      </w:r>
    </w:p>
    <w:p>
      <w:pPr>
        <w:spacing w:line="240" w:lineRule="auto" w:before="12"/>
        <w:rPr>
          <w:rFonts w:ascii="宋体" w:hAnsi="宋体" w:cs="宋体" w:eastAsia="宋体" w:hint="default"/>
          <w:sz w:val="22"/>
          <w:szCs w:val="22"/>
        </w:rPr>
      </w:pPr>
    </w:p>
    <w:p>
      <w:pPr>
        <w:pStyle w:val="Heading4"/>
        <w:spacing w:line="240" w:lineRule="auto"/>
        <w:ind w:left="576" w:right="90"/>
        <w:jc w:val="left"/>
        <w:rPr>
          <w:b w:val="0"/>
          <w:bCs w:val="0"/>
        </w:rPr>
      </w:pPr>
      <w:r>
        <w:rPr>
          <w:rFonts w:ascii="Times New Roman" w:hAnsi="Times New Roman" w:cs="Times New Roman" w:eastAsia="Times New Roman" w:hint="default"/>
        </w:rPr>
        <w:t>6</w:t>
      </w:r>
      <w:r>
        <w:rPr/>
        <w:t>、董事任期</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90" w:firstLine="360"/>
        <w:jc w:val="left"/>
      </w:pPr>
      <w:r>
        <w:rPr>
          <w:spacing w:val="-2"/>
        </w:rPr>
        <w:t>根据《公司章程》，所有董事（包括非执行董事）由股东大会选举产生，任期三年，由</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月起至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月止。董</w:t>
      </w:r>
      <w:r>
        <w:rPr/>
        <w:t> 事任期届满，可以连选连任。</w:t>
      </w:r>
    </w:p>
    <w:p>
      <w:pPr>
        <w:spacing w:line="240" w:lineRule="auto" w:before="3"/>
        <w:rPr>
          <w:rFonts w:ascii="宋体" w:hAnsi="宋体" w:cs="宋体" w:eastAsia="宋体" w:hint="default"/>
          <w:sz w:val="23"/>
          <w:szCs w:val="23"/>
        </w:rPr>
      </w:pPr>
    </w:p>
    <w:p>
      <w:pPr>
        <w:pStyle w:val="Heading4"/>
        <w:spacing w:line="240" w:lineRule="auto"/>
        <w:ind w:left="576" w:right="90"/>
        <w:jc w:val="left"/>
        <w:rPr>
          <w:b w:val="0"/>
          <w:bCs w:val="0"/>
        </w:rPr>
      </w:pPr>
      <w:r>
        <w:rPr>
          <w:rFonts w:ascii="Times New Roman" w:hAnsi="Times New Roman" w:cs="Times New Roman" w:eastAsia="Times New Roman" w:hint="default"/>
        </w:rPr>
        <w:t>7</w:t>
      </w:r>
      <w:r>
        <w:rPr/>
        <w:t>、董事对财务报表的责任</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0" w:firstLine="360"/>
        <w:jc w:val="left"/>
      </w:pPr>
      <w:r>
        <w:rPr/>
        <w:t>董事申明其有责任就各财政年度，编制真实、公允的反映本公司情况的财务报表。董事认为在财务报表的编制过程中， 本公司贯彻了适当的会计政策，并遵守所有相关会计准则。</w:t>
      </w:r>
    </w:p>
    <w:p>
      <w:pPr>
        <w:spacing w:line="240" w:lineRule="auto" w:before="4"/>
        <w:rPr>
          <w:rFonts w:ascii="宋体" w:hAnsi="宋体" w:cs="宋体" w:eastAsia="宋体" w:hint="default"/>
          <w:sz w:val="22"/>
          <w:szCs w:val="22"/>
        </w:rPr>
      </w:pPr>
    </w:p>
    <w:p>
      <w:pPr>
        <w:pStyle w:val="Heading4"/>
        <w:spacing w:line="240" w:lineRule="auto"/>
        <w:ind w:left="576" w:right="90"/>
        <w:jc w:val="left"/>
        <w:rPr>
          <w:b w:val="0"/>
          <w:bCs w:val="0"/>
        </w:rPr>
      </w:pPr>
      <w:r>
        <w:rPr>
          <w:rFonts w:ascii="Times New Roman" w:hAnsi="Times New Roman" w:cs="Times New Roman" w:eastAsia="Times New Roman" w:hint="default"/>
        </w:rPr>
        <w:t>8</w:t>
      </w:r>
      <w:r>
        <w:rPr/>
        <w:t>、董事委员会</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0" w:firstLine="360"/>
        <w:jc w:val="left"/>
      </w:pPr>
      <w:r>
        <w:rPr>
          <w:spacing w:val="-2"/>
        </w:rPr>
        <w:t>根据企业管治守则，董事会辖下成立三个委员会，分别为审计委员会、薪酬与考核委员会及提名委员会，以监察本公司</w:t>
      </w:r>
      <w:r>
        <w:rPr/>
        <w:t> 事务之特定范畴。各董事委员会均定有界定书面职权范围。董事委员会之书面职权范围刊载于联交所及公司网页。</w:t>
      </w:r>
    </w:p>
    <w:p>
      <w:pPr>
        <w:pStyle w:val="BodyText"/>
        <w:spacing w:line="240" w:lineRule="auto" w:before="58"/>
        <w:ind w:left="513" w:right="90"/>
        <w:jc w:val="left"/>
      </w:pPr>
      <w:r>
        <w:rPr/>
        <w:t>除企业管治守则的规定外，公司亦成立战略委员会，以监察公司长期发展战略规划进行研究并提出建议。</w:t>
      </w:r>
    </w:p>
    <w:p>
      <w:pPr>
        <w:spacing w:after="0" w:line="240" w:lineRule="auto"/>
        <w:jc w:val="left"/>
        <w:sectPr>
          <w:pgSz w:w="11910" w:h="16840"/>
          <w:pgMar w:header="877" w:footer="950" w:top="1100" w:bottom="1140" w:left="980" w:right="940"/>
        </w:sectPr>
      </w:pPr>
    </w:p>
    <w:p>
      <w:pPr>
        <w:spacing w:line="240" w:lineRule="auto" w:before="13"/>
        <w:rPr>
          <w:rFonts w:ascii="宋体" w:hAnsi="宋体" w:cs="宋体" w:eastAsia="宋体" w:hint="default"/>
          <w:sz w:val="21"/>
          <w:szCs w:val="21"/>
        </w:rPr>
      </w:pPr>
    </w:p>
    <w:p>
      <w:pPr>
        <w:pStyle w:val="BodyText"/>
        <w:spacing w:line="240" w:lineRule="auto" w:before="44"/>
        <w:ind w:left="513" w:right="0"/>
        <w:jc w:val="left"/>
      </w:pPr>
      <w:r>
        <w:rPr/>
        <w:t>董事会整体负责执行企业管治职责，包括</w:t>
      </w:r>
    </w:p>
    <w:p>
      <w:pPr>
        <w:pStyle w:val="BodyText"/>
        <w:spacing w:line="240" w:lineRule="auto" w:before="116"/>
        <w:ind w:left="513" w:right="0"/>
        <w:jc w:val="left"/>
      </w:pPr>
      <w:r>
        <w:rPr/>
        <w:t>(1) 制定及检讨公司的企业管治政策及常规；</w:t>
      </w:r>
    </w:p>
    <w:p>
      <w:pPr>
        <w:pStyle w:val="BodyText"/>
        <w:spacing w:line="240" w:lineRule="auto" w:before="117"/>
        <w:ind w:left="513" w:right="0"/>
        <w:jc w:val="left"/>
      </w:pPr>
      <w:r>
        <w:rPr/>
        <w:t>(2) 检讨及监察董事及高级管理人员的培训及持续专业发展；</w:t>
      </w:r>
    </w:p>
    <w:p>
      <w:pPr>
        <w:pStyle w:val="BodyText"/>
        <w:spacing w:line="240" w:lineRule="auto" w:before="116"/>
        <w:ind w:left="513" w:right="0"/>
        <w:jc w:val="left"/>
      </w:pPr>
      <w:r>
        <w:rPr/>
        <w:t>(3) 检讨及监察公司在遵守法律及监管规定方面的政策及常规；</w:t>
      </w:r>
    </w:p>
    <w:p>
      <w:pPr>
        <w:pStyle w:val="BodyText"/>
        <w:spacing w:line="240" w:lineRule="auto" w:before="116"/>
        <w:ind w:left="513" w:right="0"/>
        <w:jc w:val="left"/>
      </w:pPr>
      <w:r>
        <w:rPr/>
        <w:t>(4) 制定、检讨及监察雇员及董事操守准则；及</w:t>
      </w:r>
    </w:p>
    <w:p>
      <w:pPr>
        <w:pStyle w:val="BodyText"/>
        <w:spacing w:line="240" w:lineRule="auto" w:before="117"/>
        <w:ind w:left="513" w:right="0"/>
        <w:jc w:val="left"/>
      </w:pPr>
      <w:r>
        <w:rPr/>
        <w:t>(5) 检讨公司遵守企业管治守则及在企业管治报告内的披露。</w:t>
      </w:r>
    </w:p>
    <w:p>
      <w:pPr>
        <w:spacing w:line="240" w:lineRule="auto" w:before="10"/>
        <w:rPr>
          <w:rFonts w:ascii="宋体" w:hAnsi="宋体" w:cs="宋体" w:eastAsia="宋体" w:hint="default"/>
          <w:sz w:val="26"/>
          <w:szCs w:val="26"/>
        </w:rPr>
      </w:pPr>
    </w:p>
    <w:p>
      <w:pPr>
        <w:pStyle w:val="Heading4"/>
        <w:spacing w:line="240" w:lineRule="auto"/>
        <w:ind w:left="576" w:right="0"/>
        <w:jc w:val="left"/>
        <w:rPr>
          <w:b w:val="0"/>
          <w:bCs w:val="0"/>
        </w:rPr>
      </w:pPr>
      <w:r>
        <w:rPr>
          <w:rFonts w:ascii="Times New Roman" w:hAnsi="Times New Roman" w:cs="Times New Roman" w:eastAsia="Times New Roman" w:hint="default"/>
        </w:rPr>
        <w:t>9</w:t>
      </w:r>
      <w:r>
        <w:rPr/>
        <w:t>、审计委员会</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51" w:firstLine="360"/>
        <w:jc w:val="both"/>
      </w:pPr>
      <w:r>
        <w:rPr>
          <w:spacing w:val="-2"/>
        </w:rPr>
        <w:t>公司审计委员会由公司两名独立非执行董事及一名非执行董事组成，主要负责公司内、外部审计的沟通、监督和核查工</w:t>
      </w:r>
      <w:r>
        <w:rPr/>
        <w:t> </w:t>
      </w:r>
      <w:r>
        <w:rPr>
          <w:spacing w:val="-2"/>
        </w:rPr>
        <w:t>作。审计委员会主席为独立非执行董事张宏，委员包括崔友平及王爱国。王爱国具备香港上市规则对该委任所要求之适当专</w:t>
      </w:r>
      <w:r>
        <w:rPr>
          <w:spacing w:val="-66"/>
        </w:rPr>
        <w:t> </w:t>
      </w:r>
      <w:r>
        <w:rPr>
          <w:spacing w:val="-66"/>
        </w:rPr>
      </w:r>
      <w:r>
        <w:rPr/>
        <w:t>业资格，或具备适当的会计或相关财务管理专长。</w:t>
      </w:r>
    </w:p>
    <w:p>
      <w:pPr>
        <w:pStyle w:val="BodyText"/>
        <w:spacing w:line="300" w:lineRule="auto" w:before="55"/>
        <w:ind w:left="154" w:right="151" w:firstLine="360"/>
        <w:jc w:val="both"/>
      </w:pPr>
      <w:r>
        <w:rPr/>
        <w:t>本公司审计委员会的主要职责是：（</w:t>
      </w:r>
      <w:r>
        <w:rPr>
          <w:rFonts w:ascii="Times New Roman" w:hAnsi="Times New Roman" w:cs="Times New Roman" w:eastAsia="Times New Roman" w:hint="default"/>
        </w:rPr>
        <w:t>1</w:t>
      </w:r>
      <w:r>
        <w:rPr/>
        <w:t>）提议聘请或更换外部审计机构；（</w:t>
      </w:r>
      <w:r>
        <w:rPr>
          <w:rFonts w:ascii="Times New Roman" w:hAnsi="Times New Roman" w:cs="Times New Roman" w:eastAsia="Times New Roman" w:hint="default"/>
        </w:rPr>
        <w:t>2</w:t>
      </w:r>
      <w:r>
        <w:rPr/>
        <w:t>）监督公司的内部审计制度及实施；（</w:t>
      </w:r>
      <w:r>
        <w:rPr>
          <w:rFonts w:ascii="Times New Roman" w:hAnsi="Times New Roman" w:cs="Times New Roman" w:eastAsia="Times New Roman" w:hint="default"/>
        </w:rPr>
        <w:t>3</w:t>
      </w:r>
      <w:r>
        <w:rPr/>
        <w:t>） </w:t>
      </w:r>
      <w:r>
        <w:rPr>
          <w:spacing w:val="-2"/>
        </w:rPr>
        <w:t>负责内部审计与外部审计之间的沟通；（</w:t>
      </w:r>
      <w:r>
        <w:rPr>
          <w:rFonts w:ascii="Times New Roman" w:hAnsi="Times New Roman" w:cs="Times New Roman" w:eastAsia="Times New Roman" w:hint="default"/>
          <w:spacing w:val="-2"/>
        </w:rPr>
        <w:t>4</w:t>
      </w:r>
      <w:r>
        <w:rPr>
          <w:spacing w:val="-2"/>
        </w:rPr>
        <w:t>）审核公司的财务资讯及其披露；（</w:t>
      </w:r>
      <w:r>
        <w:rPr>
          <w:rFonts w:ascii="Times New Roman" w:hAnsi="Times New Roman" w:cs="Times New Roman" w:eastAsia="Times New Roman" w:hint="default"/>
          <w:spacing w:val="-2"/>
        </w:rPr>
        <w:t>5</w:t>
      </w:r>
      <w:r>
        <w:rPr>
          <w:spacing w:val="-2"/>
        </w:rPr>
        <w:t>）审查公司内控制度，对重大关联交易进行</w:t>
      </w:r>
      <w:r>
        <w:rPr>
          <w:spacing w:val="-66"/>
        </w:rPr>
        <w:t> </w:t>
      </w:r>
      <w:r>
        <w:rPr>
          <w:spacing w:val="-66"/>
        </w:rPr>
      </w:r>
      <w:r>
        <w:rPr/>
        <w:t>审计；（</w:t>
      </w:r>
      <w:r>
        <w:rPr>
          <w:rFonts w:ascii="Times New Roman" w:hAnsi="Times New Roman" w:cs="Times New Roman" w:eastAsia="Times New Roman" w:hint="default"/>
        </w:rPr>
        <w:t>6</w:t>
      </w:r>
      <w:r>
        <w:rPr/>
        <w:t>）公司董事会授予的其它事宜。</w:t>
      </w:r>
    </w:p>
    <w:p>
      <w:pPr>
        <w:pStyle w:val="BodyText"/>
        <w:spacing w:line="302" w:lineRule="auto" w:before="51"/>
        <w:ind w:left="154" w:right="248" w:firstLine="360"/>
        <w:jc w:val="both"/>
      </w:pPr>
      <w:r>
        <w:rPr/>
        <w:t>审计委员会已经联同管理层讨论本集团所采纳的会计准则及惯例，并讨论审阅了本报告，包括审阅了本集团截止</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日按照中国企业会计准则编制的财务报表。</w:t>
      </w:r>
    </w:p>
    <w:p>
      <w:pPr>
        <w:pStyle w:val="BodyText"/>
        <w:spacing w:line="240" w:lineRule="auto" w:before="52"/>
        <w:ind w:left="514" w:right="0"/>
        <w:jc w:val="left"/>
      </w:pPr>
      <w:r>
        <w:rPr/>
        <w:t>审计委员会在报告期内工作情况详见本章节第四部分。</w:t>
      </w:r>
    </w:p>
    <w:p>
      <w:pPr>
        <w:spacing w:line="240" w:lineRule="auto" w:before="10"/>
        <w:rPr>
          <w:rFonts w:ascii="宋体" w:hAnsi="宋体" w:cs="宋体" w:eastAsia="宋体" w:hint="default"/>
          <w:sz w:val="26"/>
          <w:szCs w:val="26"/>
        </w:rPr>
      </w:pPr>
    </w:p>
    <w:p>
      <w:pPr>
        <w:pStyle w:val="Heading4"/>
        <w:spacing w:line="240" w:lineRule="auto"/>
        <w:ind w:left="576" w:right="0"/>
        <w:jc w:val="left"/>
        <w:rPr>
          <w:b w:val="0"/>
          <w:bCs w:val="0"/>
        </w:rPr>
      </w:pPr>
      <w:r>
        <w:rPr>
          <w:rFonts w:ascii="Times New Roman" w:hAnsi="Times New Roman" w:cs="Times New Roman" w:eastAsia="Times New Roman" w:hint="default"/>
        </w:rPr>
        <w:t>10</w:t>
      </w:r>
      <w:r>
        <w:rPr/>
        <w:t>、薪酬与考核委员会</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48" w:firstLine="360"/>
        <w:jc w:val="both"/>
      </w:pPr>
      <w:r>
        <w:rPr>
          <w:spacing w:val="-2"/>
        </w:rPr>
        <w:t>本公司已成立薪酬与考核委员会，由三名董事组成，包括主席王爱国、委员陈洪国及潘爱玲，其中两名（包括主席）为</w:t>
      </w:r>
      <w:r>
        <w:rPr/>
        <w:t> </w:t>
      </w:r>
      <w:r>
        <w:rPr>
          <w:spacing w:val="-2"/>
        </w:rPr>
        <w:t>独立非执行董事，符合《企业管治常规守则》的规定。薪酬与考核委员会主要负责制定公司董事及经理人员的考核标准并进</w:t>
      </w:r>
      <w:r>
        <w:rPr>
          <w:spacing w:val="-66"/>
        </w:rPr>
        <w:t> </w:t>
      </w:r>
      <w:r>
        <w:rPr>
          <w:spacing w:val="-66"/>
        </w:rPr>
      </w:r>
      <w:r>
        <w:rPr/>
        <w:t>行考核；负责制定、审查公司董事及经理人员的薪酬政策与方案，对董事会负责。</w:t>
      </w:r>
    </w:p>
    <w:p>
      <w:pPr>
        <w:pStyle w:val="BodyText"/>
        <w:spacing w:line="300" w:lineRule="auto" w:before="55"/>
        <w:ind w:right="158" w:firstLine="360"/>
        <w:jc w:val="both"/>
      </w:pPr>
      <w:r>
        <w:rPr/>
        <w:t>本公司薪酬与考核委员会的主要职责是：（</w:t>
      </w:r>
      <w:r>
        <w:rPr>
          <w:rFonts w:ascii="Times New Roman" w:hAnsi="Times New Roman" w:cs="Times New Roman" w:eastAsia="Times New Roman" w:hint="default"/>
        </w:rPr>
        <w:t>1</w:t>
      </w:r>
      <w:r>
        <w:rPr/>
        <w:t>）根据董事及高级管理人员管理岗位的主要范围、职责、重要性及其它相 关企业相关岗位的薪酬水平制定薪酬计划或方案；（</w:t>
      </w:r>
      <w:r>
        <w:rPr>
          <w:rFonts w:ascii="Times New Roman" w:hAnsi="Times New Roman" w:cs="Times New Roman" w:eastAsia="Times New Roman" w:hint="default"/>
        </w:rPr>
        <w:t>2</w:t>
      </w:r>
      <w:r>
        <w:rPr/>
        <w:t>）薪酬计划或方案主要包括但不限于绩效评价标准、程序及主要评价 体系，奖励和惩罚的主要方案和制度等；（</w:t>
      </w:r>
      <w:r>
        <w:rPr>
          <w:rFonts w:ascii="Times New Roman" w:hAnsi="Times New Roman" w:cs="Times New Roman" w:eastAsia="Times New Roman" w:hint="default"/>
        </w:rPr>
        <w:t>3</w:t>
      </w:r>
      <w:r>
        <w:rPr/>
        <w:t>）审查公司董事（非独立非执行董事）及高级管理人员的履行职责情况并对其 进行年度绩效考评；（</w:t>
      </w:r>
      <w:r>
        <w:rPr>
          <w:rFonts w:ascii="Times New Roman" w:hAnsi="Times New Roman" w:cs="Times New Roman" w:eastAsia="Times New Roman" w:hint="default"/>
        </w:rPr>
        <w:t>4</w:t>
      </w:r>
      <w:r>
        <w:rPr/>
        <w:t>）负责对公司薪酬制度执行情况进行监督；（</w:t>
      </w:r>
      <w:r>
        <w:rPr>
          <w:rFonts w:ascii="Times New Roman" w:hAnsi="Times New Roman" w:cs="Times New Roman" w:eastAsia="Times New Roman" w:hint="default"/>
        </w:rPr>
        <w:t>5</w:t>
      </w:r>
      <w:r>
        <w:rPr/>
        <w:t>）董事会授权的其它事宜。</w:t>
      </w:r>
    </w:p>
    <w:p>
      <w:pPr>
        <w:pStyle w:val="BodyText"/>
        <w:spacing w:line="240" w:lineRule="auto" w:before="52"/>
        <w:ind w:left="513" w:right="0"/>
        <w:jc w:val="left"/>
      </w:pPr>
      <w:r>
        <w:rPr/>
        <w:t>薪酬与考核委员会在本报告期内工作情况详见本章节第四部分。</w:t>
      </w:r>
    </w:p>
    <w:p>
      <w:pPr>
        <w:spacing w:line="240" w:lineRule="auto" w:before="11"/>
        <w:rPr>
          <w:rFonts w:ascii="宋体" w:hAnsi="宋体" w:cs="宋体" w:eastAsia="宋体" w:hint="default"/>
          <w:sz w:val="26"/>
          <w:szCs w:val="26"/>
        </w:rPr>
      </w:pPr>
    </w:p>
    <w:p>
      <w:pPr>
        <w:pStyle w:val="Heading4"/>
        <w:spacing w:line="240" w:lineRule="auto"/>
        <w:ind w:left="576" w:right="0"/>
        <w:jc w:val="left"/>
        <w:rPr>
          <w:b w:val="0"/>
          <w:bCs w:val="0"/>
        </w:rPr>
      </w:pPr>
      <w:r>
        <w:rPr>
          <w:rFonts w:ascii="Times New Roman" w:hAnsi="Times New Roman" w:cs="Times New Roman" w:eastAsia="Times New Roman" w:hint="default"/>
        </w:rPr>
        <w:t>11</w:t>
      </w:r>
      <w:r>
        <w:rPr/>
        <w:t>、提名委员会</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48" w:firstLine="360"/>
        <w:jc w:val="both"/>
      </w:pPr>
      <w:r>
        <w:rPr>
          <w:spacing w:val="-2"/>
        </w:rPr>
        <w:t>本公司已成立提名委员会，由三名董事组成，包括主席张志元，委员陈洪国及王爱国，其中两名（包括主席）为独立非</w:t>
      </w:r>
      <w:r>
        <w:rPr/>
        <w:t> </w:t>
      </w:r>
      <w:r>
        <w:rPr>
          <w:spacing w:val="-2"/>
        </w:rPr>
        <w:t>执行董事，符合《企业管治常规守则》的规定。提名委员会主要负责对公司董事和经理人员的人选、选择标准和程序进行选</w:t>
      </w:r>
      <w:r>
        <w:rPr>
          <w:spacing w:val="-66"/>
        </w:rPr>
        <w:t> </w:t>
      </w:r>
      <w:r>
        <w:rPr>
          <w:spacing w:val="-66"/>
        </w:rPr>
      </w:r>
      <w:r>
        <w:rPr/>
        <w:t>择并提出建议。</w:t>
      </w:r>
    </w:p>
    <w:p>
      <w:pPr>
        <w:pStyle w:val="BodyText"/>
        <w:spacing w:line="307" w:lineRule="auto" w:before="55"/>
        <w:ind w:right="149" w:firstLine="360"/>
        <w:jc w:val="both"/>
      </w:pPr>
      <w:r>
        <w:rPr/>
        <w:t>本公司提名委员会的主要职责是：（</w:t>
      </w:r>
      <w:r>
        <w:rPr>
          <w:rFonts w:ascii="Times New Roman" w:hAnsi="Times New Roman" w:cs="Times New Roman" w:eastAsia="Times New Roman" w:hint="default"/>
        </w:rPr>
        <w:t>1</w:t>
      </w:r>
      <w:r>
        <w:rPr/>
        <w:t>）根据公司经营活动情况、资产规模和股权结构对董事会的规模和构成向董事会 </w:t>
      </w:r>
      <w:r>
        <w:rPr>
          <w:spacing w:val="-2"/>
        </w:rPr>
        <w:t>提出建议；（</w:t>
      </w:r>
      <w:r>
        <w:rPr>
          <w:rFonts w:ascii="Times New Roman" w:hAnsi="Times New Roman" w:cs="Times New Roman" w:eastAsia="Times New Roman" w:hint="default"/>
          <w:spacing w:val="-2"/>
        </w:rPr>
        <w:t>2</w:t>
      </w:r>
      <w:r>
        <w:rPr>
          <w:spacing w:val="-2"/>
        </w:rPr>
        <w:t>）研究董事、经理人员的选择标准和程式，并向董事会提出建议；（</w:t>
      </w:r>
      <w:r>
        <w:rPr>
          <w:rFonts w:ascii="Times New Roman" w:hAnsi="Times New Roman" w:cs="Times New Roman" w:eastAsia="Times New Roman" w:hint="default"/>
          <w:spacing w:val="-2"/>
        </w:rPr>
        <w:t>3</w:t>
      </w:r>
      <w:r>
        <w:rPr>
          <w:spacing w:val="-2"/>
        </w:rPr>
        <w:t>）广泛搜寻合格的董事和经理人员的人</w:t>
      </w:r>
      <w:r>
        <w:rPr>
          <w:spacing w:val="-65"/>
        </w:rPr>
        <w:t> </w:t>
      </w:r>
      <w:r>
        <w:rPr>
          <w:spacing w:val="-65"/>
        </w:rPr>
      </w:r>
      <w:r>
        <w:rPr>
          <w:spacing w:val="-2"/>
        </w:rPr>
        <w:t>选；（</w:t>
      </w:r>
      <w:r>
        <w:rPr>
          <w:rFonts w:ascii="Times New Roman" w:hAnsi="Times New Roman" w:cs="Times New Roman" w:eastAsia="Times New Roman" w:hint="default"/>
          <w:spacing w:val="-2"/>
        </w:rPr>
        <w:t>4</w:t>
      </w:r>
      <w:r>
        <w:rPr>
          <w:spacing w:val="-2"/>
        </w:rPr>
        <w:t>）对董事候选人和经理人选进行审查并提出建议；（</w:t>
      </w:r>
      <w:r>
        <w:rPr>
          <w:rFonts w:ascii="Times New Roman" w:hAnsi="Times New Roman" w:cs="Times New Roman" w:eastAsia="Times New Roman" w:hint="default"/>
          <w:spacing w:val="-2"/>
        </w:rPr>
        <w:t>5</w:t>
      </w:r>
      <w:r>
        <w:rPr>
          <w:spacing w:val="-2"/>
        </w:rPr>
        <w:t>）对须提请董事会聘任的其他高级管理人员进行审查并提出建</w:t>
      </w:r>
      <w:r>
        <w:rPr>
          <w:spacing w:val="-66"/>
        </w:rPr>
        <w:t> </w:t>
      </w:r>
      <w:r>
        <w:rPr>
          <w:spacing w:val="-66"/>
        </w:rPr>
      </w:r>
      <w:r>
        <w:rPr/>
        <w:t>议；（6）就董事委任及重新委任时向董事会提出建议，就董事出任董事会职务时所需的技能、知识、经验、背景、性别及 其它特质作考虑时同时作出董事多元化平衡，改善董事会效率并确保董事会多元化带来的裨益；（7）检讨董事会成员多元 化政策，定时作出检讨及修改并于每年年度报告内的企业管治报告作出相关披露及（</w:t>
      </w:r>
      <w:r>
        <w:rPr>
          <w:rFonts w:ascii="Times New Roman" w:hAnsi="Times New Roman" w:cs="Times New Roman" w:eastAsia="Times New Roman" w:hint="default"/>
        </w:rPr>
        <w:t>8</w:t>
      </w:r>
      <w:r>
        <w:rPr/>
        <w:t>）董事会授权的其他事宜。</w:t>
      </w:r>
    </w:p>
    <w:p>
      <w:pPr>
        <w:pStyle w:val="BodyText"/>
        <w:spacing w:line="300" w:lineRule="auto" w:before="45"/>
        <w:ind w:right="188" w:firstLine="360"/>
        <w:jc w:val="both"/>
      </w:pPr>
      <w:r>
        <w:rPr/>
        <w:t>提名委员会于报告期内研究公司对新董事及经理人员的需要后，在考虑董事会成员多元化政策并透过不同途径</w:t>
      </w:r>
      <w:r>
        <w:rPr>
          <w:rFonts w:ascii="Times New Roman" w:hAnsi="Times New Roman" w:cs="Times New Roman" w:eastAsia="Times New Roman" w:hint="default"/>
        </w:rPr>
        <w:t>(</w:t>
      </w:r>
      <w:r>
        <w:rPr/>
        <w:t>包括在 本集团内部及人才市场</w:t>
      </w:r>
      <w:r>
        <w:rPr>
          <w:rFonts w:ascii="Times New Roman" w:hAnsi="Times New Roman" w:cs="Times New Roman" w:eastAsia="Times New Roman" w:hint="default"/>
        </w:rPr>
        <w:t>)</w:t>
      </w:r>
      <w:r>
        <w:rPr/>
        <w:t>广泛寻找合适的董事及经理人员人选。在得到被提名人对提名的同意后，提名委员会将召集会议对</w:t>
      </w:r>
    </w:p>
    <w:p>
      <w:pPr>
        <w:spacing w:after="0" w:line="300" w:lineRule="auto"/>
        <w:jc w:val="both"/>
        <w:sectPr>
          <w:pgSz w:w="11910" w:h="16840"/>
          <w:pgMar w:header="877" w:footer="950" w:top="1100" w:bottom="1140" w:left="980" w:right="980"/>
        </w:sectPr>
      </w:pPr>
    </w:p>
    <w:p>
      <w:pPr>
        <w:spacing w:line="240" w:lineRule="auto" w:before="12"/>
        <w:rPr>
          <w:rFonts w:ascii="宋体" w:hAnsi="宋体" w:cs="宋体" w:eastAsia="宋体" w:hint="default"/>
          <w:sz w:val="21"/>
          <w:szCs w:val="21"/>
        </w:rPr>
      </w:pPr>
    </w:p>
    <w:p>
      <w:pPr>
        <w:pStyle w:val="BodyText"/>
        <w:spacing w:line="316" w:lineRule="auto" w:before="44"/>
        <w:ind w:right="189"/>
        <w:jc w:val="both"/>
      </w:pPr>
      <w:r>
        <w:rPr>
          <w:spacing w:val="-2"/>
        </w:rPr>
        <w:t>初选人员进行资格审查，审查的标准包括初选人员的学历、相关经验及专门技术等。在选举新董事前一至两个月，提名委员</w:t>
      </w:r>
      <w:r>
        <w:rPr>
          <w:spacing w:val="-66"/>
        </w:rPr>
        <w:t> </w:t>
      </w:r>
      <w:r>
        <w:rPr>
          <w:spacing w:val="-66"/>
        </w:rPr>
      </w:r>
      <w:r>
        <w:rPr>
          <w:spacing w:val="-2"/>
        </w:rPr>
        <w:t>会向董事会提出董事候选人的建议和相关材料；在聘任新的高级管理人员前，提名委员会向董事会提出新聘高级管理人员人</w:t>
      </w:r>
      <w:r>
        <w:rPr>
          <w:spacing w:val="-64"/>
        </w:rPr>
        <w:t> </w:t>
      </w:r>
      <w:r>
        <w:rPr>
          <w:spacing w:val="-64"/>
        </w:rPr>
      </w:r>
      <w:r>
        <w:rPr/>
        <w:t>选的建议和相关材料。</w:t>
      </w:r>
    </w:p>
    <w:p>
      <w:pPr>
        <w:pStyle w:val="BodyText"/>
        <w:spacing w:line="240" w:lineRule="auto" w:before="59"/>
        <w:ind w:left="513" w:right="90"/>
        <w:jc w:val="left"/>
      </w:pPr>
      <w:r>
        <w:rPr/>
        <w:t>提名委员会在本报告期内工作情况详见本章节第四部分。</w:t>
      </w:r>
    </w:p>
    <w:p>
      <w:pPr>
        <w:spacing w:line="240" w:lineRule="auto" w:before="11"/>
        <w:rPr>
          <w:rFonts w:ascii="宋体" w:hAnsi="宋体" w:cs="宋体" w:eastAsia="宋体" w:hint="default"/>
          <w:sz w:val="26"/>
          <w:szCs w:val="26"/>
        </w:rPr>
      </w:pPr>
    </w:p>
    <w:p>
      <w:pPr>
        <w:pStyle w:val="Heading4"/>
        <w:spacing w:line="240" w:lineRule="auto"/>
        <w:ind w:left="576" w:right="90"/>
        <w:jc w:val="left"/>
        <w:rPr>
          <w:b w:val="0"/>
          <w:bCs w:val="0"/>
        </w:rPr>
      </w:pPr>
      <w:r>
        <w:rPr>
          <w:rFonts w:ascii="Times New Roman" w:hAnsi="Times New Roman" w:cs="Times New Roman" w:eastAsia="Times New Roman" w:hint="default"/>
        </w:rPr>
        <w:t>12</w:t>
      </w:r>
      <w:r>
        <w:rPr/>
        <w:t>、战略委员会</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0" w:firstLine="360"/>
        <w:jc w:val="left"/>
      </w:pPr>
      <w:r>
        <w:rPr>
          <w:spacing w:val="-2"/>
        </w:rPr>
        <w:t>本公司已成立战略委员会，由三名董事组成，包括主席陈洪国，委员尹同远及张宏。战略委员会主要负责对公司长期发</w:t>
      </w:r>
      <w:r>
        <w:rPr/>
        <w:t> 展战略和重大投资决策进行研究并提出建议。</w:t>
      </w:r>
    </w:p>
    <w:p>
      <w:pPr>
        <w:pStyle w:val="BodyText"/>
        <w:spacing w:line="300" w:lineRule="auto" w:before="56"/>
        <w:ind w:right="101" w:firstLine="360"/>
        <w:jc w:val="both"/>
      </w:pPr>
      <w:r>
        <w:rPr>
          <w:spacing w:val="-2"/>
        </w:rPr>
        <w:t>本公司战略委员会的主要职责是：（</w:t>
      </w:r>
      <w:r>
        <w:rPr>
          <w:rFonts w:ascii="Times New Roman" w:hAnsi="Times New Roman" w:cs="Times New Roman" w:eastAsia="Times New Roman" w:hint="default"/>
          <w:spacing w:val="-2"/>
        </w:rPr>
        <w:t>1</w:t>
      </w:r>
      <w:r>
        <w:rPr>
          <w:spacing w:val="-2"/>
        </w:rPr>
        <w:t>）公司长期发展战略规划进行研究并提出建议；（</w:t>
      </w:r>
      <w:r>
        <w:rPr>
          <w:rFonts w:ascii="Times New Roman" w:hAnsi="Times New Roman" w:cs="Times New Roman" w:eastAsia="Times New Roman" w:hint="default"/>
          <w:spacing w:val="-2"/>
        </w:rPr>
        <w:t>2</w:t>
      </w:r>
      <w:r>
        <w:rPr>
          <w:spacing w:val="-2"/>
        </w:rPr>
        <w:t>）对《公司章程》规定的须董</w:t>
      </w:r>
      <w:r>
        <w:rPr/>
        <w:t> 事会批准的重大投资融资方案进行研究并提出建议；（</w:t>
      </w:r>
      <w:r>
        <w:rPr>
          <w:rFonts w:ascii="Times New Roman" w:hAnsi="Times New Roman" w:cs="Times New Roman" w:eastAsia="Times New Roman" w:hint="default"/>
        </w:rPr>
        <w:t>3</w:t>
      </w:r>
      <w:r>
        <w:rPr/>
        <w:t>）对《公司章程》规定的须经董事会批准的重大资本运作，资产经 </w:t>
      </w:r>
      <w:r>
        <w:rPr>
          <w:spacing w:val="-4"/>
        </w:rPr>
        <w:t>营项目进行研究并提出建议；（</w:t>
      </w:r>
      <w:r>
        <w:rPr>
          <w:rFonts w:ascii="Times New Roman" w:hAnsi="Times New Roman" w:cs="Times New Roman" w:eastAsia="Times New Roman" w:hint="default"/>
          <w:spacing w:val="-4"/>
        </w:rPr>
        <w:t>4</w:t>
      </w:r>
      <w:r>
        <w:rPr>
          <w:spacing w:val="-4"/>
        </w:rPr>
        <w:t>）对其它影响公司发展的重大事项进行研究并提出建议；（</w:t>
      </w:r>
      <w:r>
        <w:rPr>
          <w:rFonts w:ascii="Times New Roman" w:hAnsi="Times New Roman" w:cs="Times New Roman" w:eastAsia="Times New Roman" w:hint="default"/>
          <w:spacing w:val="-4"/>
        </w:rPr>
        <w:t>5</w:t>
      </w:r>
      <w:r>
        <w:rPr>
          <w:spacing w:val="-4"/>
        </w:rPr>
        <w:t>）对以上事项的实施进行检查；</w:t>
      </w:r>
    </w:p>
    <w:p>
      <w:pPr>
        <w:pStyle w:val="BodyText"/>
        <w:spacing w:line="240" w:lineRule="auto" w:before="14"/>
        <w:ind w:right="90"/>
        <w:jc w:val="left"/>
      </w:pPr>
      <w:r>
        <w:rPr/>
        <w:t>（</w:t>
      </w:r>
      <w:r>
        <w:rPr>
          <w:rFonts w:ascii="Times New Roman" w:hAnsi="Times New Roman" w:cs="Times New Roman" w:eastAsia="Times New Roman" w:hint="default"/>
        </w:rPr>
        <w:t>6</w:t>
      </w:r>
      <w:r>
        <w:rPr/>
        <w:t>）董事会授权的其它事宜。</w:t>
      </w:r>
    </w:p>
    <w:p>
      <w:pPr>
        <w:spacing w:line="240" w:lineRule="auto" w:before="9"/>
        <w:rPr>
          <w:rFonts w:ascii="宋体" w:hAnsi="宋体" w:cs="宋体" w:eastAsia="宋体" w:hint="default"/>
          <w:sz w:val="25"/>
          <w:szCs w:val="25"/>
        </w:rPr>
      </w:pPr>
    </w:p>
    <w:p>
      <w:pPr>
        <w:pStyle w:val="Heading4"/>
        <w:spacing w:line="240" w:lineRule="auto"/>
        <w:ind w:left="576" w:right="90"/>
        <w:jc w:val="left"/>
        <w:rPr>
          <w:b w:val="0"/>
          <w:bCs w:val="0"/>
        </w:rPr>
      </w:pPr>
      <w:r>
        <w:rPr>
          <w:rFonts w:ascii="Times New Roman" w:hAnsi="Times New Roman" w:cs="Times New Roman" w:eastAsia="Times New Roman" w:hint="default"/>
        </w:rPr>
        <w:t>13</w:t>
      </w:r>
      <w:r>
        <w:rPr/>
        <w:t>、核数师</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left="154" w:right="180" w:firstLine="36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日，本公司</w:t>
      </w:r>
      <w:r>
        <w:rPr>
          <w:rFonts w:ascii="Times New Roman" w:hAnsi="Times New Roman" w:cs="Times New Roman" w:eastAsia="Times New Roman" w:hint="default"/>
        </w:rPr>
        <w:t>2011</w:t>
      </w:r>
      <w:r>
        <w:rPr/>
        <w:t>年度股东大会同意继续聘任中瑞岳华会计师事务所（特殊普通合伙）作为本公司</w:t>
      </w:r>
      <w:r>
        <w:rPr>
          <w:rFonts w:ascii="Times New Roman" w:hAnsi="Times New Roman" w:cs="Times New Roman" w:eastAsia="Times New Roman" w:hint="default"/>
        </w:rPr>
        <w:t>2012</w:t>
      </w:r>
      <w:r>
        <w:rPr/>
        <w:t>年度 境内审计机构，负责本公司</w:t>
      </w:r>
      <w:r>
        <w:rPr>
          <w:rFonts w:ascii="Times New Roman" w:hAnsi="Times New Roman" w:cs="Times New Roman" w:eastAsia="Times New Roman" w:hint="default"/>
        </w:rPr>
        <w:t>2012</w:t>
      </w:r>
      <w:r>
        <w:rPr/>
        <w:t>年度境内审计工作。</w:t>
      </w:r>
    </w:p>
    <w:p>
      <w:pPr>
        <w:pStyle w:val="BodyText"/>
        <w:spacing w:line="300" w:lineRule="auto" w:before="49"/>
        <w:ind w:left="154" w:right="180"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日，本公司</w:t>
      </w:r>
      <w:r>
        <w:rPr>
          <w:rFonts w:ascii="Times New Roman" w:hAnsi="Times New Roman" w:cs="Times New Roman" w:eastAsia="Times New Roman" w:hint="default"/>
        </w:rPr>
        <w:t>2012</w:t>
      </w:r>
      <w:r>
        <w:rPr/>
        <w:t>年度股东大会同意继续聘任中瑞岳华会计师事务所（特殊普通合伙）作为本公司</w:t>
      </w:r>
      <w:r>
        <w:rPr>
          <w:rFonts w:ascii="Times New Roman" w:hAnsi="Times New Roman" w:cs="Times New Roman" w:eastAsia="Times New Roman" w:hint="default"/>
        </w:rPr>
        <w:t>2013</w:t>
      </w:r>
      <w:r>
        <w:rPr/>
        <w:t>年度 </w:t>
      </w:r>
      <w:r>
        <w:rPr>
          <w:spacing w:val="-2"/>
        </w:rPr>
        <w:t>境内审计机构，负责本公司</w:t>
      </w:r>
      <w:r>
        <w:rPr>
          <w:rFonts w:ascii="Times New Roman" w:hAnsi="Times New Roman" w:cs="Times New Roman" w:eastAsia="Times New Roman" w:hint="default"/>
          <w:spacing w:val="-2"/>
        </w:rPr>
        <w:t>2013</w:t>
      </w:r>
      <w:r>
        <w:rPr>
          <w:spacing w:val="-2"/>
        </w:rPr>
        <w:t>年度境内审计工作。由于中瑞岳华会计师事务所（特殊普通合伙）与国富浩华会计师事务所</w:t>
      </w:r>
    </w:p>
    <w:p>
      <w:pPr>
        <w:pStyle w:val="BodyText"/>
        <w:spacing w:line="240" w:lineRule="auto" w:before="13"/>
        <w:ind w:left="154" w:right="0"/>
        <w:jc w:val="left"/>
      </w:pPr>
      <w:r>
        <w:rPr/>
        <w:t>（特殊普通合伙）进行合并，公司</w:t>
      </w:r>
      <w:r>
        <w:rPr>
          <w:rFonts w:ascii="Times New Roman" w:hAnsi="Times New Roman" w:cs="Times New Roman" w:eastAsia="Times New Roman" w:hint="default"/>
        </w:rPr>
        <w:t>2013</w:t>
      </w:r>
      <w:r>
        <w:rPr/>
        <w:t>年度境内审计工作由瑞华会计师事务所（特殊普通合伙）负责。有关变更已获股东于</w:t>
      </w:r>
    </w:p>
    <w:p>
      <w:pPr>
        <w:pStyle w:val="BodyText"/>
        <w:spacing w:line="338" w:lineRule="auto" w:before="64"/>
        <w:ind w:left="514" w:right="90" w:hanging="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日举行之</w:t>
      </w:r>
      <w:r>
        <w:rPr>
          <w:rFonts w:ascii="Times New Roman" w:hAnsi="Times New Roman" w:cs="Times New Roman" w:eastAsia="Times New Roman" w:hint="default"/>
        </w:rPr>
        <w:t>2013</w:t>
      </w:r>
      <w:r>
        <w:rPr/>
        <w:t>年第一次临时股东大会上通过。 </w:t>
      </w:r>
      <w:r>
        <w:rPr>
          <w:spacing w:val="-4"/>
        </w:rPr>
        <w:t>由瑞华会计师事务所（特殊普通合伙）续任本公司</w:t>
      </w:r>
      <w:r>
        <w:rPr>
          <w:rFonts w:ascii="Times New Roman" w:hAnsi="Times New Roman" w:cs="Times New Roman" w:eastAsia="Times New Roman" w:hint="default"/>
          <w:spacing w:val="-4"/>
        </w:rPr>
        <w:t>2014</w:t>
      </w:r>
      <w:r>
        <w:rPr>
          <w:spacing w:val="-4"/>
        </w:rPr>
        <w:t>年度境内审计机构之决议，将于即将召开之股东周年大会上提呈。</w:t>
      </w:r>
    </w:p>
    <w:p>
      <w:pPr>
        <w:spacing w:line="240" w:lineRule="auto" w:before="7"/>
        <w:rPr>
          <w:rFonts w:ascii="宋体" w:hAnsi="宋体" w:cs="宋体" w:eastAsia="宋体" w:hint="default"/>
          <w:sz w:val="19"/>
          <w:szCs w:val="19"/>
        </w:rPr>
      </w:pPr>
    </w:p>
    <w:p>
      <w:pPr>
        <w:pStyle w:val="Heading4"/>
        <w:spacing w:line="240" w:lineRule="auto"/>
        <w:ind w:left="576" w:right="90"/>
        <w:jc w:val="left"/>
        <w:rPr>
          <w:b w:val="0"/>
          <w:bCs w:val="0"/>
        </w:rPr>
      </w:pPr>
      <w:r>
        <w:rPr>
          <w:rFonts w:ascii="Times New Roman" w:hAnsi="Times New Roman" w:cs="Times New Roman" w:eastAsia="Times New Roman" w:hint="default"/>
        </w:rPr>
        <w:t>14</w:t>
      </w:r>
      <w:r>
        <w:rPr/>
        <w:t>、核数师酬金</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91" w:firstLine="360"/>
        <w:jc w:val="both"/>
      </w:pPr>
      <w:r>
        <w:rPr>
          <w:spacing w:val="-2"/>
        </w:rPr>
        <w:t>瑞华会计师事务所（特殊普通合伙）负责对本集团按照企业会计准则编制</w:t>
      </w:r>
      <w:r>
        <w:rPr>
          <w:rFonts w:ascii="Times New Roman" w:hAnsi="Times New Roman" w:cs="Times New Roman" w:eastAsia="Times New Roman" w:hint="default"/>
          <w:spacing w:val="-2"/>
        </w:rPr>
        <w:t>2013</w:t>
      </w:r>
      <w:r>
        <w:rPr>
          <w:spacing w:val="-2"/>
        </w:rPr>
        <w:t>年度财务报表。公司</w:t>
      </w:r>
      <w:r>
        <w:rPr>
          <w:rFonts w:ascii="Times New Roman" w:hAnsi="Times New Roman" w:cs="Times New Roman" w:eastAsia="Times New Roman" w:hint="default"/>
          <w:spacing w:val="-2"/>
        </w:rPr>
        <w:t>2013</w:t>
      </w:r>
      <w:r>
        <w:rPr>
          <w:spacing w:val="-2"/>
        </w:rPr>
        <w:t>年度向核数师支</w:t>
      </w:r>
      <w:r>
        <w:rPr/>
        <w:t> 付了财务报告审计费用共计人民币</w:t>
      </w:r>
      <w:r>
        <w:rPr>
          <w:rFonts w:ascii="Times New Roman" w:hAnsi="Times New Roman" w:cs="Times New Roman" w:eastAsia="Times New Roman" w:hint="default"/>
        </w:rPr>
        <w:t>200</w:t>
      </w:r>
      <w:r>
        <w:rPr/>
        <w:t>万元。非审计费用共计人民币</w:t>
      </w:r>
      <w:r>
        <w:rPr>
          <w:rFonts w:ascii="Times New Roman" w:hAnsi="Times New Roman" w:cs="Times New Roman" w:eastAsia="Times New Roman" w:hint="default"/>
        </w:rPr>
        <w:t>60</w:t>
      </w:r>
      <w:r>
        <w:rPr/>
        <w:t>万元，费用用于内部控制审计，除此之外，年内无其 他非审计服务费用。</w:t>
      </w:r>
    </w:p>
    <w:p>
      <w:pPr>
        <w:pStyle w:val="BodyText"/>
        <w:spacing w:line="240" w:lineRule="auto" w:before="70"/>
        <w:ind w:left="513" w:right="90"/>
        <w:jc w:val="left"/>
      </w:pPr>
      <w:r>
        <w:rPr/>
        <w:t>本公司于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日举行的</w:t>
      </w:r>
      <w:r>
        <w:rPr>
          <w:rFonts w:ascii="Times New Roman" w:hAnsi="Times New Roman" w:cs="Times New Roman" w:eastAsia="Times New Roman" w:hint="default"/>
        </w:rPr>
        <w:t>2013</w:t>
      </w:r>
      <w:r>
        <w:rPr/>
        <w:t>年第一次临时股东大会通过决议聘任瑞华会计师事务所（特殊普通合伙）作为公司</w:t>
      </w:r>
    </w:p>
    <w:p>
      <w:pPr>
        <w:pStyle w:val="BodyText"/>
        <w:spacing w:line="338" w:lineRule="auto" w:before="64"/>
        <w:ind w:left="513" w:right="90" w:hanging="360"/>
        <w:jc w:val="left"/>
      </w:pPr>
      <w:r>
        <w:rPr>
          <w:rFonts w:ascii="Times New Roman" w:hAnsi="Times New Roman" w:cs="Times New Roman" w:eastAsia="Times New Roman" w:hint="default"/>
        </w:rPr>
        <w:t>2013</w:t>
      </w:r>
      <w:r>
        <w:rPr/>
        <w:t>年度财务审计机构。 </w:t>
      </w:r>
      <w:r>
        <w:rPr>
          <w:spacing w:val="-4"/>
        </w:rPr>
        <w:t>瑞华会计师事务所（特殊普通合伙）对本集团财务呈报所承担责任的声明分别载于本年度报告中第十一节、一部分内容。</w:t>
      </w:r>
    </w:p>
    <w:p>
      <w:pPr>
        <w:spacing w:line="240" w:lineRule="auto" w:before="2"/>
        <w:rPr>
          <w:rFonts w:ascii="宋体" w:hAnsi="宋体" w:cs="宋体" w:eastAsia="宋体" w:hint="default"/>
          <w:sz w:val="21"/>
          <w:szCs w:val="21"/>
        </w:rPr>
      </w:pPr>
    </w:p>
    <w:p>
      <w:pPr>
        <w:pStyle w:val="Heading4"/>
        <w:spacing w:line="240" w:lineRule="auto"/>
        <w:ind w:left="576" w:right="90"/>
        <w:jc w:val="left"/>
        <w:rPr>
          <w:b w:val="0"/>
          <w:bCs w:val="0"/>
        </w:rPr>
      </w:pPr>
      <w:r>
        <w:rPr>
          <w:rFonts w:ascii="Times New Roman" w:hAnsi="Times New Roman" w:cs="Times New Roman" w:eastAsia="Times New Roman" w:hint="default"/>
        </w:rPr>
        <w:t>15</w:t>
      </w:r>
      <w:r>
        <w:rPr/>
        <w:t>、监事与监事会</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90" w:firstLine="360"/>
        <w:jc w:val="left"/>
      </w:pPr>
      <w:r>
        <w:rPr/>
        <w:t>本公司监事会向全体股东负责，对公司财务以及公司董事、经理和其它高级管理人员履行职责的合法合规性进行监督， </w:t>
      </w:r>
      <w:r>
        <w:rPr>
          <w:spacing w:val="-2"/>
        </w:rPr>
        <w:t>维护公司及股东的合法权益。监事会成员由三名股东代表、二名公司职工代表组成。股东代表出任的监事由股东大会选举和</w:t>
      </w:r>
      <w:r>
        <w:rPr>
          <w:spacing w:val="-66"/>
        </w:rPr>
        <w:t> </w:t>
      </w:r>
      <w:r>
        <w:rPr>
          <w:spacing w:val="-66"/>
        </w:rPr>
      </w:r>
      <w:r>
        <w:rPr/>
        <w:t>罢免，职工代表出任的监事由公司职工民主选举和罢免。</w:t>
      </w:r>
    </w:p>
    <w:p>
      <w:pPr>
        <w:pStyle w:val="BodyText"/>
        <w:spacing w:line="240" w:lineRule="auto" w:before="58"/>
        <w:ind w:left="513" w:right="90"/>
        <w:jc w:val="left"/>
      </w:pPr>
      <w:r>
        <w:rPr/>
        <w:t>监事会在本报告期内工作情况详见本章节第五部分、监事会工作情况。</w:t>
      </w:r>
    </w:p>
    <w:p>
      <w:pPr>
        <w:spacing w:line="240" w:lineRule="auto" w:before="10"/>
        <w:rPr>
          <w:rFonts w:ascii="宋体" w:hAnsi="宋体" w:cs="宋体" w:eastAsia="宋体" w:hint="default"/>
          <w:sz w:val="26"/>
          <w:szCs w:val="26"/>
        </w:rPr>
      </w:pPr>
    </w:p>
    <w:p>
      <w:pPr>
        <w:pStyle w:val="Heading4"/>
        <w:spacing w:line="240" w:lineRule="auto"/>
        <w:ind w:left="576" w:right="90"/>
        <w:jc w:val="left"/>
        <w:rPr>
          <w:b w:val="0"/>
          <w:bCs w:val="0"/>
        </w:rPr>
      </w:pPr>
      <w:r>
        <w:rPr>
          <w:rFonts w:ascii="Times New Roman" w:hAnsi="Times New Roman" w:cs="Times New Roman" w:eastAsia="Times New Roman" w:hint="default"/>
        </w:rPr>
        <w:t>16</w:t>
      </w:r>
      <w:r>
        <w:rPr/>
        <w:t>、公司秘书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90"/>
        <w:jc w:val="left"/>
      </w:pPr>
      <w:r>
        <w:rPr/>
        <w:t>于回顾年度，公司秘书确认彼已接受不少于十五小时的相关专业培训，合乎上市规则</w:t>
      </w:r>
      <w:r>
        <w:rPr>
          <w:rFonts w:ascii="Times New Roman" w:hAnsi="Times New Roman" w:cs="Times New Roman" w:eastAsia="Times New Roman" w:hint="default"/>
        </w:rPr>
        <w:t>3.29</w:t>
      </w:r>
      <w:r>
        <w:rPr/>
        <w:t>条之要求。</w:t>
      </w:r>
    </w:p>
    <w:p>
      <w:pPr>
        <w:spacing w:after="0" w:line="240" w:lineRule="auto"/>
        <w:jc w:val="left"/>
        <w:sectPr>
          <w:pgSz w:w="11910" w:h="16840"/>
          <w:pgMar w:header="877" w:footer="950" w:top="1100" w:bottom="1140" w:left="980" w:right="940"/>
        </w:sectPr>
      </w:pPr>
    </w:p>
    <w:p>
      <w:pPr>
        <w:spacing w:line="240" w:lineRule="auto" w:before="9"/>
        <w:rPr>
          <w:rFonts w:ascii="宋体" w:hAnsi="宋体" w:cs="宋体" w:eastAsia="宋体" w:hint="default"/>
          <w:sz w:val="20"/>
          <w:szCs w:val="20"/>
        </w:rPr>
      </w:pPr>
    </w:p>
    <w:p>
      <w:pPr>
        <w:pStyle w:val="Heading4"/>
        <w:spacing w:line="240" w:lineRule="auto" w:before="35"/>
        <w:ind w:left="576" w:right="0"/>
        <w:jc w:val="left"/>
        <w:rPr>
          <w:b w:val="0"/>
          <w:bCs w:val="0"/>
        </w:rPr>
      </w:pPr>
      <w:r>
        <w:rPr>
          <w:rFonts w:ascii="Times New Roman" w:hAnsi="Times New Roman" w:cs="Times New Roman" w:eastAsia="Times New Roman" w:hint="default"/>
        </w:rPr>
        <w:t>17</w:t>
      </w:r>
      <w:r>
        <w:rPr/>
        <w:t>、与股东的沟通</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firstLine="360"/>
        <w:jc w:val="left"/>
      </w:pPr>
      <w:r>
        <w:rPr>
          <w:spacing w:val="-2"/>
        </w:rPr>
        <w:t>本公司认为与股东有效沟通极为重要，藉以让股东对本集团业绩作出清晰评估，以及向董事会提问。下为本公司与股东</w:t>
      </w:r>
      <w:r>
        <w:rPr/>
        <w:t> 沟通的主要方式：</w:t>
      </w:r>
    </w:p>
    <w:p>
      <w:pPr>
        <w:pStyle w:val="BodyText"/>
        <w:spacing w:line="357" w:lineRule="auto" w:before="56"/>
        <w:ind w:left="513" w:right="411"/>
        <w:jc w:val="left"/>
      </w:pPr>
      <w:r>
        <w:rPr/>
        <w:t>于公司网页的资料披露 本公司会以最全面及适时的方式向所有希望获得本公司数据的人士披露与集团有关的所有重要资料。本公司的网页</w:t>
      </w:r>
    </w:p>
    <w:p>
      <w:pPr>
        <w:pStyle w:val="BodyText"/>
        <w:spacing w:line="237" w:lineRule="exact"/>
        <w:ind w:right="0"/>
        <w:jc w:val="left"/>
      </w:pPr>
      <w:r>
        <w:rPr>
          <w:rFonts w:ascii="Times New Roman" w:hAnsi="Times New Roman" w:cs="Times New Roman" w:eastAsia="Times New Roman" w:hint="default"/>
        </w:rPr>
        <w:t>(www.chenmingpaper.com)</w:t>
      </w:r>
      <w:r>
        <w:rPr/>
        <w:t>可提供有关本集团的活动及企业事宜的重要资料（如致股东的年度报告及半年度报告、公告、业</w:t>
      </w:r>
    </w:p>
    <w:p>
      <w:pPr>
        <w:pStyle w:val="BodyText"/>
        <w:spacing w:line="357" w:lineRule="auto" w:before="64"/>
        <w:ind w:left="513" w:right="3651" w:hanging="360"/>
        <w:jc w:val="left"/>
      </w:pPr>
      <w:r>
        <w:rPr/>
        <w:t>务发展及营运、企业管治常规及其它数据等），以供股东及其它持份者查阅。 另外，透过联交所发出的公告亦可在本公司的网页查阅。</w:t>
      </w:r>
    </w:p>
    <w:p>
      <w:pPr>
        <w:pStyle w:val="BodyText"/>
        <w:spacing w:line="357" w:lineRule="auto" w:before="27"/>
        <w:ind w:left="513" w:right="0"/>
        <w:jc w:val="left"/>
      </w:pPr>
      <w:r>
        <w:rPr/>
        <w:t>股东大会 </w:t>
      </w:r>
      <w:r>
        <w:rPr>
          <w:spacing w:val="-2"/>
        </w:rPr>
        <w:t>本公司的股东周年大会为董事会直接与股东沟通提供了一个实用的平台。本公司将于股东大会上就每项实质上不同的议</w:t>
      </w:r>
    </w:p>
    <w:p>
      <w:pPr>
        <w:pStyle w:val="BodyText"/>
        <w:spacing w:line="224" w:lineRule="exact"/>
        <w:ind w:right="0"/>
        <w:jc w:val="left"/>
      </w:pPr>
      <w:r>
        <w:rPr/>
        <w:t>题提呈独立决议案。于二零一三年，公司除了于二零一三年五月十五日举行股东周年大会外，还召开了两次临时股东会及一</w:t>
      </w:r>
    </w:p>
    <w:p>
      <w:pPr>
        <w:pStyle w:val="BodyText"/>
        <w:spacing w:line="240" w:lineRule="auto" w:before="77"/>
        <w:ind w:right="0"/>
        <w:jc w:val="left"/>
        <w:rPr>
          <w:rFonts w:ascii="Times New Roman" w:hAnsi="Times New Roman" w:cs="Times New Roman" w:eastAsia="Times New Roman" w:hint="default"/>
        </w:rPr>
      </w:pPr>
      <w:r>
        <w:rPr/>
        <w:t>次类别股东会。各股东会议的董事出席名单如下</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5312"/>
        <w:gridCol w:w="4345"/>
      </w:tblGrid>
      <w:tr>
        <w:trPr>
          <w:trHeight w:val="420" w:hRule="exact"/>
        </w:trPr>
        <w:tc>
          <w:tcPr>
            <w:tcW w:w="53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3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2" w:right="0"/>
              <w:jc w:val="left"/>
              <w:rPr>
                <w:rFonts w:ascii="宋体" w:hAnsi="宋体" w:cs="宋体" w:eastAsia="宋体" w:hint="default"/>
                <w:sz w:val="18"/>
                <w:szCs w:val="18"/>
              </w:rPr>
            </w:pPr>
            <w:r>
              <w:rPr>
                <w:rFonts w:ascii="宋体" w:hAnsi="宋体" w:cs="宋体" w:eastAsia="宋体" w:hint="default"/>
                <w:sz w:val="18"/>
                <w:szCs w:val="18"/>
              </w:rPr>
              <w:t>现场出席董事名单</w:t>
            </w:r>
          </w:p>
        </w:tc>
      </w:tr>
      <w:tr>
        <w:trPr>
          <w:trHeight w:val="427"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陈洪国、尹同远、王效群</w:t>
            </w:r>
          </w:p>
        </w:tc>
      </w:tr>
      <w:tr>
        <w:trPr>
          <w:trHeight w:val="427"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第一次临时股东会</w:t>
            </w:r>
          </w:p>
        </w:tc>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尹同远、耿光林、王效群</w:t>
            </w:r>
          </w:p>
        </w:tc>
      </w:tr>
      <w:tr>
        <w:trPr>
          <w:trHeight w:val="426"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第二次临时股东会</w:t>
            </w:r>
          </w:p>
        </w:tc>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尹同远、王效群</w:t>
            </w:r>
          </w:p>
        </w:tc>
      </w:tr>
      <w:tr>
        <w:trPr>
          <w:trHeight w:val="428" w:hRule="exact"/>
        </w:trPr>
        <w:tc>
          <w:tcPr>
            <w:tcW w:w="5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类别股东会</w:t>
            </w:r>
          </w:p>
        </w:tc>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尹同远、耿光林、王效群</w:t>
            </w:r>
          </w:p>
        </w:tc>
      </w:tr>
    </w:tbl>
    <w:p>
      <w:pPr>
        <w:pStyle w:val="BodyText"/>
        <w:spacing w:line="316" w:lineRule="auto" w:before="51"/>
        <w:ind w:right="0" w:firstLine="360"/>
        <w:jc w:val="left"/>
      </w:pPr>
      <w:r>
        <w:rPr>
          <w:spacing w:val="-2"/>
        </w:rPr>
        <w:t>公司审计委员会主席张宏女士、薪酬与考核委员会主席王爱国先生及提名委员会主席张志元先生因公务繁忙缺席股东周</w:t>
      </w:r>
      <w:r>
        <w:rPr/>
        <w:t> 年大会。公司外聘核数师列席股东周年大会并监票。</w:t>
      </w:r>
    </w:p>
    <w:p>
      <w:pPr>
        <w:pStyle w:val="BodyText"/>
        <w:spacing w:line="357" w:lineRule="auto" w:before="58"/>
        <w:ind w:left="513" w:right="0"/>
        <w:jc w:val="left"/>
      </w:pPr>
      <w:r>
        <w:rPr/>
        <w:t>按股数投票 </w:t>
      </w:r>
      <w:r>
        <w:rPr>
          <w:spacing w:val="-2"/>
        </w:rPr>
        <w:t>在本公司股东大会上提呈表决的决议案，将会按股数投票的方式进行。于每次股东大会开始时，将会向股东说明按股数</w:t>
      </w:r>
    </w:p>
    <w:p>
      <w:pPr>
        <w:pStyle w:val="BodyText"/>
        <w:spacing w:line="224" w:lineRule="exact"/>
        <w:ind w:right="0"/>
        <w:jc w:val="left"/>
      </w:pPr>
      <w:r>
        <w:rPr/>
        <w:t>投票的程序，亦会回答股东提出与投票程序有关的问题。而按股数投票方式表决的结果会于同日分别登载于联交所及本公司</w:t>
      </w:r>
    </w:p>
    <w:p>
      <w:pPr>
        <w:pStyle w:val="BodyText"/>
        <w:spacing w:line="240" w:lineRule="auto" w:before="77"/>
        <w:ind w:right="0"/>
        <w:jc w:val="left"/>
      </w:pPr>
      <w:r>
        <w:rPr/>
        <w:t>的网页。</w:t>
      </w:r>
    </w:p>
    <w:p>
      <w:pPr>
        <w:pStyle w:val="BodyText"/>
        <w:spacing w:line="240" w:lineRule="auto" w:before="116"/>
        <w:ind w:left="513" w:right="0"/>
        <w:jc w:val="left"/>
      </w:pPr>
      <w:r>
        <w:rPr/>
        <w:t>股东权利</w:t>
      </w:r>
    </w:p>
    <w:p>
      <w:pPr>
        <w:spacing w:line="338" w:lineRule="auto" w:before="116"/>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）股东召开股东特别大会的程序</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根据本公司章程第</w:t>
      </w:r>
      <w:r>
        <w:rPr>
          <w:rFonts w:ascii="Times New Roman" w:hAnsi="Times New Roman" w:cs="Times New Roman" w:eastAsia="Times New Roman" w:hint="default"/>
          <w:spacing w:val="-2"/>
          <w:sz w:val="18"/>
          <w:szCs w:val="18"/>
        </w:rPr>
        <w:t>90</w:t>
      </w:r>
      <w:r>
        <w:rPr>
          <w:rFonts w:ascii="宋体" w:hAnsi="宋体" w:cs="宋体" w:eastAsia="宋体" w:hint="default"/>
          <w:spacing w:val="-2"/>
          <w:sz w:val="18"/>
          <w:szCs w:val="18"/>
        </w:rPr>
        <w:t>条规定，单独或者合计持有公司百分之十以上股份的股东有权向董事会请求召开临时股东大会，并</w:t>
      </w:r>
    </w:p>
    <w:p>
      <w:pPr>
        <w:pStyle w:val="BodyText"/>
        <w:spacing w:line="217" w:lineRule="exact"/>
        <w:ind w:right="0"/>
        <w:jc w:val="left"/>
      </w:pPr>
      <w:r>
        <w:rPr/>
        <w:t>应当以书面形式向董事会提出。董事会应当根据法律、行政法规和本章程的规定，在收到请求后十日内提出同意或不同意召</w:t>
      </w:r>
    </w:p>
    <w:p>
      <w:pPr>
        <w:pStyle w:val="BodyText"/>
        <w:spacing w:line="319" w:lineRule="auto" w:before="76"/>
        <w:ind w:right="0"/>
        <w:jc w:val="left"/>
      </w:pPr>
      <w:r>
        <w:rPr>
          <w:spacing w:val="-2"/>
        </w:rPr>
        <w:t>开临时股东大会的书面反馈意见。董事会同意召开临时股东大会的，应当在作出董事会决议后的五日内发出召开股东大会的</w:t>
      </w:r>
      <w:r>
        <w:rPr>
          <w:spacing w:val="-64"/>
        </w:rPr>
        <w:t> </w:t>
      </w:r>
      <w:r>
        <w:rPr>
          <w:spacing w:val="-64"/>
        </w:rPr>
      </w:r>
      <w:r>
        <w:rPr/>
        <w:t>通知，通知中对原请求的变更，应当征得相关股东的同意。</w:t>
      </w:r>
    </w:p>
    <w:p>
      <w:pPr>
        <w:pStyle w:val="BodyText"/>
        <w:spacing w:line="319" w:lineRule="auto" w:before="55"/>
        <w:ind w:right="0" w:firstLine="360"/>
        <w:jc w:val="left"/>
      </w:pPr>
      <w:r>
        <w:rPr>
          <w:spacing w:val="-2"/>
        </w:rPr>
        <w:t>董事会不同意召开临时股东大会，或者在收到请求后十日内未作出反馈的，单独或者合计持有公司百分之十以上股份的</w:t>
      </w:r>
      <w:r>
        <w:rPr/>
        <w:t> 股东有权向监事会提议召开临时股东大会，并应当以书面形式向监事会提出请求。</w:t>
      </w:r>
    </w:p>
    <w:p>
      <w:pPr>
        <w:pStyle w:val="BodyText"/>
        <w:spacing w:line="319" w:lineRule="auto" w:before="55"/>
        <w:ind w:right="0" w:firstLine="360"/>
        <w:jc w:val="left"/>
      </w:pPr>
      <w:r>
        <w:rPr>
          <w:spacing w:val="-2"/>
        </w:rPr>
        <w:t>监事会同意召开临时股东大会的，应在收到请求五日内发出召开股东大会的通知，通知中对原提案的变更，应当征得相</w:t>
      </w:r>
      <w:r>
        <w:rPr/>
        <w:t> 关股东的同意。</w:t>
      </w:r>
    </w:p>
    <w:p>
      <w:pPr>
        <w:pStyle w:val="BodyText"/>
        <w:spacing w:line="319" w:lineRule="auto" w:before="56"/>
        <w:ind w:right="0" w:firstLine="360"/>
        <w:jc w:val="left"/>
      </w:pPr>
      <w:r>
        <w:rPr>
          <w:spacing w:val="-2"/>
        </w:rPr>
        <w:t>监事会未在规定期限内发出股东大会通知的，视为监事会不召集和主持股东大会，连续九十日以上单独或者合计持有公</w:t>
      </w:r>
      <w:r>
        <w:rPr/>
        <w:t> 司百分之十以上股份的股东可以自行召集和主持。</w:t>
      </w:r>
    </w:p>
    <w:p>
      <w:pPr>
        <w:pStyle w:val="BodyText"/>
        <w:spacing w:line="302" w:lineRule="auto" w:before="55"/>
        <w:ind w:right="0" w:firstLine="360"/>
        <w:jc w:val="left"/>
      </w:pPr>
      <w:r>
        <w:rPr>
          <w:spacing w:val="-2"/>
        </w:rPr>
        <w:t>根据本公司章程第</w:t>
      </w:r>
      <w:r>
        <w:rPr>
          <w:rFonts w:ascii="Times New Roman" w:hAnsi="Times New Roman" w:cs="Times New Roman" w:eastAsia="Times New Roman" w:hint="default"/>
          <w:spacing w:val="-2"/>
        </w:rPr>
        <w:t>91</w:t>
      </w:r>
      <w:r>
        <w:rPr>
          <w:spacing w:val="-2"/>
        </w:rPr>
        <w:t>条规定，股东决定自行召集股东大会的，须书面通知董事会，同时向公司所在地中国证券监督管理</w:t>
      </w:r>
      <w:r>
        <w:rPr/>
        <w:t> 机构的派出机构和证券交易所备案。在股东大会决议公告前，召集股东持股比例不得低于百分之十。</w:t>
      </w:r>
    </w:p>
    <w:p>
      <w:pPr>
        <w:pStyle w:val="BodyText"/>
        <w:spacing w:line="319" w:lineRule="auto" w:before="68"/>
        <w:ind w:right="0" w:firstLine="360"/>
        <w:jc w:val="left"/>
      </w:pPr>
      <w:r>
        <w:rPr>
          <w:spacing w:val="-2"/>
        </w:rPr>
        <w:t>召集股东应在发出股东大会通知及股东大会决议公告时，向公司所在地中国证券监督管理机构的派出机构和证券交易所</w:t>
      </w:r>
      <w:r>
        <w:rPr/>
        <w:t> 提交有关证明材料。</w:t>
      </w:r>
    </w:p>
    <w:p>
      <w:pPr>
        <w:spacing w:after="0" w:line="319" w:lineRule="auto"/>
        <w:jc w:val="left"/>
        <w:sectPr>
          <w:pgSz w:w="11910" w:h="16840"/>
          <w:pgMar w:header="877" w:footer="950" w:top="1100" w:bottom="1140" w:left="980" w:right="980"/>
        </w:sectPr>
      </w:pPr>
    </w:p>
    <w:p>
      <w:pPr>
        <w:spacing w:line="240" w:lineRule="auto" w:before="12"/>
        <w:rPr>
          <w:rFonts w:ascii="宋体" w:hAnsi="宋体" w:cs="宋体" w:eastAsia="宋体" w:hint="default"/>
          <w:sz w:val="21"/>
          <w:szCs w:val="21"/>
        </w:rPr>
      </w:pPr>
    </w:p>
    <w:p>
      <w:pPr>
        <w:pStyle w:val="BodyText"/>
        <w:spacing w:line="319" w:lineRule="auto" w:before="44"/>
        <w:ind w:right="0" w:firstLine="360"/>
        <w:jc w:val="left"/>
      </w:pPr>
      <w:r>
        <w:rPr>
          <w:spacing w:val="-2"/>
        </w:rPr>
        <w:t>对于股东自行召集的股东大会，董事会和董事会秘书将予配合。董事会应当提供股权登记日的股东名册。股东自行召集</w:t>
      </w:r>
      <w:r>
        <w:rPr/>
        <w:t> 的股东大会，会议所必需的费用由公司承担。</w:t>
      </w:r>
    </w:p>
    <w:p>
      <w:pPr>
        <w:spacing w:line="338" w:lineRule="auto" w:before="56"/>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）将股东的查询送达董事会的程序</w:t>
      </w:r>
      <w:r>
        <w:rPr>
          <w:rFonts w:ascii="宋体" w:hAnsi="宋体" w:cs="宋体" w:eastAsia="宋体" w:hint="default"/>
          <w:b/>
          <w:bCs/>
          <w:w w:val="99"/>
          <w:sz w:val="18"/>
          <w:szCs w:val="18"/>
        </w:rPr>
        <w:t> </w:t>
      </w:r>
      <w:r>
        <w:rPr>
          <w:rFonts w:ascii="宋体" w:hAnsi="宋体" w:cs="宋体" w:eastAsia="宋体" w:hint="default"/>
          <w:spacing w:val="-3"/>
          <w:sz w:val="18"/>
          <w:szCs w:val="18"/>
        </w:rPr>
        <w:t>股东可随时以书面形式经公司秘书（H股股东）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董事会秘书（A、B股股东）转交彼等的查询及关注事项予公司的董事会，</w:t>
      </w:r>
    </w:p>
    <w:p>
      <w:pPr>
        <w:pStyle w:val="BodyText"/>
        <w:spacing w:line="231" w:lineRule="exact"/>
        <w:ind w:right="0"/>
        <w:jc w:val="left"/>
        <w:rPr>
          <w:rFonts w:ascii="Times New Roman" w:hAnsi="Times New Roman" w:cs="Times New Roman" w:eastAsia="Times New Roman" w:hint="default"/>
        </w:rPr>
      </w:pPr>
      <w:r>
        <w:rPr/>
        <w:t>公司秘书</w:t>
      </w:r>
      <w:r>
        <w:rPr>
          <w:rFonts w:ascii="Times New Roman" w:hAnsi="Times New Roman" w:cs="Times New Roman" w:eastAsia="Times New Roman" w:hint="default"/>
        </w:rPr>
        <w:t>/</w:t>
      </w:r>
      <w:r>
        <w:rPr/>
        <w:t>董事会秘书的联络详情如下</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927"/>
        <w:gridCol w:w="4927"/>
      </w:tblGrid>
      <w:tr>
        <w:trPr>
          <w:trHeight w:val="411" w:hRule="exact"/>
        </w:trPr>
        <w:tc>
          <w:tcPr>
            <w:tcW w:w="49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公司秘书</w:t>
            </w:r>
          </w:p>
        </w:tc>
        <w:tc>
          <w:tcPr>
            <w:tcW w:w="49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44" w:hRule="exact"/>
        </w:trPr>
        <w:tc>
          <w:tcPr>
            <w:tcW w:w="4927"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潘兆昌</w:t>
            </w:r>
          </w:p>
        </w:tc>
        <w:tc>
          <w:tcPr>
            <w:tcW w:w="4927"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王春方</w:t>
            </w:r>
          </w:p>
        </w:tc>
      </w:tr>
      <w:tr>
        <w:trPr>
          <w:trHeight w:val="426"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地址：香港中环环球大厦</w:t>
            </w:r>
            <w:r>
              <w:rPr>
                <w:rFonts w:ascii="Times New Roman" w:hAnsi="Times New Roman" w:cs="Times New Roman" w:eastAsia="Times New Roman" w:hint="default"/>
                <w:sz w:val="18"/>
                <w:szCs w:val="18"/>
              </w:rPr>
              <w:t>22</w:t>
            </w:r>
            <w:r>
              <w:rPr>
                <w:rFonts w:ascii="宋体" w:hAnsi="宋体" w:cs="宋体" w:eastAsia="宋体" w:hint="default"/>
                <w:sz w:val="18"/>
                <w:szCs w:val="18"/>
              </w:rPr>
              <w:t>楼</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地址：山东省寿光市农圣东街</w:t>
            </w:r>
            <w:r>
              <w:rPr>
                <w:rFonts w:ascii="Times New Roman" w:hAnsi="Times New Roman" w:cs="Times New Roman" w:eastAsia="Times New Roman" w:hint="default"/>
                <w:sz w:val="18"/>
                <w:szCs w:val="18"/>
              </w:rPr>
              <w:t>2199</w:t>
            </w:r>
            <w:r>
              <w:rPr>
                <w:rFonts w:ascii="宋体" w:hAnsi="宋体" w:cs="宋体" w:eastAsia="宋体" w:hint="default"/>
                <w:sz w:val="18"/>
                <w:szCs w:val="18"/>
              </w:rPr>
              <w:t>号</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电邮：</w:t>
            </w:r>
            <w:hyperlink r:id="rId10">
              <w:r>
                <w:rPr>
                  <w:rFonts w:ascii="Times New Roman" w:hAnsi="Times New Roman" w:cs="Times New Roman" w:eastAsia="Times New Roman" w:hint="default"/>
                  <w:sz w:val="18"/>
                  <w:szCs w:val="18"/>
                </w:rPr>
                <w:t>kentpoon_1009@yahoo.com.hk</w:t>
              </w:r>
            </w:hyperlink>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电邮：</w:t>
            </w:r>
            <w:hyperlink r:id="rId9">
              <w:r>
                <w:rPr>
                  <w:rFonts w:ascii="Times New Roman" w:hAnsi="Times New Roman" w:cs="Times New Roman" w:eastAsia="Times New Roman" w:hint="default"/>
                  <w:sz w:val="18"/>
                  <w:szCs w:val="18"/>
                </w:rPr>
                <w:t>chenmmingpaper@163.com</w:t>
              </w:r>
            </w:hyperlink>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(852)-2501 0088</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(86)-0536-2158008</w:t>
            </w:r>
          </w:p>
        </w:tc>
      </w:tr>
      <w:tr>
        <w:trPr>
          <w:trHeight w:val="427" w:hRule="exact"/>
        </w:trPr>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传真：</w:t>
            </w:r>
            <w:r>
              <w:rPr>
                <w:rFonts w:ascii="Times New Roman" w:hAnsi="Times New Roman" w:cs="Times New Roman" w:eastAsia="Times New Roman" w:hint="default"/>
                <w:sz w:val="18"/>
                <w:szCs w:val="18"/>
              </w:rPr>
              <w:t>(852)-2501 0028</w:t>
            </w:r>
          </w:p>
        </w:tc>
        <w:tc>
          <w:tcPr>
            <w:tcW w:w="4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传真：</w:t>
            </w:r>
            <w:r>
              <w:rPr>
                <w:rFonts w:ascii="Times New Roman" w:hAnsi="Times New Roman" w:cs="Times New Roman" w:eastAsia="Times New Roman" w:hint="default"/>
                <w:sz w:val="18"/>
                <w:szCs w:val="18"/>
              </w:rPr>
              <w:t>(86)-0536-2158977</w:t>
            </w:r>
          </w:p>
        </w:tc>
      </w:tr>
    </w:tbl>
    <w:p>
      <w:pPr>
        <w:pStyle w:val="BodyText"/>
        <w:spacing w:line="302" w:lineRule="auto" w:before="51"/>
        <w:ind w:right="311" w:firstLine="360"/>
        <w:jc w:val="left"/>
      </w:pPr>
      <w:r>
        <w:rPr/>
        <w:t>公司秘书</w:t>
      </w:r>
      <w:r>
        <w:rPr>
          <w:rFonts w:ascii="Times New Roman" w:hAnsi="Times New Roman" w:cs="Times New Roman" w:eastAsia="Times New Roman" w:hint="default"/>
        </w:rPr>
        <w:t>/</w:t>
      </w:r>
      <w:r>
        <w:rPr/>
        <w:t>董事会秘书将转交股东的查询及关注事项予本公司的董事会及</w:t>
      </w:r>
      <w:r>
        <w:rPr>
          <w:rFonts w:ascii="Times New Roman" w:hAnsi="Times New Roman" w:cs="Times New Roman" w:eastAsia="Times New Roman" w:hint="default"/>
        </w:rPr>
        <w:t>/</w:t>
      </w:r>
      <w:r>
        <w:rPr/>
        <w:t>或有关的董事会辖下委员会（若适当），以便 回复股东的提问。</w:t>
      </w:r>
    </w:p>
    <w:p>
      <w:pPr>
        <w:pStyle w:val="BodyText"/>
        <w:spacing w:line="338" w:lineRule="auto" w:before="69"/>
        <w:ind w:left="513" w:right="0"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）将股东建议提呈股东大会的程序</w:t>
      </w:r>
      <w:r>
        <w:rPr>
          <w:rFonts w:ascii="宋体" w:hAnsi="宋体" w:cs="宋体" w:eastAsia="宋体" w:hint="default"/>
          <w:b/>
          <w:bCs/>
          <w:w w:val="99"/>
        </w:rPr>
        <w:t> </w:t>
      </w:r>
      <w:r>
        <w:rPr/>
        <w:t>根据本公司章程第</w:t>
      </w:r>
      <w:r>
        <w:rPr>
          <w:rFonts w:ascii="Times New Roman" w:hAnsi="Times New Roman" w:cs="Times New Roman" w:eastAsia="Times New Roman" w:hint="default"/>
        </w:rPr>
        <w:t>102</w:t>
      </w:r>
      <w:r>
        <w:rPr/>
        <w:t>条规定，单独或者合并持有公司百分之三以上股份的股东，有权向公司于股东大会提出提案。 </w:t>
      </w:r>
      <w:r>
        <w:rPr>
          <w:spacing w:val="-2"/>
        </w:rPr>
        <w:t>单独或者合计持有公司百分之三以上股份的股东，可以在股东大会召开十个工作日前提出临时提案并书面提交董事会或</w:t>
      </w:r>
    </w:p>
    <w:p>
      <w:pPr>
        <w:pStyle w:val="BodyText"/>
        <w:spacing w:line="357" w:lineRule="auto" w:before="4"/>
        <w:ind w:left="514" w:right="0" w:hanging="360"/>
        <w:jc w:val="left"/>
      </w:pPr>
      <w:r>
        <w:rPr/>
        <w:t>董事会秘书。董事会或董事会秘书应当在收到提案后二个工作日内发出股东大会补充通知，公告临时提案的内容。 </w:t>
      </w:r>
      <w:r>
        <w:rPr>
          <w:spacing w:val="-2"/>
        </w:rPr>
        <w:t>除前款规定的情形外，董事会或董事会秘书在发出股东大会通知公告后，不得修改股东大会通知中已列明的提案或增加</w:t>
      </w:r>
    </w:p>
    <w:p>
      <w:pPr>
        <w:pStyle w:val="BodyText"/>
        <w:spacing w:line="225" w:lineRule="exact"/>
        <w:ind w:left="154" w:right="0"/>
        <w:jc w:val="left"/>
      </w:pPr>
      <w:r>
        <w:rPr/>
        <w:t>新的提案。</w:t>
      </w:r>
    </w:p>
    <w:p>
      <w:pPr>
        <w:pStyle w:val="BodyText"/>
        <w:spacing w:line="319" w:lineRule="auto" w:before="115"/>
        <w:ind w:left="154" w:right="0" w:firstLine="360"/>
        <w:jc w:val="left"/>
      </w:pPr>
      <w:r>
        <w:rPr>
          <w:spacing w:val="-2"/>
        </w:rPr>
        <w:t>股东大会通知中未列明或不符合公司章程规定的提案，股东大会不得进行表决并作出决议。临时股东大会不得决定通告</w:t>
      </w:r>
      <w:r>
        <w:rPr/>
        <w:t> 未载明的事项。</w:t>
      </w:r>
    </w:p>
    <w:p>
      <w:pPr>
        <w:pStyle w:val="BodyText"/>
        <w:spacing w:line="357" w:lineRule="auto" w:before="58"/>
        <w:ind w:left="514" w:right="0"/>
        <w:jc w:val="left"/>
      </w:pPr>
      <w:r>
        <w:rPr/>
        <w:t>投资者关系 </w:t>
      </w:r>
      <w:r>
        <w:rPr>
          <w:spacing w:val="-2"/>
        </w:rPr>
        <w:t>本公司了解本身须向持有权益的人士阐述其业务状况及响应彼等的提问。本公司适时接待及造访投资者，藉以阐释本集</w:t>
      </w:r>
    </w:p>
    <w:p>
      <w:pPr>
        <w:pStyle w:val="BodyText"/>
        <w:spacing w:line="224" w:lineRule="exact"/>
        <w:ind w:left="154" w:right="0"/>
        <w:jc w:val="left"/>
      </w:pPr>
      <w:r>
        <w:rPr/>
        <w:t>团的业务。此外，本公司会迅速地解答公众人士及个别股东提出的问题。在任何情况下，本公司将采取审慎态度以确保不会</w:t>
      </w:r>
    </w:p>
    <w:p>
      <w:pPr>
        <w:pStyle w:val="BodyText"/>
        <w:spacing w:line="240" w:lineRule="auto" w:before="77"/>
        <w:ind w:left="154" w:right="0"/>
        <w:jc w:val="left"/>
      </w:pPr>
      <w:r>
        <w:rPr/>
        <w:t>选择性地披露任何影响股价的数据。</w:t>
      </w:r>
    </w:p>
    <w:p>
      <w:pPr>
        <w:spacing w:line="240" w:lineRule="auto" w:before="10"/>
        <w:rPr>
          <w:rFonts w:ascii="宋体" w:hAnsi="宋体" w:cs="宋体" w:eastAsia="宋体" w:hint="default"/>
          <w:sz w:val="26"/>
          <w:szCs w:val="26"/>
        </w:rPr>
      </w:pPr>
    </w:p>
    <w:p>
      <w:pPr>
        <w:pStyle w:val="Heading4"/>
        <w:spacing w:line="240" w:lineRule="auto"/>
        <w:ind w:left="576" w:right="0"/>
        <w:jc w:val="left"/>
        <w:rPr>
          <w:b w:val="0"/>
          <w:bCs w:val="0"/>
        </w:rPr>
      </w:pPr>
      <w:r>
        <w:rPr>
          <w:rFonts w:ascii="Times New Roman" w:hAnsi="Times New Roman" w:cs="Times New Roman" w:eastAsia="Times New Roman" w:hint="default"/>
        </w:rPr>
        <w:t>18</w:t>
      </w:r>
      <w:r>
        <w:rPr/>
        <w:t>、内部控制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0"/>
        <w:jc w:val="left"/>
      </w:pPr>
      <w:r>
        <w:rPr/>
        <w:t>本公司内部控制的详细情况参见本年度报告第十节。</w:t>
      </w:r>
    </w:p>
    <w:p>
      <w:pPr>
        <w:spacing w:line="240" w:lineRule="auto" w:before="11"/>
        <w:rPr>
          <w:rFonts w:ascii="宋体" w:hAnsi="宋体" w:cs="宋体" w:eastAsia="宋体" w:hint="default"/>
          <w:sz w:val="26"/>
          <w:szCs w:val="26"/>
        </w:rPr>
      </w:pPr>
    </w:p>
    <w:p>
      <w:pPr>
        <w:pStyle w:val="Heading4"/>
        <w:spacing w:line="240" w:lineRule="auto"/>
        <w:ind w:left="576" w:right="0"/>
        <w:jc w:val="left"/>
        <w:rPr>
          <w:b w:val="0"/>
          <w:bCs w:val="0"/>
        </w:rPr>
      </w:pPr>
      <w:r>
        <w:rPr>
          <w:rFonts w:ascii="Times New Roman" w:hAnsi="Times New Roman" w:cs="Times New Roman" w:eastAsia="Times New Roman" w:hint="default"/>
        </w:rPr>
        <w:t>19</w:t>
      </w:r>
      <w:r>
        <w:rPr/>
        <w:t>、组织章程文件</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329" w:firstLine="360"/>
        <w:jc w:val="both"/>
      </w:pPr>
      <w:r>
        <w:rPr>
          <w:spacing w:val="-2"/>
        </w:rPr>
        <w:t>本公司股东于二零一三年十一月十五日的</w:t>
      </w:r>
      <w:r>
        <w:rPr>
          <w:rFonts w:ascii="Times New Roman" w:hAnsi="Times New Roman" w:cs="Times New Roman" w:eastAsia="Times New Roman" w:hint="default"/>
          <w:spacing w:val="-2"/>
        </w:rPr>
        <w:t>2013</w:t>
      </w:r>
      <w:r>
        <w:rPr>
          <w:spacing w:val="-2"/>
        </w:rPr>
        <w:t>年第二次股东特别大会上审批了本公司新组织章程细则之修订，修订范围</w:t>
      </w:r>
      <w:r>
        <w:rPr/>
        <w:t> </w:t>
      </w:r>
      <w:r>
        <w:rPr>
          <w:spacing w:val="-2"/>
        </w:rPr>
        <w:t>主要是根据公司法、证券法、深交所上市规则的相关要求以及本公司的发展及实际需要，本公司组织章程大纲及新组织章程</w:t>
      </w:r>
      <w:r>
        <w:rPr>
          <w:spacing w:val="-66"/>
        </w:rPr>
        <w:t> </w:t>
      </w:r>
      <w:r>
        <w:rPr>
          <w:spacing w:val="-66"/>
        </w:rPr>
      </w:r>
      <w:r>
        <w:rPr/>
        <w:t>细则之修订版本可于本公司及联交所网页查阅。本公司于二零一三年十二月二十四日因完成B股回购注销手续后对公司组织 章程细则作出了相应股本数目修订。</w:t>
      </w:r>
    </w:p>
    <w:p>
      <w:pPr>
        <w:spacing w:line="240" w:lineRule="auto" w:before="9"/>
        <w:rPr>
          <w:rFonts w:ascii="宋体" w:hAnsi="宋体" w:cs="宋体" w:eastAsia="宋体" w:hint="default"/>
          <w:sz w:val="22"/>
          <w:szCs w:val="22"/>
        </w:rPr>
      </w:pPr>
    </w:p>
    <w:p>
      <w:pPr>
        <w:pStyle w:val="Heading4"/>
        <w:spacing w:line="240" w:lineRule="auto"/>
        <w:ind w:left="576" w:right="0"/>
        <w:jc w:val="left"/>
        <w:rPr>
          <w:b w:val="0"/>
          <w:bCs w:val="0"/>
        </w:rPr>
      </w:pPr>
      <w:r>
        <w:rPr>
          <w:rFonts w:ascii="Times New Roman" w:hAnsi="Times New Roman" w:cs="Times New Roman" w:eastAsia="Times New Roman" w:hint="default"/>
        </w:rPr>
        <w:t>20</w:t>
      </w:r>
      <w:r>
        <w:rPr/>
        <w:t>、董事会成员多元化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本公司于二零一三年八月二十一日制定董事会成员多元化政策并修订提名委员会实施细则，提名委员会会定时检讨董事</w:t>
      </w:r>
      <w:r>
        <w:rPr/>
        <w:t> </w:t>
      </w:r>
      <w:r>
        <w:rPr>
          <w:spacing w:val="-2"/>
        </w:rPr>
        <w:t>会成员多元化政策，作出检讨，改善董事会效率并确保董事会多元化带来的权益。由于公司于落实制定董事会成员多元化政</w:t>
      </w:r>
    </w:p>
    <w:p>
      <w:pPr>
        <w:spacing w:after="0" w:line="316" w:lineRule="auto"/>
        <w:jc w:val="left"/>
        <w:sectPr>
          <w:pgSz w:w="11910" w:h="16840"/>
          <w:pgMar w:header="877" w:footer="950" w:top="1100" w:bottom="1140" w:left="980" w:right="800"/>
        </w:sectPr>
      </w:pPr>
    </w:p>
    <w:p>
      <w:pPr>
        <w:spacing w:line="240" w:lineRule="auto" w:before="12"/>
        <w:rPr>
          <w:rFonts w:ascii="宋体" w:hAnsi="宋体" w:cs="宋体" w:eastAsia="宋体" w:hint="default"/>
          <w:sz w:val="21"/>
          <w:szCs w:val="21"/>
        </w:rPr>
      </w:pPr>
    </w:p>
    <w:p>
      <w:pPr>
        <w:pStyle w:val="BodyText"/>
        <w:spacing w:line="319" w:lineRule="auto" w:before="44"/>
        <w:ind w:right="90"/>
        <w:jc w:val="left"/>
      </w:pPr>
      <w:r>
        <w:rPr>
          <w:spacing w:val="-2"/>
        </w:rPr>
        <w:t>策前董事会刚进行换届，因此提名委员会于公司制定董事会成员多元化政策后并未对聘任新董事提出建议，但提名委员会将</w:t>
      </w:r>
      <w:r>
        <w:rPr>
          <w:spacing w:val="-64"/>
        </w:rPr>
        <w:t> </w:t>
      </w:r>
      <w:r>
        <w:rPr>
          <w:spacing w:val="-64"/>
        </w:rPr>
      </w:r>
      <w:r>
        <w:rPr/>
        <w:t>来考虑董事人选时将根据董事会成员多元化政策作出建议。</w:t>
      </w:r>
    </w:p>
    <w:p>
      <w:pPr>
        <w:pStyle w:val="BodyText"/>
        <w:spacing w:line="357" w:lineRule="auto" w:before="56"/>
        <w:ind w:left="513" w:right="90"/>
        <w:jc w:val="left"/>
      </w:pPr>
      <w:r>
        <w:rPr/>
        <w:t>董事会成员多元化政策摘要如下： </w:t>
      </w:r>
      <w:r>
        <w:rPr>
          <w:spacing w:val="-2"/>
        </w:rPr>
        <w:t>本公司认同多元化董事会的禆益，并视维持董事会层面多元化为维持公司竞争优势的重要元素之一。一个真正多元化的</w:t>
      </w:r>
    </w:p>
    <w:p>
      <w:pPr>
        <w:pStyle w:val="BodyText"/>
        <w:spacing w:line="224" w:lineRule="exact"/>
        <w:ind w:right="0"/>
        <w:jc w:val="left"/>
      </w:pPr>
      <w:r>
        <w:rPr/>
        <w:t>董事会应包括具备不同才能、技能、地区及行业经验、背景、性别及其它特质的董事会成员，并应加以利用。多元化董事会</w:t>
      </w:r>
    </w:p>
    <w:p>
      <w:pPr>
        <w:pStyle w:val="BodyText"/>
        <w:spacing w:line="319" w:lineRule="auto" w:before="76"/>
        <w:ind w:right="90"/>
        <w:jc w:val="left"/>
      </w:pPr>
      <w:r>
        <w:rPr>
          <w:spacing w:val="-2"/>
        </w:rPr>
        <w:t>成员将于厘定董事会组合时予以考虑，并于可能情况下保持适当平衡。董事会成员的所有委任均按董事会整体运作所需要的</w:t>
      </w:r>
      <w:r>
        <w:rPr>
          <w:spacing w:val="-64"/>
        </w:rPr>
        <w:t> </w:t>
      </w:r>
      <w:r>
        <w:rPr>
          <w:spacing w:val="-64"/>
        </w:rPr>
      </w:r>
      <w:r>
        <w:rPr/>
        <w:t>才能、技能及经验水平而作出。</w:t>
      </w:r>
    </w:p>
    <w:p>
      <w:pPr>
        <w:pStyle w:val="BodyText"/>
        <w:spacing w:line="319" w:lineRule="auto" w:before="55"/>
        <w:ind w:right="91" w:firstLine="360"/>
        <w:jc w:val="left"/>
      </w:pPr>
      <w:r>
        <w:rPr>
          <w:spacing w:val="-2"/>
        </w:rPr>
        <w:t>公司提名委员会负责审阅及评估董事会组成，并就委任公司新任董事向董事会作出推荐建议。提名委员会亦监管董事会</w:t>
      </w:r>
      <w:r>
        <w:rPr/>
        <w:t> </w:t>
      </w:r>
      <w:r>
        <w:rPr>
          <w:spacing w:val="-4"/>
        </w:rPr>
        <w:t>有效性年度审阅的进行。于审阅及评估董事会组成时，提名委员会将考虑各方面多元化的禆益（包括但不限于上文所述者），</w:t>
      </w:r>
      <w:r>
        <w:rPr>
          <w:spacing w:val="-46"/>
        </w:rPr>
        <w:t> </w:t>
      </w:r>
      <w:r>
        <w:rPr>
          <w:spacing w:val="-46"/>
        </w:rPr>
      </w:r>
      <w:r>
        <w:rPr/>
        <w:t>以维持董事会适当范围及平衡的才能、技能、经验及背景。在推荐人选加入董事会时，提名委员会将按客观条件考虑人选， 并适度顾及董事会成员多元化的禆益。</w:t>
      </w:r>
    </w:p>
    <w:p>
      <w:pPr>
        <w:pStyle w:val="BodyText"/>
        <w:spacing w:line="319" w:lineRule="auto" w:before="55"/>
        <w:ind w:right="90" w:firstLine="360"/>
        <w:jc w:val="left"/>
      </w:pPr>
      <w:r>
        <w:rPr>
          <w:spacing w:val="-2"/>
        </w:rPr>
        <w:t>提名委员会于进行监管董事会有效性的年度审阅时，将考虑董事会成员的才能、技能、经验、独立性及知识的平衡以及</w:t>
      </w:r>
      <w:r>
        <w:rPr/>
        <w:t> 董事会各成员的多元化代表性。</w:t>
      </w:r>
    </w:p>
    <w:p>
      <w:pPr>
        <w:spacing w:after="0" w:line="319" w:lineRule="auto"/>
        <w:jc w:val="left"/>
        <w:sectPr>
          <w:pgSz w:w="11910" w:h="16840"/>
          <w:pgMar w:header="877" w:footer="950" w:top="1100" w:bottom="114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55" w:right="3749"/>
        <w:jc w:val="center"/>
        <w:rPr>
          <w:b w:val="0"/>
          <w:bCs w:val="0"/>
        </w:rPr>
      </w:pPr>
      <w:bookmarkStart w:name="_bookmark9" w:id="10"/>
      <w:bookmarkEnd w:id="10"/>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4" w:right="248" w:firstLine="360"/>
        <w:jc w:val="both"/>
      </w:pPr>
      <w:r>
        <w:rPr/>
        <w:t>按中国证监会和深交所的要求，公司形成了全面有效的法人治理机构体系，并每年通过各种监管部门及中介机构的检 查审核，股东会、董事会、监事会和经理层严格按相关制度运行，确保其行使决策权、执行权和监督权。同时，董事会还 建立了董事会战略委员会、提名委员会、审计委员会、薪酬与考核委员会四个专门委员会。四个专门委员会依据相应的工 作细则，分别承担公司重大工作事项讨论与决策的职能，提高了公司董事会决策的科学性和专业性。目前董事会中有一半 的董事为公司外部董事，能够更好的发挥决策和监督作用。</w:t>
      </w:r>
    </w:p>
    <w:p>
      <w:pPr>
        <w:pStyle w:val="BodyText"/>
        <w:spacing w:line="319" w:lineRule="auto" w:before="56"/>
        <w:ind w:left="154" w:right="0" w:firstLine="359"/>
        <w:jc w:val="left"/>
      </w:pPr>
      <w:r>
        <w:rPr>
          <w:spacing w:val="-12"/>
        </w:rPr>
        <w:t>公司根据《公司法》、《证券法》、《上市公司治理准则》等有关法律法规的规定，</w:t>
      </w:r>
      <w:r>
        <w:rPr>
          <w:spacing w:val="4"/>
        </w:rPr>
        <w:t> </w:t>
      </w:r>
      <w:r>
        <w:rPr>
          <w:spacing w:val="-13"/>
        </w:rPr>
        <w:t>制订了《股东大会议事规则》、《董事</w:t>
      </w:r>
      <w:r>
        <w:rPr>
          <w:spacing w:val="1"/>
        </w:rPr>
        <w:t> </w:t>
      </w:r>
      <w:r>
        <w:rPr>
          <w:spacing w:val="-16"/>
        </w:rPr>
        <w:t>会议事规则》、《监事会议事规则》、董事会各专门委员会的《工作细则》、《总经理工作细则》、《信息披露管理制度》、《独立</w:t>
      </w:r>
      <w:r>
        <w:rPr>
          <w:spacing w:val="-64"/>
        </w:rPr>
        <w:t> </w:t>
      </w:r>
      <w:r>
        <w:rPr>
          <w:spacing w:val="-64"/>
        </w:rPr>
      </w:r>
      <w:r>
        <w:rPr>
          <w:spacing w:val="-16"/>
        </w:rPr>
        <w:t>董事工作制度》、《投资者关系管理制度》、《募集资金管理办法》、《内部控制制度》、《财务管理制度》、《防范控股股东及关</w:t>
      </w:r>
      <w:r>
        <w:rPr>
          <w:spacing w:val="-62"/>
        </w:rPr>
        <w:t> </w:t>
      </w:r>
      <w:r>
        <w:rPr>
          <w:spacing w:val="-62"/>
        </w:rPr>
      </w:r>
      <w:r>
        <w:rPr>
          <w:spacing w:val="-10"/>
        </w:rPr>
        <w:t>联方占用上市公司资金制度》、《年报信息披露重大差错责任追究制度》、《外部信息使用人制度》、《内幕信息知情人登记制</w:t>
      </w:r>
      <w:r>
        <w:rPr>
          <w:spacing w:val="-70"/>
        </w:rPr>
        <w:t> </w:t>
      </w:r>
      <w:r>
        <w:rPr>
          <w:spacing w:val="-70"/>
        </w:rPr>
      </w:r>
      <w:r>
        <w:rPr>
          <w:spacing w:val="-12"/>
        </w:rPr>
        <w:t>度》、《重大交易决策制度》、《对外投资决策制度》、《对外担保决策制度》等重大规章制度，确保了公司股东大会、董事会、</w:t>
      </w:r>
      <w:r>
        <w:rPr>
          <w:spacing w:val="-38"/>
        </w:rPr>
        <w:t> </w:t>
      </w:r>
      <w:r>
        <w:rPr>
          <w:spacing w:val="-38"/>
        </w:rPr>
      </w:r>
      <w:r>
        <w:rPr/>
        <w:t>监事会的召开、重大决策等行为合法、合规、真实、有效。</w:t>
      </w:r>
    </w:p>
    <w:p>
      <w:pPr>
        <w:pStyle w:val="BodyText"/>
        <w:spacing w:line="319" w:lineRule="auto" w:before="55"/>
        <w:ind w:left="154" w:right="230" w:firstLine="360"/>
        <w:jc w:val="left"/>
      </w:pPr>
      <w:r>
        <w:rPr/>
        <w:t>公司制订的内部管理与控制制度以公司的基本控制制度为基础，涵盖了财务管理、生产管理、物资采购、产品销售、 对外投资、行政管理等整个生产经营过程，确保各项工作都有章可循，形成了较为规范的管理体系。</w:t>
      </w:r>
    </w:p>
    <w:p>
      <w:pPr>
        <w:spacing w:line="240" w:lineRule="auto" w:before="11"/>
        <w:rPr>
          <w:rFonts w:ascii="宋体" w:hAnsi="宋体" w:cs="宋体" w:eastAsia="宋体" w:hint="default"/>
          <w:sz w:val="16"/>
          <w:szCs w:val="16"/>
        </w:rPr>
      </w:pPr>
    </w:p>
    <w:p>
      <w:pPr>
        <w:pStyle w:val="Heading4"/>
        <w:spacing w:line="240" w:lineRule="auto"/>
        <w:ind w:left="576" w:right="0"/>
        <w:jc w:val="left"/>
        <w:rPr>
          <w:b w:val="0"/>
          <w:bCs w:val="0"/>
        </w:rPr>
      </w:pPr>
      <w:r>
        <w:rPr>
          <w:rFonts w:ascii="Times New Roman" w:hAnsi="Times New Roman" w:cs="Times New Roman" w:eastAsia="Times New Roman" w:hint="default"/>
        </w:rPr>
        <w:t>1</w:t>
      </w:r>
      <w:r>
        <w:rPr/>
        <w:t>、对控股子公司的管理控制</w:t>
      </w:r>
      <w:r>
        <w:rPr>
          <w:b w:val="0"/>
          <w:bCs w:val="0"/>
        </w:rPr>
      </w:r>
    </w:p>
    <w:p>
      <w:pPr>
        <w:spacing w:line="240" w:lineRule="auto" w:before="5"/>
        <w:rPr>
          <w:rFonts w:ascii="宋体" w:hAnsi="宋体" w:cs="宋体" w:eastAsia="宋体" w:hint="default"/>
          <w:b/>
          <w:bCs/>
          <w:sz w:val="23"/>
          <w:szCs w:val="23"/>
        </w:rPr>
      </w:pPr>
    </w:p>
    <w:p>
      <w:pPr>
        <w:pStyle w:val="BodyText"/>
        <w:spacing w:line="319" w:lineRule="auto"/>
        <w:ind w:left="154" w:right="248" w:firstLine="360"/>
        <w:jc w:val="both"/>
      </w:pPr>
      <w:r>
        <w:rPr>
          <w:spacing w:val="-4"/>
        </w:rPr>
        <w:t>公司严格依照有关法律法规和深交所及香港联交所对上市公司的有关规定对控股子公司进行管理，控股子公司根据《公</w:t>
      </w:r>
      <w:r>
        <w:rPr/>
        <w:t> 司法》的要求建立了董事会、监事会，依法管理和监督经营活动，并结合其实际情况建立健全经营和财务管理制度。公司 通过行使股东权力决定公司各控股子公司董事会及主要领导的任命和重要决策，这样可以保证对控股子公司的控制权牢固 掌握，对于公司的各种决策和制度能有效、快速地在子公司贯彻执行，达到整个公司各项工作的高度统一。</w:t>
      </w:r>
    </w:p>
    <w:p>
      <w:pPr>
        <w:spacing w:line="240" w:lineRule="auto" w:before="10"/>
        <w:rPr>
          <w:rFonts w:ascii="宋体" w:hAnsi="宋体" w:cs="宋体" w:eastAsia="宋体" w:hint="default"/>
          <w:sz w:val="16"/>
          <w:szCs w:val="16"/>
        </w:rPr>
      </w:pPr>
    </w:p>
    <w:p>
      <w:pPr>
        <w:pStyle w:val="Heading4"/>
        <w:spacing w:line="240" w:lineRule="auto"/>
        <w:ind w:left="576" w:right="0"/>
        <w:jc w:val="left"/>
        <w:rPr>
          <w:b w:val="0"/>
          <w:bCs w:val="0"/>
        </w:rPr>
      </w:pPr>
      <w:r>
        <w:rPr>
          <w:rFonts w:ascii="Times New Roman" w:hAnsi="Times New Roman" w:cs="Times New Roman" w:eastAsia="Times New Roman" w:hint="default"/>
        </w:rPr>
        <w:t>2</w:t>
      </w:r>
      <w:r>
        <w:rPr/>
        <w:t>、对关联交易的管理控制</w:t>
      </w:r>
      <w:r>
        <w:rPr>
          <w:b w:val="0"/>
          <w:bCs w:val="0"/>
        </w:rPr>
      </w:r>
    </w:p>
    <w:p>
      <w:pPr>
        <w:spacing w:line="240" w:lineRule="auto" w:before="4"/>
        <w:rPr>
          <w:rFonts w:ascii="宋体" w:hAnsi="宋体" w:cs="宋体" w:eastAsia="宋体" w:hint="default"/>
          <w:b/>
          <w:bCs/>
          <w:sz w:val="23"/>
          <w:szCs w:val="23"/>
        </w:rPr>
      </w:pPr>
    </w:p>
    <w:p>
      <w:pPr>
        <w:pStyle w:val="BodyText"/>
        <w:spacing w:line="319" w:lineRule="auto"/>
        <w:ind w:right="146" w:firstLine="360"/>
        <w:jc w:val="left"/>
      </w:pPr>
      <w:r>
        <w:rPr/>
        <w:t>《公司章程》对公司股东大会、董事会审议关联交易事项的权限、审计程序、关联董事回避、关联股东回避等均作了 </w:t>
      </w:r>
      <w:r>
        <w:rPr>
          <w:spacing w:val="-4"/>
        </w:rPr>
        <w:t>明确的规定。根据《深圳证券交易所上市公司内部控制指引》，公司制订了《关联交易管理制度》，对公司关联交易协议类</w:t>
      </w:r>
      <w:r>
        <w:rPr>
          <w:spacing w:val="-54"/>
        </w:rPr>
        <w:t> </w:t>
      </w:r>
      <w:r>
        <w:rPr>
          <w:spacing w:val="-54"/>
        </w:rPr>
      </w:r>
      <w:r>
        <w:rPr/>
        <w:t>别、判断标准、合同签订、信息披露等内容进行了具体规定。同时公司制定了《防范控股股东及关联方占有公司资金专项 </w:t>
      </w:r>
      <w:r>
        <w:rPr>
          <w:spacing w:val="-5"/>
        </w:rPr>
        <w:t>制度》，现时公司不存在被控股股东及其关联方占用、转移公司资金、资产及其它资源的情况，关联交易事项符合诚实守信、</w:t>
      </w:r>
      <w:r>
        <w:rPr>
          <w:spacing w:val="-85"/>
        </w:rPr>
        <w:t> </w:t>
      </w:r>
      <w:r>
        <w:rPr>
          <w:spacing w:val="-85"/>
        </w:rPr>
      </w:r>
      <w:r>
        <w:rPr/>
        <w:t>平等、自愿、公平、公开、公允的原则，并按照信息披露规定履行了信息披露义务，在公司年度报告中作了详细披露，未 发生损害公司和其它股东利益的情形，符合《深圳证券交易所上市公司内部控制指引》及相关法律法规的规定。</w:t>
      </w:r>
    </w:p>
    <w:p>
      <w:pPr>
        <w:spacing w:line="240" w:lineRule="auto" w:before="4"/>
        <w:rPr>
          <w:rFonts w:ascii="宋体" w:hAnsi="宋体" w:cs="宋体" w:eastAsia="宋体" w:hint="default"/>
          <w:sz w:val="22"/>
          <w:szCs w:val="22"/>
        </w:rPr>
      </w:pPr>
    </w:p>
    <w:p>
      <w:pPr>
        <w:pStyle w:val="Heading4"/>
        <w:spacing w:line="240" w:lineRule="auto"/>
        <w:ind w:left="576" w:right="0"/>
        <w:jc w:val="left"/>
        <w:rPr>
          <w:b w:val="0"/>
          <w:bCs w:val="0"/>
        </w:rPr>
      </w:pPr>
      <w:r>
        <w:rPr>
          <w:rFonts w:ascii="Times New Roman" w:hAnsi="Times New Roman" w:cs="Times New Roman" w:eastAsia="Times New Roman" w:hint="default"/>
        </w:rPr>
        <w:t>3</w:t>
      </w:r>
      <w:r>
        <w:rPr/>
        <w:t>、对对外担保的管理控制</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246" w:firstLine="360"/>
        <w:jc w:val="both"/>
      </w:pPr>
      <w:r>
        <w:rPr/>
        <w:t>《公司章程》对对外担保的权限作了具体明确的规定，执行《深圳证券交易所股票上市规则》关于对外担保累计计算 </w:t>
      </w:r>
      <w:r>
        <w:rPr>
          <w:spacing w:val="-4"/>
        </w:rPr>
        <w:t>的相关规定。同时公司制定了《对外担保决策制度》，除对控股子公司的担保外，无其它对外担保事项，符合《深圳证券交</w:t>
      </w:r>
      <w:r>
        <w:rPr>
          <w:spacing w:val="-56"/>
        </w:rPr>
        <w:t> </w:t>
      </w:r>
      <w:r>
        <w:rPr>
          <w:spacing w:val="-56"/>
        </w:rPr>
      </w:r>
      <w:r>
        <w:rPr/>
        <w:t>易所上市公司内部控制指引》及相关法律法规的规定。</w:t>
      </w:r>
    </w:p>
    <w:p>
      <w:pPr>
        <w:spacing w:line="240" w:lineRule="auto" w:before="4"/>
        <w:rPr>
          <w:rFonts w:ascii="宋体" w:hAnsi="宋体" w:cs="宋体" w:eastAsia="宋体" w:hint="default"/>
          <w:sz w:val="22"/>
          <w:szCs w:val="22"/>
        </w:rPr>
      </w:pPr>
    </w:p>
    <w:p>
      <w:pPr>
        <w:pStyle w:val="Heading4"/>
        <w:spacing w:line="240" w:lineRule="auto"/>
        <w:ind w:left="576" w:right="0"/>
        <w:jc w:val="left"/>
        <w:rPr>
          <w:b w:val="0"/>
          <w:bCs w:val="0"/>
        </w:rPr>
      </w:pPr>
      <w:r>
        <w:rPr>
          <w:rFonts w:ascii="Times New Roman" w:hAnsi="Times New Roman" w:cs="Times New Roman" w:eastAsia="Times New Roman" w:hint="default"/>
        </w:rPr>
        <w:t>4</w:t>
      </w:r>
      <w:r>
        <w:rPr/>
        <w:t>、对募集资金使用的管理控制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4" w:right="0"/>
        <w:jc w:val="left"/>
      </w:pPr>
      <w:r>
        <w:rPr/>
        <w:t>公司制订</w:t>
      </w:r>
      <w:r>
        <w:rPr>
          <w:spacing w:val="-15"/>
        </w:rPr>
        <w:t>了</w:t>
      </w:r>
      <w:r>
        <w:rPr/>
        <w:t>《募集资金使用管理办法</w:t>
      </w:r>
      <w:r>
        <w:rPr>
          <w:spacing w:val="-90"/>
        </w:rPr>
        <w:t>》</w:t>
      </w:r>
      <w:r>
        <w:rPr>
          <w:spacing w:val="-15"/>
        </w:rPr>
        <w:t>，</w:t>
      </w:r>
      <w:r>
        <w:rPr/>
        <w:t>对募集资金投向</w:t>
      </w:r>
      <w:r>
        <w:rPr>
          <w:spacing w:val="-15"/>
        </w:rPr>
        <w:t>、</w:t>
      </w:r>
      <w:r>
        <w:rPr/>
        <w:t>募集资金使用的审批</w:t>
      </w:r>
      <w:r>
        <w:rPr>
          <w:spacing w:val="-15"/>
        </w:rPr>
        <w:t>、</w:t>
      </w:r>
      <w:r>
        <w:rPr/>
        <w:t>未使用的募集资金的存放</w:t>
      </w:r>
      <w:r>
        <w:rPr>
          <w:spacing w:val="-15"/>
        </w:rPr>
        <w:t>、</w:t>
      </w:r>
      <w:r>
        <w:rPr/>
        <w:t>变更</w:t>
      </w:r>
      <w:r>
        <w:rPr>
          <w:spacing w:val="-16"/>
        </w:rPr>
        <w:t>、</w:t>
      </w:r>
      <w:r>
        <w:rPr/>
        <w:t>募</w:t>
      </w:r>
    </w:p>
    <w:p>
      <w:pPr>
        <w:spacing w:after="0" w:line="240" w:lineRule="auto"/>
        <w:jc w:val="left"/>
        <w:sectPr>
          <w:pgSz w:w="11910" w:h="16840"/>
          <w:pgMar w:header="877" w:footer="950" w:top="1100" w:bottom="1140" w:left="980" w:right="980"/>
        </w:sectPr>
      </w:pPr>
    </w:p>
    <w:p>
      <w:pPr>
        <w:spacing w:line="240" w:lineRule="auto" w:before="12"/>
        <w:rPr>
          <w:rFonts w:ascii="宋体" w:hAnsi="宋体" w:cs="宋体" w:eastAsia="宋体" w:hint="default"/>
          <w:sz w:val="21"/>
          <w:szCs w:val="21"/>
        </w:rPr>
      </w:pPr>
    </w:p>
    <w:p>
      <w:pPr>
        <w:pStyle w:val="BodyText"/>
        <w:spacing w:line="319" w:lineRule="auto" w:before="44"/>
        <w:ind w:right="0"/>
        <w:jc w:val="left"/>
      </w:pPr>
      <w:r>
        <w:rPr>
          <w:spacing w:val="-2"/>
        </w:rPr>
        <w:t>集资金使用情况的报告和监督以及责任追究等作了明确的规定，做到了专款专用，确保了募集资金安全及依法使用。同时，</w:t>
      </w:r>
      <w:r>
        <w:rPr>
          <w:spacing w:val="-75"/>
        </w:rPr>
        <w:t> </w:t>
      </w:r>
      <w:r>
        <w:rPr>
          <w:spacing w:val="-75"/>
        </w:rPr>
      </w:r>
      <w:r>
        <w:rPr/>
        <w:t>公司严格按照规定对募集资金使用情况进行了披露。</w:t>
      </w:r>
    </w:p>
    <w:p>
      <w:pPr>
        <w:spacing w:line="240" w:lineRule="auto" w:before="3"/>
        <w:rPr>
          <w:rFonts w:ascii="宋体" w:hAnsi="宋体" w:cs="宋体" w:eastAsia="宋体" w:hint="default"/>
          <w:sz w:val="22"/>
          <w:szCs w:val="22"/>
        </w:rPr>
      </w:pPr>
    </w:p>
    <w:p>
      <w:pPr>
        <w:pStyle w:val="Heading4"/>
        <w:spacing w:line="240" w:lineRule="auto"/>
        <w:ind w:left="576" w:right="0"/>
        <w:jc w:val="left"/>
        <w:rPr>
          <w:b w:val="0"/>
          <w:bCs w:val="0"/>
        </w:rPr>
      </w:pPr>
      <w:r>
        <w:rPr>
          <w:rFonts w:ascii="Times New Roman" w:hAnsi="Times New Roman" w:cs="Times New Roman" w:eastAsia="Times New Roman" w:hint="default"/>
        </w:rPr>
        <w:t>5</w:t>
      </w:r>
      <w:r>
        <w:rPr/>
        <w:t>、对资金使用的管理控制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248" w:firstLine="360"/>
        <w:jc w:val="both"/>
      </w:pPr>
      <w:r>
        <w:rPr>
          <w:spacing w:val="-14"/>
        </w:rPr>
        <w:t>公司制定了《资金管理规定》、《融资、担保工作程序》、《财务重大事项提报管理规定》、《应收账款管理规定》、《大额</w:t>
      </w:r>
      <w:r>
        <w:rPr/>
        <w:t> 资金使用管理暂行规定》等制度，对货币资金的收支业务等建立了严格的授权批准程序，办理货币资金业务的不相容岗位 已作分离，相关机构和人员存在相互制约关系。公司制定了收付款审批权限等系列程序，严格执行对款项收付的稽核及审 查。</w:t>
      </w:r>
    </w:p>
    <w:p>
      <w:pPr>
        <w:spacing w:line="240" w:lineRule="auto" w:before="3"/>
        <w:rPr>
          <w:rFonts w:ascii="宋体" w:hAnsi="宋体" w:cs="宋体" w:eastAsia="宋体" w:hint="default"/>
          <w:sz w:val="22"/>
          <w:szCs w:val="22"/>
        </w:rPr>
      </w:pPr>
    </w:p>
    <w:p>
      <w:pPr>
        <w:pStyle w:val="Heading4"/>
        <w:spacing w:line="240" w:lineRule="auto"/>
        <w:ind w:left="576" w:right="0"/>
        <w:jc w:val="left"/>
        <w:rPr>
          <w:b w:val="0"/>
          <w:bCs w:val="0"/>
        </w:rPr>
      </w:pPr>
      <w:r>
        <w:rPr>
          <w:rFonts w:ascii="Times New Roman" w:hAnsi="Times New Roman" w:cs="Times New Roman" w:eastAsia="Times New Roman" w:hint="default"/>
        </w:rPr>
        <w:t>6</w:t>
      </w:r>
      <w:r>
        <w:rPr/>
        <w:t>、对重大投资的管理控制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248" w:firstLine="360"/>
        <w:jc w:val="both"/>
      </w:pPr>
      <w:r>
        <w:rPr>
          <w:spacing w:val="-4"/>
        </w:rPr>
        <w:t>公司重大投资坚持合法、审慎、安全、有效的原则，控制投资风险、注重投资效益。《公司章程》中对董事会及股东大</w:t>
      </w:r>
      <w:r>
        <w:rPr/>
        <w:t> </w:t>
      </w:r>
      <w:r>
        <w:rPr>
          <w:spacing w:val="-4"/>
        </w:rPr>
        <w:t>会在重大投资的审批权限方面均有明确规定。同时公司制定了《对外投资决策制度》，符合《深圳证券交易所上市公司内部</w:t>
      </w:r>
      <w:r>
        <w:rPr>
          <w:spacing w:val="-55"/>
        </w:rPr>
        <w:t> </w:t>
      </w:r>
      <w:r>
        <w:rPr>
          <w:spacing w:val="-55"/>
        </w:rPr>
      </w:r>
      <w:r>
        <w:rPr/>
        <w:t>控制指引》及相关法律法规的规定。</w:t>
      </w:r>
    </w:p>
    <w:p>
      <w:pPr>
        <w:spacing w:line="240" w:lineRule="auto" w:before="3"/>
        <w:rPr>
          <w:rFonts w:ascii="宋体" w:hAnsi="宋体" w:cs="宋体" w:eastAsia="宋体" w:hint="default"/>
          <w:sz w:val="22"/>
          <w:szCs w:val="22"/>
        </w:rPr>
      </w:pPr>
    </w:p>
    <w:p>
      <w:pPr>
        <w:pStyle w:val="Heading4"/>
        <w:spacing w:line="240" w:lineRule="auto"/>
        <w:ind w:left="576" w:right="0"/>
        <w:jc w:val="left"/>
        <w:rPr>
          <w:b w:val="0"/>
          <w:bCs w:val="0"/>
        </w:rPr>
      </w:pPr>
      <w:r>
        <w:rPr>
          <w:rFonts w:ascii="Times New Roman" w:hAnsi="Times New Roman" w:cs="Times New Roman" w:eastAsia="Times New Roman" w:hint="default"/>
        </w:rPr>
        <w:t>7</w:t>
      </w:r>
      <w:r>
        <w:rPr/>
        <w:t>、对财务的管理控制</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firstLine="360"/>
        <w:jc w:val="left"/>
      </w:pPr>
      <w:r>
        <w:rPr>
          <w:spacing w:val="-7"/>
        </w:rPr>
        <w:t>公司已按《公司法》、《会计法》、《企业会计准则》等法律法规及其补充规定的要求制定了《财务会计制度》等有关财</w:t>
      </w:r>
      <w:r>
        <w:rPr/>
        <w:t> 务制度，明确规定了重要财务决策程序与规则，规范了会计凭证、会计帐簿和会计报告的处理程序，明确了会计人员的岗 位职责，制定了凭证流转程序。执行交易时能及时编制有关凭证，及时送交会计部门及公司档案室记录及归档，并且将记 录同相应的会计分录独立比较，建立健全了会计电算化的内部控制制度。公司导入了</w:t>
      </w:r>
      <w:r>
        <w:rPr>
          <w:spacing w:val="-60"/>
        </w:rPr>
        <w:t> </w:t>
      </w:r>
      <w:r>
        <w:rPr>
          <w:rFonts w:ascii="Times New Roman" w:hAnsi="Times New Roman" w:cs="Times New Roman" w:eastAsia="Times New Roman" w:hint="default"/>
        </w:rPr>
        <w:t>ERP</w:t>
      </w:r>
      <w:r>
        <w:rPr>
          <w:rFonts w:ascii="Times New Roman" w:hAnsi="Times New Roman" w:cs="Times New Roman" w:eastAsia="Times New Roman" w:hint="default"/>
          <w:spacing w:val="-16"/>
        </w:rPr>
        <w:t> </w:t>
      </w:r>
      <w:r>
        <w:rPr/>
        <w:t>管理系统，作为公司的管理控制 </w:t>
      </w:r>
      <w:r>
        <w:rPr>
          <w:spacing w:val="-2"/>
        </w:rPr>
        <w:t>技术平台，有效规范了公司和基础信息、业务流程，提高了经营管理效率，能够为公司管理层和董事会及时提供相关信息。</w:t>
      </w:r>
      <w:r>
        <w:rPr>
          <w:spacing w:val="-73"/>
        </w:rPr>
        <w:t> </w:t>
      </w:r>
      <w:r>
        <w:rPr>
          <w:spacing w:val="-73"/>
        </w:rPr>
      </w:r>
      <w:r>
        <w:rPr/>
        <w:t>公司的会计核算体系健全、制度完善，符合相关法律法规的规定。</w:t>
      </w:r>
    </w:p>
    <w:p>
      <w:pPr>
        <w:spacing w:line="240" w:lineRule="auto" w:before="6"/>
        <w:rPr>
          <w:rFonts w:ascii="宋体" w:hAnsi="宋体" w:cs="宋体" w:eastAsia="宋体" w:hint="default"/>
          <w:sz w:val="22"/>
          <w:szCs w:val="22"/>
        </w:rPr>
      </w:pPr>
    </w:p>
    <w:p>
      <w:pPr>
        <w:pStyle w:val="Heading4"/>
        <w:spacing w:line="240" w:lineRule="auto"/>
        <w:ind w:left="576" w:right="0"/>
        <w:jc w:val="left"/>
        <w:rPr>
          <w:b w:val="0"/>
          <w:bCs w:val="0"/>
        </w:rPr>
      </w:pPr>
      <w:r>
        <w:rPr>
          <w:rFonts w:ascii="Times New Roman" w:hAnsi="Times New Roman" w:cs="Times New Roman" w:eastAsia="Times New Roman" w:hint="default"/>
        </w:rPr>
        <w:t>8</w:t>
      </w:r>
      <w:r>
        <w:rPr/>
        <w:t>、对信息披露的管理控制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公司制订了《信息披露管理制度</w:t>
      </w:r>
      <w:r>
        <w:rPr>
          <w:spacing w:val="-90"/>
        </w:rPr>
        <w:t>》、</w:t>
      </w:r>
      <w:r>
        <w:rPr/>
        <w:t>《重大信息内部报告制度</w:t>
      </w:r>
      <w:r>
        <w:rPr>
          <w:spacing w:val="-90"/>
        </w:rPr>
        <w:t>》、</w:t>
      </w:r>
      <w:r>
        <w:rPr/>
        <w:t>《投资者关系管理工作规范</w:t>
      </w:r>
      <w:r>
        <w:rPr>
          <w:spacing w:val="-90"/>
        </w:rPr>
        <w:t>》、</w:t>
      </w:r>
      <w:r>
        <w:rPr/>
        <w:t>《投资者关系管理制度</w:t>
      </w:r>
      <w:r>
        <w:rPr>
          <w:spacing w:val="-90"/>
        </w:rPr>
        <w:t>》</w:t>
      </w:r>
      <w:r>
        <w:rPr/>
        <w:t>、</w:t>
      </w:r>
    </w:p>
    <w:p>
      <w:pPr>
        <w:pStyle w:val="BodyText"/>
        <w:spacing w:line="319" w:lineRule="auto" w:before="76"/>
        <w:ind w:right="0"/>
        <w:jc w:val="left"/>
      </w:pPr>
      <w:r>
        <w:rPr>
          <w:spacing w:val="-7"/>
        </w:rPr>
        <w:t>《年报信息披露重大差错责任追究制度》，明确了重大信息的范围，报告、审核程序和披露办法以及保密规定。公司选择《中</w:t>
      </w:r>
      <w:r>
        <w:rPr>
          <w:spacing w:val="-65"/>
        </w:rPr>
        <w:t> </w:t>
      </w:r>
      <w:r>
        <w:rPr>
          <w:spacing w:val="-65"/>
        </w:rPr>
      </w:r>
      <w:r>
        <w:rPr>
          <w:spacing w:val="-16"/>
        </w:rPr>
        <w:t>国证券报》、《上海证券报》、《证券时报》、《证券日报》、《香港商报》、巨潮资讯网站和香港联合交易所网站作为公开信息披</w:t>
      </w:r>
      <w:r>
        <w:rPr>
          <w:spacing w:val="-62"/>
        </w:rPr>
        <w:t> </w:t>
      </w:r>
      <w:r>
        <w:rPr>
          <w:spacing w:val="-62"/>
        </w:rPr>
      </w:r>
      <w:r>
        <w:rPr>
          <w:spacing w:val="-2"/>
        </w:rPr>
        <w:t>露的渠道，所披露的信息均首先在上述指定媒体披露。公司同时通过公司网站及时公布相关信息，与投资者进行广泛交流。</w:t>
      </w:r>
      <w:r>
        <w:rPr>
          <w:spacing w:val="-75"/>
        </w:rPr>
        <w:t> </w:t>
      </w:r>
      <w:r>
        <w:rPr>
          <w:spacing w:val="-75"/>
        </w:rPr>
      </w:r>
      <w:r>
        <w:rPr/>
        <w:t>公司投资者关系活动规范，确保了信息披露公开、公正、公平。</w:t>
      </w:r>
    </w:p>
    <w:p>
      <w:pPr>
        <w:spacing w:line="240" w:lineRule="auto" w:before="3"/>
        <w:rPr>
          <w:rFonts w:ascii="宋体" w:hAnsi="宋体" w:cs="宋体" w:eastAsia="宋体" w:hint="default"/>
          <w:sz w:val="22"/>
          <w:szCs w:val="22"/>
        </w:rPr>
      </w:pPr>
    </w:p>
    <w:p>
      <w:pPr>
        <w:pStyle w:val="Heading4"/>
        <w:spacing w:line="240" w:lineRule="auto"/>
        <w:ind w:left="576" w:right="0"/>
        <w:jc w:val="left"/>
        <w:rPr>
          <w:b w:val="0"/>
          <w:bCs w:val="0"/>
        </w:rPr>
      </w:pPr>
      <w:r>
        <w:rPr>
          <w:rFonts w:ascii="Times New Roman" w:hAnsi="Times New Roman" w:cs="Times New Roman" w:eastAsia="Times New Roman" w:hint="default"/>
        </w:rPr>
        <w:t>9</w:t>
      </w:r>
      <w:r>
        <w:rPr/>
        <w:t>、对内部监督的管理控制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248" w:firstLine="360"/>
        <w:jc w:val="both"/>
      </w:pPr>
      <w:r>
        <w:rPr>
          <w:spacing w:val="-7"/>
        </w:rPr>
        <w:t>公司以《公司内部控制基本规范》、《深圳证券交易所上市公司内部控制指引》、香港联合交易所颁布的《公司管制常规</w:t>
      </w:r>
      <w:r>
        <w:rPr/>
        <w:t> 守则》有关内部监督的要求，与控股股东分开管理，在供、产、销、人、财、物等方面都建立了严格的内部控制制度，有 </w:t>
      </w:r>
      <w:r>
        <w:rPr>
          <w:spacing w:val="-4"/>
        </w:rPr>
        <w:t>效地保证各种信息的真实准确和资产的安全完整。公司通过内部审计体系建立，制定了《审计垂直管理制度》、《财务审计</w:t>
      </w:r>
      <w:r>
        <w:rPr>
          <w:spacing w:val="-54"/>
        </w:rPr>
        <w:t> </w:t>
      </w:r>
      <w:r>
        <w:rPr>
          <w:spacing w:val="-54"/>
        </w:rPr>
      </w:r>
      <w:r>
        <w:rPr>
          <w:spacing w:val="-10"/>
        </w:rPr>
        <w:t>制度》、《物资采购审计制度》、《建设项目内部审计制度》、《工程决算审计制度》及相关制度细则，有效保障内部监督控制</w:t>
      </w:r>
      <w:r>
        <w:rPr>
          <w:spacing w:val="-70"/>
        </w:rPr>
        <w:t> </w:t>
      </w:r>
      <w:r>
        <w:rPr>
          <w:spacing w:val="-70"/>
        </w:rPr>
      </w:r>
      <w:r>
        <w:rPr/>
        <w:t>制度的执行。</w:t>
      </w:r>
    </w:p>
    <w:p>
      <w:pPr>
        <w:spacing w:line="240" w:lineRule="auto" w:before="3"/>
        <w:rPr>
          <w:rFonts w:ascii="宋体" w:hAnsi="宋体" w:cs="宋体" w:eastAsia="宋体" w:hint="default"/>
          <w:sz w:val="22"/>
          <w:szCs w:val="22"/>
        </w:rPr>
      </w:pPr>
    </w:p>
    <w:p>
      <w:pPr>
        <w:pStyle w:val="Heading4"/>
        <w:spacing w:line="240" w:lineRule="auto"/>
        <w:ind w:left="576" w:right="0"/>
        <w:jc w:val="left"/>
        <w:rPr>
          <w:b w:val="0"/>
          <w:bCs w:val="0"/>
        </w:rPr>
      </w:pPr>
      <w:r>
        <w:rPr>
          <w:rFonts w:ascii="Times New Roman" w:hAnsi="Times New Roman" w:cs="Times New Roman" w:eastAsia="Times New Roman" w:hint="default"/>
        </w:rPr>
        <w:t>10</w:t>
      </w:r>
      <w:r>
        <w:rPr/>
        <w:t>、公司控股子公司控制结构</w:t>
      </w:r>
      <w:r>
        <w:rPr>
          <w:b w:val="0"/>
          <w:bCs w:val="0"/>
        </w:rPr>
      </w:r>
    </w:p>
    <w:p>
      <w:pPr>
        <w:spacing w:after="0" w:line="240" w:lineRule="auto"/>
        <w:jc w:val="left"/>
        <w:sectPr>
          <w:pgSz w:w="11910" w:h="16840"/>
          <w:pgMar w:header="877" w:footer="950" w:top="1100" w:bottom="114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1"/>
          <w:szCs w:val="21"/>
        </w:rPr>
      </w:pPr>
    </w:p>
    <w:p>
      <w:pPr>
        <w:spacing w:line="12088"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1"/>
          <w:sz w:val="20"/>
          <w:szCs w:val="20"/>
        </w:rPr>
        <w:drawing>
          <wp:inline distT="0" distB="0" distL="0" distR="0">
            <wp:extent cx="6233850" cy="7676388"/>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22" cstate="print"/>
                    <a:stretch>
                      <a:fillRect/>
                    </a:stretch>
                  </pic:blipFill>
                  <pic:spPr>
                    <a:xfrm>
                      <a:off x="0" y="0"/>
                      <a:ext cx="6233850" cy="7676388"/>
                    </a:xfrm>
                    <a:prstGeom prst="rect">
                      <a:avLst/>
                    </a:prstGeom>
                  </pic:spPr>
                </pic:pic>
              </a:graphicData>
            </a:graphic>
          </wp:inline>
        </w:drawing>
      </w:r>
      <w:r>
        <w:rPr>
          <w:rFonts w:ascii="Times New Roman" w:hAnsi="Times New Roman" w:cs="Times New Roman" w:eastAsia="Times New Roman" w:hint="default"/>
          <w:position w:val="-241"/>
          <w:sz w:val="20"/>
          <w:szCs w:val="20"/>
        </w:rPr>
      </w:r>
    </w:p>
    <w:p>
      <w:pPr>
        <w:spacing w:after="0" w:line="12088" w:lineRule="exact"/>
        <w:rPr>
          <w:rFonts w:ascii="Times New Roman" w:hAnsi="Times New Roman" w:cs="Times New Roman" w:eastAsia="Times New Roman" w:hint="default"/>
          <w:sz w:val="20"/>
          <w:szCs w:val="20"/>
        </w:rPr>
        <w:sectPr>
          <w:pgSz w:w="11910" w:h="16840"/>
          <w:pgMar w:header="877" w:footer="950" w:top="1100" w:bottom="1140" w:left="980" w:right="7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2"/>
        <w:spacing w:line="240" w:lineRule="auto" w:before="26"/>
        <w:ind w:right="0"/>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49" w:firstLine="360"/>
        <w:jc w:val="both"/>
      </w:pPr>
      <w:r>
        <w:rPr>
          <w:spacing w:val="-9"/>
        </w:rPr>
        <w:t>公司董事会认为：公司以《公司法》、《上市公司治理准则》、《企业内部控制基本规范》和《企业内部控制应用指引》等</w:t>
      </w:r>
      <w:r>
        <w:rPr/>
        <w:t> </w:t>
      </w:r>
      <w:r>
        <w:rPr>
          <w:spacing w:val="-2"/>
        </w:rPr>
        <w:t>法律、法规为指导，结合实际情况建立了涵盖公司经营活动的各种内部控制制度，并得到了有效的执行，合理保证企业经营</w:t>
      </w:r>
      <w:r>
        <w:rPr>
          <w:spacing w:val="-66"/>
        </w:rPr>
        <w:t> </w:t>
      </w:r>
      <w:r>
        <w:rPr>
          <w:spacing w:val="-66"/>
        </w:rPr>
      </w:r>
      <w:r>
        <w:rPr>
          <w:spacing w:val="-2"/>
        </w:rPr>
        <w:t>管理合法合规、资产安全、财务报告及相关信息真实完整，有效地控制了风险，保证公司经营活动的正常进行。公司内部控</w:t>
      </w:r>
      <w:r>
        <w:rPr>
          <w:spacing w:val="-66"/>
        </w:rPr>
        <w:t> </w:t>
      </w:r>
      <w:r>
        <w:rPr>
          <w:spacing w:val="-66"/>
        </w:rPr>
      </w:r>
      <w:r>
        <w:rPr>
          <w:spacing w:val="-2"/>
        </w:rPr>
        <w:t>制的实际情况与有关规范性文件的规定和要求相符。公司也将根据公司发展需要和针对执行过程中发现的不足，不断对内控</w:t>
      </w:r>
      <w:r>
        <w:rPr>
          <w:spacing w:val="-64"/>
        </w:rPr>
        <w:t> </w:t>
      </w:r>
      <w:r>
        <w:rPr>
          <w:spacing w:val="-64"/>
        </w:rPr>
      </w:r>
      <w:r>
        <w:rPr/>
        <w:t>制度进行改进、充实和完善，为公司健康、稳定的发展奠定坚实基础。</w:t>
      </w:r>
    </w:p>
    <w:p>
      <w:pPr>
        <w:pStyle w:val="BodyText"/>
        <w:spacing w:line="302" w:lineRule="auto" w:before="55"/>
        <w:ind w:left="154" w:right="158" w:firstLine="359"/>
        <w:jc w:val="both"/>
      </w:pPr>
      <w:r>
        <w:rPr/>
        <w:t>本公司《董事会关于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年内部控制自我评价报告》及审计机构对公司内部控制报告的审核评价意见请详见深圳证券 交易所和巨潮资讯网网站。</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49" w:firstLine="360"/>
        <w:jc w:val="both"/>
      </w:pPr>
      <w:r>
        <w:rPr>
          <w:spacing w:val="-9"/>
        </w:rPr>
        <w:t>公司已按《公司法》、《会计法》、《企业会计准则》等法律法规及其补充规定的要求制定了《现金、银行存款、票据管理</w:t>
      </w:r>
      <w:r>
        <w:rPr/>
        <w:t> </w:t>
      </w:r>
      <w:r>
        <w:rPr>
          <w:spacing w:val="-14"/>
        </w:rPr>
        <w:t>制度》、《付款管理制度》、《财产清查及存货减值管理制度》、《固定资产管理制度》、《无形资产管理制度》等一系列财务管理</w:t>
      </w:r>
      <w:r>
        <w:rPr>
          <w:spacing w:val="-82"/>
        </w:rPr>
        <w:t> </w:t>
      </w:r>
      <w:r>
        <w:rPr>
          <w:spacing w:val="-82"/>
        </w:rPr>
      </w:r>
      <w:r>
        <w:rPr>
          <w:spacing w:val="-2"/>
        </w:rPr>
        <w:t>控制制度，明确规定了重要财务决策程序与规则，规范了会计凭证、会计帐簿和会计报告的处理程序，明确了会计人员的岗</w:t>
      </w:r>
      <w:r>
        <w:rPr>
          <w:spacing w:val="-66"/>
        </w:rPr>
        <w:t> </w:t>
      </w:r>
      <w:r>
        <w:rPr>
          <w:spacing w:val="-66"/>
        </w:rPr>
      </w:r>
      <w:r>
        <w:rPr>
          <w:spacing w:val="-2"/>
        </w:rPr>
        <w:t>位职责，制定了凭证流转程序。执行交易时能及时编制有关凭证，及时送交会计部门及公司档案室记录及归档，并且将记录</w:t>
      </w:r>
      <w:r>
        <w:rPr>
          <w:spacing w:val="-66"/>
        </w:rPr>
        <w:t> </w:t>
      </w:r>
      <w:r>
        <w:rPr>
          <w:spacing w:val="-66"/>
        </w:rPr>
      </w:r>
      <w:r>
        <w:rPr/>
        <w:t>同相应的会计分录独立比较，建立健全了会计电算化的内部控制制度。公司导入了</w:t>
      </w:r>
      <w:r>
        <w:rPr>
          <w:spacing w:val="-46"/>
        </w:rPr>
        <w:t> </w:t>
      </w:r>
      <w:r>
        <w:rPr>
          <w:rFonts w:ascii="Times New Roman" w:hAnsi="Times New Roman" w:cs="Times New Roman" w:eastAsia="Times New Roman" w:hint="default"/>
        </w:rPr>
        <w:t>ERP</w:t>
      </w:r>
      <w:r>
        <w:rPr>
          <w:rFonts w:ascii="Times New Roman" w:hAnsi="Times New Roman" w:cs="Times New Roman" w:eastAsia="Times New Roman" w:hint="default"/>
          <w:spacing w:val="-2"/>
        </w:rPr>
        <w:t> </w:t>
      </w:r>
      <w:r>
        <w:rPr/>
        <w:t>管理系统，作为公司的管理控制技 </w:t>
      </w:r>
      <w:r>
        <w:rPr>
          <w:spacing w:val="-2"/>
        </w:rPr>
        <w:t>术平台，有效规范了公司和基础信息、业务流程，提高了经营管理效率，能够为公司管理层和董事会及时提供相关信息。公</w:t>
      </w:r>
      <w:r>
        <w:rPr>
          <w:spacing w:val="-66"/>
        </w:rPr>
        <w:t> </w:t>
      </w:r>
      <w:r>
        <w:rPr>
          <w:spacing w:val="-66"/>
        </w:rPr>
      </w:r>
      <w:r>
        <w:rPr/>
        <w:t>司的会计核算体系健全、制度完善，符合相关法律法规的规定。</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3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我们认为，山东晨鸣纸业集团股份有限公司于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 方面保持了有效的财务报告内部控制。</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bl>
    <w:p>
      <w:pPr>
        <w:pStyle w:val="BodyText"/>
        <w:spacing w:line="240" w:lineRule="auto" w:before="51"/>
        <w:ind w:left="154" w:right="0"/>
        <w:jc w:val="left"/>
      </w:pPr>
      <w:r>
        <w:rPr/>
        <w:t>会计师事务所是否出具非标准意见的内部控制审计报告</w:t>
      </w:r>
    </w:p>
    <w:p>
      <w:pPr>
        <w:pStyle w:val="BodyText"/>
        <w:spacing w:line="357" w:lineRule="auto" w:before="117"/>
        <w:ind w:right="3651"/>
        <w:jc w:val="left"/>
      </w:pPr>
      <w:r>
        <w:rPr/>
        <w:t>□ 是 √ 否 会计师事务所出具的内部控制审计报告与董事会的自我评价报告意见是否一致</w:t>
      </w:r>
    </w:p>
    <w:p>
      <w:pPr>
        <w:pStyle w:val="BodyText"/>
        <w:spacing w:line="240" w:lineRule="auto" w:before="29"/>
        <w:ind w:right="0"/>
        <w:jc w:val="left"/>
      </w:pPr>
      <w:r>
        <w:rPr/>
        <w:t>√ 是 □ 否</w:t>
      </w:r>
    </w:p>
    <w:p>
      <w:pPr>
        <w:spacing w:after="0" w:line="240" w:lineRule="auto"/>
        <w:jc w:val="left"/>
        <w:sectPr>
          <w:pgSz w:w="11910" w:h="16840"/>
          <w:pgMar w:header="877" w:footer="950" w:top="1100" w:bottom="1140" w:left="980" w:right="98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firstLine="360"/>
        <w:jc w:val="left"/>
      </w:pPr>
      <w:r>
        <w:rPr>
          <w:spacing w:val="-2"/>
        </w:rPr>
        <w:t>公司在《信息披露管理制度》中对信息披露违规、差错的有关责任认定及问责方式等事项进行了明确规定。报告期内未</w:t>
      </w:r>
      <w:r>
        <w:rPr/>
        <w:t> 发生重大会计差错更正、重大遗漏信息补充以及业绩预告修正等情况。</w:t>
      </w:r>
    </w:p>
    <w:p>
      <w:pPr>
        <w:spacing w:after="0" w:line="319" w:lineRule="auto"/>
        <w:jc w:val="left"/>
        <w:sectPr>
          <w:pgSz w:w="11910" w:h="16840"/>
          <w:pgMar w:header="877" w:footer="950" w:top="1100" w:bottom="114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627"/>
        <w:jc w:val="center"/>
        <w:rPr>
          <w:b w:val="0"/>
          <w:bCs w:val="0"/>
        </w:rPr>
      </w:pPr>
      <w:bookmarkStart w:name="_bookmark10" w:id="11"/>
      <w:bookmarkEnd w:id="11"/>
      <w:r>
        <w:rPr>
          <w:b w:val="0"/>
          <w:bCs w:val="0"/>
        </w:rPr>
      </w:r>
      <w:r>
        <w:rPr/>
        <w:t>第十一节</w:t>
      </w:r>
      <w:r>
        <w:rPr>
          <w:spacing w:val="-7"/>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37020006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王传顺、景传轩</w:t>
            </w:r>
          </w:p>
        </w:tc>
      </w:tr>
    </w:tbl>
    <w:p>
      <w:pPr>
        <w:pStyle w:val="BodyText"/>
        <w:spacing w:line="240" w:lineRule="auto" w:before="51"/>
        <w:ind w:left="3590" w:right="3627"/>
        <w:jc w:val="center"/>
      </w:pPr>
      <w:r>
        <w:rPr/>
        <w:t>审计报告正文</w:t>
      </w:r>
    </w:p>
    <w:p>
      <w:pPr>
        <w:pStyle w:val="Heading5"/>
        <w:spacing w:line="240" w:lineRule="auto" w:before="115"/>
        <w:ind w:right="90"/>
        <w:jc w:val="left"/>
        <w:rPr>
          <w:b w:val="0"/>
          <w:bCs w:val="0"/>
        </w:rPr>
      </w:pPr>
      <w:r>
        <w:rPr/>
        <w:t>山东晨鸣纸业集团股份有限公司全体股东：</w:t>
      </w:r>
      <w:r>
        <w:rPr>
          <w:b w:val="0"/>
          <w:bCs w:val="0"/>
        </w:rPr>
      </w:r>
    </w:p>
    <w:p>
      <w:pPr>
        <w:spacing w:line="240" w:lineRule="auto" w:before="4"/>
        <w:rPr>
          <w:rFonts w:ascii="宋体" w:hAnsi="宋体" w:cs="宋体" w:eastAsia="宋体" w:hint="default"/>
          <w:b/>
          <w:bCs/>
          <w:sz w:val="26"/>
          <w:szCs w:val="26"/>
        </w:rPr>
      </w:pPr>
    </w:p>
    <w:p>
      <w:pPr>
        <w:pStyle w:val="BodyText"/>
        <w:spacing w:line="300" w:lineRule="auto" w:before="44"/>
        <w:ind w:left="154" w:right="189" w:firstLine="359"/>
        <w:jc w:val="both"/>
      </w:pPr>
      <w:r>
        <w:rPr>
          <w:spacing w:val="-2"/>
        </w:rPr>
        <w:t>我们审计了后附的山东晨鸣纸业集团股份有限公司（以下简称</w:t>
      </w:r>
      <w:r>
        <w:rPr>
          <w:rFonts w:ascii="Times New Roman" w:hAnsi="Times New Roman" w:cs="Times New Roman" w:eastAsia="Times New Roman" w:hint="default"/>
          <w:spacing w:val="-2"/>
        </w:rPr>
        <w:t>“</w:t>
      </w:r>
      <w:r>
        <w:rPr>
          <w:spacing w:val="-2"/>
        </w:rPr>
        <w:t>晨鸣纸业公司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w:t>
      </w:r>
      <w:r>
        <w:rPr/>
        <w:t> </w:t>
      </w:r>
      <w:r>
        <w:rPr>
          <w:spacing w:val="-2"/>
        </w:rPr>
        <w:t>及公司的资产负债表，</w:t>
      </w:r>
      <w:r>
        <w:rPr>
          <w:rFonts w:ascii="Times New Roman" w:hAnsi="Times New Roman" w:cs="Times New Roman" w:eastAsia="Times New Roman" w:hint="default"/>
          <w:spacing w:val="-2"/>
        </w:rPr>
        <w:t>2013</w:t>
      </w:r>
      <w:r>
        <w:rPr>
          <w:spacing w:val="-2"/>
        </w:rPr>
        <w:t>年度合并及公司的利润表、合并及公司的现金流量表和合并及公司的股东权益变动表以及财务报</w:t>
      </w:r>
      <w:r>
        <w:rPr>
          <w:spacing w:val="-60"/>
        </w:rPr>
        <w:t> </w:t>
      </w:r>
      <w:r>
        <w:rPr>
          <w:spacing w:val="-60"/>
        </w:rPr>
      </w:r>
      <w:r>
        <w:rPr/>
        <w:t>表附注。</w:t>
      </w:r>
    </w:p>
    <w:p>
      <w:pPr>
        <w:spacing w:line="240" w:lineRule="auto" w:before="3"/>
        <w:rPr>
          <w:rFonts w:ascii="宋体" w:hAnsi="宋体" w:cs="宋体" w:eastAsia="宋体" w:hint="default"/>
          <w:sz w:val="26"/>
          <w:szCs w:val="26"/>
        </w:rPr>
      </w:pPr>
    </w:p>
    <w:p>
      <w:pPr>
        <w:spacing w:line="316" w:lineRule="auto" w:before="0"/>
        <w:ind w:left="514" w:right="90" w:firstLine="1"/>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编制和公允列报财务报表是晨鸣纸业公司管理层的责任。这种责任包括：（</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）按照企业会计准则的规定编制财务报表，</w:t>
      </w:r>
    </w:p>
    <w:p>
      <w:pPr>
        <w:pStyle w:val="BodyText"/>
        <w:spacing w:line="248" w:lineRule="exact"/>
        <w:ind w:left="154" w:right="90"/>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514" w:right="90" w:firstLine="1"/>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316" w:lineRule="auto" w:before="18"/>
        <w:ind w:left="154" w:right="9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8"/>
        <w:ind w:left="154" w:right="90"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报相关的内部控制，以设计恰当的审计程序。审计工作还包括评价管理层选用会计政策的恰当性和作出会计估计的合理性， 以及评价财务报表的总体列报。</w:t>
      </w:r>
    </w:p>
    <w:p>
      <w:pPr>
        <w:pStyle w:val="BodyText"/>
        <w:spacing w:line="624" w:lineRule="exact" w:before="42"/>
        <w:ind w:left="515" w:right="3151" w:hanging="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12" w:lineRule="exact"/>
        <w:ind w:left="513" w:right="90"/>
        <w:jc w:val="left"/>
      </w:pPr>
      <w:r>
        <w:rPr/>
        <w:t>我们认为，上述财务报表在所有重大方面按照企业会计准则的规定编制，公允反映了山东晨鸣纸业集团股份有限公司</w:t>
      </w:r>
    </w:p>
    <w:p>
      <w:pPr>
        <w:pStyle w:val="BodyText"/>
        <w:tabs>
          <w:tab w:pos="6574" w:val="left" w:leader="none"/>
        </w:tabs>
        <w:spacing w:line="609" w:lineRule="auto" w:before="76"/>
        <w:ind w:left="1233" w:right="1428" w:hanging="108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2013</w:t>
      </w:r>
      <w:r>
        <w:rPr/>
        <w:t>年度合并及公司的经营成果和现金流量。 </w:t>
      </w:r>
      <w:r>
        <w:rPr>
          <w:spacing w:val="-1"/>
        </w:rPr>
        <w:t>瑞华会计师事务所（特殊普通合伙）</w:t>
        <w:tab/>
        <w:t>中国注册会计师：王传顺</w:t>
      </w:r>
    </w:p>
    <w:p>
      <w:pPr>
        <w:pStyle w:val="BodyText"/>
        <w:tabs>
          <w:tab w:pos="4609" w:val="left" w:leader="none"/>
        </w:tabs>
        <w:spacing w:line="240" w:lineRule="auto" w:before="150"/>
        <w:ind w:left="0" w:right="1356"/>
        <w:jc w:val="right"/>
      </w:pPr>
      <w:r>
        <w:rPr>
          <w:spacing w:val="-1"/>
          <w:w w:val="95"/>
        </w:rPr>
        <w:t>中国</w:t>
      </w:r>
      <w:r>
        <w:rPr>
          <w:rFonts w:ascii="Times New Roman" w:hAnsi="Times New Roman" w:cs="Times New Roman" w:eastAsia="Times New Roman" w:hint="default"/>
          <w:spacing w:val="-1"/>
          <w:w w:val="95"/>
        </w:rPr>
        <w:t>·</w:t>
      </w:r>
      <w:r>
        <w:rPr>
          <w:spacing w:val="-1"/>
          <w:w w:val="95"/>
        </w:rPr>
        <w:t>北京</w:t>
        <w:tab/>
      </w:r>
      <w:r>
        <w:rPr>
          <w:spacing w:val="-1"/>
        </w:rPr>
        <w:t>中国注册会计师：景传轩</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0" w:right="1385"/>
        <w:jc w:val="right"/>
      </w:pPr>
      <w:r>
        <w:rPr>
          <w:spacing w:val="-1"/>
        </w:rPr>
        <w:t>二〇一四年三月二十日</w:t>
      </w:r>
    </w:p>
    <w:p>
      <w:pPr>
        <w:spacing w:after="0" w:line="240" w:lineRule="auto"/>
        <w:jc w:val="right"/>
        <w:sectPr>
          <w:pgSz w:w="11910" w:h="16840"/>
          <w:pgMar w:header="877" w:footer="950" w:top="1100" w:bottom="1140" w:left="980" w:right="94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编制单位：山东晨鸣纸业集团股份有限公司</w:t>
      </w:r>
    </w:p>
    <w:p>
      <w:pPr>
        <w:pStyle w:val="BodyText"/>
        <w:spacing w:line="240" w:lineRule="auto" w:before="116"/>
        <w:ind w:left="0" w:right="149"/>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17"/>
        <w:gridCol w:w="3252"/>
        <w:gridCol w:w="3088"/>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2,547,729,794.24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4,456,217,362.86</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2,870,443,681.49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1,852,478,364.46</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3,102,643,083.54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3,602,955,051.18</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1,589,021,331.24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1,636,233,924.64</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1,331,900,749.84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1,284,655,342.63</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3,725,809,877.25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4,412,548,700.68</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1,740,520,586.37</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1,803,256,307.61</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16,908,069,103.97</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19,048,345,054.06</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115,477,214.86</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356,796,777.78</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19,473,443.95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21,181,647,488.39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19,751,339,991.06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17"/>
        <w:gridCol w:w="3252"/>
        <w:gridCol w:w="3088"/>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5,266,031,817.60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5,017,604,821.59</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63,968,067.62</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75,054,992.09</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588,181,647.53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287,309,818.03</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1,317,141,123.77</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1,169,269,054.15</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1,365,418,002.26</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1,416,497,159.22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20,283,787.17</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20,283,787.17</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168,538,483.68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184,770,685.65</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507,653,388.38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376,938,086.60</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30,613,814,465.21</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28,677,076,873.33</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47,521,883,569.18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47,725,421,927.39</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9,818,885,237.85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12,876,398,495.16</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290,403,790.59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1,285,627,762.07</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2,695,169,927.14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3,239,781,724.81</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442,432,261.58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347,835,800.87</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130,271,812.18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177,847,769.71</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130,192,936.87</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106,816,413.87</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153,189,860.42</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133,046,123.31</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486,836,595.89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435,772,288.98</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1,287,804,452.66</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1,368,108,800.00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12"/>
        <w:gridCol w:w="3257"/>
        <w:gridCol w:w="3088"/>
      </w:tblGrid>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3,878,735,536.52</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17,659,498.56</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19,313,922,411.70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19,988,894,677.34</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3,723,865,807.90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3,933,167,835.94</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5,768,418,612.73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6,256,263,237.00</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971,805,561.39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641,526,872.70</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3,045,517,642.57</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2,560,151,371.36</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13,569,607,624.59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13,391,109,317.00</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32,883,530,036.29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33,380,003,994.34</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2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1,975,471,967.00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2,062,045,941.00</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6,204,682,028.94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6,414,892,999.53</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30,954,891.40</w:t>
            </w: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1,132,116,106.40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1,132,116,106.40</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4,741,638,941.58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4,149,511,927.88</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16,934,073.59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929,205.04</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14,039,888,226.11</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13,759,496,179.85</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598,465,306.78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585,921,753.20</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14,638,353,532.89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14,345,417,933.05</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47,521,883,569.18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47,725,421,927.39</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left="154" w:right="0"/>
        <w:jc w:val="left"/>
      </w:pPr>
      <w:r>
        <w:rPr/>
        <w:t>法定代表人：陈洪国</w:t>
        <w:tab/>
        <w:t>主管会计工作负责人：李栋</w:t>
        <w:tab/>
        <w:t>会计机构负责人：刘军</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编制单位：山东晨鸣纸业集团股份有限公司</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28"/>
        <w:gridCol w:w="3252"/>
        <w:gridCol w:w="3065"/>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939" w:right="0"/>
              <w:jc w:val="left"/>
              <w:rPr>
                <w:rFonts w:ascii="Times New Roman" w:hAnsi="Times New Roman" w:cs="Times New Roman" w:eastAsia="Times New Roman" w:hint="default"/>
                <w:sz w:val="18"/>
                <w:szCs w:val="18"/>
              </w:rPr>
            </w:pPr>
            <w:r>
              <w:rPr>
                <w:rFonts w:ascii="Times New Roman"/>
                <w:sz w:val="18"/>
              </w:rPr>
              <w:t>1,454,242,620.40</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3" w:right="0"/>
              <w:jc w:val="left"/>
              <w:rPr>
                <w:rFonts w:ascii="Times New Roman" w:hAnsi="Times New Roman" w:cs="Times New Roman" w:eastAsia="Times New Roman" w:hint="default"/>
                <w:sz w:val="18"/>
                <w:szCs w:val="18"/>
              </w:rPr>
            </w:pPr>
            <w:r>
              <w:rPr>
                <w:rFonts w:ascii="Times New Roman"/>
                <w:sz w:val="18"/>
              </w:rPr>
              <w:t>3,057,756,467.02</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52" w:type="dxa"/>
            <w:tcBorders>
              <w:top w:val="single" w:sz="4" w:space="0" w:color="000000"/>
              <w:left w:val="single" w:sz="10" w:space="0" w:color="D3D3D3"/>
              <w:bottom w:val="single" w:sz="4" w:space="0" w:color="000000"/>
              <w:right w:val="single" w:sz="4" w:space="0" w:color="000000"/>
            </w:tcBorders>
          </w:tcPr>
          <w:p>
            <w:pPr/>
          </w:p>
        </w:tc>
        <w:tc>
          <w:tcPr>
            <w:tcW w:w="30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12"/>
        <w:gridCol w:w="3257"/>
        <w:gridCol w:w="3088"/>
      </w:tblGrid>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945,832,396.01</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2,592,967,374.30</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3,814,654,532.05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342,497,381.57</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762,470,888.60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646,962,478.93</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191,300,102.21</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512,215,933.76</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11,051,622,177.96</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9,232,778,999.32</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857,030,449.25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937,107,565.73</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103,214,843.26</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62,260,013.84</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19,380,368,009.74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17,884,546,214.47</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8,863,738,003.45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8,991,578,553.83</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19,473,443.95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5,170,770,619.87</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5,006,474,783.75</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127,095,105.63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513,157,612.96</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1,813,442.43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2,536,053.61</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308,163,298.83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313,572,418.35</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17,082,162.53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21,517,455.45</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14,508,136,076.69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14,870,048,577.94</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33,888,504,086.43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32,754,594,792.41</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5,119,632,573.69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7,847,558,953.68</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643,432,387.04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12"/>
        <w:gridCol w:w="3257"/>
        <w:gridCol w:w="3088"/>
      </w:tblGrid>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891,996,724.44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1,044,590,466.45</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185,524,508.71</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417,522,231.17</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62,091,273.25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101,268,730.42</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8,949,746.01</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25,109,370.51</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150,047,305.56</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129,893,611.11</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431,217,791.18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255,596,331.72</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343,876,000.00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514,843,000.00</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3,856,239,467.95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2,328,791.64</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11,050,075,390.79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10,982,143,873.74</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2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594,568,035.94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352,112,035.94</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5,768,418,612.73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5,760,200,575.93</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2,607,180,511.28</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2,214,846,544.38</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8,970,167,159.95</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8,327,159,156.25</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20,020,242,550.74</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19,309,303,029.99</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2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1,975,471,967.00</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2,062,045,941.00</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6,005,426,779.17</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6,184,215,988.77</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30,954,891.40</w:t>
            </w: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1,119,926,524.49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1,119,926,524.49</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4,798,391,156.43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4,079,103,308.16</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257" w:type="dxa"/>
            <w:tcBorders>
              <w:top w:val="single" w:sz="4" w:space="0" w:color="000000"/>
              <w:left w:val="single" w:sz="10" w:space="0" w:color="D3D3D3"/>
              <w:bottom w:val="single" w:sz="4" w:space="0" w:color="000000"/>
              <w:right w:val="single" w:sz="4" w:space="0" w:color="000000"/>
            </w:tcBorders>
          </w:tcPr>
          <w:p>
            <w:pPr/>
          </w:p>
        </w:tc>
        <w:tc>
          <w:tcPr>
            <w:tcW w:w="30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13,868,261,535.69</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13,445,291,762.42</w:t>
            </w:r>
          </w:p>
        </w:tc>
      </w:tr>
      <w:tr>
        <w:trPr>
          <w:trHeight w:val="402" w:hRule="exact"/>
        </w:trPr>
        <w:tc>
          <w:tcPr>
            <w:tcW w:w="3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p>
        </w:tc>
        <w:tc>
          <w:tcPr>
            <w:tcW w:w="32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33,888,504,086.43</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32,754,594,792.41</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left="154" w:right="0"/>
        <w:jc w:val="left"/>
      </w:pPr>
      <w:r>
        <w:rPr/>
        <w:t>法定代表人：陈洪国</w:t>
        <w:tab/>
        <w:t>主管会计工作负责人：李栋</w:t>
        <w:tab/>
        <w:t>会计机构负责人：刘军</w:t>
      </w:r>
    </w:p>
    <w:p>
      <w:pPr>
        <w:spacing w:after="0" w:line="240" w:lineRule="auto"/>
        <w:jc w:val="left"/>
        <w:sectPr>
          <w:pgSz w:w="11910" w:h="16840"/>
          <w:pgMar w:header="877" w:footer="950" w:top="1100" w:bottom="114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编制单位：山东晨鸣纸业集团股份有限公司</w:t>
      </w:r>
    </w:p>
    <w:p>
      <w:pPr>
        <w:pStyle w:val="BodyText"/>
        <w:spacing w:line="240" w:lineRule="auto" w:before="116"/>
        <w:ind w:left="0" w:right="149"/>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7"/>
        <w:gridCol w:w="2892"/>
        <w:gridCol w:w="2548"/>
      </w:tblGrid>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20,388,890,067.41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19,761,679,230.05</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20,388,890,067.41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19,761,679,230.05</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20,020,276,909.90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20,190,204,636.07</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16,651,886,019.64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16,693,768,322.36</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85,832,210.98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78,689,990.94</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1,129,145,035.51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1,144,489,246.04</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1,198,704,556.00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1,110,246,902.75</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930,604,174.96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1,092,760,015.04</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24,104,912.81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70,250,158.94</w:t>
            </w:r>
          </w:p>
        </w:tc>
      </w:tr>
      <w:tr>
        <w:trPr>
          <w:trHeight w:val="402" w:hRule="exact"/>
        </w:trPr>
        <w:tc>
          <w:tcPr>
            <w:tcW w:w="411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892" w:type="dxa"/>
            <w:tcBorders>
              <w:top w:val="single" w:sz="4" w:space="0" w:color="000000"/>
              <w:left w:val="single" w:sz="23" w:space="0" w:color="FFFFFF"/>
              <w:bottom w:val="single" w:sz="4" w:space="0" w:color="000000"/>
              <w:right w:val="single" w:sz="4" w:space="0" w:color="000000"/>
            </w:tcBorders>
          </w:tcPr>
          <w:p>
            <w:pPr>
              <w:pStyle w:val="TableParagraph"/>
              <w:tabs>
                <w:tab w:pos="1805" w:val="left" w:leader="none"/>
              </w:tabs>
              <w:spacing w:line="240" w:lineRule="auto" w:before="51"/>
              <w:ind w:left="-169"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11,221,828.76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47,822,076.87</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23,705,958.58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-35,524,960.75</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其中：对联营企业和合营企业的投资收益</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208,888.59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-637,227.71</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403,540,944.85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-416,228,289.90</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504,045,185.99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421,528,346.56</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41,294,461.31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21,440,038.10</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36,560,317.17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4,484,098.29</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866,291,669.53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-16,139,981.44</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175,938,431.91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-62,826,238.51</w:t>
            </w:r>
          </w:p>
        </w:tc>
      </w:tr>
      <w:tr>
        <w:trPr>
          <w:trHeight w:val="401"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690,353,237.62</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46,686,257.07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117"/>
        <w:gridCol w:w="2892"/>
        <w:gridCol w:w="2548"/>
      </w:tblGrid>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其中：被合并方在合并前实现的净利润</w:t>
            </w:r>
          </w:p>
        </w:tc>
        <w:tc>
          <w:tcPr>
            <w:tcW w:w="2892" w:type="dxa"/>
            <w:tcBorders>
              <w:top w:val="single" w:sz="4" w:space="0" w:color="000000"/>
              <w:left w:val="single" w:sz="10" w:space="0" w:color="D3D3D3"/>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710,655,331.72</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221,034,822.54</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-20,302,094.10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-174,348,565.47</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2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-15,416,892.44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2,250,198.82</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674,936,345.18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48,936,455.89</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695,238,439.28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223,285,021.36</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-20,302,094.10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-174,348,565.47</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left="154" w:right="0"/>
        <w:jc w:val="left"/>
      </w:pPr>
      <w:r>
        <w:rPr/>
        <w:t>法定代表人：陈洪国</w:t>
        <w:tab/>
        <w:t>主管会计工作负责人：李栋</w:t>
        <w:tab/>
        <w:t>会计机构负责人：刘军</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编制单位：山东晨鸣纸业集团股份有限公司</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117"/>
        <w:gridCol w:w="2892"/>
        <w:gridCol w:w="2548"/>
      </w:tblGrid>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9,790,098,706.42</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8,641,208,942.54</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7,831,543,846.50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7,177,585,076.21</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43,845,776.65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45,538,835.46</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301,518,944.89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287,036,491.45</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584,409,749.89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531,555,114.76</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545,632,757.10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509,080,279.98</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9,721,213.30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-8,992,017.36</w:t>
            </w:r>
          </w:p>
        </w:tc>
      </w:tr>
      <w:tr>
        <w:trPr>
          <w:trHeight w:val="402" w:hRule="exact"/>
        </w:trPr>
        <w:tc>
          <w:tcPr>
            <w:tcW w:w="411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89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w:t>
            </w: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353,682,268.40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601,171,586.41</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3"/>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-47,492.37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-19,380,904.84</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827,108,686.49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700,576,748.45</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122,069,435.62</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206,421,196.02</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36,361,095.67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45,274,377.35</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33,861,095.67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273,373.64</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912,817,026.44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861,723,567.12</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75,000,860.15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45,083,056.27</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8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837,816,166.29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816,640,510.85</w:t>
            </w:r>
          </w:p>
        </w:tc>
      </w:tr>
      <w:tr>
        <w:trPr>
          <w:trHeight w:val="402" w:hRule="exact"/>
        </w:trPr>
        <w:tc>
          <w:tcPr>
            <w:tcW w:w="4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2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40"/>
        <w:gridCol w:w="2880"/>
        <w:gridCol w:w="2548"/>
      </w:tblGrid>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5"/>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88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5"/>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88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288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2" w:right="0"/>
              <w:jc w:val="left"/>
              <w:rPr>
                <w:rFonts w:ascii="Times New Roman" w:hAnsi="Times New Roman" w:cs="Times New Roman" w:eastAsia="Times New Roman" w:hint="default"/>
                <w:sz w:val="18"/>
                <w:szCs w:val="18"/>
              </w:rPr>
            </w:pPr>
            <w:r>
              <w:rPr>
                <w:rFonts w:ascii="Times New Roman"/>
                <w:sz w:val="18"/>
              </w:rPr>
              <w:t>837,816,166.29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0" w:right="0"/>
              <w:jc w:val="left"/>
              <w:rPr>
                <w:rFonts w:ascii="Times New Roman" w:hAnsi="Times New Roman" w:cs="Times New Roman" w:eastAsia="Times New Roman" w:hint="default"/>
                <w:sz w:val="18"/>
                <w:szCs w:val="18"/>
              </w:rPr>
            </w:pPr>
            <w:r>
              <w:rPr>
                <w:rFonts w:ascii="Times New Roman"/>
                <w:sz w:val="18"/>
              </w:rPr>
              <w:t>816,640,510.85</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left="154" w:right="0"/>
        <w:jc w:val="left"/>
      </w:pPr>
      <w:r>
        <w:rPr/>
        <w:t>法定代表人：陈洪国</w:t>
        <w:tab/>
        <w:t>主管会计工作负责人：李栋</w:t>
        <w:tab/>
        <w:t>会计机构负责人：刘军</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编制单位：山东晨鸣纸业集团股份有限公司</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837"/>
        <w:gridCol w:w="2352"/>
        <w:gridCol w:w="2368"/>
      </w:tblGrid>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19,924,421,264.23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18,898,272,759.78</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53"/>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53"/>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15,764,794.45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23,554,462.43</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422,990,060.10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478,057,899.37</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20,363,176,118.78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19,399,885,121.58</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15,952,557,041.64</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13,883,922,321.10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53"/>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53"/>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1,017,503,439.00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980,078,937.56</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1,067,579,950.69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1,046,466,624.71</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1,202,918,886.54</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1,532,550,760.22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832"/>
        <w:gridCol w:w="2357"/>
        <w:gridCol w:w="2368"/>
      </w:tblGrid>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19,240,559,317.87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17,443,018,643.59</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1,122,616,800.91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1,956,866,477.99</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57"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357"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201,327,878.35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81,287,275.09</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357,810,704.91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114,228,233.04</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1,367,652,767.53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825,144,486.68</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1,926,791,350.79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1,020,659,994.81</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3,814,559,167.63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2,836,141,166.67</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779,039,794.00</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357"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57"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51,603,949.43</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3,180,221.51</w:t>
            </w: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3,837,739,389.14</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3,666,784,910.10</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-1,910,948,038.35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-2,646,124,915.29</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66,000,000.00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66,000,000.00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17,437,505,752.43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20,431,257,575.12</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57"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3,773,400,000.00</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5,622,770,312.13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1,083,500,000.00</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23,126,276,064.56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25,318,157,575.12</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21,185,990,488.38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21,884,060,289.27</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1,376,004,607.35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1,811,123,256.04</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16,657,735.88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34,709,480.76</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1,396,318,075.00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899,777,585.47</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23,958,313,170.73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24,594,961,130.78</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-832,037,106.17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723,196,444.34</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3,351,087.12</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-7,436,441.12</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-1,617,017,256.49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26,501,565.92</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2,343,550,185.45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2,317,048,619.53</w:t>
            </w: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726,532,928.96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2,343,550,185.45</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left="154" w:right="0"/>
        <w:jc w:val="left"/>
      </w:pPr>
      <w:r>
        <w:rPr/>
        <w:t>法定代表人：陈洪国</w:t>
        <w:tab/>
        <w:t>主管会计工作负责人：李栋</w:t>
        <w:tab/>
        <w:t>会计机构负责人：刘军</w:t>
      </w:r>
    </w:p>
    <w:p>
      <w:pPr>
        <w:spacing w:after="0" w:line="240" w:lineRule="auto"/>
        <w:jc w:val="left"/>
        <w:sectPr>
          <w:pgSz w:w="11910" w:h="16840"/>
          <w:pgMar w:header="877" w:footer="950" w:top="1100" w:bottom="114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编制单位：山东晨鸣纸业集团股份有限公司</w:t>
      </w:r>
    </w:p>
    <w:p>
      <w:pPr>
        <w:pStyle w:val="BodyText"/>
        <w:spacing w:line="240" w:lineRule="auto" w:before="116"/>
        <w:ind w:left="0" w:right="149"/>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837"/>
        <w:gridCol w:w="2352"/>
        <w:gridCol w:w="2368"/>
      </w:tblGrid>
      <w:tr>
        <w:trPr>
          <w:trHeight w:val="401"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9,267,322,187.99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10,633,676,349.76</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219,142,138.18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224,089,911.79</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9,486,464,326.17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10,857,766,261.55</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9,497,015,627.73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7,687,404,057.11</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250,644,717.68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190,589,314.60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498,627,291.39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447,492,526.52</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1,967,541,286.56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2,395,664,137.91</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12,213,828,923.36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10,721,150,036.14</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-2,727,364,597.19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136,616,225.41</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860,916,016.71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618,941,235.06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62,413,545.49</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21,798,747.08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60,584,699.60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274,137,000.00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11,753,324.01</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1,775,792,998.85</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299,751,569.10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316,039,924.71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444,035,770.10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468,932,475.00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659,306,351.20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784,972,399.71</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1,103,342,121.30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990,820,599.14</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-803,590,552.20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9,915,668,095.86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13,811,876,225.40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52" w:type="dxa"/>
            <w:tcBorders>
              <w:top w:val="single" w:sz="4" w:space="0" w:color="000000"/>
              <w:left w:val="single" w:sz="10" w:space="0" w:color="D3D3D3"/>
              <w:bottom w:val="single" w:sz="4" w:space="0" w:color="000000"/>
              <w:right w:val="single" w:sz="4" w:space="0" w:color="000000"/>
            </w:tcBorders>
          </w:tcPr>
          <w:p>
            <w:pP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3,773,400,000.00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5,271,300,000.00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1,083,500,000.00</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15,186,968,095.86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18,668,776,225.40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860"/>
        <w:gridCol w:w="2340"/>
        <w:gridCol w:w="2368"/>
      </w:tblGrid>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12,557,694,467.87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15,569,143,192.60</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1,100,076,772.93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1,118,202,959.20</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1,515,035,053.37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813,788,127.94</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15,172,806,294.17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17,501,134,279.74</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14,161,801.69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1,167,641,945.66</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151,371.37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-4,083,843.36</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-1,722,230,824.99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496,583,775.51</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1,786,622,854.08</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1,290,039,078.57</w:t>
            </w:r>
          </w:p>
        </w:tc>
      </w:tr>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64,392,029.09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1,786,622,854.08</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left="154" w:right="0"/>
        <w:jc w:val="left"/>
      </w:pPr>
      <w:r>
        <w:rPr/>
        <w:t>法定代表人：陈洪国</w:t>
        <w:tab/>
        <w:t>主管会计工作负责人：李栋</w:t>
        <w:tab/>
        <w:t>会计机构负责人：刘军</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50" w:top="1100" w:bottom="1140" w:left="980" w:right="980"/>
        </w:sectPr>
      </w:pPr>
    </w:p>
    <w:p>
      <w:pPr>
        <w:pStyle w:val="BodyText"/>
        <w:spacing w:line="360" w:lineRule="auto" w:before="44"/>
        <w:ind w:right="-19"/>
        <w:jc w:val="left"/>
      </w:pPr>
      <w:r>
        <w:rPr/>
        <w:t>编制单位：山东晨鸣纸业集团股份有限公司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600" w:bottom="280" w:left="980" w:right="980"/>
          <w:cols w:num="2" w:equalWidth="0">
            <w:col w:w="3575" w:space="534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12"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5485"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vMerge w:val="restart"/>
            <w:tcBorders>
              <w:top w:val="single" w:sz="4" w:space="0" w:color="000000"/>
              <w:left w:val="single" w:sz="4" w:space="0" w:color="000000"/>
              <w:right w:val="single" w:sz="4" w:space="0" w:color="000000"/>
            </w:tcBorders>
            <w:shd w:val="clear" w:color="auto" w:fill="D3D3D3"/>
          </w:tcPr>
          <w:p>
            <w:pPr/>
          </w:p>
        </w:tc>
      </w:tr>
      <w:tr>
        <w:trPr>
          <w:trHeight w:val="91" w:hRule="exact"/>
        </w:trPr>
        <w:tc>
          <w:tcPr>
            <w:tcW w:w="2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485" w:type="dxa"/>
            <w:gridSpan w:val="8"/>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368" w:type="dxa"/>
            <w:vMerge/>
            <w:tcBorders>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49" w:hRule="exact"/>
        </w:trPr>
        <w:tc>
          <w:tcPr>
            <w:tcW w:w="2368"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49" w:hRule="exact"/>
        </w:trPr>
        <w:tc>
          <w:tcPr>
            <w:tcW w:w="2368"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36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6,414,89</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2,999.53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4,149,51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1,927.88</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929,205.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585,921,7</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53.20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14,345,417</w:t>
            </w:r>
          </w:p>
          <w:p>
            <w:pPr>
              <w:pStyle w:val="TableParagraph"/>
              <w:spacing w:line="240" w:lineRule="auto" w:before="106"/>
              <w:ind w:left="319" w:right="0"/>
              <w:jc w:val="left"/>
              <w:rPr>
                <w:rFonts w:ascii="Times New Roman" w:hAnsi="Times New Roman" w:cs="Times New Roman" w:eastAsia="Times New Roman" w:hint="default"/>
                <w:sz w:val="18"/>
                <w:szCs w:val="18"/>
              </w:rPr>
            </w:pPr>
            <w:r>
              <w:rPr>
                <w:rFonts w:ascii="Times New Roman"/>
                <w:sz w:val="18"/>
              </w:rPr>
              <w:t>,933.05</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6,414,89</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2,999.53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4,149,51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1,927.88</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929,205.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585,921,7</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53.20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14,345,417</w:t>
            </w:r>
          </w:p>
          <w:p>
            <w:pPr>
              <w:pStyle w:val="TableParagraph"/>
              <w:spacing w:line="240" w:lineRule="auto" w:before="106"/>
              <w:ind w:left="319" w:right="0"/>
              <w:jc w:val="left"/>
              <w:rPr>
                <w:rFonts w:ascii="Times New Roman" w:hAnsi="Times New Roman" w:cs="Times New Roman" w:eastAsia="Times New Roman" w:hint="default"/>
                <w:sz w:val="18"/>
                <w:szCs w:val="18"/>
              </w:rPr>
            </w:pPr>
            <w:r>
              <w:rPr>
                <w:rFonts w:ascii="Times New Roman"/>
                <w:sz w:val="18"/>
              </w:rPr>
              <w:t>,933.05</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-86,573,</w:t>
            </w:r>
          </w:p>
          <w:p>
            <w:pPr>
              <w:pStyle w:val="TableParagraph"/>
              <w:spacing w:line="240" w:lineRule="auto" w:before="106"/>
              <w:ind w:left="125" w:right="0"/>
              <w:jc w:val="center"/>
              <w:rPr>
                <w:rFonts w:ascii="Times New Roman" w:hAnsi="Times New Roman" w:cs="Times New Roman" w:eastAsia="Times New Roman" w:hint="default"/>
                <w:sz w:val="18"/>
                <w:szCs w:val="18"/>
              </w:rPr>
            </w:pPr>
            <w:r>
              <w:rPr>
                <w:rFonts w:ascii="Times New Roman"/>
                <w:sz w:val="18"/>
              </w:rPr>
              <w:t>974.00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-210,21</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0,970.59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30,954,8</w:t>
            </w:r>
          </w:p>
          <w:p>
            <w:pPr>
              <w:pStyle w:val="TableParagraph"/>
              <w:spacing w:line="240" w:lineRule="auto" w:before="106"/>
              <w:ind w:left="247" w:right="0"/>
              <w:jc w:val="left"/>
              <w:rPr>
                <w:rFonts w:ascii="Times New Roman" w:hAnsi="Times New Roman" w:cs="Times New Roman" w:eastAsia="Times New Roman" w:hint="default"/>
                <w:sz w:val="18"/>
                <w:szCs w:val="18"/>
              </w:rPr>
            </w:pPr>
            <w:r>
              <w:rPr>
                <w:rFonts w:ascii="Times New Roman"/>
                <w:sz w:val="18"/>
              </w:rPr>
              <w:t>91.40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592,127,</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013.70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16,004,8</w:t>
            </w:r>
          </w:p>
          <w:p>
            <w:pPr>
              <w:pStyle w:val="TableParagraph"/>
              <w:spacing w:line="240" w:lineRule="auto" w:before="106"/>
              <w:ind w:left="247" w:right="0"/>
              <w:jc w:val="left"/>
              <w:rPr>
                <w:rFonts w:ascii="Times New Roman" w:hAnsi="Times New Roman" w:cs="Times New Roman" w:eastAsia="Times New Roman" w:hint="default"/>
                <w:sz w:val="18"/>
                <w:szCs w:val="18"/>
              </w:rPr>
            </w:pPr>
            <w:r>
              <w:rPr>
                <w:rFonts w:ascii="Times New Roman"/>
                <w:sz w:val="18"/>
              </w:rPr>
              <w:t>68.55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12,543,55</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3.58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292,935,59</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9.84</w:t>
            </w: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710,655,</w:t>
            </w:r>
          </w:p>
          <w:p>
            <w:pPr>
              <w:pStyle w:val="TableParagraph"/>
              <w:spacing w:line="240" w:lineRule="auto" w:before="106"/>
              <w:ind w:left="133" w:right="0"/>
              <w:jc w:val="center"/>
              <w:rPr>
                <w:rFonts w:ascii="Times New Roman" w:hAnsi="Times New Roman" w:cs="Times New Roman" w:eastAsia="Times New Roman" w:hint="default"/>
                <w:sz w:val="18"/>
                <w:szCs w:val="18"/>
              </w:rPr>
            </w:pPr>
            <w:r>
              <w:rPr>
                <w:rFonts w:ascii="Times New Roman"/>
                <w:sz w:val="18"/>
              </w:rPr>
              <w:t>331.72</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-20,302,0</w:t>
            </w:r>
          </w:p>
          <w:p>
            <w:pPr>
              <w:pStyle w:val="TableParagraph"/>
              <w:spacing w:line="240" w:lineRule="auto" w:before="106"/>
              <w:ind w:left="379" w:right="0"/>
              <w:jc w:val="left"/>
              <w:rPr>
                <w:rFonts w:ascii="Times New Roman" w:hAnsi="Times New Roman" w:cs="Times New Roman" w:eastAsia="Times New Roman" w:hint="default"/>
                <w:sz w:val="18"/>
                <w:szCs w:val="18"/>
              </w:rPr>
            </w:pPr>
            <w:r>
              <w:rPr>
                <w:rFonts w:ascii="Times New Roman"/>
                <w:sz w:val="18"/>
              </w:rPr>
              <w:t>94.10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690,353,23</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7.62</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10"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-31,421,</w:t>
            </w:r>
          </w:p>
          <w:p>
            <w:pPr>
              <w:pStyle w:val="TableParagraph"/>
              <w:spacing w:line="240" w:lineRule="auto" w:before="106"/>
              <w:ind w:left="136" w:right="0"/>
              <w:jc w:val="center"/>
              <w:rPr>
                <w:rFonts w:ascii="Times New Roman" w:hAnsi="Times New Roman" w:cs="Times New Roman" w:eastAsia="Times New Roman" w:hint="default"/>
                <w:sz w:val="18"/>
                <w:szCs w:val="18"/>
              </w:rPr>
            </w:pPr>
            <w:r>
              <w:rPr>
                <w:rFonts w:ascii="Times New Roman"/>
                <w:sz w:val="18"/>
              </w:rPr>
              <w:t>760.99</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16,004,8</w:t>
            </w:r>
          </w:p>
          <w:p>
            <w:pPr>
              <w:pStyle w:val="TableParagraph"/>
              <w:spacing w:line="240" w:lineRule="auto" w:before="106"/>
              <w:ind w:left="247" w:right="0"/>
              <w:jc w:val="left"/>
              <w:rPr>
                <w:rFonts w:ascii="Times New Roman" w:hAnsi="Times New Roman" w:cs="Times New Roman" w:eastAsia="Times New Roman" w:hint="default"/>
                <w:sz w:val="18"/>
                <w:szCs w:val="18"/>
              </w:rPr>
            </w:pPr>
            <w:r>
              <w:rPr>
                <w:rFonts w:ascii="Times New Roman"/>
                <w:sz w:val="18"/>
              </w:rPr>
              <w:t>68.55</w:t>
            </w: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-15,416,89</w:t>
            </w:r>
          </w:p>
          <w:p>
            <w:pPr>
              <w:pStyle w:val="TableParagraph"/>
              <w:spacing w:line="240" w:lineRule="auto" w:before="106"/>
              <w:ind w:left="544" w:right="0"/>
              <w:jc w:val="left"/>
              <w:rPr>
                <w:rFonts w:ascii="Times New Roman" w:hAnsi="Times New Roman" w:cs="Times New Roman" w:eastAsia="Times New Roman" w:hint="default"/>
                <w:sz w:val="18"/>
                <w:szCs w:val="18"/>
              </w:rPr>
            </w:pPr>
            <w:r>
              <w:rPr>
                <w:rFonts w:ascii="Times New Roman"/>
                <w:sz w:val="18"/>
              </w:rPr>
              <w:t>2.44</w:t>
            </w:r>
          </w:p>
        </w:tc>
      </w:tr>
      <w:tr>
        <w:trPr>
          <w:trHeight w:val="392" w:hRule="exact"/>
        </w:trPr>
        <w:tc>
          <w:tcPr>
            <w:tcW w:w="2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vMerge/>
            <w:tcBorders>
              <w:left w:val="single" w:sz="10"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10"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tcBorders>
              <w:top w:val="single" w:sz="4" w:space="0" w:color="000000"/>
              <w:left w:val="single" w:sz="10"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5" w:right="0"/>
              <w:jc w:val="left"/>
              <w:rPr>
                <w:rFonts w:ascii="Times New Roman" w:hAnsi="Times New Roman" w:cs="Times New Roman" w:eastAsia="Times New Roman" w:hint="default"/>
                <w:sz w:val="18"/>
                <w:szCs w:val="18"/>
              </w:rPr>
            </w:pPr>
            <w:r>
              <w:rPr>
                <w:rFonts w:ascii="Times New Roman"/>
                <w:sz w:val="18"/>
              </w:rPr>
              <w:t>-31,421,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710,655,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 w:right="0"/>
              <w:jc w:val="center"/>
              <w:rPr>
                <w:rFonts w:ascii="Times New Roman" w:hAnsi="Times New Roman" w:cs="Times New Roman" w:eastAsia="Times New Roman" w:hint="default"/>
                <w:sz w:val="18"/>
                <w:szCs w:val="18"/>
              </w:rPr>
            </w:pPr>
            <w:r>
              <w:rPr>
                <w:rFonts w:ascii="Times New Roman"/>
                <w:sz w:val="18"/>
              </w:rPr>
              <w:t>16,004,8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t>-20,302,0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674,936,34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36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9" w:right="0"/>
              <w:jc w:val="left"/>
              <w:rPr>
                <w:rFonts w:ascii="Times New Roman" w:hAnsi="Times New Roman" w:cs="Times New Roman" w:eastAsia="Times New Roman" w:hint="default"/>
                <w:sz w:val="18"/>
                <w:szCs w:val="18"/>
              </w:rPr>
            </w:pPr>
            <w:r>
              <w:rPr>
                <w:rFonts w:ascii="Times New Roman"/>
                <w:sz w:val="18"/>
              </w:rPr>
              <w:t>760.99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7" w:right="0"/>
              <w:jc w:val="left"/>
              <w:rPr>
                <w:rFonts w:ascii="Times New Roman" w:hAnsi="Times New Roman" w:cs="Times New Roman" w:eastAsia="Times New Roman" w:hint="default"/>
                <w:sz w:val="18"/>
                <w:szCs w:val="18"/>
              </w:rPr>
            </w:pPr>
            <w:r>
              <w:rPr>
                <w:rFonts w:ascii="Times New Roman"/>
                <w:sz w:val="18"/>
              </w:rPr>
              <w:t>331.72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7" w:right="0"/>
              <w:jc w:val="left"/>
              <w:rPr>
                <w:rFonts w:ascii="Times New Roman" w:hAnsi="Times New Roman" w:cs="Times New Roman" w:eastAsia="Times New Roman" w:hint="default"/>
                <w:sz w:val="18"/>
                <w:szCs w:val="18"/>
              </w:rPr>
            </w:pPr>
            <w:r>
              <w:rPr>
                <w:rFonts w:ascii="Times New Roman"/>
                <w:sz w:val="18"/>
              </w:rPr>
              <w:t>68.55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79" w:right="0"/>
              <w:jc w:val="left"/>
              <w:rPr>
                <w:rFonts w:ascii="Times New Roman" w:hAnsi="Times New Roman" w:cs="Times New Roman" w:eastAsia="Times New Roman" w:hint="default"/>
                <w:sz w:val="18"/>
                <w:szCs w:val="18"/>
              </w:rPr>
            </w:pPr>
            <w:r>
              <w:rPr>
                <w:rFonts w:ascii="Times New Roman"/>
                <w:sz w:val="18"/>
              </w:rPr>
              <w:t>94.10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4" w:right="0"/>
              <w:jc w:val="left"/>
              <w:rPr>
                <w:rFonts w:ascii="Times New Roman" w:hAnsi="Times New Roman" w:cs="Times New Roman" w:eastAsia="Times New Roman" w:hint="default"/>
                <w:sz w:val="18"/>
                <w:szCs w:val="18"/>
              </w:rPr>
            </w:pPr>
            <w:r>
              <w:rPr>
                <w:rFonts w:ascii="Times New Roman"/>
                <w:sz w:val="18"/>
              </w:rPr>
              <w:t>5.18</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-86,573,</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974.00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-178,78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9,209.60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30,954,8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91.40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48,533,14</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1.18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-247,784,9</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33.82</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-86,573,</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974.00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-178,78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9,209.60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30,954,8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91.40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56,100,00</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-240,218,0</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75.00</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-7,566,85</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8.82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-7,566,858.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-118,52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8,318.02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-15,687,4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93.50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-134,215,8</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11.52</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-118,52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8,318.02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-15,687,4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93.50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-134,215,8</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11.52</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1,975,4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71,967.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6,204,68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2,028.94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30,954,8</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91.40</w:t>
            </w: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1,132,11</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6,106.4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4,741,63</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8,941.58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16,934,0</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73.59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598,465,3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06.78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14,638,353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,532.89</w:t>
            </w:r>
          </w:p>
        </w:tc>
      </w:tr>
    </w:tbl>
    <w:p>
      <w:pPr>
        <w:pStyle w:val="BodyText"/>
        <w:spacing w:line="240" w:lineRule="auto" w:before="51"/>
        <w:ind w:left="154" w:right="0"/>
        <w:jc w:val="left"/>
      </w:pPr>
      <w:r>
        <w:rPr/>
        <w:t>上年金额</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402" w:hRule="exact"/>
        </w:trPr>
        <w:tc>
          <w:tcPr>
            <w:tcW w:w="2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8" w:type="dxa"/>
            <w:vMerge/>
            <w:tcBorders>
              <w:left w:val="single" w:sz="4" w:space="0" w:color="000000"/>
              <w:right w:val="single" w:sz="4" w:space="0" w:color="000000"/>
            </w:tcBorders>
            <w:shd w:val="clear" w:color="auto" w:fill="D3D3D3"/>
          </w:tcPr>
          <w:p>
            <w:pPr/>
          </w:p>
        </w:tc>
        <w:tc>
          <w:tcPr>
            <w:tcW w:w="5485"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4" w:right="4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1026"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6,098,26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4,836.00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1,132,11</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6,106.4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4,237,78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3,996.54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-1,588,5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60.03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1,459,152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,539.48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14,987,774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,859.39</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6,098,26</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4,836.00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1,132,11</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6,106.4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4,237,78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3,996.54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-1,588,5</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60.03</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1,459,152</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,539.48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14,987,774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,859.39</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316,628,</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163.53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-88,272,</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068.66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2,517,76</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5.07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-873,230,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786.28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-642,356,9</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26.34</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221,034,</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822.54</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-174,348,</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565.47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46,686,257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-267,56</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6.25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2,517,76</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5.07</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82</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-267,56</w:t>
            </w:r>
          </w:p>
          <w:p>
            <w:pPr>
              <w:pStyle w:val="TableParagraph"/>
              <w:spacing w:line="240" w:lineRule="auto" w:before="105"/>
              <w:ind w:left="339" w:right="0"/>
              <w:jc w:val="left"/>
              <w:rPr>
                <w:rFonts w:ascii="Times New Roman" w:hAnsi="Times New Roman" w:cs="Times New Roman" w:eastAsia="Times New Roman" w:hint="default"/>
                <w:sz w:val="18"/>
                <w:szCs w:val="18"/>
              </w:rPr>
            </w:pPr>
            <w:r>
              <w:rPr>
                <w:rFonts w:ascii="Times New Roman"/>
                <w:sz w:val="18"/>
              </w:rPr>
              <w:t>6.25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221,034,</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822.54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2,517,76</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5.07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-174,348,</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565.47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48,936,455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316,895,</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729.78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-669,539,</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473.21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-352,643,7</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43.43</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156,396,0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50.57</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156,396,05</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0.57</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316,895,</w:t>
            </w:r>
          </w:p>
          <w:p>
            <w:pPr>
              <w:pStyle w:val="TableParagraph"/>
              <w:spacing w:line="240" w:lineRule="auto" w:before="105"/>
              <w:ind w:left="136" w:right="0"/>
              <w:jc w:val="center"/>
              <w:rPr>
                <w:rFonts w:ascii="Times New Roman" w:hAnsi="Times New Roman" w:cs="Times New Roman" w:eastAsia="Times New Roman" w:hint="default"/>
                <w:sz w:val="18"/>
                <w:szCs w:val="18"/>
              </w:rPr>
            </w:pPr>
            <w:r>
              <w:rPr>
                <w:rFonts w:ascii="Times New Roman"/>
                <w:sz w:val="18"/>
              </w:rPr>
              <w:t>729.78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-825,935,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523.78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-509,039,7</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94.00</w:t>
            </w: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-309,30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6,891.20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-29,342,7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47.60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-338,649,6</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38.80</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-309,30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6,891.20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-29,342,7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47.60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-338,649,6</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38.80</w:t>
            </w: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368"/>
        <w:gridCol w:w="684"/>
        <w:gridCol w:w="688"/>
        <w:gridCol w:w="686"/>
        <w:gridCol w:w="685"/>
        <w:gridCol w:w="684"/>
        <w:gridCol w:w="686"/>
        <w:gridCol w:w="686"/>
        <w:gridCol w:w="685"/>
        <w:gridCol w:w="817"/>
        <w:gridCol w:w="894"/>
      </w:tblGrid>
      <w:tr>
        <w:trPr>
          <w:trHeight w:val="36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2,062,0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45,941.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6,414,89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2,999.53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1,132,11</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6,106.4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4,149,51</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1,927.88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929,205.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585,921,7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53.20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14,345,417</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,933.05</w:t>
            </w:r>
          </w:p>
        </w:tc>
      </w:tr>
    </w:tbl>
    <w:p>
      <w:pPr>
        <w:spacing w:line="240" w:lineRule="auto" w:before="3"/>
        <w:rPr>
          <w:rFonts w:ascii="Times New Roman" w:hAnsi="Times New Roman" w:cs="Times New Roman" w:eastAsia="Times New Roman" w:hint="default"/>
          <w:sz w:val="23"/>
          <w:szCs w:val="23"/>
        </w:rPr>
      </w:pPr>
    </w:p>
    <w:p>
      <w:pPr>
        <w:pStyle w:val="BodyText"/>
        <w:tabs>
          <w:tab w:pos="3753" w:val="left" w:leader="none"/>
          <w:tab w:pos="7893" w:val="left" w:leader="none"/>
        </w:tabs>
        <w:spacing w:line="240" w:lineRule="auto" w:before="44"/>
        <w:ind w:left="154" w:right="0"/>
        <w:jc w:val="left"/>
      </w:pPr>
      <w:r>
        <w:rPr/>
        <w:t>法定代表人：陈洪国</w:t>
        <w:tab/>
        <w:t>主管会计工作负责人：李栋</w:t>
        <w:tab/>
        <w:t>会计机构负责人：刘军</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3"/>
          <w:pgSz w:w="11910" w:h="16840"/>
          <w:pgMar w:footer="950" w:header="877" w:top="1100" w:bottom="1140" w:left="980" w:right="980"/>
        </w:sectPr>
      </w:pPr>
    </w:p>
    <w:p>
      <w:pPr>
        <w:pStyle w:val="BodyText"/>
        <w:spacing w:line="357" w:lineRule="auto" w:before="44"/>
        <w:ind w:right="-19"/>
        <w:jc w:val="left"/>
      </w:pPr>
      <w:r>
        <w:rPr/>
        <w:t>编制单位：山东晨鸣纸业集团股份有限公司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600" w:bottom="280" w:left="980" w:right="980"/>
          <w:cols w:num="2" w:equalWidth="0">
            <w:col w:w="3575" w:space="5344"/>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4"/>
        <w:gridCol w:w="886"/>
        <w:gridCol w:w="884"/>
        <w:gridCol w:w="886"/>
        <w:gridCol w:w="886"/>
        <w:gridCol w:w="887"/>
        <w:gridCol w:w="886"/>
        <w:gridCol w:w="886"/>
        <w:gridCol w:w="893"/>
      </w:tblGrid>
      <w:tr>
        <w:trPr>
          <w:trHeight w:val="402"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0" w:hRule="exact"/>
        </w:trPr>
        <w:tc>
          <w:tcPr>
            <w:tcW w:w="24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47"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71"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46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2"/>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8" w:hRule="exact"/>
        </w:trPr>
        <w:tc>
          <w:tcPr>
            <w:tcW w:w="2464" w:type="dxa"/>
            <w:vMerge w:val="restart"/>
            <w:tcBorders>
              <w:top w:val="nil" w:sz="6" w:space="0" w:color="auto"/>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0" w:hRule="exact"/>
        </w:trPr>
        <w:tc>
          <w:tcPr>
            <w:tcW w:w="246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524.49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4,079,103,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308.16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13,445,291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,762.42</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524.49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4,079,103,</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308.16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13,445,291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,762.42</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-86,573,97</w:t>
            </w:r>
          </w:p>
          <w:p>
            <w:pPr>
              <w:pStyle w:val="TableParagraph"/>
              <w:spacing w:line="240" w:lineRule="auto" w:before="105"/>
              <w:ind w:left="526" w:right="0"/>
              <w:jc w:val="left"/>
              <w:rPr>
                <w:rFonts w:ascii="Times New Roman" w:hAnsi="Times New Roman" w:cs="Times New Roman" w:eastAsia="Times New Roman" w:hint="default"/>
                <w:sz w:val="18"/>
                <w:szCs w:val="18"/>
              </w:rPr>
            </w:pPr>
            <w:r>
              <w:rPr>
                <w:rFonts w:ascii="Times New Roman"/>
                <w:sz w:val="18"/>
              </w:rPr>
              <w:t>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-178,789,2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09.60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30,954,891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719,287,84</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8.27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422,969,77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3.27</w:t>
            </w: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837,816,16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6.29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837,816,16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6.29</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837,816,16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6.29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837,816,16</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6.29</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-86,573,97</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4.00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-178,789,2</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09.60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30,954,891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-296,318,0</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75.00</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left="61" w:right="0"/>
              <w:jc w:val="left"/>
              <w:rPr>
                <w:rFonts w:ascii="Times New Roman" w:hAnsi="Times New Roman" w:cs="Times New Roman" w:eastAsia="Times New Roman" w:hint="default"/>
                <w:sz w:val="18"/>
                <w:szCs w:val="18"/>
              </w:rPr>
            </w:pPr>
            <w:r>
              <w:rPr>
                <w:rFonts w:ascii="Times New Roman"/>
                <w:sz w:val="18"/>
              </w:rPr>
              <w:t>-86,573,97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1" w:right="0"/>
              <w:jc w:val="left"/>
              <w:rPr>
                <w:rFonts w:ascii="Times New Roman" w:hAnsi="Times New Roman" w:cs="Times New Roman" w:eastAsia="Times New Roman" w:hint="default"/>
                <w:sz w:val="18"/>
                <w:szCs w:val="18"/>
              </w:rPr>
            </w:pPr>
            <w:r>
              <w:rPr>
                <w:rFonts w:ascii="Times New Roman"/>
                <w:sz w:val="18"/>
              </w:rPr>
              <w:t>-178,789,2</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30,954,891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-296,318,0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6"/>
        <w:rPr>
          <w:rFonts w:ascii="宋体" w:hAnsi="宋体" w:cs="宋体" w:eastAsia="宋体" w:hint="default"/>
          <w:sz w:val="24"/>
          <w:szCs w:val="24"/>
        </w:rPr>
      </w:pPr>
      <w:r>
        <w:rPr/>
        <w:pict>
          <v:group style="position:absolute;margin-left:180.720001pt;margin-top:297.600006pt;width:42.7pt;height:40.9pt;mso-position-horizontal-relative:page;mso-position-vertical-relative:page;z-index:-1455784" coordorigin="3614,5952" coordsize="854,818">
            <v:group style="position:absolute;left:3626;top:5964;width:2;height:392" coordorigin="3626,5964" coordsize="2,392">
              <v:shape style="position:absolute;left:3626;top:5964;width:2;height:392" coordorigin="3626,5964" coordsize="0,392" path="m3626,5964l3626,6356e" filled="false" stroked="true" strokeweight="1.2pt" strokecolor="#ffffff">
                <v:path arrowok="t"/>
              </v:shape>
            </v:group>
            <v:group style="position:absolute;left:3638;top:5964;width:830;height:392" coordorigin="3638,5964" coordsize="830,392">
              <v:shape style="position:absolute;left:3638;top:5964;width:830;height:392" coordorigin="3638,5964" coordsize="830,392" path="m3638,6355l4468,6355,4468,5964,3638,5964,3638,6355xe" filled="true" fillcolor="#ffffff" stroked="false">
                <v:path arrowok="t"/>
                <v:fill type="solid"/>
              </v:shape>
            </v:group>
            <v:group style="position:absolute;left:3626;top:6366;width:2;height:392" coordorigin="3626,6366" coordsize="2,392">
              <v:shape style="position:absolute;left:3626;top:6366;width:2;height:392" coordorigin="3626,6366" coordsize="0,392" path="m3626,6366l3626,6758e" filled="false" stroked="true" strokeweight="1.2pt" strokecolor="#ffffff">
                <v:path arrowok="t"/>
              </v:shape>
            </v:group>
            <v:group style="position:absolute;left:3638;top:6366;width:830;height:392" coordorigin="3638,6366" coordsize="830,392">
              <v:shape style="position:absolute;left:3638;top:6366;width:830;height:392" coordorigin="3638,6366" coordsize="830,392" path="m3638,6757l4468,6757,4468,6366,3638,6366,3638,675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36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7" w:right="0"/>
              <w:jc w:val="left"/>
              <w:rPr>
                <w:rFonts w:ascii="Times New Roman" w:hAnsi="Times New Roman" w:cs="Times New Roman" w:eastAsia="Times New Roman" w:hint="default"/>
                <w:sz w:val="18"/>
                <w:szCs w:val="18"/>
              </w:rPr>
            </w:pPr>
            <w:r>
              <w:rPr>
                <w:rFonts w:ascii="Times New Roman"/>
                <w:sz w:val="18"/>
              </w:rPr>
              <w:t>4.00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Times New Roman" w:hAnsi="Times New Roman" w:cs="Times New Roman" w:eastAsia="Times New Roman" w:hint="default"/>
                <w:sz w:val="18"/>
                <w:szCs w:val="18"/>
              </w:rPr>
            </w:pPr>
            <w:r>
              <w:rPr>
                <w:rFonts w:ascii="Times New Roman"/>
                <w:sz w:val="18"/>
              </w:rPr>
              <w:t>09.60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4" w:right="0"/>
              <w:jc w:val="left"/>
              <w:rPr>
                <w:rFonts w:ascii="Times New Roman" w:hAnsi="Times New Roman" w:cs="Times New Roman" w:eastAsia="Times New Roman" w:hint="default"/>
                <w:sz w:val="18"/>
                <w:szCs w:val="18"/>
              </w:rPr>
            </w:pPr>
            <w:r>
              <w:rPr>
                <w:rFonts w:ascii="Times New Roman"/>
                <w:sz w:val="18"/>
              </w:rPr>
              <w:t>75.00</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-118,528,3</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18.02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-118,528,3</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18.02</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-118,528,3</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18.02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-118,528,3</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18.02</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1,975,471,</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967.00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6,005,426,</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779.17</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30,954,891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524.49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4,798,391,</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156.43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13,868,261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,535.69</w:t>
            </w:r>
          </w:p>
        </w:tc>
      </w:tr>
    </w:tbl>
    <w:p>
      <w:pPr>
        <w:pStyle w:val="BodyText"/>
        <w:spacing w:line="240" w:lineRule="auto" w:before="51"/>
        <w:ind w:left="154" w:right="0"/>
        <w:jc w:val="left"/>
      </w:pPr>
      <w:r>
        <w:rPr/>
        <w:t>上年金额</w:t>
      </w:r>
    </w:p>
    <w:p>
      <w:pPr>
        <w:pStyle w:val="BodyText"/>
        <w:spacing w:line="240" w:lineRule="auto" w:before="117"/>
        <w:ind w:left="0" w:right="14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3"/>
        <w:gridCol w:w="886"/>
        <w:gridCol w:w="884"/>
        <w:gridCol w:w="886"/>
        <w:gridCol w:w="883"/>
        <w:gridCol w:w="884"/>
        <w:gridCol w:w="884"/>
        <w:gridCol w:w="883"/>
        <w:gridCol w:w="882"/>
      </w:tblGrid>
      <w:tr>
        <w:trPr>
          <w:trHeight w:val="402"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2483"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206" w:hRule="exact"/>
        </w:trPr>
        <w:tc>
          <w:tcPr>
            <w:tcW w:w="2483" w:type="dxa"/>
            <w:vMerge w:val="restart"/>
            <w:tcBorders>
              <w:top w:val="nil" w:sz="6" w:space="0" w:color="auto"/>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1" w:hRule="exact"/>
        </w:trPr>
        <w:tc>
          <w:tcPr>
            <w:tcW w:w="2483"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524.49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3,571,769,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688.51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12,937,958</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,142.77</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6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10" w:space="0" w:color="D3D3D3"/>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941.00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524.49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3,571,769,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688.51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12,937,958</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,142.77</w:t>
            </w:r>
          </w:p>
        </w:tc>
      </w:tr>
      <w:tr>
        <w:trPr>
          <w:trHeight w:val="392" w:hRule="exact"/>
        </w:trPr>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6" w:type="dxa"/>
            <w:vMerge/>
            <w:tcBorders>
              <w:left w:val="single" w:sz="10"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10"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507,333,61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9.65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507,333,61</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9.65</w:t>
            </w:r>
          </w:p>
        </w:tc>
      </w:tr>
    </w:tbl>
    <w:p>
      <w:pPr>
        <w:spacing w:after="0" w:line="240" w:lineRule="auto"/>
        <w:jc w:val="left"/>
        <w:rPr>
          <w:rFonts w:ascii="Times New Roman" w:hAnsi="Times New Roman" w:cs="Times New Roman" w:eastAsia="Times New Roman" w:hint="default"/>
          <w:sz w:val="18"/>
          <w:szCs w:val="18"/>
        </w:rPr>
        <w:sectPr>
          <w:footerReference w:type="default" r:id="rId24"/>
          <w:pgSz w:w="11910" w:h="16840"/>
          <w:pgMar w:footer="950" w:header="877" w:top="1100" w:bottom="1140" w:left="980" w:right="980"/>
          <w:pgNumType w:start="101"/>
        </w:sectPr>
      </w:pPr>
    </w:p>
    <w:p>
      <w:pPr>
        <w:spacing w:line="240" w:lineRule="auto" w:before="6"/>
        <w:rPr>
          <w:rFonts w:ascii="宋体" w:hAnsi="宋体" w:cs="宋体" w:eastAsia="宋体" w:hint="default"/>
          <w:sz w:val="24"/>
          <w:szCs w:val="24"/>
        </w:rPr>
      </w:pPr>
      <w:r>
        <w:rPr/>
        <w:pict>
          <v:group style="position:absolute;margin-left:181.679993pt;margin-top:411.179993pt;width:42.7pt;height:40.950pt;mso-position-horizontal-relative:page;mso-position-vertical-relative:page;z-index:-1455760" coordorigin="3634,8224" coordsize="854,819">
            <v:group style="position:absolute;left:3646;top:8236;width:2;height:393" coordorigin="3646,8236" coordsize="2,393">
              <v:shape style="position:absolute;left:3646;top:8236;width:2;height:393" coordorigin="3646,8236" coordsize="0,393" path="m3646,8236l3646,8628e" filled="false" stroked="true" strokeweight="1.2pt" strokecolor="#ffffff">
                <v:path arrowok="t"/>
              </v:shape>
            </v:group>
            <v:group style="position:absolute;left:3658;top:8236;width:830;height:393" coordorigin="3658,8236" coordsize="830,393">
              <v:shape style="position:absolute;left:3658;top:8236;width:830;height:393" coordorigin="3658,8236" coordsize="830,393" path="m3658,8628l4487,8628,4487,8236,3658,8236,3658,8628xe" filled="true" fillcolor="#ffffff" stroked="false">
                <v:path arrowok="t"/>
                <v:fill type="solid"/>
              </v:shape>
            </v:group>
            <v:group style="position:absolute;left:3646;top:8638;width:2;height:393" coordorigin="3646,8638" coordsize="2,393">
              <v:shape style="position:absolute;left:3646;top:8638;width:2;height:393" coordorigin="3646,8638" coordsize="0,393" path="m3646,8638l3646,9030e" filled="false" stroked="true" strokeweight="1.2pt" strokecolor="#ffffff">
                <v:path arrowok="t"/>
              </v:shape>
            </v:group>
            <v:group style="position:absolute;left:3658;top:8638;width:830;height:393" coordorigin="3658,8638" coordsize="830,393">
              <v:shape style="position:absolute;left:3658;top:8638;width:830;height:393" coordorigin="3658,8638" coordsize="830,393" path="m3658,9030l4487,9030,4487,8638,3658,8638,3658,903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816,640,51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0.85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816,640,51</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816,640,51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0.85</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816,640,51</w:t>
            </w:r>
          </w:p>
          <w:p>
            <w:pPr>
              <w:pStyle w:val="TableParagraph"/>
              <w:spacing w:line="240" w:lineRule="auto" w:before="105"/>
              <w:ind w:left="533" w:right="0"/>
              <w:jc w:val="lef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-309,306,8</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91.20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-309,306,8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91.20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-309,306,8</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91.20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-309,306,8</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91.20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2,062,045,</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941.00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6,184,215,</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988.77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1,119,926,</w:t>
            </w:r>
          </w:p>
          <w:p>
            <w:pPr>
              <w:pStyle w:val="TableParagraph"/>
              <w:spacing w:line="240" w:lineRule="auto" w:before="105"/>
              <w:ind w:left="356" w:right="0"/>
              <w:jc w:val="left"/>
              <w:rPr>
                <w:rFonts w:ascii="Times New Roman" w:hAnsi="Times New Roman" w:cs="Times New Roman" w:eastAsia="Times New Roman" w:hint="default"/>
                <w:sz w:val="18"/>
                <w:szCs w:val="18"/>
              </w:rPr>
            </w:pPr>
            <w:r>
              <w:rPr>
                <w:rFonts w:ascii="Times New Roman"/>
                <w:sz w:val="18"/>
              </w:rPr>
              <w:t>524.49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4,079,103,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308.16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13,445,291</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,762.42</w:t>
            </w:r>
          </w:p>
        </w:tc>
      </w:tr>
    </w:tbl>
    <w:p>
      <w:pPr>
        <w:spacing w:line="240" w:lineRule="auto" w:before="6"/>
        <w:rPr>
          <w:rFonts w:ascii="宋体" w:hAnsi="宋体" w:cs="宋体" w:eastAsia="宋体" w:hint="default"/>
          <w:sz w:val="20"/>
          <w:szCs w:val="20"/>
        </w:rPr>
      </w:pPr>
    </w:p>
    <w:p>
      <w:pPr>
        <w:pStyle w:val="BodyText"/>
        <w:tabs>
          <w:tab w:pos="3753" w:val="left" w:leader="none"/>
          <w:tab w:pos="7893" w:val="left" w:leader="none"/>
        </w:tabs>
        <w:spacing w:line="240" w:lineRule="auto" w:before="44"/>
        <w:ind w:left="154" w:right="0"/>
        <w:jc w:val="left"/>
      </w:pPr>
      <w:r>
        <w:rPr/>
        <w:t>法定代表人：陈洪国</w:t>
        <w:tab/>
        <w:t>主管会计工作负责人：李栋</w:t>
        <w:tab/>
        <w:t>会计机构负责人：刘军</w:t>
      </w:r>
    </w:p>
    <w:p>
      <w:pPr>
        <w:spacing w:after="0" w:line="240" w:lineRule="auto"/>
        <w:jc w:val="left"/>
        <w:sectPr>
          <w:pgSz w:w="11910" w:h="16840"/>
          <w:pgMar w:header="877" w:footer="950" w:top="1100" w:bottom="114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90"/>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88" w:firstLine="360"/>
        <w:jc w:val="both"/>
      </w:pPr>
      <w:r>
        <w:rPr/>
        <w:t>山东晨鸣纸业集团股份有限公司（以下简称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）前身为山东省寿光县造纸总厂，于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5</w:t>
      </w:r>
      <w:r>
        <w:rPr/>
        <w:t>月以定向募 </w:t>
      </w:r>
      <w:r>
        <w:rPr>
          <w:spacing w:val="-2"/>
        </w:rPr>
        <w:t>集山东寿光造纸印刷包装（集团）股份有限公司，注册资本</w:t>
      </w:r>
      <w:r>
        <w:rPr>
          <w:rFonts w:ascii="Times New Roman" w:hAnsi="Times New Roman" w:cs="Times New Roman" w:eastAsia="Times New Roman" w:hint="default"/>
          <w:spacing w:val="-2"/>
        </w:rPr>
        <w:t>66,647,400</w:t>
      </w:r>
      <w:r>
        <w:rPr>
          <w:spacing w:val="-2"/>
        </w:rPr>
        <w:t>元人民币，总股本</w:t>
      </w:r>
      <w:r>
        <w:rPr>
          <w:rFonts w:ascii="Times New Roman" w:hAnsi="Times New Roman" w:cs="Times New Roman" w:eastAsia="Times New Roman" w:hint="default"/>
          <w:spacing w:val="-2"/>
        </w:rPr>
        <w:t>66,647,400</w:t>
      </w:r>
      <w:r>
        <w:rPr>
          <w:spacing w:val="-2"/>
        </w:rPr>
        <w:t>股。股权结构为：发起人</w:t>
      </w:r>
      <w:r>
        <w:rPr>
          <w:spacing w:val="-51"/>
        </w:rPr>
        <w:t> </w:t>
      </w:r>
      <w:r>
        <w:rPr>
          <w:spacing w:val="-51"/>
        </w:rPr>
      </w:r>
      <w:r>
        <w:rPr>
          <w:spacing w:val="-1"/>
        </w:rPr>
        <w:t>国家股</w:t>
      </w:r>
      <w:r>
        <w:rPr>
          <w:rFonts w:ascii="Times New Roman" w:hAnsi="Times New Roman" w:cs="Times New Roman" w:eastAsia="Times New Roman" w:hint="default"/>
          <w:spacing w:val="-1"/>
        </w:rPr>
        <w:t>46,497,400</w:t>
      </w:r>
      <w:r>
        <w:rPr>
          <w:spacing w:val="-1"/>
        </w:rPr>
        <w:t>股，占总股本的</w:t>
      </w:r>
      <w:r>
        <w:rPr>
          <w:rFonts w:ascii="Times New Roman" w:hAnsi="Times New Roman" w:cs="Times New Roman" w:eastAsia="Times New Roman" w:hint="default"/>
          <w:spacing w:val="-1"/>
        </w:rPr>
        <w:t>69.76%</w:t>
      </w:r>
      <w:r>
        <w:rPr>
          <w:spacing w:val="-1"/>
        </w:rPr>
        <w:t>；境内法人股</w:t>
      </w:r>
      <w:r>
        <w:rPr>
          <w:rFonts w:ascii="Times New Roman" w:hAnsi="Times New Roman" w:cs="Times New Roman" w:eastAsia="Times New Roman" w:hint="default"/>
          <w:spacing w:val="-1"/>
        </w:rPr>
        <w:t>1,558,500</w:t>
      </w:r>
      <w:r>
        <w:rPr>
          <w:spacing w:val="-1"/>
        </w:rPr>
        <w:t>股，占总股本的</w:t>
      </w:r>
      <w:r>
        <w:rPr>
          <w:rFonts w:ascii="Times New Roman" w:hAnsi="Times New Roman" w:cs="Times New Roman" w:eastAsia="Times New Roman" w:hint="default"/>
          <w:spacing w:val="-1"/>
        </w:rPr>
        <w:t>2.34%</w:t>
      </w:r>
      <w:r>
        <w:rPr>
          <w:spacing w:val="-1"/>
        </w:rPr>
        <w:t>；内部职工股</w:t>
      </w:r>
      <w:r>
        <w:rPr>
          <w:rFonts w:ascii="Times New Roman" w:hAnsi="Times New Roman" w:cs="Times New Roman" w:eastAsia="Times New Roman" w:hint="default"/>
          <w:spacing w:val="-1"/>
        </w:rPr>
        <w:t>18,591,500</w:t>
      </w:r>
      <w:r>
        <w:rPr>
          <w:spacing w:val="-1"/>
        </w:rPr>
        <w:t>股，占总股本</w:t>
      </w:r>
      <w:r>
        <w:rPr>
          <w:spacing w:val="-46"/>
        </w:rPr>
        <w:t> </w:t>
      </w:r>
      <w:r>
        <w:rPr>
          <w:spacing w:val="-46"/>
        </w:rPr>
      </w:r>
      <w:r>
        <w:rPr/>
        <w:t>的</w:t>
      </w:r>
      <w:r>
        <w:rPr>
          <w:rFonts w:ascii="Times New Roman" w:hAnsi="Times New Roman" w:cs="Times New Roman" w:eastAsia="Times New Roman" w:hint="default"/>
        </w:rPr>
        <w:t>27.90%</w:t>
      </w:r>
      <w:r>
        <w:rPr/>
        <w:t>。</w:t>
      </w:r>
    </w:p>
    <w:p>
      <w:pPr>
        <w:pStyle w:val="BodyText"/>
        <w:spacing w:line="300" w:lineRule="auto" w:before="13"/>
        <w:ind w:right="91" w:firstLine="360"/>
        <w:jc w:val="left"/>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日，经山东省寿光市经济体制改革办公室核发的《关于山东寿光造纸印刷包装（集团）股份有限公司更名 </w:t>
      </w:r>
      <w:r>
        <w:rPr>
          <w:spacing w:val="-2"/>
        </w:rPr>
        <w:t>为山东寿光造纸（集团）股份有限公司的批复》（寿改发〔</w:t>
      </w:r>
      <w:r>
        <w:rPr>
          <w:rFonts w:ascii="Times New Roman" w:hAnsi="Times New Roman" w:cs="Times New Roman" w:eastAsia="Times New Roman" w:hint="default"/>
          <w:spacing w:val="-2"/>
        </w:rPr>
        <w:t>1993</w:t>
      </w:r>
      <w:r>
        <w:rPr>
          <w:spacing w:val="-2"/>
        </w:rPr>
        <w:t>〕</w:t>
      </w:r>
      <w:r>
        <w:rPr>
          <w:rFonts w:ascii="Times New Roman" w:hAnsi="Times New Roman" w:cs="Times New Roman" w:eastAsia="Times New Roman" w:hint="default"/>
          <w:spacing w:val="-2"/>
        </w:rPr>
        <w:t>23</w:t>
      </w:r>
      <w:r>
        <w:rPr>
          <w:spacing w:val="-2"/>
        </w:rPr>
        <w:t>号）予以批复，山东寿光造纸印刷包装（集团）股份有</w:t>
      </w:r>
      <w:r>
        <w:rPr>
          <w:spacing w:val="-64"/>
        </w:rPr>
        <w:t> </w:t>
      </w:r>
      <w:r>
        <w:rPr>
          <w:spacing w:val="-64"/>
        </w:rPr>
      </w:r>
      <w:r>
        <w:rPr/>
        <w:t>限公司更名为山东寿光造纸（集团）股份有限公司，并于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日办理完相关的工商变更登记手续；</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 经山东省经济改革委员会核发的《关于同意确认山东寿光造纸集团股份有限公司的函》（鲁体改函字〔</w:t>
      </w:r>
      <w:r>
        <w:rPr>
          <w:rFonts w:ascii="Times New Roman" w:hAnsi="Times New Roman" w:cs="Times New Roman" w:eastAsia="Times New Roman" w:hint="default"/>
        </w:rPr>
        <w:t>1996</w:t>
      </w:r>
      <w:r>
        <w:rPr/>
        <w:t>〕第</w:t>
      </w:r>
      <w:r>
        <w:rPr>
          <w:rFonts w:ascii="Times New Roman" w:hAnsi="Times New Roman" w:cs="Times New Roman" w:eastAsia="Times New Roman" w:hint="default"/>
        </w:rPr>
        <w:t>123</w:t>
      </w:r>
      <w:r>
        <w:rPr/>
        <w:t>号）和</w:t>
      </w:r>
      <w:r>
        <w:rPr>
          <w:spacing w:val="-84"/>
        </w:rPr>
        <w:t> </w:t>
      </w:r>
      <w:r>
        <w:rPr>
          <w:spacing w:val="-2"/>
        </w:rPr>
        <w:t>山东省人民政府核发的《山东省股份有限公司批准证书》（鲁政股字〔</w:t>
      </w:r>
      <w:r>
        <w:rPr>
          <w:rFonts w:ascii="Times New Roman" w:hAnsi="Times New Roman" w:cs="Times New Roman" w:eastAsia="Times New Roman" w:hint="default"/>
          <w:spacing w:val="-2"/>
        </w:rPr>
        <w:t>1996</w:t>
      </w:r>
      <w:r>
        <w:rPr>
          <w:spacing w:val="-2"/>
        </w:rPr>
        <w:t>〕</w:t>
      </w:r>
      <w:r>
        <w:rPr>
          <w:rFonts w:ascii="Times New Roman" w:hAnsi="Times New Roman" w:cs="Times New Roman" w:eastAsia="Times New Roman" w:hint="default"/>
          <w:spacing w:val="-2"/>
        </w:rPr>
        <w:t>98</w:t>
      </w:r>
      <w:r>
        <w:rPr>
          <w:spacing w:val="-2"/>
        </w:rPr>
        <w:t>号），同意山东寿光造纸集团股份有限公司</w:t>
      </w:r>
      <w:r>
        <w:rPr>
          <w:spacing w:val="-62"/>
        </w:rPr>
        <w:t> </w:t>
      </w:r>
      <w:r>
        <w:rPr>
          <w:spacing w:val="-62"/>
        </w:rPr>
      </w:r>
      <w:r>
        <w:rPr/>
        <w:t>更名为山东晨鸣纸业集团股份有限公司（即公司目前名称）。</w:t>
      </w:r>
    </w:p>
    <w:p>
      <w:pPr>
        <w:pStyle w:val="BodyText"/>
        <w:spacing w:line="300" w:lineRule="auto" w:before="31"/>
        <w:ind w:left="154" w:right="190" w:firstLine="359"/>
        <w:jc w:val="both"/>
      </w:pP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日，公司召开第三次股东大会，通过了</w:t>
      </w:r>
      <w:r>
        <w:rPr>
          <w:rFonts w:ascii="Times New Roman" w:hAnsi="Times New Roman" w:cs="Times New Roman" w:eastAsia="Times New Roman" w:hint="default"/>
        </w:rPr>
        <w:t>1995</w:t>
      </w:r>
      <w:r>
        <w:rPr/>
        <w:t>年度以每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3.5</w:t>
      </w:r>
      <w:r>
        <w:rPr/>
        <w:t>股红股的利润分配方案，同时通过了转增 国有股的议案，该次送股及转增完成后，公司股本由</w:t>
      </w:r>
      <w:r>
        <w:rPr>
          <w:rFonts w:ascii="Times New Roman" w:hAnsi="Times New Roman" w:cs="Times New Roman" w:eastAsia="Times New Roman" w:hint="default"/>
        </w:rPr>
        <w:t>66,647,400</w:t>
      </w:r>
      <w:r>
        <w:rPr/>
        <w:t>股变更为</w:t>
      </w:r>
      <w:r>
        <w:rPr>
          <w:rFonts w:ascii="Times New Roman" w:hAnsi="Times New Roman" w:cs="Times New Roman" w:eastAsia="Times New Roman" w:hint="default"/>
        </w:rPr>
        <w:t>99,840,990</w:t>
      </w:r>
      <w:r>
        <w:rPr/>
        <w:t>股。</w:t>
      </w:r>
    </w:p>
    <w:p>
      <w:pPr>
        <w:pStyle w:val="BodyText"/>
        <w:spacing w:line="240" w:lineRule="auto" w:before="13"/>
        <w:ind w:left="514" w:right="0"/>
        <w:jc w:val="left"/>
      </w:pP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12</w:t>
      </w:r>
      <w:r>
        <w:rPr>
          <w:spacing w:val="-2"/>
        </w:rPr>
        <w:t>月，经山东省人民政府核发的《关于推荐山东寿光造纸集团股份有限公司发行</w:t>
      </w:r>
      <w:r>
        <w:rPr>
          <w:rFonts w:ascii="Times New Roman" w:hAnsi="Times New Roman" w:cs="Times New Roman" w:eastAsia="Times New Roman" w:hint="default"/>
          <w:spacing w:val="-2"/>
        </w:rPr>
        <w:t>B</w:t>
      </w:r>
      <w:r>
        <w:rPr>
          <w:spacing w:val="-2"/>
        </w:rPr>
        <w:t>种股票的函》（鲁政字〔</w:t>
      </w:r>
      <w:r>
        <w:rPr>
          <w:rFonts w:ascii="Times New Roman" w:hAnsi="Times New Roman" w:cs="Times New Roman" w:eastAsia="Times New Roman" w:hint="default"/>
          <w:spacing w:val="-2"/>
        </w:rPr>
        <w:t>1996</w:t>
      </w:r>
      <w:r>
        <w:rPr>
          <w:spacing w:val="-2"/>
        </w:rPr>
        <w:t>〕</w:t>
      </w:r>
    </w:p>
    <w:p>
      <w:pPr>
        <w:pStyle w:val="BodyText"/>
        <w:spacing w:line="240" w:lineRule="auto" w:before="63"/>
        <w:ind w:left="154" w:right="90"/>
        <w:jc w:val="left"/>
      </w:pPr>
      <w:r>
        <w:rPr>
          <w:rFonts w:ascii="Times New Roman" w:hAnsi="Times New Roman" w:cs="Times New Roman" w:eastAsia="Times New Roman" w:hint="default"/>
        </w:rPr>
        <w:t>270</w:t>
      </w:r>
      <w:r>
        <w:rPr/>
        <w:t>号）及国务院证券委员会以</w:t>
      </w:r>
      <w:r>
        <w:rPr>
          <w:rFonts w:ascii="Times New Roman" w:hAnsi="Times New Roman" w:cs="Times New Roman" w:eastAsia="Times New Roman" w:hint="default"/>
        </w:rPr>
        <w:t>[</w:t>
      </w:r>
      <w:r>
        <w:rPr/>
        <w:t>证委〔</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59</w:t>
      </w:r>
      <w:r>
        <w:rPr/>
        <w:t>号</w:t>
      </w:r>
      <w:r>
        <w:rPr>
          <w:rFonts w:ascii="Times New Roman" w:hAnsi="Times New Roman" w:cs="Times New Roman" w:eastAsia="Times New Roman" w:hint="default"/>
        </w:rPr>
        <w:t>]</w:t>
      </w:r>
      <w:r>
        <w:rPr/>
        <w:t>批准，公司变更为募集设立的股份有限公司。</w:t>
      </w:r>
    </w:p>
    <w:p>
      <w:pPr>
        <w:pStyle w:val="BodyText"/>
        <w:spacing w:line="300" w:lineRule="auto" w:before="62"/>
        <w:ind w:left="154" w:right="188" w:firstLine="359"/>
        <w:jc w:val="both"/>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日，公司召开第四次股东大会，通过了公司吸收合并寿光永立纸业有限公司及</w:t>
      </w:r>
      <w:r>
        <w:rPr>
          <w:rFonts w:ascii="Times New Roman" w:hAnsi="Times New Roman" w:cs="Times New Roman" w:eastAsia="Times New Roman" w:hint="default"/>
        </w:rPr>
        <w:t>1996</w:t>
      </w:r>
      <w:r>
        <w:rPr/>
        <w:t>年度以每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4</w:t>
      </w:r>
      <w:r>
        <w:rPr/>
        <w:t>股红股 的利润分配方案，该次送股完成后，公司股本由</w:t>
      </w:r>
      <w:r>
        <w:rPr>
          <w:rFonts w:ascii="Times New Roman" w:hAnsi="Times New Roman" w:cs="Times New Roman" w:eastAsia="Times New Roman" w:hint="default"/>
        </w:rPr>
        <w:t>99,840,990</w:t>
      </w:r>
      <w:r>
        <w:rPr/>
        <w:t>股增至</w:t>
      </w:r>
      <w:r>
        <w:rPr>
          <w:rFonts w:ascii="Times New Roman" w:hAnsi="Times New Roman" w:cs="Times New Roman" w:eastAsia="Times New Roman" w:hint="default"/>
        </w:rPr>
        <w:t>158,855,665</w:t>
      </w:r>
      <w:r>
        <w:rPr/>
        <w:t>股。</w:t>
      </w:r>
    </w:p>
    <w:p>
      <w:pPr>
        <w:pStyle w:val="BodyText"/>
        <w:spacing w:line="300" w:lineRule="auto" w:before="13"/>
        <w:ind w:left="154" w:right="186" w:firstLine="359"/>
        <w:jc w:val="both"/>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日，公司根据山东省人民政府核发的《关于推荐山东寿光造纸集团股份有限公司发行</w:t>
      </w:r>
      <w:r>
        <w:rPr>
          <w:rFonts w:ascii="Times New Roman" w:hAnsi="Times New Roman" w:cs="Times New Roman" w:eastAsia="Times New Roman" w:hint="default"/>
        </w:rPr>
        <w:t>B</w:t>
      </w:r>
      <w:r>
        <w:rPr/>
        <w:t>种股票的函》（鲁</w:t>
      </w:r>
      <w:r>
        <w:rPr>
          <w:spacing w:val="1"/>
        </w:rPr>
        <w:t> </w:t>
      </w:r>
      <w:r>
        <w:rPr/>
        <w:t>政字〔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270</w:t>
      </w:r>
      <w:r>
        <w:rPr/>
        <w:t>号）、国务院证券委员会核发的《关于山东晨鸣纸业集团股份有限公司发行境内上市外资股的批复》（证</w:t>
      </w:r>
      <w:r>
        <w:rPr>
          <w:spacing w:val="-84"/>
        </w:rPr>
        <w:t> </w:t>
      </w:r>
      <w:r>
        <w:rPr>
          <w:spacing w:val="-84"/>
        </w:rPr>
      </w:r>
      <w:r>
        <w:rPr/>
        <w:t>委发〔</w:t>
      </w:r>
      <w:r>
        <w:rPr>
          <w:rFonts w:ascii="Times New Roman" w:hAnsi="Times New Roman" w:cs="Times New Roman" w:eastAsia="Times New Roman" w:hint="default"/>
        </w:rPr>
        <w:t>1997</w:t>
      </w:r>
      <w:r>
        <w:rPr/>
        <w:t>〕</w:t>
      </w:r>
      <w:r>
        <w:rPr>
          <w:rFonts w:ascii="Times New Roman" w:hAnsi="Times New Roman" w:cs="Times New Roman" w:eastAsia="Times New Roman" w:hint="default"/>
        </w:rPr>
        <w:t>26</w:t>
      </w:r>
      <w:r>
        <w:rPr/>
        <w:t>号）和深圳证券交易所以（深证发〔</w:t>
      </w:r>
      <w:r>
        <w:rPr>
          <w:rFonts w:ascii="Times New Roman" w:hAnsi="Times New Roman" w:cs="Times New Roman" w:eastAsia="Times New Roman" w:hint="default"/>
        </w:rPr>
        <w:t>1997</w:t>
      </w:r>
      <w:r>
        <w:rPr/>
        <w:t>〕</w:t>
      </w:r>
      <w:r>
        <w:rPr>
          <w:rFonts w:ascii="Times New Roman" w:hAnsi="Times New Roman" w:cs="Times New Roman" w:eastAsia="Times New Roman" w:hint="default"/>
        </w:rPr>
        <w:t>188</w:t>
      </w:r>
      <w:r>
        <w:rPr/>
        <w:t>号）文批准，发行境内上市外资股（</w:t>
      </w:r>
      <w:r>
        <w:rPr>
          <w:rFonts w:ascii="Times New Roman" w:hAnsi="Times New Roman" w:cs="Times New Roman" w:eastAsia="Times New Roman" w:hint="default"/>
        </w:rPr>
        <w:t>B</w:t>
      </w:r>
      <w:r>
        <w:rPr/>
        <w:t>股）</w:t>
      </w:r>
      <w:r>
        <w:rPr>
          <w:rFonts w:ascii="Times New Roman" w:hAnsi="Times New Roman" w:cs="Times New Roman" w:eastAsia="Times New Roman" w:hint="default"/>
        </w:rPr>
        <w:t>115,000,000</w:t>
      </w:r>
      <w:r>
        <w:rPr/>
        <w:t>股，</w:t>
      </w:r>
      <w:r>
        <w:rPr>
          <w:spacing w:val="-35"/>
        </w:rPr>
        <w:t> </w:t>
      </w:r>
      <w:r>
        <w:rPr/>
        <w:t>并于</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日在深圳证券交易所上市交易。发行完成后，公司的股本总额由</w:t>
      </w:r>
      <w:r>
        <w:rPr>
          <w:rFonts w:ascii="Times New Roman" w:hAnsi="Times New Roman" w:cs="Times New Roman" w:eastAsia="Times New Roman" w:hint="default"/>
        </w:rPr>
        <w:t>158,855,665</w:t>
      </w:r>
      <w:r>
        <w:rPr/>
        <w:t>股增至</w:t>
      </w:r>
      <w:r>
        <w:rPr>
          <w:rFonts w:ascii="Times New Roman" w:hAnsi="Times New Roman" w:cs="Times New Roman" w:eastAsia="Times New Roman" w:hint="default"/>
        </w:rPr>
        <w:t>273,855,665</w:t>
      </w:r>
      <w:r>
        <w:rPr/>
        <w:t>股。公司经 </w:t>
      </w:r>
      <w:r>
        <w:rPr>
          <w:spacing w:val="-2"/>
        </w:rPr>
        <w:t>原对外经济贸易合作部核发的《关于山东晨鸣纸业集团股份有限公司转为外商投资股份有限公司的批复》（〔</w:t>
      </w:r>
      <w:r>
        <w:rPr>
          <w:rFonts w:ascii="Times New Roman" w:hAnsi="Times New Roman" w:cs="Times New Roman" w:eastAsia="Times New Roman" w:hint="default"/>
          <w:spacing w:val="-2"/>
        </w:rPr>
        <w:t>1997</w:t>
      </w:r>
      <w:r>
        <w:rPr>
          <w:spacing w:val="-2"/>
        </w:rPr>
        <w:t>〕外经贸</w:t>
      </w:r>
      <w:r>
        <w:rPr>
          <w:spacing w:val="-62"/>
        </w:rPr>
        <w:t> </w:t>
      </w:r>
      <w:r>
        <w:rPr>
          <w:spacing w:val="-62"/>
        </w:rPr>
      </w:r>
      <w:r>
        <w:rPr/>
        <w:t>资二函字第</w:t>
      </w:r>
      <w:r>
        <w:rPr>
          <w:rFonts w:ascii="Times New Roman" w:hAnsi="Times New Roman" w:cs="Times New Roman" w:eastAsia="Times New Roman" w:hint="default"/>
        </w:rPr>
        <w:t>415</w:t>
      </w:r>
      <w:r>
        <w:rPr/>
        <w:t>号）转为外商投资股份有限公司。</w:t>
      </w:r>
    </w:p>
    <w:p>
      <w:pPr>
        <w:pStyle w:val="BodyText"/>
        <w:spacing w:line="240" w:lineRule="auto" w:before="13"/>
        <w:ind w:left="515" w:right="90"/>
        <w:jc w:val="left"/>
      </w:pP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日，公司召开</w:t>
      </w:r>
      <w:r>
        <w:rPr>
          <w:rFonts w:ascii="Times New Roman" w:hAnsi="Times New Roman" w:cs="Times New Roman" w:eastAsia="Times New Roman" w:hint="default"/>
        </w:rPr>
        <w:t>1997</w:t>
      </w:r>
      <w:r>
        <w:rPr/>
        <w:t>年临时股东大会，审议通过了《关于资本公积金转增股本的议案》，以公司</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w:t>
      </w:r>
    </w:p>
    <w:p>
      <w:pPr>
        <w:pStyle w:val="BodyText"/>
        <w:spacing w:line="240" w:lineRule="auto" w:before="62"/>
        <w:ind w:left="155" w:right="90"/>
        <w:jc w:val="left"/>
      </w:pPr>
      <w:r>
        <w:rPr>
          <w:rFonts w:ascii="Times New Roman" w:hAnsi="Times New Roman" w:cs="Times New Roman" w:eastAsia="Times New Roman" w:hint="default"/>
          <w:spacing w:val="7"/>
        </w:rPr>
        <w:t>30</w:t>
      </w:r>
      <w:r>
        <w:rPr>
          <w:spacing w:val="7"/>
        </w:rPr>
        <w:t>日的股本</w:t>
      </w:r>
      <w:r>
        <w:rPr>
          <w:rFonts w:ascii="Times New Roman" w:hAnsi="Times New Roman" w:cs="Times New Roman" w:eastAsia="Times New Roman" w:hint="default"/>
          <w:spacing w:val="7"/>
        </w:rPr>
        <w:t>273,855,665</w:t>
      </w:r>
      <w:r>
        <w:rPr>
          <w:spacing w:val="7"/>
        </w:rPr>
        <w:t>股计算，按</w:t>
      </w:r>
      <w:r>
        <w:rPr>
          <w:rFonts w:ascii="Times New Roman" w:hAnsi="Times New Roman" w:cs="Times New Roman" w:eastAsia="Times New Roman" w:hint="default"/>
          <w:spacing w:val="7"/>
        </w:rPr>
        <w:t>10:4</w:t>
      </w:r>
      <w:r>
        <w:rPr>
          <w:spacing w:val="7"/>
        </w:rPr>
        <w:t>的比例将资本公积金转增股本</w:t>
      </w:r>
      <w:r>
        <w:rPr>
          <w:rFonts w:ascii="Times New Roman" w:hAnsi="Times New Roman" w:cs="Times New Roman" w:eastAsia="Times New Roman" w:hint="default"/>
          <w:spacing w:val="7"/>
        </w:rPr>
        <w:t>109,542,266</w:t>
      </w:r>
      <w:r>
        <w:rPr>
          <w:spacing w:val="7"/>
        </w:rPr>
        <w:t>股。转增完成后，公司总股本变更为</w:t>
      </w:r>
      <w:r>
        <w:rPr/>
      </w:r>
    </w:p>
    <w:p>
      <w:pPr>
        <w:pStyle w:val="BodyText"/>
        <w:spacing w:line="240" w:lineRule="auto" w:before="62"/>
        <w:ind w:left="155" w:right="90"/>
        <w:jc w:val="left"/>
      </w:pPr>
      <w:r>
        <w:rPr>
          <w:rFonts w:ascii="Times New Roman" w:hAnsi="Times New Roman" w:cs="Times New Roman" w:eastAsia="Times New Roman" w:hint="default"/>
        </w:rPr>
        <w:t>383,397,931</w:t>
      </w:r>
      <w:r>
        <w:rPr/>
        <w:t>股。</w:t>
      </w:r>
    </w:p>
    <w:p>
      <w:pPr>
        <w:pStyle w:val="BodyText"/>
        <w:spacing w:line="300" w:lineRule="auto" w:before="62"/>
        <w:ind w:right="186" w:firstLine="361"/>
        <w:jc w:val="both"/>
      </w:pPr>
      <w:r>
        <w:rPr/>
        <w:t>公司经中国证监会于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日核发的《关于核准山东晨鸣纸业集团股份有限公司申请发行股票的通知》（证监公 </w:t>
      </w:r>
      <w:r>
        <w:rPr>
          <w:spacing w:val="-2"/>
        </w:rPr>
        <w:t>司字〔</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151</w:t>
      </w:r>
      <w:r>
        <w:rPr>
          <w:spacing w:val="-2"/>
        </w:rPr>
        <w:t>号）和深圳证券交易所于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日核发的《上市通知书》（深证上〔</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151</w:t>
      </w:r>
      <w:r>
        <w:rPr>
          <w:spacing w:val="-2"/>
        </w:rPr>
        <w:t>号）批准，公司人民</w:t>
      </w:r>
      <w:r>
        <w:rPr>
          <w:spacing w:val="-50"/>
        </w:rPr>
        <w:t> </w:t>
      </w:r>
      <w:r>
        <w:rPr>
          <w:spacing w:val="-50"/>
        </w:rPr>
      </w:r>
      <w:r>
        <w:rPr>
          <w:spacing w:val="-1"/>
        </w:rPr>
        <w:t>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7000</w:t>
      </w:r>
      <w:r>
        <w:rPr>
          <w:spacing w:val="-1"/>
        </w:rPr>
        <w:t>万股，并于</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日在深圳证券交易所上市交易。发行完成后，公司总股本由</w:t>
      </w:r>
      <w:r>
        <w:rPr>
          <w:rFonts w:ascii="Times New Roman" w:hAnsi="Times New Roman" w:cs="Times New Roman" w:eastAsia="Times New Roman" w:hint="default"/>
          <w:spacing w:val="-1"/>
        </w:rPr>
        <w:t>383,397,931</w:t>
      </w:r>
      <w:r>
        <w:rPr>
          <w:spacing w:val="-1"/>
        </w:rPr>
        <w:t>股增</w:t>
      </w:r>
      <w:r>
        <w:rPr>
          <w:spacing w:val="-60"/>
        </w:rPr>
        <w:t> </w:t>
      </w:r>
      <w:r>
        <w:rPr/>
        <w:t>至</w:t>
      </w:r>
      <w:r>
        <w:rPr>
          <w:rFonts w:ascii="Times New Roman" w:hAnsi="Times New Roman" w:cs="Times New Roman" w:eastAsia="Times New Roman" w:hint="default"/>
        </w:rPr>
        <w:t>453,397,931</w:t>
      </w:r>
      <w:r>
        <w:rPr/>
        <w:t>股。</w:t>
      </w:r>
    </w:p>
    <w:p>
      <w:pPr>
        <w:pStyle w:val="BodyText"/>
        <w:spacing w:line="300" w:lineRule="auto" w:before="13"/>
        <w:ind w:right="190" w:firstLine="360"/>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5</w:t>
      </w:r>
      <w:r>
        <w:rPr>
          <w:spacing w:val="-2"/>
        </w:rPr>
        <w:t>月，经中国证监会于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日核发的《关于核准山东晨鸣纸业集团股份有限公司非上市外资股上市流通的</w:t>
      </w:r>
      <w:r>
        <w:rPr/>
        <w:t> 通知》（证监公司字〔</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44</w:t>
      </w:r>
      <w:r>
        <w:rPr/>
        <w:t>号）予以批准，广华公司所持有的公司之原未流通外资法人股</w:t>
      </w:r>
      <w:r>
        <w:rPr>
          <w:rFonts w:ascii="Times New Roman" w:hAnsi="Times New Roman" w:cs="Times New Roman" w:eastAsia="Times New Roman" w:hint="default"/>
        </w:rPr>
        <w:t>26,709,591</w:t>
      </w:r>
      <w:r>
        <w:rPr/>
        <w:t>股转换为</w:t>
      </w:r>
      <w:r>
        <w:rPr>
          <w:rFonts w:ascii="Times New Roman" w:hAnsi="Times New Roman" w:cs="Times New Roman" w:eastAsia="Times New Roman" w:hint="default"/>
        </w:rPr>
        <w:t>B</w:t>
      </w:r>
      <w:r>
        <w:rPr/>
        <w:t>股，在</w:t>
      </w:r>
      <w:r>
        <w:rPr>
          <w:spacing w:val="-37"/>
        </w:rPr>
        <w:t> </w:t>
      </w:r>
      <w:r>
        <w:rPr/>
        <w:t>深圳证券交易所上市流通。公司上市流通</w:t>
      </w:r>
      <w:r>
        <w:rPr>
          <w:rFonts w:ascii="Times New Roman" w:hAnsi="Times New Roman" w:cs="Times New Roman" w:eastAsia="Times New Roman" w:hint="default"/>
        </w:rPr>
        <w:t>B</w:t>
      </w:r>
      <w:r>
        <w:rPr/>
        <w:t>股增至</w:t>
      </w:r>
      <w:r>
        <w:rPr>
          <w:rFonts w:ascii="Times New Roman" w:hAnsi="Times New Roman" w:cs="Times New Roman" w:eastAsia="Times New Roman" w:hint="default"/>
        </w:rPr>
        <w:t>187,709,591</w:t>
      </w:r>
      <w:r>
        <w:rPr/>
        <w:t>股。</w:t>
      </w:r>
    </w:p>
    <w:p>
      <w:pPr>
        <w:pStyle w:val="BodyText"/>
        <w:spacing w:line="300" w:lineRule="auto" w:before="13"/>
        <w:ind w:left="154" w:right="188" w:firstLine="359"/>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日，公司召开</w:t>
      </w:r>
      <w:r>
        <w:rPr>
          <w:rFonts w:ascii="Times New Roman" w:hAnsi="Times New Roman" w:cs="Times New Roman" w:eastAsia="Times New Roman" w:hint="default"/>
        </w:rPr>
        <w:t>2000</w:t>
      </w:r>
      <w:r>
        <w:rPr/>
        <w:t>年度股东大会，审议通过了</w:t>
      </w:r>
      <w:r>
        <w:rPr>
          <w:rFonts w:ascii="Times New Roman" w:hAnsi="Times New Roman" w:cs="Times New Roman" w:eastAsia="Times New Roman" w:hint="default"/>
        </w:rPr>
        <w:t>2000</w:t>
      </w:r>
      <w:r>
        <w:rPr/>
        <w:t>年利润分配方案，以</w:t>
      </w:r>
      <w:r>
        <w:rPr>
          <w:rFonts w:ascii="Times New Roman" w:hAnsi="Times New Roman" w:cs="Times New Roman" w:eastAsia="Times New Roman" w:hint="default"/>
        </w:rPr>
        <w:t>2000</w:t>
      </w:r>
      <w:r>
        <w:rPr/>
        <w:t>年底的总股本</w:t>
      </w:r>
      <w:r>
        <w:rPr>
          <w:rFonts w:ascii="Times New Roman" w:hAnsi="Times New Roman" w:cs="Times New Roman" w:eastAsia="Times New Roman" w:hint="default"/>
        </w:rPr>
        <w:t>453,397,931</w:t>
      </w:r>
      <w:r>
        <w:rPr/>
        <w:t>股为 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1</w:t>
      </w:r>
      <w:r>
        <w:rPr/>
        <w:t>股，共增加</w:t>
      </w:r>
      <w:r>
        <w:rPr>
          <w:rFonts w:ascii="Times New Roman" w:hAnsi="Times New Roman" w:cs="Times New Roman" w:eastAsia="Times New Roman" w:hint="default"/>
        </w:rPr>
        <w:t>45,339,793</w:t>
      </w:r>
      <w:r>
        <w:rPr/>
        <w:t>股。本次送股完成后，公司总股本增至</w:t>
      </w:r>
      <w:r>
        <w:rPr>
          <w:rFonts w:ascii="Times New Roman" w:hAnsi="Times New Roman" w:cs="Times New Roman" w:eastAsia="Times New Roman" w:hint="default"/>
        </w:rPr>
        <w:t>498,737,724</w:t>
      </w:r>
      <w:r>
        <w:rPr/>
        <w:t>股。</w:t>
      </w:r>
    </w:p>
    <w:p>
      <w:pPr>
        <w:pStyle w:val="BodyText"/>
        <w:spacing w:line="240" w:lineRule="auto" w:before="13"/>
        <w:ind w:left="514" w:right="90"/>
        <w:jc w:val="left"/>
        <w:rPr>
          <w:rFonts w:ascii="Times New Roman" w:hAnsi="Times New Roman" w:cs="Times New Roman" w:eastAsia="Times New Roman" w:hint="default"/>
        </w:rPr>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5</w:t>
      </w:r>
      <w:r>
        <w:rPr/>
        <w:t>月，公司实施</w:t>
      </w:r>
      <w:r>
        <w:rPr>
          <w:rFonts w:ascii="Times New Roman" w:hAnsi="Times New Roman" w:cs="Times New Roman" w:eastAsia="Times New Roman" w:hint="default"/>
        </w:rPr>
        <w:t>2002</w:t>
      </w:r>
      <w:r>
        <w:rPr/>
        <w:t>年度利润分配，每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2</w:t>
      </w:r>
      <w:r>
        <w:rPr/>
        <w:t>股红股，资本公积金转增股本每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股，共增加</w:t>
      </w:r>
      <w:r>
        <w:rPr>
          <w:rFonts w:ascii="Times New Roman" w:hAnsi="Times New Roman" w:cs="Times New Roman" w:eastAsia="Times New Roman" w:hint="default"/>
        </w:rPr>
        <w:t>398,990,179</w:t>
      </w:r>
    </w:p>
    <w:p>
      <w:pPr>
        <w:pStyle w:val="BodyText"/>
        <w:spacing w:line="240" w:lineRule="auto" w:before="62"/>
        <w:ind w:left="154" w:right="90"/>
        <w:jc w:val="left"/>
      </w:pPr>
      <w:r>
        <w:rPr/>
        <w:t>股。本次送股及转增完成后，公司总股本由</w:t>
      </w:r>
      <w:r>
        <w:rPr>
          <w:rFonts w:ascii="Times New Roman" w:hAnsi="Times New Roman" w:cs="Times New Roman" w:eastAsia="Times New Roman" w:hint="default"/>
        </w:rPr>
        <w:t>498,737,724</w:t>
      </w:r>
      <w:r>
        <w:rPr/>
        <w:t>股增至</w:t>
      </w:r>
      <w:r>
        <w:rPr>
          <w:rFonts w:ascii="Times New Roman" w:hAnsi="Times New Roman" w:cs="Times New Roman" w:eastAsia="Times New Roman" w:hint="default"/>
        </w:rPr>
        <w:t>897,727,903</w:t>
      </w:r>
      <w:r>
        <w:rPr/>
        <w:t>股。</w:t>
      </w:r>
    </w:p>
    <w:p>
      <w:pPr>
        <w:pStyle w:val="BodyText"/>
        <w:spacing w:line="240" w:lineRule="auto" w:before="63"/>
        <w:ind w:left="514" w:right="90"/>
        <w:jc w:val="left"/>
      </w:pP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日，公司经中国证监会核发的《关于核准山东晨鸣纸业集团股份有限公司公开发行可转换公司债券的通知》</w:t>
      </w:r>
    </w:p>
    <w:p>
      <w:pPr>
        <w:pStyle w:val="BodyText"/>
        <w:spacing w:line="300" w:lineRule="auto" w:before="62"/>
        <w:ind w:left="154" w:right="90" w:hanging="1"/>
        <w:jc w:val="left"/>
      </w:pPr>
      <w:r>
        <w:rPr>
          <w:spacing w:val="-2"/>
        </w:rPr>
        <w:t>（〔</w:t>
      </w:r>
      <w:r>
        <w:rPr>
          <w:rFonts w:ascii="Times New Roman" w:hAnsi="Times New Roman" w:cs="Times New Roman" w:eastAsia="Times New Roman" w:hint="default"/>
          <w:spacing w:val="-2"/>
        </w:rPr>
        <w:t>2004</w:t>
      </w:r>
      <w:r>
        <w:rPr>
          <w:spacing w:val="-2"/>
        </w:rPr>
        <w:t>〕</w:t>
      </w:r>
      <w:r>
        <w:rPr>
          <w:rFonts w:ascii="Times New Roman" w:hAnsi="Times New Roman" w:cs="Times New Roman" w:eastAsia="Times New Roman" w:hint="default"/>
          <w:spacing w:val="-2"/>
        </w:rPr>
        <w:t>147</w:t>
      </w:r>
      <w:r>
        <w:rPr>
          <w:spacing w:val="-2"/>
        </w:rPr>
        <w:t>号）核准，向社会公开发行</w:t>
      </w:r>
      <w:r>
        <w:rPr>
          <w:rFonts w:ascii="Times New Roman" w:hAnsi="Times New Roman" w:cs="Times New Roman" w:eastAsia="Times New Roman" w:hint="default"/>
          <w:spacing w:val="-2"/>
        </w:rPr>
        <w:t>2000</w:t>
      </w:r>
      <w:r>
        <w:rPr>
          <w:spacing w:val="-2"/>
        </w:rPr>
        <w:t>万张可转债，每张面值</w:t>
      </w:r>
      <w:r>
        <w:rPr>
          <w:rFonts w:ascii="Times New Roman" w:hAnsi="Times New Roman" w:cs="Times New Roman" w:eastAsia="Times New Roman" w:hint="default"/>
          <w:spacing w:val="-2"/>
        </w:rPr>
        <w:t>100</w:t>
      </w:r>
      <w:r>
        <w:rPr>
          <w:spacing w:val="-2"/>
        </w:rPr>
        <w:t>元人民币，发行总额</w:t>
      </w:r>
      <w:r>
        <w:rPr>
          <w:rFonts w:ascii="Times New Roman" w:hAnsi="Times New Roman" w:cs="Times New Roman" w:eastAsia="Times New Roman" w:hint="default"/>
          <w:spacing w:val="-2"/>
        </w:rPr>
        <w:t>20</w:t>
      </w:r>
      <w:r>
        <w:rPr>
          <w:spacing w:val="-2"/>
        </w:rPr>
        <w:t>亿元人民币，期限五年，并</w:t>
      </w:r>
      <w:r>
        <w:rPr>
          <w:spacing w:val="-51"/>
        </w:rPr>
        <w:t> </w:t>
      </w:r>
      <w:r>
        <w:rPr>
          <w:spacing w:val="-51"/>
        </w:rPr>
      </w:r>
      <w:r>
        <w:rPr>
          <w:spacing w:val="-2"/>
        </w:rPr>
        <w:t>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日在深圳证券交易所上市交易，转股期自</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15</w:t>
      </w:r>
      <w:r>
        <w:rPr>
          <w:spacing w:val="-2"/>
        </w:rPr>
        <w:t>日。债券简称：晨鸣转债，转债代码：</w:t>
      </w:r>
      <w:r>
        <w:rPr>
          <w:spacing w:val="-45"/>
        </w:rPr>
        <w:t> </w:t>
      </w:r>
      <w:r>
        <w:rPr>
          <w:spacing w:val="-45"/>
        </w:rPr>
      </w:r>
      <w:r>
        <w:rPr>
          <w:rFonts w:ascii="Times New Roman" w:hAnsi="Times New Roman" w:cs="Times New Roman" w:eastAsia="Times New Roman" w:hint="default"/>
        </w:rPr>
        <w:t>125488</w:t>
      </w:r>
      <w:r>
        <w:rPr/>
        <w:t>。</w:t>
      </w:r>
    </w:p>
    <w:p>
      <w:pPr>
        <w:pStyle w:val="BodyText"/>
        <w:spacing w:line="300" w:lineRule="auto" w:before="13"/>
        <w:ind w:left="154" w:right="187" w:firstLine="359"/>
        <w:jc w:val="both"/>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日，公司召开</w:t>
      </w:r>
      <w:r>
        <w:rPr>
          <w:rFonts w:ascii="Times New Roman" w:hAnsi="Times New Roman" w:cs="Times New Roman" w:eastAsia="Times New Roman" w:hint="default"/>
        </w:rPr>
        <w:t>2004</w:t>
      </w:r>
      <w:r>
        <w:rPr/>
        <w:t>年度股东大会，审议通过了</w:t>
      </w:r>
      <w:r>
        <w:rPr>
          <w:rFonts w:ascii="Times New Roman" w:hAnsi="Times New Roman" w:cs="Times New Roman" w:eastAsia="Times New Roman" w:hint="default"/>
        </w:rPr>
        <w:t>2004</w:t>
      </w:r>
      <w:r>
        <w:rPr/>
        <w:t>年度利润分配方案，以</w:t>
      </w:r>
      <w:r>
        <w:rPr>
          <w:rFonts w:ascii="Times New Roman" w:hAnsi="Times New Roman" w:cs="Times New Roman" w:eastAsia="Times New Roman" w:hint="default"/>
        </w:rPr>
        <w:t>2004</w:t>
      </w:r>
      <w:r>
        <w:rPr/>
        <w:t>年底的总股本</w:t>
      </w:r>
      <w:r>
        <w:rPr>
          <w:rFonts w:ascii="Times New Roman" w:hAnsi="Times New Roman" w:cs="Times New Roman" w:eastAsia="Times New Roman" w:hint="default"/>
        </w:rPr>
        <w:t>897,727,903</w:t>
      </w:r>
      <w:r>
        <w:rPr/>
        <w:t>股 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股。公司本次股本变更，已经中国商务部核发的《关于同意山东晨鸣纸业集团股份有限</w:t>
      </w:r>
    </w:p>
    <w:p>
      <w:pPr>
        <w:spacing w:after="0" w:line="300" w:lineRule="auto"/>
        <w:jc w:val="both"/>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00" w:lineRule="auto" w:before="44"/>
        <w:ind w:right="188"/>
        <w:jc w:val="both"/>
      </w:pPr>
      <w:r>
        <w:rPr/>
        <w:t>公司增资的批复》（商资批〔</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1364</w:t>
      </w:r>
      <w:r>
        <w:rPr/>
        <w:t>号）予以批复。根据上述决议及批复，公司以</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日为股权登记日的总股</w:t>
      </w:r>
      <w:r>
        <w:rPr>
          <w:spacing w:val="-85"/>
        </w:rPr>
        <w:t> </w:t>
      </w:r>
      <w:r>
        <w:rPr>
          <w:spacing w:val="-85"/>
        </w:rPr>
      </w:r>
      <w:r>
        <w:rPr>
          <w:spacing w:val="-2"/>
        </w:rPr>
        <w:t>本</w:t>
      </w:r>
      <w:r>
        <w:rPr>
          <w:rFonts w:ascii="Times New Roman" w:hAnsi="Times New Roman" w:cs="Times New Roman" w:eastAsia="Times New Roman" w:hint="default"/>
          <w:spacing w:val="-2"/>
        </w:rPr>
        <w:t>897,728,913</w:t>
      </w:r>
      <w:r>
        <w:rPr>
          <w:spacing w:val="-2"/>
        </w:rPr>
        <w:t>股为基数（截至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日，公司可转债转增股本</w:t>
      </w:r>
      <w:r>
        <w:rPr>
          <w:rFonts w:ascii="Times New Roman" w:hAnsi="Times New Roman" w:cs="Times New Roman" w:eastAsia="Times New Roman" w:hint="default"/>
          <w:spacing w:val="-2"/>
        </w:rPr>
        <w:t>1010</w:t>
      </w:r>
      <w:r>
        <w:rPr>
          <w:spacing w:val="-2"/>
        </w:rPr>
        <w:t>股），实施向全体股东每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2</w:t>
      </w:r>
      <w:r>
        <w:rPr>
          <w:spacing w:val="-2"/>
        </w:rPr>
        <w:t>股，以资本公积金</w:t>
      </w:r>
      <w:r>
        <w:rPr>
          <w:spacing w:val="-43"/>
        </w:rPr>
        <w:t> </w:t>
      </w:r>
      <w:r>
        <w:rPr>
          <w:spacing w:val="-43"/>
        </w:rPr>
      </w:r>
      <w:r>
        <w:rPr/>
        <w:t>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股的分配方案。本次送转及转增完成后，公司总股本增至</w:t>
      </w:r>
      <w:r>
        <w:rPr>
          <w:rFonts w:ascii="Times New Roman" w:hAnsi="Times New Roman" w:cs="Times New Roman" w:eastAsia="Times New Roman" w:hint="default"/>
        </w:rPr>
        <w:t>1,346,593,369</w:t>
      </w:r>
      <w:r>
        <w:rPr/>
        <w:t>股。</w:t>
      </w:r>
    </w:p>
    <w:p>
      <w:pPr>
        <w:pStyle w:val="BodyText"/>
        <w:spacing w:line="307" w:lineRule="auto" w:before="13"/>
        <w:ind w:right="190" w:firstLine="360"/>
        <w:jc w:val="both"/>
      </w:pP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6</w:t>
      </w:r>
      <w:r>
        <w:rPr>
          <w:spacing w:val="-2"/>
        </w:rPr>
        <w:t>日，公司第四届董事会第二十一次会议审议通过了《关于对满足购回条件尚未转股的可转换公司债券行使购</w:t>
      </w:r>
      <w:r>
        <w:rPr/>
        <w:t> </w:t>
      </w:r>
      <w:r>
        <w:rPr>
          <w:spacing w:val="-2"/>
        </w:rPr>
        <w:t>回权的议案》，决定在实际满足可转债《募集说明书》的相关购回条件后，对公司尚未转股的可转债根据《募集说明书》的</w:t>
      </w:r>
      <w:r>
        <w:rPr>
          <w:spacing w:val="-71"/>
        </w:rPr>
        <w:t> </w:t>
      </w:r>
      <w:r>
        <w:rPr>
          <w:spacing w:val="-71"/>
        </w:rPr>
      </w:r>
      <w:r>
        <w:rPr>
          <w:spacing w:val="-1"/>
        </w:rPr>
        <w:t>约定程序，按面值的</w:t>
      </w:r>
      <w:r>
        <w:rPr>
          <w:rFonts w:ascii="Times New Roman" w:hAnsi="Times New Roman" w:cs="Times New Roman" w:eastAsia="Times New Roman" w:hint="default"/>
          <w:spacing w:val="-1"/>
        </w:rPr>
        <w:t>105%</w:t>
      </w:r>
      <w:r>
        <w:rPr>
          <w:spacing w:val="-1"/>
        </w:rPr>
        <w:t>（含当期利息）购回在购回日之前尚未转股的晨鸣转债。截至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14</w:t>
      </w:r>
      <w:r>
        <w:rPr>
          <w:spacing w:val="-1"/>
        </w:rPr>
        <w:t>日，公司通过晨鸣转债</w:t>
      </w:r>
      <w:r>
        <w:rPr>
          <w:spacing w:val="-85"/>
        </w:rPr>
        <w:t> </w:t>
      </w:r>
      <w:r>
        <w:rPr>
          <w:spacing w:val="-85"/>
        </w:rPr>
      </w:r>
      <w:r>
        <w:rPr/>
        <w:t>实现转股，公司股份总数增加至</w:t>
      </w:r>
      <w:r>
        <w:rPr>
          <w:rFonts w:ascii="Times New Roman" w:hAnsi="Times New Roman" w:cs="Times New Roman" w:eastAsia="Times New Roman" w:hint="default"/>
        </w:rPr>
        <w:t>1,706,345,941</w:t>
      </w:r>
      <w:r>
        <w:rPr/>
        <w:t>股。</w:t>
      </w:r>
    </w:p>
    <w:p>
      <w:pPr>
        <w:pStyle w:val="BodyText"/>
        <w:spacing w:line="300" w:lineRule="auto" w:before="7"/>
        <w:ind w:right="190" w:firstLine="360"/>
        <w:jc w:val="both"/>
      </w:pPr>
      <w:r>
        <w:rPr/>
        <w:t>经中国证监会证监许可</w:t>
      </w:r>
      <w:r>
        <w:rPr>
          <w:rFonts w:ascii="Times New Roman" w:hAnsi="Times New Roman" w:cs="Times New Roman" w:eastAsia="Times New Roman" w:hint="default"/>
        </w:rPr>
        <w:t>[2008]290</w:t>
      </w:r>
      <w:r>
        <w:rPr/>
        <w:t>号档《关于核准山东晨鸣纸业集团股份有限公司发行境外上市外资股的批复》，以及 </w:t>
      </w:r>
      <w:r>
        <w:rPr>
          <w:spacing w:val="3"/>
        </w:rPr>
        <w:t>香港联合交易所有限公司</w:t>
      </w:r>
      <w:r>
        <w:rPr>
          <w:rFonts w:ascii="Times New Roman" w:hAnsi="Times New Roman" w:cs="Times New Roman" w:eastAsia="Times New Roman" w:hint="default"/>
          <w:spacing w:val="3"/>
        </w:rPr>
        <w:t>(</w:t>
      </w:r>
      <w:r>
        <w:rPr>
          <w:spacing w:val="3"/>
        </w:rPr>
        <w:t>以下简称「香港联交所」</w:t>
      </w:r>
      <w:r>
        <w:rPr>
          <w:rFonts w:ascii="Times New Roman" w:hAnsi="Times New Roman" w:cs="Times New Roman" w:eastAsia="Times New Roman" w:hint="default"/>
          <w:spacing w:val="3"/>
        </w:rPr>
        <w:t>)</w:t>
      </w:r>
      <w:r>
        <w:rPr>
          <w:spacing w:val="3"/>
        </w:rPr>
        <w:t>的批复，核准公司公开发行境外上市外资股（</w:t>
      </w:r>
      <w:r>
        <w:rPr>
          <w:rFonts w:ascii="Times New Roman" w:hAnsi="Times New Roman" w:cs="Times New Roman" w:eastAsia="Times New Roman" w:hint="default"/>
          <w:spacing w:val="3"/>
        </w:rPr>
        <w:t>H</w:t>
      </w:r>
      <w:r>
        <w:rPr>
          <w:spacing w:val="3"/>
        </w:rPr>
        <w:t>股）。全球公开发售</w:t>
      </w:r>
      <w:r>
        <w:rPr>
          <w:spacing w:val="-79"/>
        </w:rPr>
        <w:t> </w:t>
      </w:r>
      <w:r>
        <w:rPr>
          <w:spacing w:val="-79"/>
        </w:rPr>
      </w:r>
      <w:r>
        <w:rPr>
          <w:rFonts w:ascii="Times New Roman" w:hAnsi="Times New Roman" w:cs="Times New Roman" w:eastAsia="Times New Roman" w:hint="default"/>
          <w:spacing w:val="-1"/>
        </w:rPr>
        <w:t>355,700,000</w:t>
      </w:r>
      <w:r>
        <w:rPr>
          <w:spacing w:val="-1"/>
        </w:rPr>
        <w:t>股</w:t>
      </w:r>
      <w:r>
        <w:rPr>
          <w:rFonts w:ascii="Times New Roman" w:hAnsi="Times New Roman" w:cs="Times New Roman" w:eastAsia="Times New Roman" w:hint="default"/>
          <w:spacing w:val="-1"/>
        </w:rPr>
        <w:t>H</w:t>
      </w:r>
      <w:r>
        <w:rPr>
          <w:spacing w:val="-1"/>
        </w:rPr>
        <w:t>股，于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18</w:t>
      </w:r>
      <w:r>
        <w:rPr>
          <w:spacing w:val="-1"/>
        </w:rPr>
        <w:t>日在香港联交所主板挂牌交易，股票简称为晨鸣纸业，股票代码为</w:t>
      </w:r>
      <w:r>
        <w:rPr>
          <w:rFonts w:ascii="Times New Roman" w:hAnsi="Times New Roman" w:cs="Times New Roman" w:eastAsia="Times New Roman" w:hint="default"/>
          <w:spacing w:val="-1"/>
        </w:rPr>
        <w:t>HK1812</w:t>
      </w:r>
      <w:r>
        <w:rPr>
          <w:spacing w:val="-1"/>
        </w:rPr>
        <w:t>。本次发行完</w:t>
      </w:r>
      <w:r>
        <w:rPr>
          <w:spacing w:val="-54"/>
        </w:rPr>
        <w:t> </w:t>
      </w:r>
      <w:r>
        <w:rPr>
          <w:spacing w:val="-54"/>
        </w:rPr>
      </w:r>
      <w:r>
        <w:rPr/>
        <w:t>成后，公司股份总数增加至</w:t>
      </w:r>
      <w:r>
        <w:rPr>
          <w:rFonts w:ascii="Times New Roman" w:hAnsi="Times New Roman" w:cs="Times New Roman" w:eastAsia="Times New Roman" w:hint="default"/>
        </w:rPr>
        <w:t>2,062,045,941</w:t>
      </w:r>
      <w:r>
        <w:rPr/>
        <w:t>股。</w:t>
      </w:r>
    </w:p>
    <w:p>
      <w:pPr>
        <w:pStyle w:val="BodyText"/>
        <w:spacing w:line="300" w:lineRule="auto" w:before="13"/>
        <w:ind w:right="188" w:firstLine="359"/>
        <w:jc w:val="both"/>
      </w:pPr>
      <w:r>
        <w:rPr/>
        <w:t>根据公司</w:t>
      </w:r>
      <w:r>
        <w:rPr>
          <w:rFonts w:ascii="Times New Roman" w:hAnsi="Times New Roman" w:cs="Times New Roman" w:eastAsia="Times New Roman" w:hint="default"/>
        </w:rPr>
        <w:t>2012</w:t>
      </w:r>
      <w:r>
        <w:rPr/>
        <w:t>年第三次临时股东大会决议、</w:t>
      </w:r>
      <w:r>
        <w:rPr>
          <w:rFonts w:ascii="Times New Roman" w:hAnsi="Times New Roman" w:cs="Times New Roman" w:eastAsia="Times New Roman" w:hint="default"/>
        </w:rPr>
        <w:t>2012</w:t>
      </w:r>
      <w:r>
        <w:rPr/>
        <w:t>年第一次境内上市股份（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B</w:t>
      </w:r>
      <w:r>
        <w:rPr/>
        <w:t>股）类别股东大会、</w:t>
      </w:r>
      <w:r>
        <w:rPr>
          <w:rFonts w:ascii="Times New Roman" w:hAnsi="Times New Roman" w:cs="Times New Roman" w:eastAsia="Times New Roman" w:hint="default"/>
        </w:rPr>
        <w:t>2012</w:t>
      </w:r>
      <w:r>
        <w:rPr/>
        <w:t>年第一次境 外上市股份（</w:t>
      </w:r>
      <w:r>
        <w:rPr>
          <w:rFonts w:ascii="Times New Roman" w:hAnsi="Times New Roman" w:cs="Times New Roman" w:eastAsia="Times New Roman" w:hint="default"/>
        </w:rPr>
        <w:t>H</w:t>
      </w:r>
      <w:r>
        <w:rPr/>
        <w:t>股）类别股东大会决议和修改后的章程规定，公司申请减少注册资本人民币</w:t>
      </w:r>
      <w:r>
        <w:rPr>
          <w:rFonts w:ascii="Times New Roman" w:hAnsi="Times New Roman" w:cs="Times New Roman" w:eastAsia="Times New Roman" w:hint="default"/>
        </w:rPr>
        <w:t>86,573,974</w:t>
      </w:r>
      <w:r>
        <w:rPr/>
        <w:t>元，其中境内上市外</w:t>
      </w:r>
      <w:r>
        <w:rPr>
          <w:spacing w:val="-44"/>
        </w:rPr>
        <w:t> </w:t>
      </w:r>
      <w:r>
        <w:rPr/>
        <w:t>资股</w:t>
      </w:r>
      <w:r>
        <w:rPr>
          <w:rFonts w:ascii="Times New Roman" w:hAnsi="Times New Roman" w:cs="Times New Roman" w:eastAsia="Times New Roman" w:hint="default"/>
        </w:rPr>
        <w:t>(B</w:t>
      </w:r>
      <w:r>
        <w:rPr/>
        <w:t>股</w:t>
      </w:r>
      <w:r>
        <w:rPr>
          <w:rFonts w:ascii="Times New Roman" w:hAnsi="Times New Roman" w:cs="Times New Roman" w:eastAsia="Times New Roman" w:hint="default"/>
        </w:rPr>
        <w:t>)</w:t>
      </w:r>
      <w:r>
        <w:rPr/>
        <w:t>减资</w:t>
      </w:r>
      <w:r>
        <w:rPr>
          <w:rFonts w:ascii="Times New Roman" w:hAnsi="Times New Roman" w:cs="Times New Roman" w:eastAsia="Times New Roman" w:hint="default"/>
        </w:rPr>
        <w:t>86,573,974</w:t>
      </w:r>
      <w:r>
        <w:rPr/>
        <w:t>股，每股人民币</w:t>
      </w:r>
      <w:r>
        <w:rPr>
          <w:rFonts w:ascii="Times New Roman" w:hAnsi="Times New Roman" w:cs="Times New Roman" w:eastAsia="Times New Roman" w:hint="default"/>
        </w:rPr>
        <w:t>1</w:t>
      </w:r>
      <w:r>
        <w:rPr/>
        <w:t>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日止，回购境内上市外资股</w:t>
      </w:r>
      <w:r>
        <w:rPr>
          <w:rFonts w:ascii="Times New Roman" w:hAnsi="Times New Roman" w:cs="Times New Roman" w:eastAsia="Times New Roman" w:hint="default"/>
        </w:rPr>
        <w:t>(B</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rFonts w:ascii="Times New Roman" w:hAnsi="Times New Roman" w:cs="Times New Roman" w:eastAsia="Times New Roman" w:hint="default"/>
        </w:rPr>
        <w:t>86,573,974</w:t>
      </w:r>
      <w:r>
        <w:rPr>
          <w:rFonts w:ascii="Times New Roman" w:hAnsi="Times New Roman" w:cs="Times New Roman" w:eastAsia="Times New Roman" w:hint="default"/>
        </w:rPr>
        <w:t> </w:t>
      </w:r>
      <w:r>
        <w:rPr/>
        <w:t>股，并于2013年12月24日注销回购股份，变更后公司的股本为人民币</w:t>
      </w:r>
      <w:r>
        <w:rPr>
          <w:rFonts w:ascii="Times New Roman" w:hAnsi="Times New Roman" w:cs="Times New Roman" w:eastAsia="Times New Roman" w:hint="default"/>
        </w:rPr>
        <w:t>1,975,471,967</w:t>
      </w:r>
      <w:r>
        <w:rPr/>
        <w:t>元。</w:t>
      </w:r>
    </w:p>
    <w:p>
      <w:pPr>
        <w:pStyle w:val="BodyText"/>
        <w:spacing w:line="307" w:lineRule="auto" w:before="13"/>
        <w:ind w:left="513" w:right="90"/>
        <w:jc w:val="left"/>
      </w:pPr>
      <w:r>
        <w:rPr/>
        <w:t>企业法人营业执照注册号：</w:t>
      </w:r>
      <w:r>
        <w:rPr>
          <w:rFonts w:ascii="Times New Roman" w:hAnsi="Times New Roman" w:cs="Times New Roman" w:eastAsia="Times New Roman" w:hint="default"/>
        </w:rPr>
        <w:t>370000400001170</w:t>
      </w:r>
      <w:r>
        <w:rPr/>
        <w:t>。 本公司的营业期限为长期，本公司董事会认为有能力将有营业期限的的子公司在营业期限期满后持续经营。 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日，本公司累计发行股本总数为</w:t>
      </w:r>
      <w:r>
        <w:rPr>
          <w:rFonts w:ascii="Times New Roman" w:hAnsi="Times New Roman" w:cs="Times New Roman" w:eastAsia="Times New Roman" w:hint="default"/>
        </w:rPr>
        <w:t>1,975,471,967</w:t>
      </w:r>
      <w:r>
        <w:rPr/>
        <w:t>股，详见附注七、37。 </w:t>
      </w:r>
      <w:r>
        <w:rPr>
          <w:spacing w:val="-2"/>
        </w:rPr>
        <w:t>本公司及其子公司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经营范围为：机制纸及纸板等纸制品和造纸原料、造纸机械的加工、销售，电力、</w:t>
      </w:r>
    </w:p>
    <w:p>
      <w:pPr>
        <w:pStyle w:val="BodyText"/>
        <w:spacing w:line="316" w:lineRule="auto" w:before="7"/>
        <w:ind w:right="190"/>
        <w:jc w:val="both"/>
      </w:pPr>
      <w:r>
        <w:rPr>
          <w:spacing w:val="-2"/>
        </w:rPr>
        <w:t>热力的生产、销售，林木种植、苗木培育、木材加工及销售，木制品的生产、加工及销售，人造板、强化木地板等的生产及</w:t>
      </w:r>
      <w:r>
        <w:rPr>
          <w:spacing w:val="-70"/>
        </w:rPr>
        <w:t> </w:t>
      </w:r>
      <w:r>
        <w:rPr>
          <w:spacing w:val="-70"/>
        </w:rPr>
      </w:r>
      <w:r>
        <w:rPr/>
        <w:t>销售。</w:t>
      </w:r>
    </w:p>
    <w:p>
      <w:pPr>
        <w:pStyle w:val="BodyText"/>
        <w:spacing w:line="316" w:lineRule="auto" w:before="18"/>
        <w:ind w:left="513" w:right="171"/>
        <w:jc w:val="left"/>
      </w:pPr>
      <w:r>
        <w:rPr/>
        <w:t>本集团的母公司为寿光晨鸣控股有限公司。 寿光晨鸣控股有限公司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晨鸣控股</w:t>
      </w:r>
      <w:r>
        <w:rPr>
          <w:rFonts w:ascii="Times New Roman" w:hAnsi="Times New Roman" w:cs="Times New Roman" w:eastAsia="Times New Roman" w:hint="default"/>
        </w:rPr>
        <w:t>”)</w:t>
      </w:r>
      <w:r>
        <w:rPr/>
        <w:t>成立于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日，系寿光市国资局以其所持有的本公司国家股作为</w:t>
      </w:r>
    </w:p>
    <w:p>
      <w:pPr>
        <w:pStyle w:val="BodyText"/>
        <w:spacing w:line="300" w:lineRule="auto"/>
        <w:ind w:right="188"/>
        <w:jc w:val="both"/>
      </w:pPr>
      <w:r>
        <w:rPr/>
        <w:t>出资组建。</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日中国证券监督管理委员会最终批准了由于设立晨鸣控股引发的晨鸣纸业国有股持股单位及股权性</w:t>
      </w:r>
      <w:r>
        <w:rPr>
          <w:spacing w:val="-83"/>
        </w:rPr>
        <w:t> </w:t>
      </w:r>
      <w:r>
        <w:rPr>
          <w:spacing w:val="-83"/>
        </w:rPr>
      </w:r>
      <w:r>
        <w:rPr/>
        <w:t>质变更</w:t>
      </w:r>
      <w:r>
        <w:rPr>
          <w:rFonts w:ascii="Times New Roman" w:hAnsi="Times New Roman" w:cs="Times New Roman" w:eastAsia="Times New Roman" w:hint="default"/>
        </w:rPr>
        <w:t>(</w:t>
      </w:r>
      <w:r>
        <w:rPr/>
        <w:t>国资产权</w:t>
      </w:r>
      <w:r>
        <w:rPr>
          <w:rFonts w:ascii="Times New Roman" w:hAnsi="Times New Roman" w:cs="Times New Roman" w:eastAsia="Times New Roman" w:hint="default"/>
        </w:rPr>
        <w:t>[2005]1539</w:t>
      </w:r>
      <w:r>
        <w:rPr/>
        <w:t>号</w:t>
      </w:r>
      <w:r>
        <w:rPr>
          <w:rFonts w:ascii="Times New Roman" w:hAnsi="Times New Roman" w:cs="Times New Roman" w:eastAsia="Times New Roman" w:hint="default"/>
        </w:rPr>
        <w:t>)</w:t>
      </w:r>
      <w:r>
        <w:rPr/>
        <w:t>，至此公司第一大股东由寿光市国有资产管理局变更为晨鸣控股。</w:t>
      </w:r>
    </w:p>
    <w:p>
      <w:pPr>
        <w:pStyle w:val="BodyText"/>
        <w:spacing w:line="240" w:lineRule="auto" w:before="13"/>
        <w:ind w:left="513" w:right="90"/>
        <w:jc w:val="left"/>
      </w:pPr>
      <w:r>
        <w:rPr/>
        <w:t>本集团财务报表于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日已经公司董事会批准报出（根据本公司章程，本财务报表将提交股东大会审议）。</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本集团财务报表以持续经营为基础，根据实际发生的交易和事项，按照财政部于2006年2月15日颁布的《企业会计准则</w:t>
      </w:r>
    </w:p>
    <w:p>
      <w:pPr>
        <w:pStyle w:val="BodyText"/>
        <w:spacing w:line="316" w:lineRule="auto" w:before="76"/>
        <w:ind w:left="154" w:right="188"/>
        <w:jc w:val="both"/>
      </w:pPr>
      <w:r>
        <w:rPr>
          <w:spacing w:val="-2"/>
        </w:rPr>
        <w:t>——基本准则》、于该日及其后颁布和修订的41项具体会计准则、企业会计准则应用指南、企业会计准则解释及其他相关规</w:t>
      </w:r>
      <w:r>
        <w:rPr>
          <w:spacing w:val="-64"/>
        </w:rPr>
        <w:t> </w:t>
      </w:r>
      <w:r>
        <w:rPr>
          <w:spacing w:val="-64"/>
        </w:rPr>
      </w:r>
      <w:r>
        <w:rPr>
          <w:spacing w:val="-2"/>
        </w:rPr>
        <w:t>定（以下合称“企业会计准则”）、以及中国证券监督管理委员会《公开发行证券的公司信息披露编报规则第15号——财务</w:t>
      </w:r>
      <w:r>
        <w:rPr>
          <w:spacing w:val="-67"/>
        </w:rPr>
        <w:t> </w:t>
      </w:r>
      <w:r>
        <w:rPr>
          <w:spacing w:val="-67"/>
        </w:rPr>
      </w:r>
      <w:r>
        <w:rPr/>
        <w:t>报告的一般规定》（2010年修订）的披露规定编制。</w:t>
      </w:r>
    </w:p>
    <w:p>
      <w:pPr>
        <w:pStyle w:val="BodyText"/>
        <w:spacing w:line="300" w:lineRule="auto" w:before="18"/>
        <w:ind w:right="101" w:firstLine="360"/>
        <w:jc w:val="both"/>
      </w:pPr>
      <w:r>
        <w:rPr/>
        <w:t>根据《关于印发〈企业会计准则第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公允价值计量〉的通知》（财会</w:t>
      </w:r>
      <w:r>
        <w:rPr>
          <w:rFonts w:ascii="Times New Roman" w:hAnsi="Times New Roman" w:cs="Times New Roman" w:eastAsia="Times New Roman" w:hint="default"/>
        </w:rPr>
        <w:t>[2014]6</w:t>
      </w:r>
      <w:r>
        <w:rPr/>
        <w:t>号）、《关于印发修订〈企业会计 </w:t>
      </w:r>
      <w:r>
        <w:rPr>
          <w:spacing w:val="-2"/>
        </w:rPr>
        <w:t>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财务报表列报〉的通知》（财会</w:t>
      </w:r>
      <w:r>
        <w:rPr>
          <w:rFonts w:ascii="Times New Roman" w:hAnsi="Times New Roman" w:cs="Times New Roman" w:eastAsia="Times New Roman" w:hint="default"/>
          <w:spacing w:val="-2"/>
        </w:rPr>
        <w:t>[2014]7</w:t>
      </w:r>
      <w:r>
        <w:rPr>
          <w:spacing w:val="-2"/>
        </w:rPr>
        <w:t>号）、《关于印发修订〈企业会计准则第</w:t>
      </w:r>
      <w:r>
        <w:rPr>
          <w:rFonts w:ascii="Times New Roman" w:hAnsi="Times New Roman" w:cs="Times New Roman" w:eastAsia="Times New Roman" w:hint="default"/>
          <w:spacing w:val="-2"/>
        </w:rPr>
        <w:t>9</w:t>
      </w:r>
      <w:r>
        <w:rPr>
          <w:spacing w:val="-2"/>
        </w:rPr>
        <w:t>号</w:t>
      </w:r>
      <w:r>
        <w:rPr>
          <w:rFonts w:ascii="Times New Roman" w:hAnsi="Times New Roman" w:cs="Times New Roman" w:eastAsia="Times New Roman" w:hint="default"/>
          <w:spacing w:val="-2"/>
        </w:rPr>
        <w:t>——</w:t>
      </w:r>
      <w:r>
        <w:rPr>
          <w:spacing w:val="-2"/>
        </w:rPr>
        <w:t>职工薪酬〉的通知》</w:t>
      </w:r>
    </w:p>
    <w:p>
      <w:pPr>
        <w:pStyle w:val="BodyText"/>
        <w:spacing w:line="240" w:lineRule="auto" w:before="13"/>
        <w:ind w:left="154" w:right="0"/>
        <w:jc w:val="both"/>
      </w:pPr>
      <w:r>
        <w:rPr/>
        <w:t>（财会</w:t>
      </w:r>
      <w:r>
        <w:rPr>
          <w:rFonts w:ascii="Times New Roman" w:hAnsi="Times New Roman" w:cs="Times New Roman" w:eastAsia="Times New Roman" w:hint="default"/>
        </w:rPr>
        <w:t>[2014]8</w:t>
      </w:r>
      <w:r>
        <w:rPr/>
        <w:t>号）、《关于印发修订〈企业会计准则第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合并财务报表〉的通知》（财会</w:t>
      </w:r>
      <w:r>
        <w:rPr>
          <w:rFonts w:ascii="Times New Roman" w:hAnsi="Times New Roman" w:cs="Times New Roman" w:eastAsia="Times New Roman" w:hint="default"/>
        </w:rPr>
        <w:t>[2014]10</w:t>
      </w:r>
      <w:r>
        <w:rPr/>
        <w:t>号）、《关于印发</w:t>
      </w:r>
    </w:p>
    <w:p>
      <w:pPr>
        <w:pStyle w:val="BodyText"/>
        <w:spacing w:line="300" w:lineRule="auto" w:before="62"/>
        <w:ind w:right="99"/>
        <w:jc w:val="both"/>
      </w:pPr>
      <w:r>
        <w:rPr>
          <w:spacing w:val="-2"/>
        </w:rPr>
        <w:t>〈企业会计准则第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合营安排〉的通知》（财会</w:t>
      </w:r>
      <w:r>
        <w:rPr>
          <w:rFonts w:ascii="Times New Roman" w:hAnsi="Times New Roman" w:cs="Times New Roman" w:eastAsia="Times New Roman" w:hint="default"/>
          <w:spacing w:val="-2"/>
        </w:rPr>
        <w:t>[2014]11</w:t>
      </w:r>
      <w:r>
        <w:rPr>
          <w:spacing w:val="-2"/>
        </w:rPr>
        <w:t>号）的规定，鼓励在境外上市的企业提前执行上述</w:t>
      </w:r>
      <w:r>
        <w:rPr>
          <w:rFonts w:ascii="Times New Roman" w:hAnsi="Times New Roman" w:cs="Times New Roman" w:eastAsia="Times New Roman" w:hint="default"/>
          <w:spacing w:val="-2"/>
        </w:rPr>
        <w:t>5</w:t>
      </w:r>
      <w:r>
        <w:rPr>
          <w:spacing w:val="-2"/>
        </w:rPr>
        <w:t>项于</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7"/>
        </w:rPr>
        <w:t> </w:t>
      </w:r>
      <w:r>
        <w:rPr/>
        <w:t>年内新发布或修订的会计准则。据此，经本公司第七届第四次董事会决议，本集团自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日起提前执行上述</w:t>
      </w:r>
      <w:r>
        <w:rPr>
          <w:rFonts w:ascii="Times New Roman" w:hAnsi="Times New Roman" w:cs="Times New Roman" w:eastAsia="Times New Roman" w:hint="default"/>
        </w:rPr>
        <w:t>5</w:t>
      </w:r>
      <w:r>
        <w:rPr/>
        <w:t>项会计</w:t>
      </w:r>
      <w:r>
        <w:rPr>
          <w:spacing w:val="-85"/>
        </w:rPr>
        <w:t> </w:t>
      </w:r>
      <w:r>
        <w:rPr>
          <w:spacing w:val="-85"/>
        </w:rPr>
      </w:r>
      <w:r>
        <w:rPr>
          <w:spacing w:val="-2"/>
        </w:rPr>
        <w:t>准则。因执行上述</w:t>
      </w:r>
      <w:r>
        <w:rPr>
          <w:rFonts w:ascii="Times New Roman" w:hAnsi="Times New Roman" w:cs="Times New Roman" w:eastAsia="Times New Roman" w:hint="default"/>
          <w:spacing w:val="-2"/>
        </w:rPr>
        <w:t>5</w:t>
      </w:r>
      <w:r>
        <w:rPr>
          <w:spacing w:val="-2"/>
        </w:rPr>
        <w:t>项会计准则而导致的会计政策变更的相关信息，请参阅本附注四、</w:t>
      </w:r>
      <w:r>
        <w:rPr>
          <w:rFonts w:ascii="Times New Roman" w:hAnsi="Times New Roman" w:cs="Times New Roman" w:eastAsia="Times New Roman" w:hint="default"/>
          <w:spacing w:val="-2"/>
        </w:rPr>
        <w:t>30“</w:t>
      </w:r>
      <w:r>
        <w:rPr>
          <w:spacing w:val="-2"/>
        </w:rPr>
        <w:t>主要会计政策、会计估计的变更</w:t>
      </w:r>
      <w:r>
        <w:rPr>
          <w:rFonts w:ascii="Times New Roman" w:hAnsi="Times New Roman" w:cs="Times New Roman" w:eastAsia="Times New Roman" w:hint="default"/>
          <w:spacing w:val="-2"/>
        </w:rPr>
        <w:t>”</w:t>
      </w:r>
      <w:r>
        <w:rPr>
          <w:spacing w:val="-2"/>
        </w:rPr>
        <w:t>。</w:t>
      </w:r>
    </w:p>
    <w:p>
      <w:pPr>
        <w:pStyle w:val="BodyText"/>
        <w:spacing w:line="316" w:lineRule="auto" w:before="13"/>
        <w:ind w:left="154" w:right="190" w:firstLine="360"/>
        <w:jc w:val="both"/>
      </w:pPr>
      <w:r>
        <w:rPr>
          <w:spacing w:val="-2"/>
        </w:rPr>
        <w:t>根据企业会计准则的相关规定，本集团会计核算以权责发生制为基础。除某些金融工具和消耗性生物资产外，本财务报</w:t>
      </w:r>
      <w:r>
        <w:rPr/>
        <w:t> </w:t>
      </w:r>
      <w:r>
        <w:rPr>
          <w:spacing w:val="-2"/>
        </w:rPr>
        <w:t>表均以历史成本为计量基础。持有待售的非流动资产，按公允价值减去预计费用后的金额，以及符合持有待售条件时的原账</w:t>
      </w:r>
      <w:r>
        <w:rPr>
          <w:spacing w:val="-66"/>
        </w:rPr>
        <w:t> </w:t>
      </w:r>
      <w:r>
        <w:rPr>
          <w:spacing w:val="-66"/>
        </w:rPr>
      </w:r>
      <w:r>
        <w:rPr/>
        <w:t>面价值，取两者孰低计价。资产如果发生减值，则按照相关规定计提相应的减值准备。</w:t>
      </w:r>
    </w:p>
    <w:p>
      <w:pPr>
        <w:spacing w:after="0" w:line="316" w:lineRule="auto"/>
        <w:jc w:val="both"/>
        <w:sectPr>
          <w:pgSz w:w="11910" w:h="16840"/>
          <w:pgMar w:header="877" w:footer="950" w:top="1100" w:bottom="1140" w:left="980" w:right="940"/>
        </w:sectPr>
      </w:pPr>
    </w:p>
    <w:p>
      <w:pPr>
        <w:spacing w:line="240" w:lineRule="auto" w:before="10"/>
        <w:rPr>
          <w:rFonts w:ascii="宋体" w:hAnsi="宋体" w:cs="宋体" w:eastAsia="宋体" w:hint="default"/>
          <w:sz w:val="20"/>
          <w:szCs w:val="20"/>
        </w:rPr>
      </w:pPr>
    </w:p>
    <w:p>
      <w:pPr>
        <w:pStyle w:val="Heading4"/>
        <w:spacing w:line="240" w:lineRule="auto" w:before="35"/>
        <w:ind w:right="9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1" w:firstLine="360"/>
        <w:jc w:val="both"/>
      </w:pPr>
      <w:r>
        <w:rPr/>
        <w:t>本集团编制的财务报表符合企业会计准则的要求，真实、完整地反映了本公司及本集团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spacing w:val="2"/>
        </w:rPr>
        <w:t> </w:t>
      </w:r>
      <w:r>
        <w:rPr>
          <w:rFonts w:ascii="Times New Roman" w:hAnsi="Times New Roman" w:cs="Times New Roman" w:eastAsia="Times New Roman" w:hint="default"/>
          <w:spacing w:val="-2"/>
        </w:rPr>
        <w:t>2013</w:t>
      </w:r>
      <w:r>
        <w:rPr>
          <w:spacing w:val="-2"/>
        </w:rPr>
        <w:t>年度的经营成果和现金流量等有关信息。此外，本公司及本集团的财务报表在所有重大方面符合中国证券监督管理委员</w:t>
      </w:r>
      <w:r>
        <w:rPr>
          <w:spacing w:val="-60"/>
        </w:rPr>
        <w:t> </w:t>
      </w:r>
      <w:r>
        <w:rPr>
          <w:spacing w:val="-60"/>
        </w:rPr>
      </w:r>
      <w:r>
        <w:rPr>
          <w:spacing w:val="-3"/>
        </w:rPr>
        <w:t>会</w:t>
      </w:r>
      <w:r>
        <w:rPr>
          <w:rFonts w:ascii="Times New Roman" w:hAnsi="Times New Roman" w:cs="Times New Roman" w:eastAsia="Times New Roman" w:hint="default"/>
          <w:spacing w:val="-3"/>
        </w:rPr>
        <w:t>2010</w:t>
      </w:r>
      <w:r>
        <w:rPr>
          <w:spacing w:val="-3"/>
        </w:rPr>
        <w:t>年修订的《公开发行证券的公司信息披露编报规则第</w:t>
      </w:r>
      <w:r>
        <w:rPr>
          <w:rFonts w:ascii="Times New Roman" w:hAnsi="Times New Roman" w:cs="Times New Roman" w:eastAsia="Times New Roman" w:hint="default"/>
          <w:spacing w:val="-3"/>
        </w:rPr>
        <w:t>15</w:t>
      </w:r>
      <w:r>
        <w:rPr>
          <w:spacing w:val="-3"/>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8" w:firstLine="36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4"/>
        <w:spacing w:line="240" w:lineRule="auto"/>
        <w:ind w:right="9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189" w:firstLine="360"/>
        <w:jc w:val="both"/>
      </w:pPr>
      <w:r>
        <w:rPr>
          <w:spacing w:val="-2"/>
        </w:rPr>
        <w:t>人民币为本公司及境内子公司经营所处的主要经济环境中的货币，本公司及境内子公司以人民币为记账本位币。本公司</w:t>
      </w:r>
      <w:r>
        <w:rPr/>
        <w:t> 之境外子公司晨鸣</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有限公司、晨鸣国际有限公司、晨鸣纸业日本株式会社、晨鸣</w:t>
      </w:r>
      <w:r>
        <w:rPr>
          <w:rFonts w:ascii="Times New Roman" w:hAnsi="Times New Roman" w:cs="Times New Roman" w:eastAsia="Times New Roman" w:hint="default"/>
        </w:rPr>
        <w:t>GmbH</w:t>
      </w:r>
      <w:r>
        <w:rPr/>
        <w:t>根据其经营所处的主要经济环</w:t>
      </w:r>
      <w:r>
        <w:rPr>
          <w:spacing w:val="-71"/>
        </w:rPr>
        <w:t> </w:t>
      </w:r>
      <w:r>
        <w:rPr>
          <w:spacing w:val="-71"/>
        </w:rPr>
      </w:r>
      <w:r>
        <w:rPr/>
        <w:t>境中的货币确定美元、日元、欧元为其记账本位币。本集团编制本财务报表时所采用的货币为人民币。</w:t>
      </w:r>
    </w:p>
    <w:p>
      <w:pPr>
        <w:spacing w:line="240" w:lineRule="auto" w:before="12"/>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2"/>
        </w:rPr>
        <w:t>参与合并的企业在合并前后均受同一方或相同的多方最终控制，且该控制并非暂时性的，为同一控制下的企业合并。同</w:t>
      </w:r>
      <w:r>
        <w:rPr/>
        <w:t> </w:t>
      </w: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8"/>
        <w:ind w:right="108"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8"/>
        <w:ind w:left="514" w:right="90"/>
        <w:jc w:val="left"/>
      </w:pPr>
      <w:r>
        <w:rPr/>
        <w:t>合并方为进行企业合并发生的各项直接费用，于发生时计入当期损益。</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89" w:firstLine="360"/>
        <w:jc w:val="both"/>
      </w:pPr>
      <w:r>
        <w:rPr>
          <w:spacing w:val="-2"/>
        </w:rPr>
        <w:t>参与合并的企业在合并前后不受同一方或相同的多方最终控制的，为非同一控制下的企业合并。非同一控制下的企业合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4" w:lineRule="auto" w:before="18"/>
        <w:ind w:right="189"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t>步证据而需要调整或有对价的，相应调整合并商誉。</w:t>
      </w:r>
    </w:p>
    <w:p>
      <w:pPr>
        <w:pStyle w:val="BodyText"/>
        <w:spacing w:line="316" w:lineRule="auto" w:before="20"/>
        <w:ind w:right="189" w:firstLine="360"/>
        <w:jc w:val="both"/>
      </w:pPr>
      <w:r>
        <w:rPr>
          <w:spacing w:val="-2"/>
        </w:rPr>
        <w:t>购买方发生的合并成本及在合并中取得的可辨认净资产按购买日的公允价值计量。合并成本大于合并中取得的被购买方</w:t>
      </w:r>
      <w:r>
        <w:rPr/>
        <w:t> </w:t>
      </w:r>
      <w:r>
        <w:rPr>
          <w:spacing w:val="-2"/>
        </w:rPr>
        <w:t>于购买日可辨认净资产公允价值份额的差额，确认为商誉。合并成本小于合并中取得的被购买方可辨认净资产公允价值份额</w:t>
      </w:r>
      <w:r>
        <w:rPr>
          <w:spacing w:val="-64"/>
        </w:rPr>
        <w:t> </w:t>
      </w:r>
      <w:r>
        <w:rPr>
          <w:spacing w:val="-64"/>
        </w:rPr>
      </w:r>
      <w:r>
        <w:rPr>
          <w:spacing w:val="-2"/>
        </w:rPr>
        <w:t>的，首先对取得的被购买方各项可辨认资产、负债及或有负债的公允价值以及合并成本的计量进行复核，复核后合并成本仍</w:t>
      </w:r>
      <w:r>
        <w:rPr>
          <w:spacing w:val="-66"/>
        </w:rPr>
        <w:t> </w:t>
      </w:r>
      <w:r>
        <w:rPr>
          <w:spacing w:val="-66"/>
        </w:rPr>
      </w:r>
      <w:r>
        <w:rPr/>
        <w:t>小于合并中取得的被购买方可辨认净资产公允价值份额的，其差额计入当期损益。</w:t>
      </w:r>
    </w:p>
    <w:p>
      <w:pPr>
        <w:pStyle w:val="BodyText"/>
        <w:spacing w:line="316" w:lineRule="auto" w:before="18"/>
        <w:ind w:left="154" w:right="90" w:firstLine="359"/>
        <w:jc w:val="left"/>
      </w:pPr>
      <w:r>
        <w:rPr>
          <w:spacing w:val="-5"/>
        </w:rPr>
        <w:t>通过多次交易分步实现的非同一控制下企业合并，根据《财政部关于印发企业会计准则解释第5号的通知》（财会〔2012〕</w:t>
      </w:r>
      <w:r>
        <w:rPr/>
        <w:t> </w:t>
      </w:r>
      <w:r>
        <w:rPr>
          <w:spacing w:val="-2"/>
        </w:rPr>
        <w:t>19号）关于“一揽子交易”的判断标准(参见本附注四、5（2）)，判断该多次交易是否属于“一揽子交易”。属于“一揽子</w:t>
      </w:r>
      <w:r>
        <w:rPr>
          <w:spacing w:val="-66"/>
        </w:rPr>
        <w:t> </w:t>
      </w:r>
      <w:r>
        <w:rPr>
          <w:spacing w:val="-66"/>
        </w:rPr>
      </w:r>
      <w:r>
        <w:rPr>
          <w:spacing w:val="-2"/>
        </w:rPr>
        <w:t>交易”的，参考本部分前面各段描述及本附注四、12“长期股权投资”进行会计处理；不属于“一揽子交易”的，区分个别</w:t>
      </w:r>
    </w:p>
    <w:p>
      <w:pPr>
        <w:spacing w:after="0" w:line="316"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16" w:lineRule="auto" w:before="44"/>
        <w:ind w:left="513" w:right="90" w:hanging="360"/>
        <w:jc w:val="left"/>
      </w:pPr>
      <w:r>
        <w:rPr/>
        <w:t>财务报表和合并财务报表进行相关会计处理： </w:t>
      </w:r>
      <w:r>
        <w:rPr>
          <w:spacing w:val="-2"/>
        </w:rPr>
        <w:t>在个别财务报表中，以购买日之前所持被购买方的股权投资的账面价值与购买日新增投资成本之和，作为该项投资的初</w:t>
      </w:r>
    </w:p>
    <w:p>
      <w:pPr>
        <w:pStyle w:val="BodyText"/>
        <w:spacing w:line="316" w:lineRule="auto" w:before="18"/>
        <w:ind w:right="90"/>
        <w:jc w:val="left"/>
      </w:pPr>
      <w:r>
        <w:rPr>
          <w:spacing w:val="-2"/>
        </w:rPr>
        <w:t>始投资成本；购买日之前持有的被购买方的股权涉及其他综合收益的，在处置该项投资时将与其相关的其他综合收益转入当</w:t>
      </w:r>
      <w:r>
        <w:rPr>
          <w:spacing w:val="-64"/>
        </w:rPr>
        <w:t> </w:t>
      </w:r>
      <w:r>
        <w:rPr>
          <w:spacing w:val="-64"/>
        </w:rPr>
      </w:r>
      <w:r>
        <w:rPr/>
        <w:t>期投资收益。</w:t>
      </w:r>
    </w:p>
    <w:p>
      <w:pPr>
        <w:pStyle w:val="BodyText"/>
        <w:spacing w:line="316" w:lineRule="auto" w:before="18"/>
        <w:ind w:right="19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t>应当转为购买日所属当期投资收益。</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①合并财务报表范围的确定原则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18"/>
        <w:ind w:right="9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316" w:lineRule="auto" w:before="18"/>
        <w:ind w:left="513" w:right="90"/>
        <w:jc w:val="left"/>
      </w:pPr>
      <w:r>
        <w:rPr/>
        <w:t>②合并财务报表编制的方法 </w:t>
      </w:r>
      <w:r>
        <w:rPr>
          <w:spacing w:val="-2"/>
        </w:rPr>
        <w:t>从取得子公司的净资产和生产经营决策的实际控制权之日起，本集团开始将其纳入合并范围；从丧失实际控制权之日起</w:t>
      </w:r>
    </w:p>
    <w:p>
      <w:pPr>
        <w:pStyle w:val="BodyText"/>
        <w:spacing w:line="316" w:lineRule="auto" w:before="18"/>
        <w:ind w:left="154" w:right="9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时调整合并财务报表的期初数和对比数。</w:t>
      </w:r>
    </w:p>
    <w:p>
      <w:pPr>
        <w:pStyle w:val="BodyText"/>
        <w:spacing w:line="316" w:lineRule="auto" w:before="18"/>
        <w:ind w:left="154" w:right="19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8"/>
        <w:ind w:left="514" w:right="90"/>
        <w:jc w:val="left"/>
      </w:pPr>
      <w:r>
        <w:rPr/>
        <w:t>集团内所有重大往来余额、交易及未实现利润在合并财务报表编制时予以抵销。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8"/>
        <w:ind w:left="154" w:right="18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80"/>
        </w:rPr>
        <w:t> </w:t>
      </w:r>
      <w:r>
        <w:rPr/>
        <w:t>股东损益</w:t>
      </w:r>
      <w:r>
        <w:rPr>
          <w:rFonts w:ascii="Times New Roman" w:hAnsi="Times New Roman" w:cs="Times New Roman" w:eastAsia="Times New Roman" w:hint="default"/>
        </w:rPr>
        <w:t>”</w:t>
      </w:r>
      <w:r>
        <w:rPr/>
        <w:t>项目列示。少数股东分担的子公司的亏损超过了少数股东在该子公司期初所有者权益中所享有的份额，冲减少数</w:t>
      </w:r>
      <w:r>
        <w:rPr>
          <w:spacing w:val="-77"/>
        </w:rPr>
        <w:t> </w:t>
      </w:r>
      <w:r>
        <w:rPr>
          <w:spacing w:val="-77"/>
        </w:rPr>
      </w:r>
      <w:r>
        <w:rPr/>
        <w:t>股东权益。</w:t>
      </w:r>
    </w:p>
    <w:p>
      <w:pPr>
        <w:pStyle w:val="BodyText"/>
        <w:spacing w:line="316" w:lineRule="auto" w:before="31"/>
        <w:ind w:left="154" w:right="188"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t>制权时一并转为当期投资收益。其后，对该部分剩余股权按照《企业会计准则第2号——长期股权投资》或《企业会计准则</w:t>
      </w:r>
      <w:r>
        <w:rPr>
          <w:spacing w:val="-83"/>
        </w:rPr>
        <w:t> </w:t>
      </w:r>
      <w:r>
        <w:rPr>
          <w:spacing w:val="-83"/>
        </w:rPr>
      </w:r>
      <w:r>
        <w:rPr/>
        <w:t>第22号——金融工具确认和计量》等相关规定进行后续计量，详见本附注四、12“长期股权投资”或本附注四、9“金融工</w:t>
      </w:r>
      <w:r>
        <w:rPr>
          <w:spacing w:val="-85"/>
        </w:rPr>
        <w:t> </w:t>
      </w:r>
      <w:r>
        <w:rPr>
          <w:spacing w:val="-85"/>
        </w:rPr>
      </w:r>
      <w:r>
        <w:rPr/>
        <w:t>具”。</w:t>
      </w:r>
    </w:p>
    <w:p>
      <w:pPr>
        <w:pStyle w:val="BodyText"/>
        <w:spacing w:line="316" w:lineRule="auto" w:before="18"/>
        <w:ind w:left="154" w:right="90"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w:t>
      </w:r>
      <w:r>
        <w:rPr>
          <w:spacing w:val="-2"/>
        </w:rPr>
        <w:t>但是和其他交易一并考虑时是经济的。不属于一揽子交易的，对其中的每一项交易视情况分别按照“不丧失控制权的情况下</w:t>
      </w:r>
      <w:r>
        <w:rPr>
          <w:spacing w:val="-66"/>
        </w:rPr>
        <w:t> </w:t>
      </w:r>
      <w:r>
        <w:rPr>
          <w:spacing w:val="-66"/>
        </w:rPr>
      </w:r>
      <w:r>
        <w:rPr/>
        <w:t>部分处置对子公司的长期股权投资”（详见本附注四、12、（2）④）和“因处置部分股权投资或其他原因丧失了对原有子</w:t>
      </w:r>
      <w:r>
        <w:rPr>
          <w:spacing w:val="-83"/>
        </w:rPr>
        <w:t> </w:t>
      </w:r>
      <w:r>
        <w:rPr>
          <w:spacing w:val="-83"/>
        </w:rPr>
      </w:r>
      <w:r>
        <w:rPr>
          <w:spacing w:val="-2"/>
        </w:rPr>
        <w:t>公司的控制权”（详见前段）适用的原则进行会计处理。处置对子公司股权投资直至丧失控制权的各项交易属于一揽子交易</w:t>
      </w:r>
      <w:r>
        <w:rPr>
          <w:spacing w:val="-65"/>
        </w:rPr>
        <w:t> </w:t>
      </w:r>
      <w:r>
        <w:rPr>
          <w:spacing w:val="-65"/>
        </w:rPr>
      </w:r>
      <w:r>
        <w:rPr>
          <w:spacing w:val="-2"/>
        </w:rPr>
        <w:t>的，将各项交易作为一项处置子公司并丧失控制权的交易进行会计处理；但是，在丧失控制权之前每一次处置价款与处置投</w:t>
      </w:r>
      <w:r>
        <w:rPr>
          <w:spacing w:val="-66"/>
        </w:rPr>
        <w:t> </w:t>
      </w:r>
      <w:r>
        <w:rPr>
          <w:spacing w:val="-66"/>
        </w:rPr>
      </w:r>
      <w:r>
        <w:rPr>
          <w:spacing w:val="-2"/>
        </w:rPr>
        <w:t>资对应的享有该子公司净资产份额的差额，在合并财务报表中确认为其他综合收益，在丧失控制权时一并转入丧失控制权当</w:t>
      </w:r>
    </w:p>
    <w:p>
      <w:pPr>
        <w:spacing w:after="0" w:line="316"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240" w:lineRule="auto" w:before="44"/>
        <w:ind w:right="90"/>
        <w:jc w:val="left"/>
      </w:pPr>
      <w:r>
        <w:rPr/>
        <w:t>期的损益。</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1" w:firstLine="360"/>
        <w:jc w:val="both"/>
      </w:pPr>
      <w:r>
        <w:rPr>
          <w:spacing w:val="-2"/>
        </w:rPr>
        <w:t>本集团现金及现金等价物包括库存现金、可以随时用于支付的存款以及本集团持有的期限短（一般为从购买日起，三个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①外币交易的折算方法 </w:t>
      </w:r>
      <w:r>
        <w:rPr>
          <w:spacing w:val="-4"/>
        </w:rPr>
        <w:t>本集团发生的外币交易在初始确认时，按交易日的即期汇率（通常指中国人民银行公布的当日外汇牌价的中间价，下同）</w:t>
      </w:r>
    </w:p>
    <w:p>
      <w:pPr>
        <w:pStyle w:val="BodyText"/>
        <w:spacing w:line="316" w:lineRule="auto" w:before="18"/>
        <w:ind w:right="90"/>
        <w:jc w:val="left"/>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316" w:lineRule="auto" w:before="18"/>
        <w:ind w:left="513" w:right="90"/>
        <w:jc w:val="left"/>
      </w:pPr>
      <w:r>
        <w:rPr/>
        <w:t>②对于外币货币性项目和外币非货币性项目的折算方法 </w:t>
      </w:r>
      <w:r>
        <w:rPr>
          <w:spacing w:val="-2"/>
        </w:rPr>
        <w:t>资产负债表日，对于外币货币性项目采用资产负债表日即期汇率折算，由此产生的汇兑差额，除属于与购建符合资本化</w:t>
      </w:r>
    </w:p>
    <w:p>
      <w:pPr>
        <w:pStyle w:val="BodyText"/>
        <w:spacing w:line="316" w:lineRule="auto" w:before="18"/>
        <w:ind w:right="90"/>
        <w:jc w:val="left"/>
      </w:pPr>
      <w:r>
        <w:rPr>
          <w:spacing w:val="-2"/>
        </w:rPr>
        <w:t>条件的资产相关的外币专门借款产生的汇兑差额按照借款费用资本化的原则处理；以及可供出售的外币货币性项目除摊余成</w:t>
      </w:r>
      <w:r>
        <w:rPr>
          <w:spacing w:val="-64"/>
        </w:rPr>
        <w:t> </w:t>
      </w:r>
      <w:r>
        <w:rPr>
          <w:spacing w:val="-64"/>
        </w:rPr>
      </w:r>
      <w:r>
        <w:rPr/>
        <w:t>本之外的其他账面余额变动产生的汇兑差额计入其他综合收益之外，均计入当期损益。</w:t>
      </w:r>
    </w:p>
    <w:p>
      <w:pPr>
        <w:pStyle w:val="BodyText"/>
        <w:spacing w:line="316" w:lineRule="auto" w:before="18"/>
        <w:ind w:right="19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值变动（含汇率变动）处理，计入当期损益或确认为其他综合收益并计入资本公积。</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0" w:firstLine="360"/>
        <w:jc w:val="both"/>
      </w:pPr>
      <w:r>
        <w:rPr>
          <w:spacing w:val="-2"/>
        </w:rPr>
        <w:t>编制合并财务报表涉及境外经营的，如有实质上构成对境外经营净投资的外币货币性项目，因汇率变动而产生的汇兑差</w:t>
      </w:r>
      <w:r>
        <w:rPr/>
        <w:t> 额，列入所有者权益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w:t>
      </w:r>
    </w:p>
    <w:p>
      <w:pPr>
        <w:pStyle w:val="BodyText"/>
        <w:spacing w:line="314" w:lineRule="auto"/>
        <w:ind w:left="154" w:right="189" w:firstLine="360"/>
        <w:jc w:val="both"/>
      </w:pPr>
      <w:r>
        <w:rPr>
          <w:spacing w:val="-2"/>
        </w:rPr>
        <w:t>境外经营的外币财务报表按以下方法折算为人民币报表：资产负债表中的资产和负债项目，采用资产负债表日的即期汇</w:t>
      </w:r>
      <w:r>
        <w:rPr/>
        <w:t> </w:t>
      </w:r>
      <w:r>
        <w:rPr>
          <w:spacing w:val="-2"/>
        </w:rPr>
        <w:t>率折算；所有者权益类项目除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w:t>
      </w:r>
      <w:r>
        <w:rPr>
          <w:spacing w:val="-44"/>
        </w:rPr>
        <w:t> </w:t>
      </w:r>
      <w:r>
        <w:rPr>
          <w:spacing w:val="-44"/>
        </w:rPr>
      </w:r>
      <w:r>
        <w:rPr>
          <w:spacing w:val="-2"/>
        </w:rPr>
        <w:t>用交易发生日的即期汇率折算。年初未分配利润为上一年折算后的年末未分配利润；年末未分配利润按折算后的利润分配各</w:t>
      </w:r>
      <w:r>
        <w:rPr>
          <w:spacing w:val="-64"/>
        </w:rPr>
        <w:t> </w:t>
      </w:r>
      <w:r>
        <w:rPr>
          <w:spacing w:val="-64"/>
        </w:rPr>
      </w:r>
      <w:r>
        <w:rPr>
          <w:spacing w:val="-2"/>
        </w:rPr>
        <w:t>项目计算列示；折算后资产类项目与负债类项目和所有者权益类项目合计数的差额，作为外币报表折算差额，确认为其他综</w:t>
      </w:r>
      <w:r>
        <w:rPr>
          <w:spacing w:val="-66"/>
        </w:rPr>
        <w:t> </w:t>
      </w:r>
      <w:r>
        <w:rPr>
          <w:spacing w:val="-66"/>
        </w:rPr>
      </w:r>
      <w:r>
        <w:rPr>
          <w:spacing w:val="-2"/>
        </w:rPr>
        <w:t>合收益并在资产负债表中股东权益项目下单独列示。处置境外经营并丧失控制权时，将资产负债表中所有者权益项目下列示</w:t>
      </w:r>
      <w:r>
        <w:rPr>
          <w:spacing w:val="-64"/>
        </w:rPr>
        <w:t> </w:t>
      </w:r>
      <w:r>
        <w:rPr>
          <w:spacing w:val="-64"/>
        </w:rPr>
      </w:r>
      <w:r>
        <w:rPr/>
        <w:t>的、与该境外经营相关的外币报表折算差额，全部或按处置该境外经营的比例转入处置当期损益。</w:t>
      </w:r>
    </w:p>
    <w:p>
      <w:pPr>
        <w:pStyle w:val="BodyText"/>
        <w:spacing w:line="316" w:lineRule="auto" w:before="20"/>
        <w:ind w:left="154" w:right="189"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240" w:lineRule="auto" w:before="18"/>
        <w:ind w:left="514" w:right="90"/>
        <w:jc w:val="left"/>
      </w:pPr>
      <w:r>
        <w:rPr/>
        <w:t>年初数和上年实际数按照上年财务报表折算后的数额列示。</w:t>
      </w:r>
    </w:p>
    <w:p>
      <w:pPr>
        <w:spacing w:line="240" w:lineRule="auto" w:before="13"/>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9</w:t>
      </w:r>
      <w:r>
        <w:rPr/>
        <w:t>、</w:t>
      </w:r>
      <w:r>
        <w:rPr>
          <w:spacing w:val="-3"/>
        </w:rPr>
        <w:t> </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6" w:lineRule="auto" w:before="31"/>
        <w:ind w:right="91"/>
        <w:jc w:val="left"/>
      </w:pPr>
      <w:r>
        <w:rPr>
          <w:spacing w:val="-4"/>
        </w:rPr>
        <w:t>融工具存在活跃市场的，本集团采用活跃市场中的报价确定其公允价值。活跃市场中的报价是指易于定期从交易所、经纪商、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本集团采用估值技术确定其公允价值。估值技术包括参考熟悉情况并自愿交易的各方最近进行的市场交易中使用的价格、参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spacing w:after="0" w:line="316"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00" w:lineRule="auto" w:before="44"/>
        <w:ind w:left="513" w:right="9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316" w:lineRule="auto" w:before="31"/>
        <w:ind w:right="90"/>
        <w:jc w:val="left"/>
      </w:pPr>
      <w:r>
        <w:rPr>
          <w:spacing w:val="-4"/>
        </w:rPr>
        <w:t>计入当期损益的金融资产、持有至到期投资、贷款和应收款项以及可供出售金融资产。初始确认金融资产，以公允价值计量。</w:t>
      </w:r>
      <w:r>
        <w:rPr>
          <w:spacing w:val="-46"/>
        </w:rPr>
        <w:t> </w:t>
      </w:r>
      <w:r>
        <w:rPr>
          <w:spacing w:val="-46"/>
        </w:rPr>
      </w:r>
      <w:r>
        <w:rPr>
          <w:spacing w:val="-2"/>
        </w:rPr>
        <w:t>对于以公允价值计量且其变动计入当期损益的金融资产，相关的交易费用直接计入当期损益，对于其他类别的金融资产，相</w:t>
      </w:r>
      <w:r>
        <w:rPr>
          <w:spacing w:val="-66"/>
        </w:rPr>
        <w:t> </w:t>
      </w:r>
      <w:r>
        <w:rPr>
          <w:spacing w:val="-66"/>
        </w:rPr>
      </w:r>
      <w:r>
        <w:rPr/>
        <w:t>关交易费用计入初始确认金额。</w:t>
      </w:r>
    </w:p>
    <w:p>
      <w:pPr>
        <w:pStyle w:val="BodyText"/>
        <w:spacing w:line="316" w:lineRule="auto" w:before="18"/>
        <w:ind w:left="513" w:right="90"/>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89"/>
        <w:jc w:val="both"/>
      </w:pPr>
      <w:r>
        <w:rPr>
          <w:spacing w:val="-2"/>
        </w:rPr>
        <w:t>中管理的可辨认金融工具组合的一部分，且有客观证据表明本集团近期采用短期获利方式对该组合进行管理；</w:t>
      </w:r>
      <w:r>
        <w:rPr>
          <w:rFonts w:ascii="Times New Roman" w:hAnsi="Times New Roman" w:cs="Times New Roman" w:eastAsia="Times New Roman" w:hint="default"/>
          <w:spacing w:val="-2"/>
        </w:rPr>
        <w:t>C.</w:t>
      </w:r>
      <w:r>
        <w:rPr>
          <w:spacing w:val="-2"/>
        </w:rPr>
        <w:t>属于衍生工</w:t>
      </w:r>
      <w:r>
        <w:rPr>
          <w:spacing w:val="-49"/>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9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本集团风险</w:t>
      </w:r>
      <w:r>
        <w:rPr>
          <w:spacing w:val="-49"/>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190"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6" w:lineRule="auto" w:before="18"/>
        <w:ind w:left="513" w:right="90"/>
        <w:jc w:val="left"/>
      </w:pPr>
      <w:r>
        <w:rPr/>
        <w:t>②</w:t>
      </w:r>
      <w:r>
        <w:rPr>
          <w:spacing w:val="-17"/>
        </w:rPr>
        <w:t> </w:t>
      </w:r>
      <w:r>
        <w:rPr/>
        <w:t>持有至到期投资</w:t>
      </w:r>
      <w:r>
        <w:rPr/>
        <w:t> 是指到期日固定、回收金额固定或可确定，且本集团有明确意图和能力持有至到期的非衍生金融资产。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8"/>
        <w:ind w:right="90"/>
        <w:jc w:val="left"/>
      </w:pPr>
      <w:r>
        <w:rPr/>
        <w:t>当期损益。</w:t>
      </w:r>
    </w:p>
    <w:p>
      <w:pPr>
        <w:pStyle w:val="BodyText"/>
        <w:spacing w:line="316" w:lineRule="auto" w:before="76"/>
        <w:ind w:right="190"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16" w:lineRule="auto" w:before="18"/>
        <w:ind w:right="190" w:firstLine="360"/>
        <w:jc w:val="both"/>
      </w:pPr>
      <w:r>
        <w:rPr>
          <w:spacing w:val="-2"/>
        </w:rPr>
        <w:t>在计算实际利率时，本集团将在考虑金融资产或金融负债所有合同条款的基础上预计未来现金流量（不考虑未来的信用</w:t>
      </w:r>
      <w:r>
        <w:rPr/>
        <w:t> </w:t>
      </w:r>
      <w:r>
        <w:rPr>
          <w:spacing w:val="-2"/>
        </w:rPr>
        <w:t>损失），同时还将考虑金融资产或金融负债合同各方之间支付或收取的、属于实际利率组成部分的各项收费、交易费用及折</w:t>
      </w:r>
      <w:r>
        <w:rPr>
          <w:spacing w:val="-66"/>
        </w:rPr>
        <w:t> </w:t>
      </w:r>
      <w:r>
        <w:rPr>
          <w:spacing w:val="-66"/>
        </w:rPr>
      </w:r>
      <w:r>
        <w:rPr/>
        <w:t>价或溢价等。</w:t>
      </w:r>
    </w:p>
    <w:p>
      <w:pPr>
        <w:pStyle w:val="BodyText"/>
        <w:spacing w:line="316" w:lineRule="auto" w:before="18"/>
        <w:ind w:left="513" w:right="90"/>
        <w:jc w:val="left"/>
      </w:pPr>
      <w:r>
        <w:rPr/>
        <w:t>③</w:t>
      </w:r>
      <w:r>
        <w:rPr>
          <w:spacing w:val="-17"/>
        </w:rPr>
        <w:t> </w:t>
      </w:r>
      <w:r>
        <w:rPr/>
        <w:t>贷款和应收款项</w:t>
      </w:r>
      <w:r>
        <w:rPr/>
        <w:t> </w:t>
      </w:r>
      <w:r>
        <w:rPr>
          <w:spacing w:val="-2"/>
        </w:rPr>
        <w:t>是指在活跃市场中没有报价、回收金额固定或可确定的非衍生金融资产。本集团划分为贷款和应收款的金融资产包括应</w:t>
      </w:r>
    </w:p>
    <w:p>
      <w:pPr>
        <w:pStyle w:val="BodyText"/>
        <w:spacing w:line="316" w:lineRule="auto" w:before="18"/>
        <w:ind w:left="513" w:right="9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8"/>
        <w:ind w:right="90"/>
        <w:jc w:val="left"/>
      </w:pPr>
      <w:r>
        <w:rPr/>
        <w:t>当期损益。</w:t>
      </w:r>
    </w:p>
    <w:p>
      <w:pPr>
        <w:pStyle w:val="BodyText"/>
        <w:spacing w:line="316" w:lineRule="auto" w:before="76"/>
        <w:ind w:left="513" w:right="91"/>
        <w:jc w:val="left"/>
      </w:pPr>
      <w:r>
        <w:rPr/>
        <w:t>④</w:t>
      </w:r>
      <w:r>
        <w:rPr>
          <w:spacing w:val="-17"/>
        </w:rPr>
        <w:t> </w:t>
      </w:r>
      <w:r>
        <w:rPr/>
        <w:t>可供出售金融资产</w:t>
      </w:r>
      <w:r>
        <w:rPr/>
        <w:t> 包括初始确认时即被指定为可供出售的非衍生金融资产，以及除了以公允价值计量且其变动计入当期损益的金融资产、</w:t>
      </w:r>
    </w:p>
    <w:p>
      <w:pPr>
        <w:pStyle w:val="BodyText"/>
        <w:spacing w:line="316" w:lineRule="auto" w:before="18"/>
        <w:ind w:left="513" w:right="90" w:hanging="360"/>
        <w:jc w:val="left"/>
      </w:pPr>
      <w:r>
        <w:rPr/>
        <w:t>贷款和应收款项、持有至到期投资以外的金融资产。 </w:t>
      </w:r>
      <w:r>
        <w:rPr>
          <w:spacing w:val="-2"/>
        </w:rPr>
        <w:t>可供出售金融资产采用公允价值进行后续计量，公允价值变动形成的利得或损失，除减值损失和外币货币性金融资产与</w:t>
      </w:r>
    </w:p>
    <w:p>
      <w:pPr>
        <w:pStyle w:val="BodyText"/>
        <w:spacing w:line="316" w:lineRule="auto" w:before="18"/>
        <w:ind w:right="90"/>
        <w:jc w:val="left"/>
      </w:pPr>
      <w:r>
        <w:rPr>
          <w:spacing w:val="-2"/>
        </w:rPr>
        <w:t>摊余成本相关的汇兑差额计入当期损益外，确认为其他综合收益并计入资本公积，在该金融资产终止确认时转出，计入当期</w:t>
      </w:r>
      <w:r>
        <w:rPr>
          <w:spacing w:val="-66"/>
        </w:rPr>
        <w:t> </w:t>
      </w:r>
      <w:r>
        <w:rPr>
          <w:spacing w:val="-66"/>
        </w:rPr>
      </w:r>
      <w:r>
        <w:rPr/>
        <w:t>损益。</w:t>
      </w:r>
    </w:p>
    <w:p>
      <w:pPr>
        <w:pStyle w:val="BodyText"/>
        <w:spacing w:line="240" w:lineRule="auto" w:before="18"/>
        <w:ind w:left="513" w:right="90"/>
        <w:jc w:val="left"/>
      </w:pPr>
      <w:r>
        <w:rPr/>
        <w:t>可供出售金融资产持有期间取得的利息及被投资单位宣告发放的现金股利，计入投资收益。</w:t>
      </w:r>
    </w:p>
    <w:p>
      <w:pPr>
        <w:pStyle w:val="BodyText"/>
        <w:spacing w:line="300" w:lineRule="auto" w:before="76"/>
        <w:ind w:left="513" w:right="9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除了以公允价值计量且其变动计入当期损益的金融资产外，本集团在每个资产负债表日对其他金融资产的账面价值进行</w:t>
      </w:r>
    </w:p>
    <w:p>
      <w:pPr>
        <w:pStyle w:val="BodyText"/>
        <w:spacing w:line="316" w:lineRule="auto" w:before="31"/>
        <w:ind w:left="513" w:right="90" w:hanging="360"/>
        <w:jc w:val="left"/>
      </w:pPr>
      <w:r>
        <w:rPr/>
        <w:t>检查，有客观证据表明金融资产发生减值的，计提减值准备。 </w:t>
      </w:r>
      <w:r>
        <w:rPr>
          <w:spacing w:val="-2"/>
        </w:rPr>
        <w:t>本集团对单项金额重大的金融资产单独进行减值测试；对单项金额不重大的金融资产，单独进行减值测试或包括在具有</w:t>
      </w:r>
    </w:p>
    <w:p>
      <w:pPr>
        <w:pStyle w:val="BodyText"/>
        <w:spacing w:line="240" w:lineRule="auto" w:before="18"/>
        <w:ind w:right="0"/>
        <w:jc w:val="left"/>
      </w:pPr>
      <w:r>
        <w:rPr/>
        <w:t>类似信用风险特征的金融资产组合中进行减值测试。单独测试未发生减值的金融资产（包括单项金额重大和不重大的金融资</w:t>
      </w:r>
    </w:p>
    <w:p>
      <w:pPr>
        <w:spacing w:after="0" w:line="240"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89"/>
        <w:jc w:val="both"/>
      </w:pP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8"/>
        <w:ind w:left="513" w:right="90"/>
        <w:jc w:val="left"/>
      </w:pPr>
      <w:r>
        <w:rPr/>
        <w:t>①</w:t>
      </w:r>
      <w:r>
        <w:rPr>
          <w:spacing w:val="-17"/>
        </w:rPr>
        <w:t> </w:t>
      </w:r>
      <w:r>
        <w:rPr/>
        <w:t>持有至到期投资、贷款和应收款项减值</w:t>
      </w:r>
      <w:r>
        <w:rPr/>
        <w:t> </w:t>
      </w:r>
      <w:r>
        <w:rPr>
          <w:spacing w:val="-2"/>
        </w:rPr>
        <w:t>以成本或摊余成本计量的金融资产将其账面价值减记至预计未来现金流量现值，减记金额确认为减值损失，计入当期损</w:t>
      </w:r>
    </w:p>
    <w:p>
      <w:pPr>
        <w:pStyle w:val="BodyText"/>
        <w:spacing w:line="316" w:lineRule="auto" w:before="18"/>
        <w:ind w:right="189"/>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8"/>
        <w:ind w:left="513" w:right="90"/>
        <w:jc w:val="left"/>
      </w:pPr>
      <w:r>
        <w:rPr/>
        <w:t>②</w:t>
      </w:r>
      <w:r>
        <w:rPr>
          <w:spacing w:val="-17"/>
        </w:rPr>
        <w:t> </w:t>
      </w:r>
      <w:r>
        <w:rPr/>
        <w:t>可供出售金融资产减值</w:t>
      </w:r>
      <w:r>
        <w:rPr/>
        <w:t> </w:t>
      </w:r>
      <w:r>
        <w:rPr>
          <w:spacing w:val="-2"/>
        </w:rPr>
        <w:t>当综合相关因素判断可供出售权益工具投资公允价值下跌是严重或非暂时性下跌时，表明该可供出售权益工具投资发生</w:t>
      </w:r>
    </w:p>
    <w:p>
      <w:pPr>
        <w:pStyle w:val="BodyText"/>
        <w:spacing w:line="300" w:lineRule="auto" w:before="18"/>
        <w:ind w:right="190"/>
        <w:jc w:val="both"/>
      </w:pPr>
      <w:r>
        <w:rPr>
          <w:spacing w:val="-1"/>
        </w:rPr>
        <w:t>减值。其中</w:t>
      </w:r>
      <w:r>
        <w:rPr>
          <w:rFonts w:ascii="Times New Roman" w:hAnsi="Times New Roman" w:cs="Times New Roman" w:eastAsia="Times New Roman" w:hint="default"/>
          <w:spacing w:val="-1"/>
        </w:rPr>
        <w:t>“</w:t>
      </w:r>
      <w:r>
        <w:rPr>
          <w:spacing w:val="-1"/>
        </w:rPr>
        <w:t>严重下跌</w:t>
      </w:r>
      <w:r>
        <w:rPr>
          <w:rFonts w:ascii="Times New Roman" w:hAnsi="Times New Roman" w:cs="Times New Roman" w:eastAsia="Times New Roman" w:hint="default"/>
          <w:spacing w:val="-1"/>
        </w:rPr>
        <w:t>”</w:t>
      </w:r>
      <w:r>
        <w:rPr>
          <w:spacing w:val="-1"/>
        </w:rPr>
        <w:t>是指公允价值下跌幅度累计超过</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w:t>
      </w:r>
      <w:r>
        <w:rPr>
          <w:spacing w:val="-1"/>
        </w:rPr>
        <w:t>非暂时性下跌</w:t>
      </w:r>
      <w:r>
        <w:rPr>
          <w:rFonts w:ascii="Times New Roman" w:hAnsi="Times New Roman" w:cs="Times New Roman" w:eastAsia="Times New Roman" w:hint="default"/>
          <w:spacing w:val="-1"/>
        </w:rPr>
        <w:t>”</w:t>
      </w:r>
      <w:r>
        <w:rPr>
          <w:spacing w:val="-1"/>
        </w:rPr>
        <w:t>是指公允价值连续下跌时间超过</w:t>
      </w:r>
      <w:r>
        <w:rPr>
          <w:rFonts w:ascii="Times New Roman" w:hAnsi="Times New Roman" w:cs="Times New Roman" w:eastAsia="Times New Roman" w:hint="default"/>
          <w:spacing w:val="-1"/>
        </w:rPr>
        <w:t>12</w:t>
      </w:r>
      <w:r>
        <w:rPr>
          <w:spacing w:val="-1"/>
        </w:rPr>
        <w:t>个月，持续</w:t>
      </w:r>
      <w:r>
        <w:rPr>
          <w:spacing w:val="-46"/>
        </w:rPr>
        <w:t> </w:t>
      </w:r>
      <w:r>
        <w:rPr>
          <w:spacing w:val="-46"/>
        </w:rPr>
      </w:r>
      <w:r>
        <w:rPr/>
        <w:t>下跌期间的确定依据为公允价值下跌幅度累计超过</w:t>
      </w:r>
      <w:r>
        <w:rPr>
          <w:rFonts w:ascii="Times New Roman" w:hAnsi="Times New Roman" w:cs="Times New Roman" w:eastAsia="Times New Roman" w:hint="default"/>
        </w:rPr>
        <w:t>10%</w:t>
      </w:r>
      <w:r>
        <w:rPr/>
        <w:t>。</w:t>
      </w:r>
    </w:p>
    <w:p>
      <w:pPr>
        <w:pStyle w:val="BodyText"/>
        <w:spacing w:line="316" w:lineRule="auto" w:before="13"/>
        <w:ind w:right="190" w:firstLine="360"/>
        <w:jc w:val="both"/>
      </w:pPr>
      <w:r>
        <w:rPr>
          <w:spacing w:val="-2"/>
        </w:rPr>
        <w:t>可供出售金融资产发生减值时，将原计入资本公积的因公允价值下降形成的累计损失予以转出并计入当期损益，该转出</w:t>
      </w:r>
      <w:r>
        <w:rPr/>
        <w:t> 的累计损失为该资产初始取得成本扣除已收回本金和已摊销金额、当前公允价值和原已计入损益的减值损失后的余额。</w:t>
      </w:r>
    </w:p>
    <w:p>
      <w:pPr>
        <w:pStyle w:val="BodyText"/>
        <w:spacing w:line="316" w:lineRule="auto" w:before="18"/>
        <w:ind w:right="190" w:firstLine="360"/>
        <w:jc w:val="both"/>
      </w:pPr>
      <w:r>
        <w:rPr>
          <w:spacing w:val="-2"/>
        </w:rPr>
        <w:t>在确认减值损失后，期后如有客观证据表明该金融资产价值已恢复，且客观上与确认该损失后发生的事项有关，原确认</w:t>
      </w:r>
      <w:r>
        <w:rPr/>
        <w:t> </w:t>
      </w: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8"/>
        <w:ind w:right="190"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240" w:lineRule="auto" w:before="18"/>
        <w:ind w:left="513" w:right="90"/>
        <w:jc w:val="left"/>
      </w:pPr>
      <w:r>
        <w:rPr/>
        <w:t>（</w:t>
      </w:r>
      <w:r>
        <w:rPr>
          <w:rFonts w:ascii="Times New Roman" w:hAnsi="Times New Roman" w:cs="Times New Roman" w:eastAsia="Times New Roman" w:hint="default"/>
        </w:rPr>
        <w:t>4</w:t>
      </w:r>
      <w:r>
        <w:rPr/>
        <w:t>）金融资产转移的确认依据和计量方法</w:t>
      </w:r>
    </w:p>
    <w:p>
      <w:pPr>
        <w:pStyle w:val="BodyText"/>
        <w:spacing w:line="316" w:lineRule="auto" w:before="62"/>
        <w:ind w:right="144" w:firstLine="360"/>
        <w:jc w:val="both"/>
      </w:pPr>
      <w:r>
        <w:rPr/>
        <w:t>满足下列条件之一的金融资产，予以终止确认：① 收取该金融资产现金流量的合同权利终止；②</w:t>
      </w:r>
      <w:r>
        <w:rPr>
          <w:spacing w:val="-37"/>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6" w:lineRule="auto" w:before="18"/>
        <w:ind w:right="19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8"/>
        <w:ind w:right="190"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8"/>
        <w:ind w:right="190"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00" w:lineRule="auto" w:before="18"/>
        <w:ind w:left="513" w:right="91"/>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right="191"/>
        <w:jc w:val="both"/>
      </w:pPr>
      <w:r>
        <w:rPr>
          <w:spacing w:val="-2"/>
        </w:rPr>
        <w:t>以公允价值计量。对于以公允价值计量且其变动计入当期损益的金融负债，相关的交易费用直接计入当期损益，对于其他金</w:t>
      </w:r>
      <w:r>
        <w:rPr>
          <w:spacing w:val="-66"/>
        </w:rPr>
        <w:t> </w:t>
      </w:r>
      <w:r>
        <w:rPr>
          <w:spacing w:val="-66"/>
        </w:rPr>
      </w:r>
      <w:r>
        <w:rPr/>
        <w:t>融负债，相关交易费用计入初始确认金额。</w:t>
      </w:r>
    </w:p>
    <w:p>
      <w:pPr>
        <w:pStyle w:val="BodyText"/>
        <w:spacing w:line="316" w:lineRule="auto" w:before="18"/>
        <w:ind w:left="513" w:right="271"/>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w:t>
      </w:r>
    </w:p>
    <w:p>
      <w:pPr>
        <w:pStyle w:val="BodyText"/>
        <w:spacing w:line="316" w:lineRule="auto" w:before="18"/>
        <w:ind w:left="513" w:right="9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240" w:lineRule="auto" w:before="18"/>
        <w:ind w:right="0"/>
        <w:jc w:val="both"/>
      </w:pPr>
      <w:r>
        <w:rPr/>
        <w:t>与该等金融负债相关的股利和利息支出计入当期损益。</w:t>
      </w:r>
    </w:p>
    <w:p>
      <w:pPr>
        <w:pStyle w:val="BodyText"/>
        <w:spacing w:line="316" w:lineRule="auto" w:before="76"/>
        <w:ind w:left="513" w:right="90"/>
        <w:jc w:val="left"/>
      </w:pPr>
      <w:r>
        <w:rPr/>
        <w:t>②</w:t>
      </w:r>
      <w:r>
        <w:rPr>
          <w:spacing w:val="-17"/>
        </w:rPr>
        <w:t> </w:t>
      </w:r>
      <w:r>
        <w:rPr/>
        <w:t>其他金融负债</w:t>
      </w:r>
      <w:r>
        <w:rPr/>
        <w:t> </w:t>
      </w:r>
      <w:r>
        <w:rPr>
          <w:spacing w:val="-2"/>
        </w:rPr>
        <w:t>与在活跃市场中没有报价、公允价值不能可靠计量的权益工具挂钩并须通过交付该权益工具结算的衍生金融负债，按照</w:t>
      </w:r>
    </w:p>
    <w:p>
      <w:pPr>
        <w:pStyle w:val="BodyText"/>
        <w:spacing w:line="316" w:lineRule="auto" w:before="18"/>
        <w:ind w:right="191"/>
        <w:jc w:val="both"/>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240" w:lineRule="auto" w:before="18"/>
        <w:ind w:left="513" w:right="90"/>
        <w:jc w:val="left"/>
      </w:pPr>
      <w:r>
        <w:rPr/>
        <w:t>③</w:t>
      </w:r>
      <w:r>
        <w:rPr>
          <w:spacing w:val="-19"/>
        </w:rPr>
        <w:t> </w:t>
      </w:r>
      <w:r>
        <w:rPr/>
        <w:t>财务担保合同及贷款承诺</w:t>
      </w:r>
    </w:p>
    <w:p>
      <w:pPr>
        <w:spacing w:after="0" w:line="240"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07" w:lineRule="auto" w:before="44"/>
        <w:ind w:right="190" w:firstLine="360"/>
        <w:jc w:val="both"/>
      </w:pPr>
      <w:r>
        <w:rPr>
          <w:spacing w:val="-2"/>
        </w:rPr>
        <w:t>不属于指定为以公允价值计量且其变动计入当期损益的金融负债的财务担保合同，或没有指定为以公允价值计量且其变</w:t>
      </w:r>
      <w:r>
        <w:rPr/>
        <w:t> </w:t>
      </w:r>
      <w:r>
        <w:rPr>
          <w:spacing w:val="-2"/>
        </w:rPr>
        <w:t>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w:t>
      </w:r>
      <w:r>
        <w:rPr>
          <w:spacing w:val="-65"/>
        </w:rPr>
        <w:t> </w:t>
      </w:r>
      <w:r>
        <w:rPr>
          <w:spacing w:val="-2"/>
        </w:rPr>
        <w:t>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收入》的原则确定的累计摊销额后的余额之中的较高</w:t>
      </w:r>
      <w:r>
        <w:rPr>
          <w:spacing w:val="-65"/>
        </w:rPr>
        <w:t> </w:t>
      </w:r>
      <w:r>
        <w:rPr>
          <w:spacing w:val="-65"/>
        </w:rPr>
      </w:r>
      <w:r>
        <w:rPr/>
        <w:t>者进行后续计量。</w:t>
      </w:r>
    </w:p>
    <w:p>
      <w:pPr>
        <w:pStyle w:val="BodyText"/>
        <w:spacing w:line="300" w:lineRule="auto" w:before="26"/>
        <w:ind w:left="513" w:right="9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金融负债的现时义务全部或部分已经解除的，才能终止确认该金融负债或其一部分。本集团（债务人）与债权人之间签</w:t>
      </w:r>
    </w:p>
    <w:p>
      <w:pPr>
        <w:pStyle w:val="BodyText"/>
        <w:spacing w:line="316" w:lineRule="auto" w:before="31"/>
        <w:ind w:right="9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8"/>
        <w:ind w:right="190"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pStyle w:val="BodyText"/>
        <w:spacing w:line="300" w:lineRule="auto" w:before="18"/>
        <w:ind w:left="513" w:right="90"/>
        <w:jc w:val="left"/>
      </w:pPr>
      <w:r>
        <w:rPr/>
        <w:t>（</w:t>
      </w:r>
      <w:r>
        <w:rPr>
          <w:rFonts w:ascii="Times New Roman" w:hAnsi="Times New Roman" w:cs="Times New Roman" w:eastAsia="Times New Roman" w:hint="default"/>
        </w:rPr>
        <w:t>7</w:t>
      </w:r>
      <w:r>
        <w:rPr/>
        <w:t>）金融资产和金融负债的抵销 </w:t>
      </w:r>
      <w:r>
        <w:rPr>
          <w:spacing w:val="-2"/>
        </w:rPr>
        <w:t>当本集团具有抵销已确认金融资产和金融负债的法定权利，且目前可执行该种法定权利，同时本集团计划以净额结算或</w:t>
      </w:r>
    </w:p>
    <w:p>
      <w:pPr>
        <w:pStyle w:val="BodyText"/>
        <w:spacing w:line="316" w:lineRule="auto" w:before="31"/>
        <w:ind w:right="9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8"/>
        <w:ind w:left="513" w:right="90"/>
        <w:jc w:val="left"/>
      </w:pPr>
      <w:r>
        <w:rPr/>
        <w:t>（</w:t>
      </w:r>
      <w:r>
        <w:rPr>
          <w:rFonts w:ascii="Times New Roman" w:hAnsi="Times New Roman" w:cs="Times New Roman" w:eastAsia="Times New Roman" w:hint="default"/>
        </w:rPr>
        <w:t>8</w:t>
      </w:r>
      <w:r>
        <w:rPr/>
        <w:t>）权益工具 </w:t>
      </w:r>
      <w:r>
        <w:rPr>
          <w:spacing w:val="-2"/>
        </w:rPr>
        <w:t>权益工具是指能证明拥有本集团在扣除所有负债后的资产中的剩余权益的合同。权益工具，在发行时收到的对价扣除交</w:t>
      </w:r>
    </w:p>
    <w:p>
      <w:pPr>
        <w:pStyle w:val="BodyText"/>
        <w:spacing w:line="316" w:lineRule="auto" w:before="31"/>
        <w:ind w:left="513" w:right="90" w:hanging="360"/>
        <w:jc w:val="left"/>
      </w:pPr>
      <w:r>
        <w:rPr/>
        <w:t>易费用后增加所有者权益。 </w:t>
      </w:r>
      <w:r>
        <w:rPr>
          <w:spacing w:val="-4"/>
        </w:rPr>
        <w:t>本集团对权益工具持有方的各种分配（不包括股票股利），减少所有者权益。本集团不确认权益工具的公允价值变动额。</w:t>
      </w:r>
    </w:p>
    <w:p>
      <w:pPr>
        <w:spacing w:line="240" w:lineRule="auto" w:before="8"/>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1"/>
        <w:jc w:val="left"/>
      </w:pPr>
      <w:r>
        <w:rPr/>
        <w:t>（</w:t>
      </w:r>
      <w:r>
        <w:rPr>
          <w:rFonts w:ascii="Times New Roman" w:hAnsi="Times New Roman" w:cs="Times New Roman" w:eastAsia="Times New Roman" w:hint="default"/>
        </w:rPr>
        <w:t>1</w:t>
      </w:r>
      <w:r>
        <w:rPr/>
        <w:t>）坏账准备的确认标准 本集团在资产负债表日对应收款项账面价值进行检查，对存在下列客观证据表明应收款项发生减值的，计提减值准备：</w:t>
      </w:r>
    </w:p>
    <w:p>
      <w:pPr>
        <w:pStyle w:val="BodyText"/>
        <w:spacing w:line="316" w:lineRule="auto" w:before="31"/>
        <w:ind w:left="154" w:right="182"/>
        <w:jc w:val="left"/>
      </w:pPr>
      <w:r>
        <w:rPr/>
        <w:t>①债务人发生严重的财务困难；②债务人违反合同条款（如偿付利息或本金发生违约或逾期等）；</w:t>
      </w:r>
      <w:r>
        <w:rPr>
          <w:spacing w:val="-2"/>
        </w:rPr>
        <w:t> </w:t>
      </w:r>
      <w:r>
        <w:rPr/>
        <w:t>③债务人很可能倒闭或</w:t>
      </w:r>
      <w:r>
        <w:rPr>
          <w:spacing w:val="-88"/>
        </w:rPr>
        <w:t> </w:t>
      </w:r>
      <w:r>
        <w:rPr>
          <w:spacing w:val="-88"/>
        </w:rPr>
      </w:r>
      <w:r>
        <w:rPr/>
        <w:t>进行其他财务重组；</w:t>
      </w:r>
      <w:r>
        <w:rPr>
          <w:spacing w:val="-19"/>
        </w:rPr>
        <w:t> </w:t>
      </w:r>
      <w:r>
        <w:rPr/>
        <w:t>④其他表明应收款项发生减值的客观依据。</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60"/>
        <w:gridCol w:w="6508"/>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万元以上的应收款项确认为单项金额重大的应收款项。</w:t>
            </w:r>
          </w:p>
        </w:tc>
      </w:tr>
      <w:tr>
        <w:trPr>
          <w:trHeight w:val="357" w:hRule="exact"/>
        </w:trPr>
        <w:tc>
          <w:tcPr>
            <w:tcW w:w="306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本集团对单项金额重大的应收款项单独进行减值测试，单独测试未发生减值的金融</w:t>
            </w:r>
          </w:p>
        </w:tc>
      </w:tr>
      <w:tr>
        <w:trPr>
          <w:trHeight w:val="312" w:hRule="exact"/>
        </w:trPr>
        <w:tc>
          <w:tcPr>
            <w:tcW w:w="30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w:t>
            </w:r>
          </w:p>
        </w:tc>
        <w:tc>
          <w:tcPr>
            <w:tcW w:w="65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资产，包括在具有类似信用风险特征的金融资产组合中进行减值测试。单项测试已</w:t>
            </w:r>
          </w:p>
        </w:tc>
      </w:tr>
      <w:tr>
        <w:trPr>
          <w:trHeight w:val="313" w:hRule="exact"/>
        </w:trPr>
        <w:tc>
          <w:tcPr>
            <w:tcW w:w="30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计提方法</w:t>
            </w:r>
          </w:p>
        </w:tc>
        <w:tc>
          <w:tcPr>
            <w:tcW w:w="65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确认减值损失的应收款项，不再包括在具有类似信用风险特征的应收款项组合中进</w:t>
            </w:r>
          </w:p>
        </w:tc>
      </w:tr>
      <w:tr>
        <w:trPr>
          <w:trHeight w:val="356" w:hRule="exact"/>
        </w:trPr>
        <w:tc>
          <w:tcPr>
            <w:tcW w:w="306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40"/>
        <w:gridCol w:w="1800"/>
        <w:gridCol w:w="6328"/>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3" w:right="84" w:hanging="360"/>
              <w:jc w:val="left"/>
              <w:rPr>
                <w:rFonts w:ascii="宋体" w:hAnsi="宋体" w:cs="宋体" w:eastAsia="宋体" w:hint="default"/>
                <w:sz w:val="18"/>
                <w:szCs w:val="18"/>
              </w:rPr>
            </w:pPr>
            <w:r>
              <w:rPr>
                <w:rFonts w:ascii="宋体" w:hAnsi="宋体" w:cs="宋体" w:eastAsia="宋体" w:hint="default"/>
                <w:sz w:val="18"/>
                <w:szCs w:val="18"/>
              </w:rPr>
              <w:t>按组合计提坏账准备 的计提方法</w:t>
            </w:r>
          </w:p>
        </w:tc>
        <w:tc>
          <w:tcPr>
            <w:tcW w:w="6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不计提坏账</w:t>
            </w:r>
          </w:p>
        </w:tc>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对单项金额重大或者具有某些特定风险特征的应收款项单独进行减值测试以后， 管理层认为于资产负债表日未发生减值的应收款项。</w:t>
            </w:r>
          </w:p>
        </w:tc>
      </w:tr>
      <w:tr>
        <w:trPr>
          <w:trHeight w:val="98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一般风险组合</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指管理层对于不符合单独进行减值测试的标准（单项金额重大或者具有某些特定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风险特征），因而采用账龄等信用风险特征作为分类依据划分为若干组合，针对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每一组合共同的信用风险特征确定各组合的坏账准备计提比例，以信用风险组合</w:t>
            </w:r>
          </w:p>
        </w:tc>
      </w:tr>
    </w:tbl>
    <w:p>
      <w:pPr>
        <w:spacing w:after="0" w:line="316" w:lineRule="auto"/>
        <w:jc w:val="left"/>
        <w:rPr>
          <w:rFonts w:ascii="宋体" w:hAnsi="宋体" w:cs="宋体" w:eastAsia="宋体" w:hint="default"/>
          <w:sz w:val="18"/>
          <w:szCs w:val="18"/>
        </w:rPr>
        <w:sectPr>
          <w:footerReference w:type="default" r:id="rId25"/>
          <w:pgSz w:w="11910" w:h="16840"/>
          <w:pgMar w:footer="950" w:header="877" w:top="1100" w:bottom="1140" w:left="980" w:right="940"/>
          <w:pgNumType w:start="11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440"/>
        <w:gridCol w:w="1800"/>
        <w:gridCol w:w="6328"/>
      </w:tblGrid>
      <w:tr>
        <w:trPr>
          <w:trHeight w:val="362" w:hRule="exact"/>
        </w:trPr>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为单位计提坏账准备的应收款项。</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1"/>
        <w:ind w:left="154" w:right="0"/>
        <w:jc w:val="left"/>
      </w:pPr>
      <w:r>
        <w:rPr/>
        <w:t>组合中，采用余额百分比法计提坏账准备的</w:t>
      </w:r>
    </w:p>
    <w:p>
      <w:pPr>
        <w:pStyle w:val="BodyText"/>
        <w:spacing w:line="357" w:lineRule="auto" w:before="117"/>
        <w:ind w:right="6711"/>
        <w:jc w:val="left"/>
      </w:pPr>
      <w:r>
        <w:rPr/>
        <w:t>□ 适用 √ 不适用 组合中，采用其他方法计提坏账准备的</w:t>
      </w:r>
    </w:p>
    <w:p>
      <w:pPr>
        <w:pStyle w:val="BodyText"/>
        <w:spacing w:line="240" w:lineRule="auto" w:before="29"/>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308"/>
        <w:gridCol w:w="5386"/>
      </w:tblGrid>
      <w:tr>
        <w:trPr>
          <w:trHeight w:val="402" w:hRule="exact"/>
        </w:trPr>
        <w:tc>
          <w:tcPr>
            <w:tcW w:w="4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2" w:hRule="exact"/>
        </w:trPr>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不计提坏账</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5"/>
        <w:rPr>
          <w:rFonts w:ascii="宋体" w:hAnsi="宋体" w:cs="宋体" w:eastAsia="宋体" w:hint="default"/>
          <w:b/>
          <w:bCs/>
          <w:sz w:val="25"/>
          <w:szCs w:val="25"/>
        </w:rPr>
      </w:pPr>
    </w:p>
    <w:p>
      <w:pPr>
        <w:spacing w:line="1357" w:lineRule="exact"/>
        <w:ind w:left="144"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9.35pt;height:67.9pt;mso-position-horizontal-relative:char;mso-position-vertical-relative:line" coordorigin="0,0" coordsize="9587,1358">
            <v:group style="position:absolute;left:14;top:873;width:2871;height:470" coordorigin="14,873" coordsize="2871,470">
              <v:shape style="position:absolute;left:14;top:873;width:2871;height:470" coordorigin="14,873" coordsize="2871,470" path="m14,1343l2885,1343,2885,873,14,873,14,1343xe" filled="true" fillcolor="#d3d3d3" stroked="false">
                <v:path arrowok="t"/>
                <v:fill type="solid"/>
              </v:shape>
            </v:group>
            <v:group style="position:absolute;left:26;top:483;width:2;height:390" coordorigin="26,483" coordsize="2,390">
              <v:shape style="position:absolute;left:26;top:483;width:2;height:390" coordorigin="26,483" coordsize="0,390" path="m26,483l26,873e" filled="false" stroked="true" strokeweight="1.140pt" strokecolor="#d3d3d3">
                <v:path arrowok="t"/>
              </v:shape>
            </v:group>
            <v:group style="position:absolute;left:14;top:15;width:2871;height:468" coordorigin="14,15" coordsize="2871,468">
              <v:shape style="position:absolute;left:14;top:15;width:2871;height:468" coordorigin="14,15" coordsize="2871,468" path="m14,483l2885,483,2885,15,14,15,14,483xe" filled="true" fillcolor="#d3d3d3" stroked="false">
                <v:path arrowok="t"/>
                <v:fill type="solid"/>
              </v:shape>
            </v:group>
            <v:group style="position:absolute;left:2873;top:482;width:2;height:392" coordorigin="2873,482" coordsize="2,392">
              <v:shape style="position:absolute;left:2873;top:482;width:2;height:392" coordorigin="2873,482" coordsize="0,392" path="m2873,482l2873,874e" filled="false" stroked="true" strokeweight="1.2pt" strokecolor="#d3d3d3">
                <v:path arrowok="t"/>
              </v:shape>
            </v:group>
            <v:group style="position:absolute;left:37;top:482;width:2824;height:392" coordorigin="37,482" coordsize="2824,392">
              <v:shape style="position:absolute;left:37;top:482;width:2824;height:392" coordorigin="37,482" coordsize="2824,392" path="m37,874l2861,874,2861,482,37,482,37,874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1348" coordorigin="10,5" coordsize="2,1348">
              <v:shape style="position:absolute;left:10;top:5;width:2;height:1348" coordorigin="10,5" coordsize="0,1348" path="m10,5l10,1352e" filled="false" stroked="true" strokeweight=".48pt" strokecolor="#000000">
                <v:path arrowok="t"/>
              </v:shape>
            </v:group>
            <v:group style="position:absolute;left:5;top:1348;width:2880;height:2" coordorigin="5,1348" coordsize="2880,2">
              <v:shape style="position:absolute;left:5;top:1348;width:2880;height:2" coordorigin="5,1348" coordsize="2880,0" path="m5,1348l2885,1348e" filled="false" stroked="true" strokeweight=".48pt" strokecolor="#000000">
                <v:path arrowok="t"/>
              </v:shape>
            </v:group>
            <v:group style="position:absolute;left:2890;top:14;width:2;height:1338" coordorigin="2890,14" coordsize="2,1338">
              <v:shape style="position:absolute;left:2890;top:14;width:2;height:1338" coordorigin="2890,14" coordsize="0,1338" path="m2890,14l2890,1352e" filled="false" stroked="true" strokeweight=".48pt" strokecolor="#000000">
                <v:path arrowok="t"/>
              </v:shape>
            </v:group>
            <v:group style="position:absolute;left:2894;top:1348;width:6678;height:2" coordorigin="2894,1348" coordsize="6678,2">
              <v:shape style="position:absolute;left:2894;top:1348;width:6678;height:2" coordorigin="2894,1348" coordsize="6678,0" path="m2894,1348l9572,1348e" filled="false" stroked="true" strokeweight=".48pt" strokecolor="#000000">
                <v:path arrowok="t"/>
              </v:shape>
            </v:group>
            <v:group style="position:absolute;left:9577;top:5;width:2;height:1348" coordorigin="9577,5" coordsize="2,1348">
              <v:shape style="position:absolute;left:9577;top:5;width:2;height:1348" coordorigin="9577,5" coordsize="0,1348" path="m9577,5l9577,1352e" filled="false" stroked="true" strokeweight=".48pt" strokecolor="#000000">
                <v:path arrowok="t"/>
              </v:shape>
              <v:shape style="position:absolute;left:10;top:10;width:2880;height:133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22"/>
                          <w:szCs w:val="22"/>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2890;top:10;width:6688;height:1338" type="#_x0000_t202" filled="false" stroked="false">
                <v:textbox inset="0,0,0,0">
                  <w:txbxContent>
                    <w:p>
                      <w:pPr>
                        <w:spacing w:line="316" w:lineRule="auto" w:before="56"/>
                        <w:ind w:left="27" w:right="26" w:firstLine="0"/>
                        <w:jc w:val="both"/>
                        <w:rPr>
                          <w:rFonts w:ascii="宋体" w:hAnsi="宋体" w:cs="宋体" w:eastAsia="宋体" w:hint="default"/>
                          <w:sz w:val="18"/>
                          <w:szCs w:val="18"/>
                        </w:rPr>
                      </w:pPr>
                      <w:r>
                        <w:rPr>
                          <w:rFonts w:ascii="宋体" w:hAnsi="宋体" w:cs="宋体" w:eastAsia="宋体" w:hint="default"/>
                          <w:spacing w:val="-1"/>
                          <w:sz w:val="18"/>
                          <w:szCs w:val="18"/>
                        </w:rPr>
                        <w:t>本集团对于单项金额虽不重大但具备以下特征的应收款项，单独进行减值测试，有客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观证据表明其发生了减值的，根据其未来现金流量现值低于其账面价值的差额，确认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减值损失，计提坏账准备：应收关联方款项；与对方存在争议或涉及诉讼、仲裁的应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收款项；已有明显迹象表明债务人很可能无法履行还款义务的应收款项等。</w:t>
                      </w:r>
                    </w:p>
                  </w:txbxContent>
                </v:textbox>
                <w10:wrap type="none"/>
              </v:shape>
            </v:group>
          </v:group>
        </w:pict>
      </w:r>
      <w:r>
        <w:rPr>
          <w:rFonts w:ascii="宋体" w:hAnsi="宋体" w:cs="宋体" w:eastAsia="宋体" w:hint="default"/>
          <w:position w:val="-26"/>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）坏账准备的转回</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75"/>
        <w:jc w:val="left"/>
      </w:pPr>
      <w:r>
        <w:rPr/>
        <w:t>如有客观证据表明该应收款项价值已恢复，且客观上与确认该损失后发生的事项有关，原确认的减值损失予以转回， 计入当期损益。但是，该转回后的账面价值不超过假定不计提减值准备情况下该应收款项在转回日的摊余成本。</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存货主要包括原材料、在产品、库存商品、开发产品等。</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3" w:right="0"/>
        <w:jc w:val="left"/>
      </w:pPr>
      <w:r>
        <w:rPr/>
        <w:t>计价方法：加权平均法 存货在取得时按实际成本计价，存货成本包括采购成本、加工成本和其他成本。领用和发出时按加权平均法计价。 </w:t>
      </w:r>
      <w:r>
        <w:rPr>
          <w:spacing w:val="-2"/>
        </w:rPr>
        <w:t>本公司所属土地开发企业存货按成本进行初始计量。存货主要包括土地开发产品。开发产品的成本包括前期工程费、基</w:t>
      </w:r>
    </w:p>
    <w:p>
      <w:pPr>
        <w:pStyle w:val="BodyText"/>
        <w:spacing w:line="316" w:lineRule="auto" w:before="2"/>
        <w:ind w:left="154" w:right="0"/>
        <w:jc w:val="left"/>
      </w:pPr>
      <w:r>
        <w:rPr>
          <w:spacing w:val="-2"/>
        </w:rPr>
        <w:t>础配套设施支出、建筑安装工程支出、开发项目完工之前所发生的借款费用及开发过程中的其他相关费用。存货发出时，采</w:t>
      </w:r>
      <w:r>
        <w:rPr>
          <w:spacing w:val="-66"/>
        </w:rPr>
        <w:t> </w:t>
      </w:r>
      <w:r>
        <w:rPr>
          <w:spacing w:val="-66"/>
        </w:rPr>
      </w:r>
      <w:r>
        <w:rPr/>
        <w:t>用个别计价法确定其实际成本。</w:t>
      </w:r>
    </w:p>
    <w:p>
      <w:pPr>
        <w:spacing w:after="0" w:line="316" w:lineRule="auto"/>
        <w:jc w:val="left"/>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8" w:firstLine="360"/>
        <w:jc w:val="both"/>
      </w:pPr>
      <w:r>
        <w:rPr>
          <w:spacing w:val="-2"/>
        </w:rPr>
        <w:t>可变现净值是指在日常活动中，存货的估计售价减去至完工时估计将要发生的成本、估计的销售费用以及相关税费后的</w:t>
      </w:r>
      <w:r>
        <w:rPr/>
        <w:t> 金额。在确定存货的可变现净值时，以取得的确凿证据为基础，同时考虑持有存货的目的以及资产负债表日后事项的影响。</w:t>
      </w:r>
    </w:p>
    <w:p>
      <w:pPr>
        <w:pStyle w:val="BodyText"/>
        <w:spacing w:line="316" w:lineRule="auto" w:before="18"/>
        <w:ind w:left="154" w:right="189" w:firstLine="360"/>
        <w:jc w:val="both"/>
      </w:pPr>
      <w:r>
        <w:rPr>
          <w:spacing w:val="-2"/>
        </w:rPr>
        <w:t>在资产负债表日，存货按照成本与可变现净值孰低计量。当其可变现净值低于成本时，提取存货跌价准备。存货跌价准</w:t>
      </w:r>
      <w:r>
        <w:rPr/>
        <w:t> 备按单个存货项目的成本高于其可变现净值的差额提取。</w:t>
      </w:r>
    </w:p>
    <w:p>
      <w:pPr>
        <w:pStyle w:val="BodyText"/>
        <w:spacing w:line="316" w:lineRule="auto" w:before="18"/>
        <w:ind w:left="154" w:right="191" w:firstLine="360"/>
        <w:jc w:val="both"/>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0"/>
        <w:jc w:val="left"/>
      </w:pPr>
      <w:r>
        <w:rPr/>
        <w:t>盘存制度：永续盘存制</w:t>
      </w:r>
    </w:p>
    <w:p>
      <w:pPr>
        <w:spacing w:line="240" w:lineRule="auto" w:before="10"/>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11"/>
        <w:jc w:val="left"/>
      </w:pPr>
      <w:r>
        <w:rPr/>
        <w:t>低值易耗品 摊销方法：一次摊销法 包装物 摊销方法：一次摊销法</w:t>
      </w:r>
    </w:p>
    <w:p>
      <w:pPr>
        <w:spacing w:line="240" w:lineRule="auto" w:before="1"/>
        <w:rPr>
          <w:rFonts w:ascii="宋体" w:hAnsi="宋体" w:cs="宋体" w:eastAsia="宋体" w:hint="default"/>
          <w:sz w:val="20"/>
          <w:szCs w:val="20"/>
        </w:rPr>
      </w:pPr>
    </w:p>
    <w:p>
      <w:pPr>
        <w:pStyle w:val="Heading4"/>
        <w:spacing w:line="240" w:lineRule="auto"/>
        <w:ind w:right="9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90" w:firstLine="360"/>
        <w:jc w:val="both"/>
      </w:pPr>
      <w:r>
        <w:rPr>
          <w:spacing w:val="-2"/>
        </w:rPr>
        <w:t>对于企业合并形成的长期股权投资，如为同一控制下的企业合并取得的长期股权投资，在合并日按照取得被合并方所有</w:t>
      </w:r>
      <w:r>
        <w:rPr/>
        <w:t> </w:t>
      </w:r>
      <w:r>
        <w:rPr>
          <w:spacing w:val="-2"/>
        </w:rPr>
        <w:t>者权益账面价值的份额作为初始投资成本。通过非同一控制下的企业合并取得的长期股权投资，企业合并成本包括购买方付</w:t>
      </w:r>
      <w:r>
        <w:rPr>
          <w:spacing w:val="-64"/>
        </w:rPr>
        <w:t> </w:t>
      </w:r>
      <w:r>
        <w:rPr>
          <w:spacing w:val="-64"/>
        </w:rPr>
      </w:r>
      <w:r>
        <w:rPr>
          <w:spacing w:val="-2"/>
        </w:rPr>
        <w:t>出的资产、发生或承担的负债、发行的权益性证券的公允价值之和；购买方为企业合并发生的审计、法律服务、评估咨询等</w:t>
      </w:r>
      <w:r>
        <w:rPr>
          <w:spacing w:val="-66"/>
        </w:rPr>
        <w:t> </w:t>
      </w:r>
      <w:r>
        <w:rPr>
          <w:spacing w:val="-66"/>
        </w:rPr>
      </w:r>
      <w:r>
        <w:rPr>
          <w:spacing w:val="-2"/>
        </w:rPr>
        <w:t>中介费用以及其他相关管理费用，应当于发生时计入当期损益；购买方作为合并对价发行的权益性证券或债务性证券的交易</w:t>
      </w:r>
      <w:r>
        <w:rPr>
          <w:spacing w:val="-64"/>
        </w:rPr>
        <w:t> </w:t>
      </w:r>
      <w:r>
        <w:rPr>
          <w:spacing w:val="-64"/>
        </w:rPr>
      </w:r>
      <w:r>
        <w:rPr/>
        <w:t>费用，应当计入权益性证券或债务性证券的初始确认金额。</w:t>
      </w:r>
    </w:p>
    <w:p>
      <w:pPr>
        <w:pStyle w:val="BodyText"/>
        <w:spacing w:line="319" w:lineRule="auto" w:before="56"/>
        <w:ind w:right="190" w:firstLine="360"/>
        <w:jc w:val="both"/>
      </w:pPr>
      <w:r>
        <w:rPr>
          <w:spacing w:val="-2"/>
        </w:rPr>
        <w:t>除企业合并形成的长期股权投资外的其他股权投资，按成本进行初始计量，该成本视长期股权投资取得方式的不同，分</w:t>
      </w:r>
      <w:r>
        <w:rPr/>
        <w:t> </w:t>
      </w:r>
      <w:r>
        <w:rPr>
          <w:spacing w:val="-2"/>
        </w:rPr>
        <w:t>别按照本集团实际支付的现金购买价款、本集团发行的权益性证券的公允价值、投资合同或协议约定的价值、非货币性资产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t>关的费用、税金及其他必要支出也计入投资成本。</w:t>
      </w:r>
    </w:p>
    <w:p>
      <w:pPr>
        <w:spacing w:line="240" w:lineRule="auto" w:before="3"/>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90" w:firstLine="360"/>
        <w:jc w:val="both"/>
      </w:pPr>
      <w:r>
        <w:rPr>
          <w:spacing w:val="-2"/>
        </w:rPr>
        <w:t>对被投资单位不具有共同控制或重大影响并且在活跃市场中没有报价、公允价值不能可靠计量的长期股权投资，采用成</w:t>
      </w:r>
      <w:r>
        <w:rPr/>
        <w:t> </w:t>
      </w:r>
      <w:r>
        <w:rPr>
          <w:spacing w:val="-2"/>
        </w:rPr>
        <w:t>本法核算；对被投资单位具有共同控制（构成共同经营者除外）或重大影响的长期股权投资，采用权益法核算；对被投资单</w:t>
      </w:r>
      <w:r>
        <w:rPr>
          <w:spacing w:val="-66"/>
        </w:rPr>
        <w:t> </w:t>
      </w:r>
      <w:r>
        <w:rPr>
          <w:spacing w:val="-66"/>
        </w:rPr>
      </w:r>
      <w:r>
        <w:rPr>
          <w:spacing w:val="-2"/>
        </w:rPr>
        <w:t>位不具有控制、共同控制或重大影响并且公允价值能够可靠计量的长期股权投资，作为可供出售金融资产或以公允价值计量</w:t>
      </w:r>
      <w:r>
        <w:rPr>
          <w:spacing w:val="-64"/>
        </w:rPr>
        <w:t> </w:t>
      </w:r>
      <w:r>
        <w:rPr>
          <w:spacing w:val="-64"/>
        </w:rPr>
      </w:r>
      <w:r>
        <w:rPr/>
        <w:t>且其变动计入当期损益的金融资产核算。</w:t>
      </w:r>
    </w:p>
    <w:p>
      <w:pPr>
        <w:pStyle w:val="BodyText"/>
        <w:spacing w:line="240" w:lineRule="auto" w:before="56"/>
        <w:ind w:left="513" w:right="90"/>
        <w:jc w:val="left"/>
      </w:pPr>
      <w:r>
        <w:rPr/>
        <w:t>此外，公司财务报表采用成本法核算能够对被投资单位实施控制的长期股权投资。</w:t>
      </w:r>
    </w:p>
    <w:p>
      <w:pPr>
        <w:pStyle w:val="BodyText"/>
        <w:spacing w:line="357" w:lineRule="auto" w:before="116"/>
        <w:ind w:left="513" w:right="90"/>
        <w:jc w:val="left"/>
      </w:pPr>
      <w:r>
        <w:rPr/>
        <w:t>① 成本法核算的长期股权投资 </w:t>
      </w:r>
      <w:r>
        <w:rPr>
          <w:spacing w:val="-2"/>
        </w:rPr>
        <w:t>采用成本法核算时，长期股权投资按初始投资成本计价，除取得投资时实际支付的价款或者对价中包含的已宣告但尚未</w:t>
      </w:r>
    </w:p>
    <w:p>
      <w:pPr>
        <w:pStyle w:val="BodyText"/>
        <w:spacing w:line="225" w:lineRule="exact"/>
        <w:ind w:right="90"/>
        <w:jc w:val="left"/>
      </w:pPr>
      <w:r>
        <w:rPr/>
        <w:t>发放的现金股利或者利润外，当期投资收益按照享有被投资单位宣告发放的现金股利或利润确认。</w:t>
      </w:r>
    </w:p>
    <w:p>
      <w:pPr>
        <w:spacing w:after="0" w:line="225" w:lineRule="exact"/>
        <w:jc w:val="left"/>
        <w:sectPr>
          <w:pgSz w:w="11910" w:h="16840"/>
          <w:pgMar w:header="877" w:footer="950" w:top="1100" w:bottom="1140" w:left="980" w:right="940"/>
        </w:sectPr>
      </w:pPr>
    </w:p>
    <w:p>
      <w:pPr>
        <w:spacing w:line="240" w:lineRule="auto" w:before="13"/>
        <w:rPr>
          <w:rFonts w:ascii="宋体" w:hAnsi="宋体" w:cs="宋体" w:eastAsia="宋体" w:hint="default"/>
          <w:sz w:val="21"/>
          <w:szCs w:val="21"/>
        </w:rPr>
      </w:pPr>
    </w:p>
    <w:p>
      <w:pPr>
        <w:pStyle w:val="BodyText"/>
        <w:spacing w:line="357" w:lineRule="auto" w:before="44"/>
        <w:ind w:left="513" w:right="90"/>
        <w:jc w:val="left"/>
      </w:pPr>
      <w:r>
        <w:rPr/>
        <w:t>② 权益法核算的长期股权投资 </w:t>
      </w:r>
      <w:r>
        <w:rPr>
          <w:spacing w:val="-2"/>
        </w:rPr>
        <w:t>采用权益法核算时，长期股权投资的初始投资成本大于投资时应享有被投资单位可辨认净资产公允价值份额的，不调整</w:t>
      </w:r>
    </w:p>
    <w:p>
      <w:pPr>
        <w:pStyle w:val="BodyText"/>
        <w:spacing w:line="224" w:lineRule="exact"/>
        <w:ind w:right="0"/>
        <w:jc w:val="both"/>
      </w:pPr>
      <w:r>
        <w:rPr/>
        <w:t>长期股权投资的初始投资成本；初始投资成本小于投资时应享有被投资单位可辨认净资产公允价值份额的，其差额计入当期</w:t>
      </w:r>
    </w:p>
    <w:p>
      <w:pPr>
        <w:pStyle w:val="BodyText"/>
        <w:spacing w:line="357" w:lineRule="auto" w:before="77"/>
        <w:ind w:left="513" w:right="90" w:hanging="360"/>
        <w:jc w:val="left"/>
      </w:pPr>
      <w:r>
        <w:rPr/>
        <w:t>损益，同时调整长期股权投资的成本。 </w:t>
      </w:r>
      <w:r>
        <w:rPr>
          <w:spacing w:val="-2"/>
        </w:rPr>
        <w:t>采用权益法核算时，当期投资损益为应享有或应分担的被投资单位当年实现的净损益的份额。在确认应享有被投资单位</w:t>
      </w:r>
    </w:p>
    <w:p>
      <w:pPr>
        <w:pStyle w:val="BodyText"/>
        <w:spacing w:line="224" w:lineRule="exact"/>
        <w:ind w:right="0"/>
        <w:jc w:val="both"/>
      </w:pPr>
      <w:r>
        <w:rPr/>
        <w:t>净损益的份额时，以取得投资时被投资单位各项可辨认资产等的公允价值为基础，并按照本集团的会计政策及会计期间，对</w:t>
      </w:r>
    </w:p>
    <w:p>
      <w:pPr>
        <w:pStyle w:val="BodyText"/>
        <w:spacing w:line="312" w:lineRule="auto" w:before="76"/>
        <w:ind w:right="189"/>
        <w:jc w:val="both"/>
      </w:pPr>
      <w:r>
        <w:rPr>
          <w:spacing w:val="-2"/>
        </w:rPr>
        <w:t>被投资单位的净利润进行调整后确认。对于本集团与联营企业及合营之间发生的未实现内部交易损益，按照持股比例计算属</w:t>
      </w:r>
      <w:r>
        <w:rPr>
          <w:spacing w:val="-64"/>
        </w:rPr>
        <w:t> </w:t>
      </w:r>
      <w:r>
        <w:rPr>
          <w:spacing w:val="-64"/>
        </w:rPr>
      </w:r>
      <w:r>
        <w:rPr>
          <w:spacing w:val="-2"/>
        </w:rPr>
        <w:t>于本集团的部分予以抵销，在此基础上确认投资损益。但本集团与被投资单位发生的未实现内部交易损失，按照《企业会计</w:t>
      </w:r>
      <w:r>
        <w:rPr>
          <w:spacing w:val="-66"/>
        </w:rPr>
        <w:t> </w:t>
      </w:r>
      <w:r>
        <w:rPr>
          <w:spacing w:val="-66"/>
        </w:rPr>
      </w:r>
      <w:r>
        <w:rPr/>
        <w:t>准则第</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2"/>
        </w:rPr>
        <w:t>号</w:t>
      </w:r>
      <w:r>
        <w:rPr>
          <w:rFonts w:ascii="Times New Roman" w:hAnsi="Times New Roman" w:cs="Times New Roman" w:eastAsia="Times New Roman" w:hint="default"/>
          <w:spacing w:val="-2"/>
        </w:rPr>
        <w:t>——</w:t>
      </w:r>
      <w:r>
        <w:rPr>
          <w:spacing w:val="-2"/>
        </w:rPr>
        <w:t>资产减值》等规定属于所转让资产减值损失的，不予以抵销。对被投资单位的其他综合收益，相应调整长期</w:t>
      </w:r>
      <w:r>
        <w:rPr>
          <w:spacing w:val="-88"/>
        </w:rPr>
        <w:t> </w:t>
      </w:r>
      <w:r>
        <w:rPr>
          <w:spacing w:val="-88"/>
        </w:rPr>
      </w:r>
      <w:r>
        <w:rPr/>
        <w:t>股权投资的账面价值确认为其他综合收益并计入资本公积。</w:t>
      </w:r>
    </w:p>
    <w:p>
      <w:pPr>
        <w:pStyle w:val="BodyText"/>
        <w:spacing w:line="319" w:lineRule="auto" w:before="61"/>
        <w:ind w:left="154" w:right="189"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益减记至零为限。此外，如本集团对被投资单位负有承担额外损失的义务，则按预计承担的义务确认预计负债，计入当期投</w:t>
      </w:r>
      <w:r>
        <w:rPr>
          <w:spacing w:val="-66"/>
        </w:rPr>
        <w:t> </w:t>
      </w:r>
      <w:r>
        <w:rPr>
          <w:spacing w:val="-66"/>
        </w:rPr>
      </w:r>
      <w:r>
        <w:rPr/>
        <w:t>资损失。被投资单位以后期间实现净利润的，本集团在收益分享额弥补未确认的亏损分担额后，恢复确认收益分享额。</w:t>
      </w:r>
    </w:p>
    <w:p>
      <w:pPr>
        <w:pStyle w:val="BodyText"/>
        <w:spacing w:line="302" w:lineRule="auto" w:before="55"/>
        <w:ind w:left="154" w:right="199" w:firstLine="359"/>
        <w:jc w:val="both"/>
      </w:pPr>
      <w:r>
        <w:rPr/>
        <w:t>对于本集团</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日首次执行新会计准则之前已经持有的对联营企业和合营企业的长期股权投资，如存在与该 投资相关的股权投资借方差额，按原剩余期限直线摊销的金额计入当期损益。</w:t>
      </w:r>
    </w:p>
    <w:p>
      <w:pPr>
        <w:pStyle w:val="BodyText"/>
        <w:spacing w:line="357" w:lineRule="auto" w:before="70"/>
        <w:ind w:left="514" w:right="90"/>
        <w:jc w:val="left"/>
      </w:pPr>
      <w:r>
        <w:rPr/>
        <w:t>③ 收购少数股权 </w:t>
      </w:r>
      <w:r>
        <w:rPr>
          <w:spacing w:val="-2"/>
        </w:rPr>
        <w:t>在编制合并财务报表时，因购买少数股权新增的长期股权投资与按照新增持股比例计算应享有子公司自购买日（或合并</w:t>
      </w:r>
    </w:p>
    <w:p>
      <w:pPr>
        <w:pStyle w:val="BodyText"/>
        <w:spacing w:line="225" w:lineRule="exact"/>
        <w:ind w:left="154" w:right="0"/>
        <w:jc w:val="both"/>
      </w:pPr>
      <w:r>
        <w:rPr/>
        <w:t>日）开始持续计算的净资产份额之间的差额，调整资本公积，资本公积不足冲减的，调整留存收益。</w:t>
      </w:r>
    </w:p>
    <w:p>
      <w:pPr>
        <w:pStyle w:val="BodyText"/>
        <w:spacing w:line="357" w:lineRule="auto" w:before="116"/>
        <w:ind w:left="514" w:right="90"/>
        <w:jc w:val="left"/>
      </w:pPr>
      <w:r>
        <w:rPr/>
        <w:t>④ 处置长期股权投资 </w:t>
      </w:r>
      <w:r>
        <w:rPr>
          <w:spacing w:val="-2"/>
        </w:rPr>
        <w:t>在合并财务报表中，母公司在不丧失控制权的情况下部分处置对子公司的长期股权投资，处置价款与处置长期股权投资</w:t>
      </w:r>
    </w:p>
    <w:p>
      <w:pPr>
        <w:pStyle w:val="BodyText"/>
        <w:spacing w:line="224" w:lineRule="exact"/>
        <w:ind w:left="154" w:right="0"/>
        <w:jc w:val="both"/>
      </w:pPr>
      <w:r>
        <w:rPr/>
        <w:t>相对应享有子公司净资产的差额计入所有者权益；母公司部分处置对子公司的长期股权投资导致丧失对子公司控制权的，按</w:t>
      </w:r>
    </w:p>
    <w:p>
      <w:pPr>
        <w:pStyle w:val="BodyText"/>
        <w:spacing w:line="338" w:lineRule="auto" w:before="77"/>
        <w:ind w:left="514" w:right="90" w:hanging="360"/>
        <w:jc w:val="left"/>
      </w:pPr>
      <w:r>
        <w:rPr>
          <w:spacing w:val="-5"/>
        </w:rPr>
        <w:t>本附注四、</w:t>
      </w:r>
      <w:r>
        <w:rPr>
          <w:rFonts w:ascii="Times New Roman" w:hAnsi="Times New Roman" w:cs="Times New Roman" w:eastAsia="Times New Roman" w:hint="default"/>
          <w:spacing w:val="-5"/>
        </w:rPr>
        <w:t>6</w:t>
      </w:r>
      <w:r>
        <w:rPr>
          <w:spacing w:val="-5"/>
        </w:rPr>
        <w:t>、（</w:t>
      </w:r>
      <w:r>
        <w:rPr>
          <w:rFonts w:ascii="Times New Roman" w:hAnsi="Times New Roman" w:cs="Times New Roman" w:eastAsia="Times New Roman" w:hint="default"/>
          <w:spacing w:val="-5"/>
        </w:rPr>
        <w:t>1</w:t>
      </w:r>
      <w:r>
        <w:rPr>
          <w:spacing w:val="-5"/>
        </w:rPr>
        <w:t>）“合并财务报表编制的方法”中所述的相关会计政策处理。</w:t>
      </w:r>
      <w:r>
        <w:rPr/>
        <w:t> </w:t>
      </w:r>
      <w:r>
        <w:rPr>
          <w:spacing w:val="-2"/>
        </w:rPr>
        <w:t>其他情形下的长期股权投资处置，对于处置的股权，其账面价值与实际取得价款的差额，计入当期损益；采用权益法核</w:t>
      </w:r>
    </w:p>
    <w:p>
      <w:pPr>
        <w:pStyle w:val="BodyText"/>
        <w:spacing w:line="319" w:lineRule="auto" w:before="2"/>
        <w:ind w:left="154" w:right="189"/>
        <w:jc w:val="both"/>
      </w:pPr>
      <w:r>
        <w:rPr>
          <w:spacing w:val="-2"/>
        </w:rPr>
        <w:t>算的长期股权投资，在处置时将原计入所有者权益的其他综合收益部分按相应的比例转入当期损益。对于剩余股权，按其账</w:t>
      </w:r>
      <w:r>
        <w:rPr>
          <w:spacing w:val="-66"/>
        </w:rPr>
        <w:t> </w:t>
      </w:r>
      <w:r>
        <w:rPr>
          <w:spacing w:val="-66"/>
        </w:rPr>
      </w:r>
      <w:r>
        <w:rPr>
          <w:spacing w:val="-2"/>
        </w:rPr>
        <w:t>面价值确认为长期股权投资或其他相关金融资产，并按前述长期股权投资或金融资产的会计政策进行后续计量。涉及对剩余</w:t>
      </w:r>
      <w:r>
        <w:rPr>
          <w:spacing w:val="-64"/>
        </w:rPr>
        <w:t> </w:t>
      </w:r>
      <w:r>
        <w:rPr>
          <w:spacing w:val="-64"/>
        </w:rPr>
      </w:r>
      <w:r>
        <w:rPr/>
        <w:t>股权由成本法转为权益法核算的，按相关规定进行追溯调整。</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90" w:firstLine="360"/>
        <w:jc w:val="left"/>
      </w:pPr>
      <w:r>
        <w:rPr>
          <w:spacing w:val="-2"/>
        </w:rPr>
        <w:t>控制是指有权决定一个企业的财务和经营政策，并能据以从该企业的经营活动中获取利益。共同控制是指按照合同约定</w:t>
      </w:r>
      <w:r>
        <w:rPr/>
        <w:t> 对某项经济活动所共有的控制，仅在与该项经济活动相关的重要财务和经营决策需要分享控制权的投资方一致同意时存在。 重大影响是指对一个企业的财务和经营政策有参与决策的权力，但并不能够控制或者与其他方一起共同控制这些政策的制 定。在确定能否对被投资单位实施控制或施加重大影响时，已考虑投资企业和其他持有的被投资单位当期可转换公司债券、 当期可执行认股权证等潜在表决权因素。</w:t>
      </w:r>
    </w:p>
    <w:p>
      <w:pPr>
        <w:spacing w:line="240" w:lineRule="auto" w:before="3"/>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89" w:firstLine="360"/>
        <w:jc w:val="both"/>
      </w:pPr>
      <w:r>
        <w:rPr>
          <w:spacing w:val="-2"/>
        </w:rPr>
        <w:t>本集团在每一个资产负债表日检查长期股权投资是否存在可能发生减值的迹象。如果该资产存在减值迹象，则估计其可</w:t>
      </w:r>
      <w:r>
        <w:rPr/>
        <w:t> </w:t>
      </w:r>
      <w:r>
        <w:rPr>
          <w:spacing w:val="-2"/>
        </w:rPr>
        <w:t>收回金额。如果资产的可收回金额低于其账面价值，按其差额计提资产减值准备，并计入当期损益。长期股权投资的减值损</w:t>
      </w:r>
      <w:r>
        <w:rPr>
          <w:spacing w:val="-66"/>
        </w:rPr>
        <w:t> </w:t>
      </w:r>
      <w:r>
        <w:rPr>
          <w:spacing w:val="-66"/>
        </w:rPr>
      </w:r>
      <w:r>
        <w:rPr/>
        <w:t>失一经确认，在以后会计期间不予转回。</w:t>
      </w:r>
    </w:p>
    <w:p>
      <w:pPr>
        <w:spacing w:after="0" w:line="319" w:lineRule="auto"/>
        <w:jc w:val="both"/>
        <w:sectPr>
          <w:pgSz w:w="11910" w:h="16840"/>
          <w:pgMar w:header="877" w:footer="950" w:top="1100" w:bottom="1140" w:left="980" w:right="940"/>
        </w:sectPr>
      </w:pPr>
    </w:p>
    <w:p>
      <w:pPr>
        <w:spacing w:line="240" w:lineRule="auto" w:before="9"/>
        <w:rPr>
          <w:rFonts w:ascii="宋体" w:hAnsi="宋体" w:cs="宋体" w:eastAsia="宋体" w:hint="default"/>
          <w:sz w:val="20"/>
          <w:szCs w:val="20"/>
        </w:rPr>
      </w:pPr>
    </w:p>
    <w:p>
      <w:pPr>
        <w:pStyle w:val="Heading4"/>
        <w:spacing w:line="240" w:lineRule="auto" w:before="35"/>
        <w:ind w:right="90"/>
        <w:jc w:val="left"/>
        <w:rPr>
          <w:b w:val="0"/>
          <w:bCs w:val="0"/>
        </w:rPr>
      </w:pPr>
      <w:r>
        <w:rPr>
          <w:rFonts w:ascii="Times New Roman" w:hAnsi="Times New Roman" w:cs="Times New Roman" w:eastAsia="Times New Roman" w:hint="default"/>
        </w:rPr>
        <w:t>13</w:t>
      </w:r>
      <w:r>
        <w:rPr/>
        <w:t>、合营安排</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90" w:firstLine="479"/>
        <w:jc w:val="left"/>
      </w:pPr>
      <w:r>
        <w:rPr>
          <w:spacing w:val="-3"/>
        </w:rPr>
        <w:t>合营安排，是指一项由两个或两个以上的参与方共同控制的安排。本公司根据在合营安排中享有的权利和承担的义务，</w:t>
      </w:r>
      <w:r>
        <w:rPr/>
        <w:t>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16" w:lineRule="auto" w:before="18"/>
        <w:ind w:left="154" w:right="258" w:firstLine="480"/>
        <w:jc w:val="both"/>
      </w:pPr>
      <w:r>
        <w:rPr/>
        <w:t>本公司对合营企业的投资采用权益法核算，按照本附注四、12（2）②“权益法核算的长期股权投资”中所述的会计 政策处理。</w:t>
      </w:r>
    </w:p>
    <w:p>
      <w:pPr>
        <w:pStyle w:val="BodyText"/>
        <w:spacing w:line="316" w:lineRule="auto" w:before="18"/>
        <w:ind w:left="154" w:right="189" w:firstLine="480"/>
        <w:jc w:val="both"/>
      </w:pPr>
      <w:r>
        <w:rPr>
          <w:spacing w:val="-1"/>
        </w:rPr>
        <w:t>本公司作为合营方对共同经营，确认本公司单独持有的资产、单独所承担的负债，以及按本公司份额确认共同持有的</w:t>
      </w:r>
      <w:r>
        <w:rPr/>
        <w:t> </w:t>
      </w:r>
      <w:r>
        <w:rPr>
          <w:spacing w:val="-2"/>
        </w:rPr>
        <w:t>资产和共同承担的负债；确认出售本公司享有的共同经营产出份额所产生的收入；按本公司份额确认共同经营因出售产出所</w:t>
      </w:r>
      <w:r>
        <w:rPr>
          <w:spacing w:val="-64"/>
        </w:rPr>
        <w:t> </w:t>
      </w:r>
      <w:r>
        <w:rPr>
          <w:spacing w:val="-64"/>
        </w:rPr>
      </w:r>
      <w:r>
        <w:rPr/>
        <w:t>产生的收入；确认本公司单独所发生的费用，以及按本公司份额确认共同经营发生的费用。</w:t>
      </w:r>
    </w:p>
    <w:p>
      <w:pPr>
        <w:pStyle w:val="BodyText"/>
        <w:spacing w:line="316" w:lineRule="auto" w:before="18"/>
        <w:ind w:left="154" w:right="190" w:firstLine="480"/>
        <w:jc w:val="both"/>
      </w:pPr>
      <w:r>
        <w:rPr>
          <w:spacing w:val="-1"/>
        </w:rPr>
        <w:t>当本公司作为合营方向共同经营投出或出售资产、或者自共同经营购买资产（该资产不构成业务，下同）时，在该等</w:t>
      </w:r>
      <w:r>
        <w:rPr/>
        <w:t> </w:t>
      </w:r>
      <w:r>
        <w:rPr>
          <w:spacing w:val="-2"/>
        </w:rPr>
        <w:t>资产出售给第三方之前，本公司仅确认因该交易产生的损益中归属于共同经营其他参与方的部分。该等资产发生符合《企业</w:t>
      </w:r>
      <w:r>
        <w:rPr>
          <w:spacing w:val="-66"/>
        </w:rPr>
        <w:t> </w:t>
      </w:r>
      <w:r>
        <w:rPr>
          <w:spacing w:val="-66"/>
        </w:rPr>
      </w:r>
      <w:r>
        <w:rPr/>
        <w:t>会计准则第8号——资产减值》等规定的资产减值损失的，对于由本公司向共同经营投出或出售资产的情况，本公司全额确 认该损失；对于本公司自共同经营购买资产的情况，本公司按承担的份额确认该损失。</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1" w:firstLine="360"/>
        <w:jc w:val="both"/>
      </w:pPr>
      <w:r>
        <w:rPr>
          <w:spacing w:val="-2"/>
        </w:rPr>
        <w:t>投资性房地产是指为赚取租金或资本增值，或两者兼有而持有的房地产。包括已出租的土地使用权、持有并准备增值后</w:t>
      </w:r>
      <w:r>
        <w:rPr/>
        <w:t> 转让的土地使用权、已出租的建筑物等。</w:t>
      </w:r>
    </w:p>
    <w:p>
      <w:pPr>
        <w:pStyle w:val="BodyText"/>
        <w:spacing w:line="316" w:lineRule="auto" w:before="18"/>
        <w:ind w:right="190"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09" w:lineRule="auto" w:before="18"/>
        <w:ind w:left="514" w:right="90"/>
        <w:jc w:val="left"/>
      </w:pPr>
      <w:r>
        <w:rPr/>
        <w:t>本集团采用成本模式对投资性房地产进行后续计量，并按照与房屋建筑物或土地使用权一致的政策进行折旧或摊销。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21“</w:t>
      </w:r>
      <w:r>
        <w:rPr/>
        <w:t>非流动非金融资产减值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4"/>
        <w:ind w:left="154" w:right="90"/>
        <w:jc w:val="left"/>
      </w:pPr>
      <w:r>
        <w:rPr/>
        <w:t>值。</w:t>
      </w:r>
    </w:p>
    <w:p>
      <w:pPr>
        <w:pStyle w:val="BodyText"/>
        <w:spacing w:line="316" w:lineRule="auto" w:before="76"/>
        <w:ind w:left="154" w:right="189" w:firstLine="360"/>
        <w:jc w:val="both"/>
      </w:pPr>
      <w:r>
        <w:rPr>
          <w:spacing w:val="-2"/>
        </w:rPr>
        <w:t>投资性房地产的用途改变为自用时，自改变之日起，将该投资性房地产转换为固定资产或无形资产。自用房地产的用途</w:t>
      </w:r>
      <w:r>
        <w:rPr/>
        <w:t> </w:t>
      </w:r>
      <w:r>
        <w:rPr>
          <w:spacing w:val="-2"/>
        </w:rPr>
        <w:t>改变为赚取租金或资本增值时，自改变之日起，将固定资产或无形资产转换为投资性房地产。发生转换时，转换为采用成本</w:t>
      </w:r>
      <w:r>
        <w:rPr>
          <w:spacing w:val="-66"/>
        </w:rPr>
        <w:t> </w:t>
      </w:r>
      <w:r>
        <w:rPr>
          <w:spacing w:val="-66"/>
        </w:rPr>
      </w:r>
      <w:r>
        <w:rPr/>
        <w:t>模式计量的投资性房地产的，以转换前的账面价值作为转换后的入账价值。</w:t>
      </w:r>
    </w:p>
    <w:p>
      <w:pPr>
        <w:pStyle w:val="BodyText"/>
        <w:spacing w:line="316" w:lineRule="auto" w:before="18"/>
        <w:ind w:left="154" w:right="19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90"/>
        <w:jc w:val="left"/>
      </w:pPr>
      <w:r>
        <w:rPr/>
        <w:t>固定资产是指为生产商品、提供劳务、出租或经营管理而持有的，使用寿命超过一个会计年度的有形资产。</w:t>
      </w:r>
    </w:p>
    <w:p>
      <w:pPr>
        <w:spacing w:line="240" w:lineRule="auto" w:before="11"/>
        <w:rPr>
          <w:rFonts w:ascii="宋体" w:hAnsi="宋体" w:cs="宋体" w:eastAsia="宋体" w:hint="default"/>
          <w:sz w:val="26"/>
          <w:szCs w:val="26"/>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）各类固定资产的折旧方法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0" w:firstLine="360"/>
        <w:jc w:val="both"/>
      </w:pPr>
      <w:r>
        <w:rPr>
          <w:spacing w:val="-2"/>
        </w:rPr>
        <w:t>固定资产按成本并考虑预计弃置费用因素的影响进行初始计量。固定资产从达到预定可使用状态的次月起，采用年限平</w:t>
      </w:r>
      <w:r>
        <w:rPr/>
        <w:t> </w:t>
      </w:r>
      <w:r>
        <w:rPr>
          <w:spacing w:val="-2"/>
        </w:rPr>
        <w:t>均法在使用寿命内计提折旧。预计净残值是指假定固定资产预计使用寿命已满并处于使用寿命终了时的预期状态，本集团目</w:t>
      </w:r>
      <w:r>
        <w:rPr>
          <w:spacing w:val="-64"/>
        </w:rPr>
        <w:t> </w:t>
      </w:r>
      <w:r>
        <w:rPr>
          <w:spacing w:val="-64"/>
        </w:rPr>
      </w:r>
      <w:r>
        <w:rPr/>
        <w:t>前从该项资产处置中获得的扣除预计处置费用后的金额。</w:t>
      </w:r>
    </w:p>
    <w:p>
      <w:pPr>
        <w:pStyle w:val="BodyText"/>
        <w:spacing w:line="240" w:lineRule="auto" w:before="18"/>
        <w:ind w:left="513" w:right="90"/>
        <w:jc w:val="left"/>
      </w:pPr>
      <w:r>
        <w:rPr/>
        <w:t>各类固定资产的使用寿命、预计净残值和年折旧率如下：</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50" w:top="1100" w:bottom="114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89"/>
        <w:gridCol w:w="2134"/>
        <w:gridCol w:w="2220"/>
        <w:gridCol w:w="2725"/>
      </w:tblGrid>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2.25-4.75</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4.5-11.88</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18.00-19.00</w:t>
            </w:r>
          </w:p>
        </w:tc>
      </w:tr>
      <w:tr>
        <w:trPr>
          <w:trHeight w:val="402" w:hRule="exact"/>
        </w:trPr>
        <w:tc>
          <w:tcPr>
            <w:tcW w:w="2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11.25-19.00</w:t>
            </w:r>
          </w:p>
        </w:tc>
      </w:tr>
    </w:tbl>
    <w:p>
      <w:pPr>
        <w:spacing w:line="240" w:lineRule="auto" w:before="2"/>
        <w:rPr>
          <w:rFonts w:ascii="宋体" w:hAnsi="宋体" w:cs="宋体" w:eastAsia="宋体" w:hint="default"/>
          <w:sz w:val="19"/>
          <w:szCs w:val="19"/>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3</w:t>
      </w:r>
      <w:r>
        <w:rPr/>
        <w:t>）固定资产的减值测试方法、减值准备计提方法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固定资产的减值测试方法和减值准备计提方法详见附注四、</w:t>
      </w:r>
      <w:r>
        <w:rPr>
          <w:rFonts w:ascii="Times New Roman" w:hAnsi="Times New Roman" w:cs="Times New Roman" w:eastAsia="Times New Roman" w:hint="default"/>
        </w:rPr>
        <w:t>21“</w:t>
      </w:r>
      <w:r>
        <w:rPr/>
        <w:t>非流动非金融资产减值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4"/>
        <w:spacing w:line="240" w:lineRule="auto"/>
        <w:ind w:right="9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0" w:firstLine="360"/>
        <w:jc w:val="both"/>
      </w:pPr>
      <w:r>
        <w:rPr>
          <w:spacing w:val="-2"/>
        </w:rPr>
        <w:t>与固定资产有关的后续支出，如果与该固定资产有关的经济利益很可能流入且其成本能可靠地计量，则计入固定资产成</w:t>
      </w:r>
      <w:r>
        <w:rPr/>
        <w:t> 本，并终止确认被替换部分的账面价值。除此以外的其他后续支出，在发生时计入当期损益。</w:t>
      </w:r>
    </w:p>
    <w:p>
      <w:pPr>
        <w:pStyle w:val="BodyText"/>
        <w:spacing w:line="316" w:lineRule="auto" w:before="18"/>
        <w:ind w:left="513" w:right="90"/>
        <w:jc w:val="left"/>
      </w:pPr>
      <w:r>
        <w:rPr/>
        <w:t>固定资产出售、转让、报废或毁损的处置收入扣除其账面价值和相关税费后的差额计入当期损益。 </w:t>
      </w:r>
      <w:r>
        <w:rPr>
          <w:spacing w:val="-4"/>
        </w:rPr>
        <w:t>本集团至少于年度终了对固定资产的使用寿命、预计净残值和折旧方法进行复核，如发生改变则作为会计估计变更处理。</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16</w:t>
      </w:r>
      <w:r>
        <w:rPr/>
        <w:t>、</w:t>
      </w:r>
      <w:r>
        <w:rPr>
          <w:spacing w:val="-5"/>
        </w:rPr>
        <w:t> </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190" w:firstLine="360"/>
        <w:jc w:val="both"/>
      </w:pPr>
      <w:r>
        <w:rPr>
          <w:spacing w:val="-2"/>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8"/>
        <w:ind w:left="513" w:right="90"/>
        <w:jc w:val="left"/>
      </w:pPr>
      <w:r>
        <w:rPr/>
        <w:t>在建工程的减值测试方法和减值准备计提方法详见附注四、</w:t>
      </w:r>
      <w:r>
        <w:rPr>
          <w:rFonts w:ascii="Times New Roman" w:hAnsi="Times New Roman" w:cs="Times New Roman" w:eastAsia="Times New Roman" w:hint="default"/>
        </w:rPr>
        <w:t>21“</w:t>
      </w:r>
      <w:r>
        <w:rPr/>
        <w:t>非流动非金融资产减值</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5"/>
          <w:szCs w:val="25"/>
        </w:rPr>
      </w:pPr>
    </w:p>
    <w:p>
      <w:pPr>
        <w:pStyle w:val="Heading4"/>
        <w:spacing w:line="240" w:lineRule="auto"/>
        <w:ind w:right="90"/>
        <w:jc w:val="left"/>
        <w:rPr>
          <w:b w:val="0"/>
          <w:bCs w:val="0"/>
        </w:rPr>
      </w:pPr>
      <w:r>
        <w:rPr>
          <w:rFonts w:ascii="Times New Roman" w:hAnsi="Times New Roman" w:cs="Times New Roman" w:eastAsia="Times New Roman" w:hint="default"/>
        </w:rPr>
        <w:t>17</w:t>
      </w:r>
      <w:r>
        <w:rPr/>
        <w:t>、</w:t>
      </w:r>
      <w:r>
        <w:rPr>
          <w:spacing w:val="-5"/>
        </w:rPr>
        <w:t> </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0" w:firstLine="360"/>
        <w:jc w:val="both"/>
      </w:pPr>
      <w:r>
        <w:rPr>
          <w:spacing w:val="-2"/>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pStyle w:val="BodyText"/>
        <w:spacing w:line="316" w:lineRule="auto" w:before="18"/>
        <w:ind w:right="189" w:firstLine="360"/>
        <w:jc w:val="both"/>
      </w:pPr>
      <w:r>
        <w:rPr>
          <w:spacing w:val="-2"/>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316" w:lineRule="auto" w:before="18"/>
        <w:ind w:left="513" w:right="9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w:t>
      </w:r>
    </w:p>
    <w:p>
      <w:pPr>
        <w:pStyle w:val="BodyText"/>
        <w:spacing w:line="316" w:lineRule="auto" w:before="18"/>
        <w:ind w:left="514" w:right="180" w:hanging="360"/>
        <w:jc w:val="left"/>
      </w:pPr>
      <w:r>
        <w:rPr/>
        <w:t>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235" w:lineRule="exact"/>
        <w:ind w:left="154" w:right="90"/>
        <w:jc w:val="left"/>
      </w:pPr>
      <w:r>
        <w:rPr/>
        <w:t>本化，直至资产的购建或生产活动重新开始。</w:t>
      </w:r>
    </w:p>
    <w:p>
      <w:pPr>
        <w:spacing w:line="240" w:lineRule="auto" w:before="13"/>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18</w:t>
      </w:r>
      <w:r>
        <w:rPr/>
        <w:t>、</w:t>
      </w:r>
      <w:r>
        <w:rPr>
          <w:spacing w:val="-3"/>
        </w:rPr>
        <w:t> </w:t>
      </w:r>
      <w:r>
        <w:rPr/>
        <w:t>消耗性生物资产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89" w:firstLine="360"/>
        <w:jc w:val="both"/>
      </w:pPr>
      <w:r>
        <w:rPr>
          <w:spacing w:val="-2"/>
        </w:rPr>
        <w:t>消耗性生物资产是指为出售而持有的、或在将来收获为农产品的生物资产，包括生长中的用材林等。消耗性生物资产在</w:t>
      </w:r>
      <w:r>
        <w:rPr/>
        <w:t> </w:t>
      </w:r>
      <w:r>
        <w:rPr>
          <w:spacing w:val="-2"/>
        </w:rPr>
        <w:t>形成蓄积量以前按照成本进行初始计量，形成蓄积量以后按公允价值计量，公允价值变动进入当期损益。自行栽培、营造的</w:t>
      </w:r>
      <w:r>
        <w:rPr>
          <w:spacing w:val="-66"/>
        </w:rPr>
        <w:t> </w:t>
      </w:r>
      <w:r>
        <w:rPr>
          <w:spacing w:val="-66"/>
        </w:rPr>
      </w:r>
      <w:r>
        <w:rPr>
          <w:spacing w:val="-2"/>
        </w:rPr>
        <w:t>消耗性生物资产的成本，为该资产在郁闭前发生的可直接归属于该资产的必要支出，包括符合资本化条件的借款费用。消耗</w:t>
      </w:r>
      <w:r>
        <w:rPr>
          <w:spacing w:val="-66"/>
        </w:rPr>
        <w:t> </w:t>
      </w:r>
      <w:r>
        <w:rPr>
          <w:spacing w:val="-66"/>
        </w:rPr>
      </w:r>
      <w:r>
        <w:rPr/>
        <w:t>性生物资产在郁闭后发生的管护等后续支出，计入当期损益。</w:t>
      </w:r>
    </w:p>
    <w:p>
      <w:pPr>
        <w:pStyle w:val="BodyText"/>
        <w:spacing w:line="240" w:lineRule="auto" w:before="18"/>
        <w:ind w:left="513" w:right="90"/>
        <w:jc w:val="left"/>
      </w:pPr>
      <w:r>
        <w:rPr/>
        <w:t>消耗性生物资产在收获或出售时，采用轮伐期年限法按账面价值结转成本。</w:t>
      </w:r>
    </w:p>
    <w:p>
      <w:pPr>
        <w:spacing w:after="0" w:line="240" w:lineRule="auto"/>
        <w:jc w:val="left"/>
        <w:sectPr>
          <w:pgSz w:w="11910" w:h="16840"/>
          <w:pgMar w:header="877" w:footer="950" w:top="1100" w:bottom="1140" w:left="980" w:right="940"/>
        </w:sectPr>
      </w:pPr>
    </w:p>
    <w:p>
      <w:pPr>
        <w:spacing w:line="240" w:lineRule="auto" w:before="10"/>
        <w:rPr>
          <w:rFonts w:ascii="宋体" w:hAnsi="宋体" w:cs="宋体" w:eastAsia="宋体" w:hint="default"/>
          <w:sz w:val="20"/>
          <w:szCs w:val="20"/>
        </w:rPr>
      </w:pPr>
    </w:p>
    <w:p>
      <w:pPr>
        <w:pStyle w:val="Heading4"/>
        <w:spacing w:line="240" w:lineRule="auto" w:before="35"/>
        <w:ind w:right="90"/>
        <w:jc w:val="left"/>
        <w:rPr>
          <w:b w:val="0"/>
          <w:bCs w:val="0"/>
        </w:rPr>
      </w:pPr>
      <w:r>
        <w:rPr>
          <w:rFonts w:ascii="Times New Roman" w:hAnsi="Times New Roman" w:cs="Times New Roman" w:eastAsia="Times New Roman" w:hint="default"/>
        </w:rPr>
        <w:t>19</w:t>
      </w:r>
      <w:r>
        <w:rPr/>
        <w:t>、</w:t>
      </w:r>
      <w:r>
        <w:rPr>
          <w:spacing w:val="-5"/>
        </w:rPr>
        <w:t> </w:t>
      </w:r>
      <w:r>
        <w:rPr/>
        <w:t>无形资产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3511"/>
        <w:jc w:val="left"/>
      </w:pPr>
      <w:r>
        <w:rPr/>
        <w:t>（</w:t>
      </w:r>
      <w:r>
        <w:rPr>
          <w:rFonts w:ascii="Times New Roman" w:hAnsi="Times New Roman" w:cs="Times New Roman" w:eastAsia="Times New Roman" w:hint="default"/>
        </w:rPr>
        <w:t>1</w:t>
      </w:r>
      <w:r>
        <w:rPr/>
        <w:t>）无形资产 无形资产是指本集团拥有或者控制的没有实物形态的可辨认非货币性资产。</w:t>
      </w:r>
    </w:p>
    <w:p>
      <w:pPr>
        <w:pStyle w:val="BodyText"/>
        <w:spacing w:line="316" w:lineRule="auto" w:before="31"/>
        <w:ind w:left="154" w:right="101" w:firstLine="360"/>
        <w:jc w:val="both"/>
      </w:pPr>
      <w:r>
        <w:rPr>
          <w:spacing w:val="-4"/>
        </w:rPr>
        <w:t>无形资产按成本进行初始计量。与无形资产有关的支出，如果相关的经济利益很可能流入本集团且其成本能可靠地计量，</w:t>
      </w:r>
      <w:r>
        <w:rPr/>
        <w:t> 则计入无形资产成本。除此以外的其他项目的支出，在发生时计入当期损益。</w:t>
      </w:r>
    </w:p>
    <w:p>
      <w:pPr>
        <w:pStyle w:val="BodyText"/>
        <w:spacing w:line="316" w:lineRule="auto" w:before="18"/>
        <w:ind w:left="154" w:right="190" w:firstLine="360"/>
        <w:jc w:val="both"/>
      </w:pPr>
      <w:r>
        <w:rPr>
          <w:spacing w:val="-2"/>
        </w:rPr>
        <w:t>取得的土地使用权通常作为无形资产核算。自行开发建造厂房等建筑物，相关的土地使用权支出和建筑物建造成本则分</w:t>
      </w:r>
      <w:r>
        <w:rPr/>
        <w:t> </w:t>
      </w: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8"/>
        <w:ind w:left="154" w:right="189" w:firstLine="360"/>
        <w:jc w:val="both"/>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8"/>
        <w:ind w:left="154" w:right="190" w:firstLine="419"/>
        <w:jc w:val="both"/>
      </w:pPr>
      <w:r>
        <w:rPr/>
        <w:t>期末，对使用寿命有限的无形资产的使用寿命和摊销方法进行复核，如发生变更则作为会计估计变更处理。此外，还 </w:t>
      </w: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pStyle w:val="BodyText"/>
        <w:spacing w:line="309" w:lineRule="auto" w:before="18"/>
        <w:ind w:left="514" w:right="4050"/>
        <w:jc w:val="left"/>
      </w:pPr>
      <w:r>
        <w:rPr/>
        <w:t>（</w:t>
      </w:r>
      <w:r>
        <w:rPr>
          <w:rFonts w:ascii="Times New Roman" w:hAnsi="Times New Roman" w:cs="Times New Roman" w:eastAsia="Times New Roman" w:hint="default"/>
        </w:rPr>
        <w:t>2</w:t>
      </w:r>
      <w:r>
        <w:rPr/>
        <w:t>）研究与开发支出 本集团内部研究开发项目的支出分为研究阶段支出与开发阶段支出。 研究阶段的支出，于发生时计入当期损益。</w:t>
      </w:r>
    </w:p>
    <w:p>
      <w:pPr>
        <w:pStyle w:val="BodyText"/>
        <w:spacing w:line="240" w:lineRule="auto" w:before="24"/>
        <w:ind w:left="514" w:right="90"/>
        <w:jc w:val="left"/>
      </w:pPr>
      <w:r>
        <w:rPr/>
        <w:t>开发阶段的支出同时满足下列条件的，确认为无形资产，不能满足下述条件的开发阶段的支出计入当期损益：</w:t>
      </w:r>
    </w:p>
    <w:p>
      <w:pPr>
        <w:pStyle w:val="BodyText"/>
        <w:spacing w:line="240" w:lineRule="auto" w:before="76"/>
        <w:ind w:left="514" w:right="90"/>
        <w:jc w:val="left"/>
      </w:pPr>
      <w:r>
        <w:rPr/>
        <w:t>①</w:t>
      </w:r>
      <w:r>
        <w:rPr>
          <w:spacing w:val="-19"/>
        </w:rPr>
        <w:t> </w:t>
      </w:r>
      <w:r>
        <w:rPr/>
        <w:t>完成该无形资产以使其能够使用或出售在技术上具有可行性；</w:t>
      </w:r>
    </w:p>
    <w:p>
      <w:pPr>
        <w:pStyle w:val="BodyText"/>
        <w:spacing w:line="240" w:lineRule="auto" w:before="76"/>
        <w:ind w:left="514" w:right="90"/>
        <w:jc w:val="left"/>
      </w:pPr>
      <w:r>
        <w:rPr/>
        <w:t>②</w:t>
      </w:r>
      <w:r>
        <w:rPr>
          <w:spacing w:val="-19"/>
        </w:rPr>
        <w:t> </w:t>
      </w:r>
      <w:r>
        <w:rPr/>
        <w:t>具有完成该无形资产并使用或出售的意图；</w:t>
      </w:r>
    </w:p>
    <w:p>
      <w:pPr>
        <w:pStyle w:val="BodyText"/>
        <w:spacing w:line="316" w:lineRule="auto" w:before="76"/>
        <w:ind w:left="154" w:right="216" w:firstLine="360"/>
        <w:jc w:val="both"/>
      </w:pPr>
      <w:r>
        <w:rPr/>
        <w:t>③</w:t>
      </w:r>
      <w:r>
        <w:rPr>
          <w:spacing w:val="-19"/>
        </w:rPr>
        <w:t> </w:t>
      </w:r>
      <w:r>
        <w:rPr/>
        <w:t>无形资产产生经济利益的方式，包括能够证明运用该无形资产生产的产品存在市场或无形资产自身存在市场，无形</w:t>
      </w:r>
      <w:r>
        <w:rPr/>
        <w:t> 资产将在内部使用的，能够证明其有用性；</w:t>
      </w:r>
    </w:p>
    <w:p>
      <w:pPr>
        <w:pStyle w:val="BodyText"/>
        <w:spacing w:line="240" w:lineRule="auto" w:before="18"/>
        <w:ind w:left="514" w:right="90"/>
        <w:jc w:val="left"/>
      </w:pPr>
      <w:r>
        <w:rPr/>
        <w:t>④</w:t>
      </w:r>
      <w:r>
        <w:rPr>
          <w:spacing w:val="-19"/>
        </w:rPr>
        <w:t> </w:t>
      </w:r>
      <w:r>
        <w:rPr/>
        <w:t>有足够的技术、财务资源和其他资源支持，以完成该无形资产的开发，并有能力使用或出售该无形资产；</w:t>
      </w:r>
    </w:p>
    <w:p>
      <w:pPr>
        <w:pStyle w:val="BodyText"/>
        <w:spacing w:line="316" w:lineRule="auto" w:before="76"/>
        <w:ind w:left="514" w:right="2970"/>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pStyle w:val="BodyText"/>
        <w:spacing w:line="300" w:lineRule="auto" w:before="18"/>
        <w:ind w:left="514" w:right="2450"/>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21“</w:t>
      </w:r>
      <w:r>
        <w:rPr/>
        <w:t>非流动非金融资产减值</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9" w:firstLine="360"/>
        <w:jc w:val="both"/>
      </w:pPr>
      <w:r>
        <w:rPr>
          <w:spacing w:val="-2"/>
        </w:rPr>
        <w:t>长期待摊费用为已经发生但应由报告期和以后各期负担的分摊期限在一年以上的各项费用。长期待摊费用在预计受益期</w:t>
      </w:r>
      <w:r>
        <w:rPr/>
        <w:t> 间按直线法摊销。</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21</w:t>
      </w:r>
      <w:r>
        <w:rPr/>
        <w:t>、</w:t>
      </w:r>
      <w:r>
        <w:rPr>
          <w:spacing w:val="-7"/>
        </w:rPr>
        <w:t> </w:t>
      </w:r>
      <w:r>
        <w:rPr/>
        <w:t>非流动非金融资产减值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89"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业的长期股权投资等非流动非金融资产，本集团于资产负债表日判断是否存在减值迹象。如存在减值迹象的，则估计其可收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pStyle w:val="BodyText"/>
        <w:spacing w:line="316" w:lineRule="auto" w:before="18"/>
        <w:ind w:right="101" w:firstLine="360"/>
        <w:jc w:val="both"/>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p>
    <w:p>
      <w:pPr>
        <w:spacing w:after="0" w:line="316" w:lineRule="auto"/>
        <w:jc w:val="both"/>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90"/>
        <w:jc w:val="left"/>
      </w:pP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pStyle w:val="BodyText"/>
        <w:spacing w:line="316" w:lineRule="auto" w:before="18"/>
        <w:ind w:right="190"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pStyle w:val="BodyText"/>
        <w:spacing w:line="240" w:lineRule="auto" w:before="18"/>
        <w:ind w:left="513" w:right="9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90" w:firstLine="36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）该义务是本集团承担的现时义务；（</w:t>
      </w:r>
      <w:r>
        <w:rPr>
          <w:rFonts w:ascii="Times New Roman" w:hAnsi="Times New Roman" w:cs="Times New Roman" w:eastAsia="Times New Roman" w:hint="default"/>
          <w:spacing w:val="-2"/>
        </w:rPr>
        <w:t>2</w:t>
      </w:r>
      <w:r>
        <w:rPr>
          <w:spacing w:val="-2"/>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90" w:firstLine="360"/>
        <w:jc w:val="left"/>
      </w:pPr>
      <w:r>
        <w:rPr>
          <w:spacing w:val="-2"/>
        </w:rPr>
        <w:t>在资产负债表日，考虑与或有事项有关的风险、不确定性和货币时间价值等因素，按照履行相关现时义务所需支出的最</w:t>
      </w:r>
      <w:r>
        <w:rPr/>
        <w:t> 佳估计数对预计负债进行计量。</w:t>
      </w:r>
    </w:p>
    <w:p>
      <w:pPr>
        <w:pStyle w:val="BodyText"/>
        <w:spacing w:line="316" w:lineRule="auto" w:before="18"/>
        <w:ind w:right="90" w:firstLine="360"/>
        <w:jc w:val="left"/>
      </w:pPr>
      <w:r>
        <w:rPr>
          <w:spacing w:val="-2"/>
        </w:rPr>
        <w:t>如果清偿预计负债所需支出全部或部分预期由第三方补偿的，补偿金额在基本确定能够收到时，作为资产单独确认，且</w:t>
      </w:r>
      <w:r>
        <w:rPr/>
        <w:t> 确认的补偿金额不超过预计负债的账面价值。</w:t>
      </w:r>
    </w:p>
    <w:p>
      <w:pPr>
        <w:spacing w:line="240" w:lineRule="auto" w:before="7"/>
        <w:rPr>
          <w:rFonts w:ascii="宋体" w:hAnsi="宋体" w:cs="宋体" w:eastAsia="宋体" w:hint="default"/>
          <w:sz w:val="22"/>
          <w:szCs w:val="22"/>
        </w:rPr>
      </w:pPr>
    </w:p>
    <w:p>
      <w:pPr>
        <w:pStyle w:val="Heading4"/>
        <w:spacing w:line="240" w:lineRule="auto"/>
        <w:ind w:right="90"/>
        <w:jc w:val="left"/>
        <w:rPr>
          <w:b w:val="0"/>
          <w:bCs w:val="0"/>
        </w:rPr>
      </w:pPr>
      <w:r>
        <w:rPr>
          <w:rFonts w:ascii="Times New Roman" w:hAnsi="Times New Roman" w:cs="Times New Roman" w:eastAsia="Times New Roman" w:hint="default"/>
        </w:rPr>
        <w:t>23</w:t>
      </w:r>
      <w:r>
        <w:rPr/>
        <w:t>、回购本公司股份</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股份回购中支付的对价和交易费用减少所有者权益，回购、转上或注销本公司股份时，不确认利得或损失。 </w:t>
      </w:r>
      <w:r>
        <w:rPr>
          <w:spacing w:val="-2"/>
        </w:rPr>
        <w:t>注销库存股，按股票面值和注销股数减少股本，按注销库存股的账面余额与面值的差额，冲减资本公积，资本公积不足</w:t>
      </w:r>
    </w:p>
    <w:p>
      <w:pPr>
        <w:pStyle w:val="BodyText"/>
        <w:spacing w:line="240" w:lineRule="auto" w:before="18"/>
        <w:ind w:right="90"/>
        <w:jc w:val="left"/>
      </w:pPr>
      <w:r>
        <w:rPr/>
        <w:t>冲减的，冲减盈余公积和未分配利润。</w:t>
      </w:r>
    </w:p>
    <w:p>
      <w:pPr>
        <w:spacing w:line="240" w:lineRule="auto" w:before="12"/>
        <w:rPr>
          <w:rFonts w:ascii="宋体" w:hAnsi="宋体" w:cs="宋体" w:eastAsia="宋体" w:hint="default"/>
          <w:sz w:val="26"/>
          <w:szCs w:val="26"/>
        </w:rPr>
      </w:pPr>
    </w:p>
    <w:p>
      <w:pPr>
        <w:pStyle w:val="Heading4"/>
        <w:spacing w:line="240" w:lineRule="auto"/>
        <w:ind w:right="90"/>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60"/>
        <w:jc w:val="left"/>
      </w:pPr>
      <w:r>
        <w:rPr>
          <w:spacing w:val="-2"/>
        </w:rPr>
        <w:t>在已将所有权上的主要风险和报酬转移给买方，既没有保留通常与所有权相联系的继续管理权，也没有对已售商品实施</w:t>
      </w:r>
      <w:r>
        <w:rPr/>
        <w:t> </w:t>
      </w:r>
      <w:r>
        <w:rPr>
          <w:spacing w:val="-4"/>
        </w:rPr>
        <w:t>有效控制，收入的金额能够可靠地计量，相关的经济利益很可能流入企业，相关的已发生或将发生的成本能够可靠地计量时，</w:t>
      </w:r>
      <w:r>
        <w:rPr>
          <w:spacing w:val="-44"/>
        </w:rPr>
        <w:t> </w:t>
      </w:r>
      <w:r>
        <w:rPr>
          <w:spacing w:val="-44"/>
        </w:rPr>
      </w:r>
      <w:r>
        <w:rPr>
          <w:spacing w:val="-2"/>
        </w:rPr>
        <w:t>确认商品销售收入的实现。销售收入确认的时点：国内销售业务为货物交付客户的当天，国外销售业务为将货物装船并报关</w:t>
      </w:r>
      <w:r>
        <w:rPr>
          <w:spacing w:val="-66"/>
        </w:rPr>
        <w:t> </w:t>
      </w:r>
      <w:r>
        <w:rPr>
          <w:spacing w:val="-66"/>
        </w:rPr>
      </w:r>
      <w:r>
        <w:rPr/>
        <w:t>的当天。</w:t>
      </w:r>
    </w:p>
    <w:p>
      <w:pPr>
        <w:spacing w:line="240" w:lineRule="auto" w:before="4"/>
        <w:rPr>
          <w:rFonts w:ascii="宋体" w:hAnsi="宋体" w:cs="宋体" w:eastAsia="宋体" w:hint="default"/>
          <w:sz w:val="22"/>
          <w:szCs w:val="22"/>
        </w:rPr>
      </w:pPr>
    </w:p>
    <w:p>
      <w:pPr>
        <w:pStyle w:val="Heading4"/>
        <w:spacing w:line="240" w:lineRule="auto"/>
        <w:ind w:right="90"/>
        <w:jc w:val="left"/>
        <w:rPr>
          <w:b w:val="0"/>
          <w:bCs w:val="0"/>
        </w:rPr>
      </w:pPr>
      <w:r>
        <w:rPr/>
        <w:t>（</w:t>
      </w:r>
      <w:r>
        <w:rPr>
          <w:rFonts w:ascii="Times New Roman" w:hAnsi="Times New Roman" w:cs="Times New Roman" w:eastAsia="Times New Roman" w:hint="default"/>
        </w:rPr>
        <w:t>2</w:t>
      </w:r>
      <w:r>
        <w:rPr/>
        <w:t>）确认提供劳务收入的依据</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0" w:firstLine="360"/>
        <w:jc w:val="left"/>
      </w:pPr>
      <w:r>
        <w:rPr>
          <w:spacing w:val="-2"/>
        </w:rPr>
        <w:t>在提供劳务交易的结果能够可靠估计的情况下，于资产负债表日按照完工百分比法确认提供的劳务收入。劳务交易的完</w:t>
      </w:r>
      <w:r>
        <w:rPr/>
        <w:t> 工进度按已完工作的测量</w:t>
      </w:r>
      <w:r>
        <w:rPr>
          <w:rFonts w:ascii="Times New Roman" w:hAnsi="Times New Roman" w:cs="Times New Roman" w:eastAsia="Times New Roman" w:hint="default"/>
        </w:rPr>
        <w:t>/</w:t>
      </w:r>
      <w:r>
        <w:rPr/>
        <w:t>已经提供的劳务占应提供劳务总量的比例确定。</w:t>
      </w:r>
    </w:p>
    <w:p>
      <w:pPr>
        <w:pStyle w:val="BodyText"/>
        <w:spacing w:line="235" w:lineRule="exact"/>
        <w:ind w:left="514" w:right="0"/>
        <w:jc w:val="left"/>
      </w:pPr>
      <w:r>
        <w:rPr/>
        <w:t>提供劳务交易的结果能够可靠估计是指同时满足：①收入的金额能够可靠地计量；②相关的经济利益很可能流入企业；</w:t>
      </w:r>
    </w:p>
    <w:p>
      <w:pPr>
        <w:pStyle w:val="BodyText"/>
        <w:spacing w:line="316" w:lineRule="auto" w:before="76"/>
        <w:ind w:left="514" w:right="90" w:hanging="360"/>
        <w:jc w:val="left"/>
      </w:pPr>
      <w:r>
        <w:rPr/>
        <w:t>③交易的完工程度能够可靠地确定；④交易中已发生和将发生的成本能够可靠地计量。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w:t>
      </w:r>
    </w:p>
    <w:p>
      <w:pPr>
        <w:pStyle w:val="BodyText"/>
        <w:spacing w:line="316" w:lineRule="auto" w:before="18"/>
        <w:ind w:left="514" w:right="90" w:hanging="360"/>
        <w:jc w:val="left"/>
      </w:pPr>
      <w:r>
        <w:rPr/>
        <w:t>将已发生的劳务成本作为当期费用。已经发生的劳务成本如预计不能得到补偿的，则不确认收入。 </w:t>
      </w:r>
      <w:r>
        <w:rPr>
          <w:spacing w:val="-2"/>
        </w:rPr>
        <w:t>本集团与其他企业签订的合同或协议包括销售商品和提供劳务时，如销售商品部分和提供劳务部分能够区分并单独计量</w:t>
      </w:r>
    </w:p>
    <w:p>
      <w:pPr>
        <w:pStyle w:val="BodyText"/>
        <w:spacing w:line="316" w:lineRule="auto" w:before="18"/>
        <w:ind w:left="154" w:right="90"/>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spacing w:after="0" w:line="316" w:lineRule="auto"/>
        <w:jc w:val="left"/>
        <w:sectPr>
          <w:pgSz w:w="11910" w:h="16840"/>
          <w:pgMar w:header="877" w:footer="950" w:top="1100" w:bottom="1140" w:left="980" w:right="94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r>
        <w:rPr/>
        <w:t>（</w:t>
      </w:r>
      <w:r>
        <w:rPr>
          <w:rFonts w:ascii="Times New Roman" w:hAnsi="Times New Roman" w:cs="Times New Roman" w:eastAsia="Times New Roman" w:hint="default"/>
        </w:rPr>
        <w:t>3</w:t>
      </w:r>
      <w:r>
        <w:rPr/>
        <w:t>）</w:t>
      </w:r>
      <w:r>
        <w:rPr>
          <w:spacing w:val="-3"/>
        </w:rPr>
        <w:t> </w:t>
      </w:r>
      <w:r>
        <w:rPr/>
        <w:t>使用费收入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根据有关合同或协议，按权责发生制确认收入。</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w:t>
      </w:r>
      <w:r>
        <w:rPr>
          <w:spacing w:val="-3"/>
        </w:rPr>
        <w:t> </w:t>
      </w:r>
      <w:r>
        <w:rPr/>
        <w:t>利息收入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90"/>
        <w:jc w:val="left"/>
      </w:pPr>
      <w:r>
        <w:rPr/>
        <w:t>按照他人使用本集团货币资金的时间和实际利率计算确定。</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90" w:firstLine="360"/>
        <w:jc w:val="left"/>
      </w:pPr>
      <w:r>
        <w:rPr>
          <w:spacing w:val="-2"/>
        </w:rPr>
        <w:t>政府补助是指本集团从政府无偿取得货币性资产和非货币性资产，不包括政府作为所有者投入的资本。政府补助分为与</w:t>
      </w:r>
      <w:r>
        <w:rPr/>
        <w:t> </w:t>
      </w:r>
      <w:r>
        <w:rPr>
          <w:spacing w:val="-2"/>
        </w:rPr>
        <w:t>资产相关的政府补助和与收益相关的政府补助。本公司将所取得的用于购建或以其他方式形成长期资产的政府补助界定为与</w:t>
      </w:r>
      <w:r>
        <w:rPr>
          <w:spacing w:val="-64"/>
        </w:rPr>
        <w:t> </w:t>
      </w:r>
      <w:r>
        <w:rPr>
          <w:spacing w:val="-64"/>
        </w:rPr>
      </w:r>
      <w:r>
        <w:rPr>
          <w:spacing w:val="-2"/>
        </w:rPr>
        <w:t>资产相关的政府补助；其余政府补助界定为与收益相关的政府补助。若政府文件未明确规定补助对象，则采用以下方式将补</w:t>
      </w:r>
      <w:r>
        <w:rPr>
          <w:spacing w:val="-66"/>
        </w:rPr>
        <w:t> </w:t>
      </w:r>
      <w:r>
        <w:rPr>
          <w:spacing w:val="-66"/>
        </w:rPr>
      </w:r>
      <w:r>
        <w:rPr>
          <w:spacing w:val="-2"/>
        </w:rPr>
        <w:t>助款划分为与收益相关的政府补助和与资产相关的政府补助：①政府文件明确了补助所针对的特定项目的，根据该特定项目</w:t>
      </w:r>
      <w:r>
        <w:rPr>
          <w:spacing w:val="-64"/>
        </w:rPr>
        <w:t> </w:t>
      </w:r>
      <w:r>
        <w:rPr>
          <w:spacing w:val="-64"/>
        </w:rPr>
      </w:r>
      <w:r>
        <w:rPr/>
        <w:t>的预算中将形成资产的支出金额和计入费用的支出金额的相对比例进行划分，对该划分比例需在每个资产负债表日进行复 核，必要时进行变更；②政府文件中对用途仅作一般性表述，没有指明特定项目的，作为与收益相关的政府补助。</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8" w:firstLine="360"/>
        <w:jc w:val="both"/>
      </w:pPr>
      <w:r>
        <w:rPr>
          <w:spacing w:val="-2"/>
        </w:rPr>
        <w:t>政府补助为货币性资产的，按照收到或应收的金额计量。政府补助为非货币性资产的，按照公允价值计量；公允价值不</w:t>
      </w:r>
      <w:r>
        <w:rPr/>
        <w:t> </w:t>
      </w:r>
      <w:r>
        <w:rPr>
          <w:spacing w:val="-2"/>
        </w:rPr>
        <w:t>能够可靠取得的，按照名义金额计量。按照名义金额计量的政府补助，直接计入当期损益。本公司对于政府补助通常在实际</w:t>
      </w:r>
      <w:r>
        <w:rPr>
          <w:spacing w:val="-66"/>
        </w:rPr>
        <w:t> </w:t>
      </w:r>
      <w:r>
        <w:rPr>
          <w:spacing w:val="-66"/>
        </w:rPr>
      </w:r>
      <w:r>
        <w:rPr>
          <w:spacing w:val="-2"/>
        </w:rPr>
        <w:t>收到时，按照实收金额予以确认和计量。但对于期末有确凿证据表明能够符合财政扶持政策规定的相关条件预计能够收到财</w:t>
      </w:r>
      <w:r>
        <w:rPr>
          <w:spacing w:val="-64"/>
        </w:rPr>
        <w:t> </w:t>
      </w:r>
      <w:r>
        <w:rPr>
          <w:spacing w:val="-64"/>
        </w:rPr>
      </w:r>
      <w:r>
        <w:rPr>
          <w:spacing w:val="-2"/>
        </w:rPr>
        <w:t>政扶持资金，按照应收的金额计量。按照应收金额计量的政府补助应同时符合以下条件：①应收补助款的金额已经过有权政</w:t>
      </w:r>
      <w:r>
        <w:rPr>
          <w:spacing w:val="-66"/>
        </w:rPr>
        <w:t> </w:t>
      </w:r>
      <w:r>
        <w:rPr>
          <w:spacing w:val="-66"/>
        </w:rPr>
      </w:r>
      <w:r>
        <w:rPr/>
        <w:t>府部门发文确认，或者可根据正式发布的财政资金管理办法的有关规定自行合理测算，且预计其金额不存在重大不确定性；</w:t>
      </w:r>
    </w:p>
    <w:p>
      <w:pPr>
        <w:pStyle w:val="BodyText"/>
        <w:spacing w:line="316" w:lineRule="auto" w:before="18"/>
        <w:ind w:left="154" w:right="101"/>
        <w:jc w:val="both"/>
      </w:pPr>
      <w:r>
        <w:rPr>
          <w:spacing w:val="-2"/>
        </w:rPr>
        <w:t>②所依据的是当地财政部门正式发布并按照《政府信息公开条例》的规定予以主动公开的财政扶持项目及其财政资金管理办</w:t>
      </w:r>
      <w:r>
        <w:rPr>
          <w:spacing w:val="-64"/>
        </w:rPr>
        <w:t> </w:t>
      </w:r>
      <w:r>
        <w:rPr>
          <w:spacing w:val="-64"/>
        </w:rPr>
      </w:r>
      <w:r>
        <w:rPr>
          <w:spacing w:val="-2"/>
        </w:rPr>
        <w:t>法，且该管理办法应当是普惠性的（任何符合规定条件的企业均可申请），而不是专门针对特定企业制定的；③相关的补助</w:t>
      </w:r>
      <w:r>
        <w:rPr>
          <w:spacing w:val="-66"/>
        </w:rPr>
        <w:t> </w:t>
      </w:r>
      <w:r>
        <w:rPr>
          <w:spacing w:val="-66"/>
        </w:rPr>
      </w:r>
      <w:r>
        <w:rPr>
          <w:spacing w:val="-4"/>
        </w:rPr>
        <w:t>款批文中已明确承诺了拨付期限，且该款项的拨付是有相应财政预算作为保障的，因而可以合理保证其可在规定期限内收到；</w:t>
      </w:r>
    </w:p>
    <w:p>
      <w:pPr>
        <w:pStyle w:val="BodyText"/>
        <w:spacing w:line="316" w:lineRule="auto" w:before="18"/>
        <w:ind w:left="154" w:right="90" w:firstLine="360"/>
        <w:jc w:val="left"/>
      </w:pPr>
      <w:r>
        <w:rPr>
          <w:spacing w:val="-4"/>
        </w:rPr>
        <w:t>与资产相关的政府补助，确认为递延收益，并在相关资产的使用寿命内平均分配计入当期损益。与收益相关的政府补助，</w:t>
      </w:r>
      <w:r>
        <w:rPr/>
        <w:t> </w:t>
      </w:r>
      <w:r>
        <w:rPr>
          <w:spacing w:val="-2"/>
        </w:rPr>
        <w:t>用于补偿以后期间的相关费用和损失的，确认为递延收益，并在确认相关费用的期间计入当期损益；用于补偿已经发生的相</w:t>
      </w:r>
      <w:r>
        <w:rPr>
          <w:spacing w:val="-66"/>
        </w:rPr>
        <w:t> </w:t>
      </w:r>
      <w:r>
        <w:rPr>
          <w:spacing w:val="-66"/>
        </w:rPr>
      </w:r>
      <w:r>
        <w:rPr/>
        <w:t>关费用和损失的，直接计入当期损益。</w:t>
      </w:r>
    </w:p>
    <w:p>
      <w:pPr>
        <w:pStyle w:val="BodyText"/>
        <w:spacing w:line="316" w:lineRule="auto" w:before="18"/>
        <w:ind w:left="154" w:right="90" w:firstLine="360"/>
        <w:jc w:val="left"/>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26</w:t>
      </w:r>
      <w:r>
        <w:rPr/>
        <w:t>、</w:t>
      </w:r>
      <w:r>
        <w:rPr>
          <w:spacing w:val="-10"/>
        </w:rPr>
        <w:t> </w:t>
      </w:r>
      <w:r>
        <w:rPr/>
        <w:t>递延所得税资产和递延所得税负债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91"/>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right="90"/>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8"/>
        <w:ind w:left="513" w:right="9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90"/>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after="0" w:line="316"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16" w:lineRule="auto" w:before="44"/>
        <w:ind w:right="189"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合营企业投资相关的应纳税暂时性差异，如果本集团能够控制暂时性差异转回的时间，而且该暂时性差异在可预见的未来很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可能不会转回，也不予确认有关的递延所得税负债。除上述例外情况，本集团确认其他所有应纳税暂时性差异产生的递延所</w:t>
      </w:r>
      <w:r>
        <w:rPr>
          <w:spacing w:val="-66"/>
        </w:rPr>
        <w:t> </w:t>
      </w:r>
      <w:r>
        <w:rPr>
          <w:spacing w:val="-66"/>
        </w:rPr>
      </w:r>
      <w:r>
        <w:rPr/>
        <w:t>得税负债。</w:t>
      </w:r>
    </w:p>
    <w:p>
      <w:pPr>
        <w:pStyle w:val="BodyText"/>
        <w:spacing w:line="316" w:lineRule="auto" w:before="18"/>
        <w:ind w:right="189"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所得额，不予确认有关的递延所得税资产。除上述例外情况，本集团以很可能取得用来抵扣可抵扣暂时性差异的应纳税所得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8"/>
        <w:ind w:right="190"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8"/>
        <w:ind w:right="191" w:firstLine="360"/>
        <w:jc w:val="both"/>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8"/>
        <w:ind w:right="190"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8"/>
        <w:ind w:left="513" w:right="6031"/>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108" w:firstLine="360"/>
        <w:jc w:val="both"/>
      </w:pPr>
      <w:r>
        <w:rPr/>
        <w:t>除确认为其他综合收益或直接计入所有者权益的交易和事项相关的当期所得税和递延所得税计入其他综合收益或所有 者权益，以及企业合并产生的递延所得税调整商誉的账面价值外，其余当期所得税和递延所得税费用或收益计入当期损益。</w:t>
      </w:r>
    </w:p>
    <w:p>
      <w:pPr>
        <w:pStyle w:val="BodyText"/>
        <w:spacing w:line="300" w:lineRule="auto" w:before="18"/>
        <w:ind w:left="513" w:right="9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当拥有以净额结算的法定权利，且意图以净额结算或取得资产、清偿负债同时进行时，本集团当期所得税资产及当期所</w:t>
      </w:r>
    </w:p>
    <w:p>
      <w:pPr>
        <w:pStyle w:val="BodyText"/>
        <w:spacing w:line="316" w:lineRule="auto" w:before="31"/>
        <w:ind w:left="513" w:right="90"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8"/>
        <w:ind w:right="190"/>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转回的期间内，涉及的纳税主体意图以净额结算当期所得税资产和负债或是同时取得资产、清偿负债时，本集团递延所得税</w:t>
      </w:r>
      <w:r>
        <w:rPr>
          <w:spacing w:val="-66"/>
        </w:rPr>
        <w:t> </w:t>
      </w:r>
      <w:r>
        <w:rPr>
          <w:spacing w:val="-66"/>
        </w:rPr>
      </w:r>
      <w:r>
        <w:rPr/>
        <w:t>资产及递延所得税负债以抵销后的净额列报。</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27</w:t>
      </w:r>
      <w:r>
        <w:rPr/>
        <w:t>、</w:t>
      </w:r>
      <w:r>
        <w:rPr>
          <w:spacing w:val="-3"/>
        </w:rPr>
        <w:t> </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44" w:firstLine="360"/>
        <w:jc w:val="both"/>
      </w:pPr>
      <w:r>
        <w:rPr/>
        <w:t>本集团根据其他会计准则规定未在当期损益中确认的各项利得和损失列报为其他综合收益。</w:t>
      </w:r>
      <w:r>
        <w:rPr>
          <w:spacing w:val="-47"/>
        </w:rPr>
        <w:t> </w:t>
      </w:r>
      <w:r>
        <w:rPr/>
        <w:t>其他综合收益项目根据其</w:t>
      </w:r>
      <w:r>
        <w:rPr/>
        <w:t> 他相关会计准则的规定分为下列两类列报：</w:t>
      </w:r>
    </w:p>
    <w:p>
      <w:pPr>
        <w:pStyle w:val="BodyText"/>
        <w:spacing w:line="300" w:lineRule="auto" w:before="18"/>
        <w:ind w:right="99" w:firstLine="217"/>
        <w:jc w:val="both"/>
      </w:pPr>
      <w:r>
        <w:rPr>
          <w:spacing w:val="-3"/>
        </w:rPr>
        <w:t>（</w:t>
      </w:r>
      <w:r>
        <w:rPr>
          <w:rFonts w:ascii="Times New Roman" w:hAnsi="Times New Roman" w:cs="Times New Roman" w:eastAsia="Times New Roman" w:hint="default"/>
          <w:spacing w:val="-3"/>
        </w:rPr>
        <w:t>1</w:t>
      </w:r>
      <w:r>
        <w:rPr>
          <w:spacing w:val="-3"/>
        </w:rPr>
        <w:t>）以后会计期间不能重分类进损益的其他综合收益项目，主要包括重新计量设定受益计划净负债或净资产导致的变动、</w:t>
      </w:r>
      <w:r>
        <w:rPr/>
        <w:t> 按照权益法核算的在被投资单位以后会计期间不能重分类进损益的其他综合收益中所享有的份额等；</w:t>
      </w:r>
    </w:p>
    <w:p>
      <w:pPr>
        <w:pStyle w:val="BodyText"/>
        <w:spacing w:line="312" w:lineRule="auto" w:before="31"/>
        <w:ind w:right="189" w:firstLine="217"/>
        <w:jc w:val="both"/>
      </w:pPr>
      <w:r>
        <w:rPr>
          <w:spacing w:val="-1"/>
        </w:rPr>
        <w:t>（</w:t>
      </w:r>
      <w:r>
        <w:rPr>
          <w:rFonts w:ascii="Times New Roman" w:hAnsi="Times New Roman" w:cs="Times New Roman" w:eastAsia="Times New Roman" w:hint="default"/>
          <w:spacing w:val="-1"/>
        </w:rPr>
        <w:t>2</w:t>
      </w:r>
      <w:r>
        <w:rPr>
          <w:spacing w:val="-1"/>
        </w:rPr>
        <w:t>）以后会计期间在满足规定条件时将重分类进损益的其他综合收益项目，主要包括按照权益法核算的在被投资单位以</w:t>
      </w:r>
      <w:r>
        <w:rPr/>
        <w:t> </w:t>
      </w:r>
      <w:r>
        <w:rPr>
          <w:spacing w:val="-2"/>
        </w:rPr>
        <w:t>后会计期间在满足规定条件时将重分类进损益的其他综合收益中所享有的份额、可供出售金融资产公允价值变动形成的利得</w:t>
      </w:r>
      <w:r>
        <w:rPr>
          <w:spacing w:val="-64"/>
        </w:rPr>
        <w:t> </w:t>
      </w:r>
      <w:r>
        <w:rPr>
          <w:spacing w:val="-64"/>
        </w:rPr>
      </w:r>
      <w:r>
        <w:rPr>
          <w:spacing w:val="-2"/>
        </w:rPr>
        <w:t>或损失、持有至到期投资重分类为可供出售金融资产形成的利得或损失、现金流量套期工具产生的利得或损失中属于有效套</w:t>
      </w:r>
      <w:r>
        <w:rPr>
          <w:spacing w:val="-64"/>
        </w:rPr>
        <w:t> </w:t>
      </w:r>
      <w:r>
        <w:rPr>
          <w:spacing w:val="-64"/>
        </w:rPr>
      </w:r>
      <w:r>
        <w:rPr/>
        <w:t>期的部分、外币财务报表折算差额等。</w:t>
      </w:r>
    </w:p>
    <w:p>
      <w:pPr>
        <w:spacing w:line="240" w:lineRule="auto" w:before="11"/>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28</w:t>
      </w:r>
      <w:r>
        <w:rPr/>
        <w:t>、</w:t>
      </w:r>
      <w:r>
        <w:rPr>
          <w:spacing w:val="-2"/>
        </w:rPr>
        <w:t> </w:t>
      </w:r>
      <w:r>
        <w:rPr/>
        <w:t>租赁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91" w:firstLine="360"/>
        <w:jc w:val="both"/>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00" w:lineRule="auto" w:before="18"/>
        <w:ind w:left="513" w:right="90"/>
        <w:jc w:val="left"/>
      </w:pPr>
      <w:r>
        <w:rPr/>
        <w:t>（</w:t>
      </w:r>
      <w:r>
        <w:rPr>
          <w:rFonts w:ascii="Times New Roman" w:hAnsi="Times New Roman" w:cs="Times New Roman" w:eastAsia="Times New Roman" w:hint="default"/>
        </w:rPr>
        <w:t>1</w:t>
      </w:r>
      <w:r>
        <w:rPr/>
        <w:t>）本集团作为承租人记录经营租赁业务 </w:t>
      </w:r>
      <w:r>
        <w:rPr>
          <w:spacing w:val="-2"/>
        </w:rPr>
        <w:t>经营租赁的租金支出在租赁期内的各个期间按直线法计入相关资产成本或当期损益。初始直接费用计入当期损益。或有</w:t>
      </w:r>
    </w:p>
    <w:p>
      <w:pPr>
        <w:spacing w:after="0" w:line="300"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240" w:lineRule="auto" w:before="44"/>
        <w:ind w:right="0"/>
        <w:jc w:val="both"/>
      </w:pPr>
      <w:r>
        <w:rPr/>
        <w:t>租金于实际发生时计入当期损益。</w:t>
      </w:r>
    </w:p>
    <w:p>
      <w:pPr>
        <w:pStyle w:val="BodyText"/>
        <w:spacing w:line="300" w:lineRule="auto" w:before="76"/>
        <w:ind w:left="513" w:right="271"/>
        <w:jc w:val="left"/>
      </w:pPr>
      <w:r>
        <w:rPr/>
        <w:t>（</w:t>
      </w:r>
      <w:r>
        <w:rPr>
          <w:rFonts w:ascii="Times New Roman" w:hAnsi="Times New Roman" w:cs="Times New Roman" w:eastAsia="Times New Roman" w:hint="default"/>
        </w:rPr>
        <w:t>2</w:t>
      </w:r>
      <w:r>
        <w:rPr/>
        <w:t>）本集团作为出租人记录经营租赁业务 经营租赁的租金收入在租赁期内的各个期间按直线法确认为当期损益。对金额较大的初始直接费用于发生时予以资本</w:t>
      </w:r>
    </w:p>
    <w:p>
      <w:pPr>
        <w:pStyle w:val="BodyText"/>
        <w:spacing w:line="316" w:lineRule="auto" w:before="31"/>
        <w:ind w:right="9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29</w:t>
      </w:r>
      <w:r>
        <w:rPr/>
        <w:t>、</w:t>
      </w:r>
      <w:r>
        <w:rPr>
          <w:spacing w:val="-5"/>
        </w:rPr>
        <w:t> </w:t>
      </w:r>
      <w:r>
        <w:rPr/>
        <w:t>职工薪酬</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90"/>
        <w:jc w:val="left"/>
      </w:pPr>
      <w:r>
        <w:rPr/>
        <w:t>本集团在职工提供服务的会计期间，将应付的职工薪酬确认为负债。 </w:t>
      </w:r>
      <w:r>
        <w:rPr>
          <w:spacing w:val="-2"/>
        </w:rPr>
        <w:t>本集团按规定参加由政府机构设立的职工社会保障体系，包括基本养老保险、医疗保险、住房公积金及其他社会保障制</w:t>
      </w:r>
    </w:p>
    <w:p>
      <w:pPr>
        <w:pStyle w:val="BodyText"/>
        <w:spacing w:line="316" w:lineRule="auto" w:before="18"/>
        <w:ind w:left="513" w:right="90" w:hanging="360"/>
        <w:jc w:val="left"/>
      </w:pPr>
      <w:r>
        <w:rPr/>
        <w:t>度，相应的支出于发生时计入相关资产成本或当期损益。 </w:t>
      </w:r>
      <w:r>
        <w:rPr>
          <w:spacing w:val="-2"/>
        </w:rPr>
        <w:t>在职工劳动合同到期之前解除与职工的劳动关系，或为鼓励职工自愿接受裁减而提出给予补偿的建议，本公司在下列两</w:t>
      </w:r>
    </w:p>
    <w:p>
      <w:pPr>
        <w:pStyle w:val="BodyText"/>
        <w:spacing w:line="316" w:lineRule="auto" w:before="18"/>
        <w:ind w:right="90"/>
        <w:jc w:val="left"/>
      </w:pPr>
      <w:r>
        <w:rPr>
          <w:spacing w:val="-2"/>
        </w:rPr>
        <w:t>者孰早日确认辞退福利产生的职工薪酬负债，并计入当期损益：本公司不能单方面撤回因解除劳动关系计划或裁减建议所提</w:t>
      </w:r>
      <w:r>
        <w:rPr>
          <w:spacing w:val="-64"/>
        </w:rPr>
        <w:t> </w:t>
      </w:r>
      <w:r>
        <w:rPr>
          <w:spacing w:val="-64"/>
        </w:rPr>
      </w:r>
      <w:r>
        <w:rPr/>
        <w:t>供的辞退福利时；本公司确认与涉及支付辞退福利的重组相关的成本或费用时。</w:t>
      </w:r>
    </w:p>
    <w:p>
      <w:pPr>
        <w:pStyle w:val="BodyText"/>
        <w:spacing w:line="316" w:lineRule="auto" w:before="18"/>
        <w:ind w:right="90" w:firstLine="360"/>
        <w:jc w:val="left"/>
      </w:pPr>
      <w:r>
        <w:rPr>
          <w:spacing w:val="-2"/>
        </w:rPr>
        <w:t>职工内部退休计划采用上述辞退福利相同的原则处理。本集团将自职工停止提供服务日至正常退休日的期间拟支付的内</w:t>
      </w:r>
      <w:r>
        <w:rPr/>
        <w:t> 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30</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本报告期主要会计政策、会计估计是否变更</w:t>
      </w:r>
    </w:p>
    <w:p>
      <w:pPr>
        <w:pStyle w:val="BodyText"/>
        <w:spacing w:line="240" w:lineRule="auto" w:before="116"/>
        <w:ind w:right="0"/>
        <w:jc w:val="both"/>
      </w:pPr>
      <w:r>
        <w:rPr/>
        <w:t>√ 是 □ 否</w:t>
      </w:r>
    </w:p>
    <w:p>
      <w:pPr>
        <w:pStyle w:val="BodyText"/>
        <w:spacing w:line="300" w:lineRule="auto" w:before="116"/>
        <w:ind w:right="91" w:firstLine="360"/>
        <w:jc w:val="left"/>
      </w:pPr>
      <w:r>
        <w:rPr/>
        <w:t>根据《关于印发〈企业会计准则第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公允价值计量〉的通知》（财会</w:t>
      </w:r>
      <w:r>
        <w:rPr>
          <w:rFonts w:ascii="Times New Roman" w:hAnsi="Times New Roman" w:cs="Times New Roman" w:eastAsia="Times New Roman" w:hint="default"/>
        </w:rPr>
        <w:t>[2014]6</w:t>
      </w:r>
      <w:r>
        <w:rPr/>
        <w:t>号）、《关于印发修订〈企业会计 </w:t>
      </w:r>
      <w:r>
        <w:rPr>
          <w:spacing w:val="-2"/>
        </w:rPr>
        <w:t>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财务报表列报〉的通知》（财会</w:t>
      </w:r>
      <w:r>
        <w:rPr>
          <w:rFonts w:ascii="Times New Roman" w:hAnsi="Times New Roman" w:cs="Times New Roman" w:eastAsia="Times New Roman" w:hint="default"/>
          <w:spacing w:val="-2"/>
        </w:rPr>
        <w:t>[2014]7</w:t>
      </w:r>
      <w:r>
        <w:rPr>
          <w:spacing w:val="-2"/>
        </w:rPr>
        <w:t>号）、《关于印发修订〈企业会计准则第</w:t>
      </w:r>
      <w:r>
        <w:rPr>
          <w:rFonts w:ascii="Times New Roman" w:hAnsi="Times New Roman" w:cs="Times New Roman" w:eastAsia="Times New Roman" w:hint="default"/>
          <w:spacing w:val="-2"/>
        </w:rPr>
        <w:t>9</w:t>
      </w:r>
      <w:r>
        <w:rPr>
          <w:spacing w:val="-2"/>
        </w:rPr>
        <w:t>号</w:t>
      </w:r>
      <w:r>
        <w:rPr>
          <w:rFonts w:ascii="Times New Roman" w:hAnsi="Times New Roman" w:cs="Times New Roman" w:eastAsia="Times New Roman" w:hint="default"/>
          <w:spacing w:val="-2"/>
        </w:rPr>
        <w:t>——</w:t>
      </w:r>
      <w:r>
        <w:rPr>
          <w:spacing w:val="-2"/>
        </w:rPr>
        <w:t>职工薪酬〉的通知》</w:t>
      </w:r>
    </w:p>
    <w:p>
      <w:pPr>
        <w:pStyle w:val="BodyText"/>
        <w:spacing w:line="240" w:lineRule="auto" w:before="13"/>
        <w:ind w:right="0"/>
        <w:jc w:val="both"/>
      </w:pPr>
      <w:r>
        <w:rPr/>
        <w:t>（财会</w:t>
      </w:r>
      <w:r>
        <w:rPr>
          <w:rFonts w:ascii="Times New Roman" w:hAnsi="Times New Roman" w:cs="Times New Roman" w:eastAsia="Times New Roman" w:hint="default"/>
        </w:rPr>
        <w:t>[2014]8</w:t>
      </w:r>
      <w:r>
        <w:rPr/>
        <w:t>号）、《关于印发修订〈企业会计准则第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合并财务报表〉的通知》（财会</w:t>
      </w:r>
      <w:r>
        <w:rPr>
          <w:rFonts w:ascii="Times New Roman" w:hAnsi="Times New Roman" w:cs="Times New Roman" w:eastAsia="Times New Roman" w:hint="default"/>
        </w:rPr>
        <w:t>[2014]10</w:t>
      </w:r>
      <w:r>
        <w:rPr/>
        <w:t>号）、《关于印发</w:t>
      </w:r>
    </w:p>
    <w:p>
      <w:pPr>
        <w:pStyle w:val="BodyText"/>
        <w:spacing w:line="300" w:lineRule="auto" w:before="62"/>
        <w:ind w:right="189"/>
        <w:jc w:val="both"/>
      </w:pPr>
      <w:r>
        <w:rPr>
          <w:spacing w:val="-2"/>
        </w:rPr>
        <w:t>〈企业会计准则第</w:t>
      </w:r>
      <w:r>
        <w:rPr>
          <w:rFonts w:ascii="Times New Roman" w:hAnsi="Times New Roman" w:cs="Times New Roman" w:eastAsia="Times New Roman" w:hint="default"/>
          <w:spacing w:val="-2"/>
        </w:rPr>
        <w:t>40</w:t>
      </w:r>
      <w:r>
        <w:rPr>
          <w:spacing w:val="-2"/>
        </w:rPr>
        <w:t>号</w:t>
      </w:r>
      <w:r>
        <w:rPr>
          <w:rFonts w:ascii="Times New Roman" w:hAnsi="Times New Roman" w:cs="Times New Roman" w:eastAsia="Times New Roman" w:hint="default"/>
          <w:spacing w:val="-2"/>
        </w:rPr>
        <w:t>——</w:t>
      </w:r>
      <w:r>
        <w:rPr>
          <w:spacing w:val="-2"/>
        </w:rPr>
        <w:t>合营安排〉的通知》（财会</w:t>
      </w:r>
      <w:r>
        <w:rPr>
          <w:rFonts w:ascii="Times New Roman" w:hAnsi="Times New Roman" w:cs="Times New Roman" w:eastAsia="Times New Roman" w:hint="default"/>
          <w:spacing w:val="-2"/>
        </w:rPr>
        <w:t>[2014]11</w:t>
      </w:r>
      <w:r>
        <w:rPr>
          <w:spacing w:val="-2"/>
        </w:rPr>
        <w:t>号）的规定，鼓励在境外上市的企业提前执行上述</w:t>
      </w:r>
      <w:r>
        <w:rPr>
          <w:rFonts w:ascii="Times New Roman" w:hAnsi="Times New Roman" w:cs="Times New Roman" w:eastAsia="Times New Roman" w:hint="default"/>
          <w:spacing w:val="-2"/>
        </w:rPr>
        <w:t>5</w:t>
      </w:r>
      <w:r>
        <w:rPr>
          <w:spacing w:val="-2"/>
        </w:rPr>
        <w:t>项于</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7"/>
        </w:rPr>
        <w:t> </w:t>
      </w:r>
      <w:r>
        <w:rPr/>
        <w:t>年内新发布或修订的会计准则。据此，经本公司第七届第四次董事会决议，本集团自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日起提前执行上述</w:t>
      </w:r>
      <w:r>
        <w:rPr>
          <w:rFonts w:ascii="Times New Roman" w:hAnsi="Times New Roman" w:cs="Times New Roman" w:eastAsia="Times New Roman" w:hint="default"/>
        </w:rPr>
        <w:t>5</w:t>
      </w:r>
      <w:r>
        <w:rPr/>
        <w:t>项会计</w:t>
      </w:r>
      <w:r>
        <w:rPr>
          <w:spacing w:val="-85"/>
        </w:rPr>
        <w:t> </w:t>
      </w:r>
      <w:r>
        <w:rPr>
          <w:spacing w:val="-85"/>
        </w:rPr>
      </w:r>
      <w:r>
        <w:rPr/>
        <w:t>准则。</w:t>
      </w:r>
    </w:p>
    <w:p>
      <w:pPr>
        <w:pStyle w:val="BodyText"/>
        <w:spacing w:line="240" w:lineRule="auto" w:before="31"/>
        <w:ind w:left="514" w:right="90"/>
        <w:jc w:val="left"/>
      </w:pPr>
      <w:r>
        <w:rPr/>
        <w:t>本集团执行上述会计准则导致会计政策的变化对本期财务报表不产生影响。</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31</w:t>
      </w:r>
      <w:r>
        <w:rPr/>
        <w:t>、前期会计差错更正</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本报告期是否发现前期会计差错</w:t>
      </w:r>
    </w:p>
    <w:p>
      <w:pPr>
        <w:pStyle w:val="BodyText"/>
        <w:spacing w:line="240" w:lineRule="auto" w:before="116"/>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w:t>
      </w:r>
    </w:p>
    <w:p>
      <w:pPr>
        <w:pStyle w:val="BodyText"/>
        <w:spacing w:line="240" w:lineRule="auto" w:before="102"/>
        <w:ind w:left="514" w:right="90"/>
        <w:jc w:val="left"/>
      </w:pPr>
      <w:r>
        <w:rPr/>
        <w:t>本年度无前期会计差错更正。</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32</w:t>
      </w:r>
      <w:r>
        <w:rPr/>
        <w:t>、</w:t>
      </w:r>
      <w:r>
        <w:rPr>
          <w:spacing w:val="-8"/>
        </w:rPr>
        <w:t> </w:t>
      </w:r>
      <w:r>
        <w:rPr/>
        <w:t>重大会计判断和估计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90" w:firstLine="360"/>
        <w:jc w:val="left"/>
      </w:pPr>
      <w:r>
        <w:rPr>
          <w:spacing w:val="-2"/>
        </w:rPr>
        <w:t>本集团在运用会计政策过程中，由于经营活动内在的不确定性，本集团需要对无法准确计量的报表项目的账面价值进行</w:t>
      </w:r>
      <w:r>
        <w:rPr/>
        <w:t> 判断、估计和假设。这些判断、估计和假设是基于本集团管理层过去的历史经验，并在考虑其他相关因素的基础上做出的。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t>确定性所导致的结果可能造成对未来受影响的资产或负债的账面金额进行重大调整。</w:t>
      </w:r>
    </w:p>
    <w:p>
      <w:pPr>
        <w:pStyle w:val="BodyText"/>
        <w:spacing w:line="316" w:lineRule="auto" w:before="18"/>
        <w:ind w:right="90" w:firstLine="360"/>
        <w:jc w:val="left"/>
      </w:pPr>
      <w:r>
        <w:rPr>
          <w:spacing w:val="-2"/>
        </w:rPr>
        <w:t>本集团对前述判断、估计和假设在持续经营的基础上进行定期复核，会计估计的变更仅影响变更当期的，其影响数在变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8"/>
        <w:ind w:left="513" w:right="90"/>
        <w:jc w:val="left"/>
      </w:pPr>
      <w:r>
        <w:rPr/>
        <w:t>于资产负债表日，本集团需对财务报表项目金额进行判断、估计和假设的重要领域如下：</w:t>
      </w:r>
    </w:p>
    <w:p>
      <w:pPr>
        <w:spacing w:after="0" w:line="240" w:lineRule="auto"/>
        <w:jc w:val="left"/>
        <w:sectPr>
          <w:footerReference w:type="default" r:id="rId26"/>
          <w:pgSz w:w="11910" w:h="16840"/>
          <w:pgMar w:footer="950" w:header="877" w:top="1100" w:bottom="1140" w:left="980" w:right="940"/>
          <w:pgNumType w:start="120"/>
        </w:sectPr>
      </w:pPr>
    </w:p>
    <w:p>
      <w:pPr>
        <w:spacing w:line="240" w:lineRule="auto" w:before="12"/>
        <w:rPr>
          <w:rFonts w:ascii="宋体" w:hAnsi="宋体" w:cs="宋体" w:eastAsia="宋体" w:hint="default"/>
          <w:sz w:val="21"/>
          <w:szCs w:val="21"/>
        </w:rPr>
      </w:pPr>
    </w:p>
    <w:p>
      <w:pPr>
        <w:pStyle w:val="BodyText"/>
        <w:spacing w:line="300" w:lineRule="auto" w:before="44"/>
        <w:ind w:left="513" w:right="90"/>
        <w:jc w:val="left"/>
      </w:pPr>
      <w:r>
        <w:rPr/>
        <w:t>（</w:t>
      </w:r>
      <w:r>
        <w:rPr>
          <w:rFonts w:ascii="Times New Roman" w:hAnsi="Times New Roman" w:cs="Times New Roman" w:eastAsia="Times New Roman" w:hint="default"/>
        </w:rPr>
        <w:t>1</w:t>
      </w:r>
      <w:r>
        <w:rPr/>
        <w:t>）坏账准备计提 </w:t>
      </w:r>
      <w:r>
        <w:rPr>
          <w:spacing w:val="-2"/>
        </w:rPr>
        <w:t>本集团根据应收款项的会计政策，采用备抵法核算坏账损失。应收账款减值是基于评估应收账款的可收回性。鉴定应收</w:t>
      </w:r>
    </w:p>
    <w:p>
      <w:pPr>
        <w:pStyle w:val="BodyText"/>
        <w:spacing w:line="316" w:lineRule="auto" w:before="31"/>
        <w:ind w:right="190"/>
        <w:jc w:val="both"/>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00" w:lineRule="auto" w:before="18"/>
        <w:ind w:left="513" w:right="90"/>
        <w:jc w:val="left"/>
      </w:pPr>
      <w:r>
        <w:rPr/>
        <w:t>（</w:t>
      </w:r>
      <w:r>
        <w:rPr>
          <w:rFonts w:ascii="Times New Roman" w:hAnsi="Times New Roman" w:cs="Times New Roman" w:eastAsia="Times New Roman" w:hint="default"/>
        </w:rPr>
        <w:t>2</w:t>
      </w:r>
      <w:r>
        <w:rPr/>
        <w:t>）存货跌价准备 </w:t>
      </w:r>
      <w:r>
        <w:rPr>
          <w:spacing w:val="-2"/>
        </w:rPr>
        <w:t>本集团根据存货会计政策，按照成本与可变现净值孰低计量，对成本高于可变现净值及陈旧和滞销的存货，计提存货跌</w:t>
      </w:r>
    </w:p>
    <w:p>
      <w:pPr>
        <w:pStyle w:val="BodyText"/>
        <w:spacing w:line="316" w:lineRule="auto" w:before="31"/>
        <w:ind w:right="190"/>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8"/>
        <w:ind w:left="513" w:right="90"/>
        <w:jc w:val="left"/>
      </w:pPr>
      <w:r>
        <w:rPr/>
        <w:t>（</w:t>
      </w:r>
      <w:r>
        <w:rPr>
          <w:rFonts w:ascii="Times New Roman" w:hAnsi="Times New Roman" w:cs="Times New Roman" w:eastAsia="Times New Roman" w:hint="default"/>
        </w:rPr>
        <w:t>3</w:t>
      </w:r>
      <w:r>
        <w:rPr/>
        <w:t>）生物资产的后续计量 </w:t>
      </w:r>
      <w:r>
        <w:rPr>
          <w:spacing w:val="-4"/>
        </w:rPr>
        <w:t>本集团已委任独立专业估值师评估该生物资产的公允价值。在确定公允价值时，估值师使用的估价方法中包含若干假设。</w:t>
      </w:r>
    </w:p>
    <w:p>
      <w:pPr>
        <w:pStyle w:val="BodyText"/>
        <w:spacing w:line="240" w:lineRule="auto" w:before="31"/>
        <w:ind w:right="0"/>
        <w:jc w:val="both"/>
      </w:pPr>
      <w:r>
        <w:rPr/>
        <w:t>董事已对此作出判断，并认为该估值方法反映市场现况。</w:t>
      </w:r>
    </w:p>
    <w:p>
      <w:pPr>
        <w:pStyle w:val="BodyText"/>
        <w:spacing w:line="300" w:lineRule="auto" w:before="76"/>
        <w:ind w:left="513" w:right="90"/>
        <w:jc w:val="left"/>
      </w:pPr>
      <w:r>
        <w:rPr/>
        <w:t>（</w:t>
      </w:r>
      <w:r>
        <w:rPr>
          <w:rFonts w:ascii="Times New Roman" w:hAnsi="Times New Roman" w:cs="Times New Roman" w:eastAsia="Times New Roman" w:hint="default"/>
        </w:rPr>
        <w:t>4</w:t>
      </w:r>
      <w:r>
        <w:rPr/>
        <w:t>）非金融非流动资产减值准备 </w:t>
      </w:r>
      <w:r>
        <w:rPr>
          <w:spacing w:val="-2"/>
        </w:rPr>
        <w:t>本集团于资产负债表日对除金融资产之外的非流动资产判断是否存在可能发生减值的迹象。对使用寿命不确定的无形资</w:t>
      </w:r>
    </w:p>
    <w:p>
      <w:pPr>
        <w:pStyle w:val="BodyText"/>
        <w:spacing w:line="316" w:lineRule="auto" w:before="31"/>
        <w:ind w:right="190"/>
        <w:jc w:val="both"/>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316" w:lineRule="auto" w:before="18"/>
        <w:ind w:right="271" w:firstLine="360"/>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8"/>
        <w:ind w:right="90"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8"/>
        <w:ind w:right="90" w:firstLine="360"/>
        <w:jc w:val="left"/>
      </w:pPr>
      <w:r>
        <w:rPr>
          <w:spacing w:val="-2"/>
        </w:rPr>
        <w:t>在预计未来现金流量现值时，需要对该资产（或资产组）的产量、售价、相关经营成本以及计算现值时使用的折现率等</w:t>
      </w:r>
      <w:r>
        <w:rPr/>
        <w:t> </w:t>
      </w:r>
      <w:r>
        <w:rPr>
          <w:spacing w:val="-4"/>
        </w:rPr>
        <w:t>作出重大判断。本集团在估计可收回金额时会采用所有能够获得的相关资料，包括根据合理和可支持的假设所作出有关产量、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8"/>
        <w:ind w:right="90" w:firstLine="360"/>
        <w:jc w:val="left"/>
      </w:pPr>
      <w:r>
        <w:rPr/>
        <w:t>本集团至少每年测试商誉是否发生减值。这要求对分配了商誉的资产组或者资产组组合的未来现金流量的现值进行预 </w:t>
      </w:r>
      <w:r>
        <w:rPr>
          <w:spacing w:val="-2"/>
        </w:rPr>
        <w:t>计。对未来现金流量的现值进行预计时，本集团需要预计未来资产组或者资产组组合产生的现金流量，同时选择恰当的折现</w:t>
      </w:r>
      <w:r>
        <w:rPr>
          <w:spacing w:val="-66"/>
        </w:rPr>
        <w:t> </w:t>
      </w:r>
      <w:r>
        <w:rPr>
          <w:spacing w:val="-66"/>
        </w:rPr>
      </w:r>
      <w:r>
        <w:rPr/>
        <w:t>率确定未来现金流量的现值。</w:t>
      </w:r>
    </w:p>
    <w:p>
      <w:pPr>
        <w:pStyle w:val="BodyText"/>
        <w:spacing w:line="300" w:lineRule="auto" w:before="18"/>
        <w:ind w:left="513" w:right="90"/>
        <w:jc w:val="left"/>
      </w:pPr>
      <w:r>
        <w:rPr/>
        <w:t>（</w:t>
      </w:r>
      <w:r>
        <w:rPr>
          <w:rFonts w:ascii="Times New Roman" w:hAnsi="Times New Roman" w:cs="Times New Roman" w:eastAsia="Times New Roman" w:hint="default"/>
        </w:rPr>
        <w:t>5</w:t>
      </w:r>
      <w:r>
        <w:rPr/>
        <w:t>）折旧和摊销 </w:t>
      </w:r>
      <w:r>
        <w:rPr>
          <w:spacing w:val="-2"/>
        </w:rPr>
        <w:t>本集团对投资性房地产、固定资产和无形资产在考虑其残值后，在使用寿命内按直线法计提折旧和摊销。本集团定期复</w:t>
      </w:r>
    </w:p>
    <w:p>
      <w:pPr>
        <w:pStyle w:val="BodyText"/>
        <w:spacing w:line="316" w:lineRule="auto" w:before="31"/>
        <w:ind w:right="190"/>
        <w:jc w:val="both"/>
      </w:pPr>
      <w:r>
        <w:rPr>
          <w:spacing w:val="-2"/>
        </w:rPr>
        <w:t>核使用寿命，以决定将计入每个报告期的折旧和摊销费用数额。使用寿命是本集团根据对同类资产的以往经验并结合预期的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8"/>
        <w:ind w:left="513" w:right="90"/>
        <w:jc w:val="left"/>
      </w:pPr>
      <w:r>
        <w:rPr/>
        <w:t>（</w:t>
      </w:r>
      <w:r>
        <w:rPr>
          <w:rFonts w:ascii="Times New Roman" w:hAnsi="Times New Roman" w:cs="Times New Roman" w:eastAsia="Times New Roman" w:hint="default"/>
        </w:rPr>
        <w:t>6</w:t>
      </w:r>
      <w:r>
        <w:rPr/>
        <w:t>）递延所得税资产 </w:t>
      </w:r>
      <w:r>
        <w:rPr>
          <w:spacing w:val="-2"/>
        </w:rPr>
        <w:t>在很有可能有足够的应纳税利润来抵扣亏损的限度内，本集团就所有未利用的税务亏损确认递延所得税资产。这需要本</w:t>
      </w:r>
    </w:p>
    <w:p>
      <w:pPr>
        <w:pStyle w:val="BodyText"/>
        <w:spacing w:line="316" w:lineRule="auto" w:before="31"/>
        <w:ind w:right="190"/>
        <w:jc w:val="both"/>
      </w:pPr>
      <w:r>
        <w:rPr>
          <w:spacing w:val="-2"/>
        </w:rPr>
        <w:t>集团管理层运用大量的判断来估计未来应纳税利润发生的时间和金额，结合纳税筹划策略，以决定应确认的递延所得税资产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8"/>
        <w:ind w:left="513" w:right="90"/>
        <w:jc w:val="left"/>
      </w:pPr>
      <w:r>
        <w:rPr/>
        <w:t>（</w:t>
      </w:r>
      <w:r>
        <w:rPr>
          <w:rFonts w:ascii="Times New Roman" w:hAnsi="Times New Roman" w:cs="Times New Roman" w:eastAsia="Times New Roman" w:hint="default"/>
        </w:rPr>
        <w:t>7</w:t>
      </w:r>
      <w:r>
        <w:rPr/>
        <w:t>）所得税 </w:t>
      </w:r>
      <w:r>
        <w:rPr>
          <w:spacing w:val="-2"/>
        </w:rPr>
        <w:t>本集团在正常的经营活动中，有部分交易其最终的税务处理和计算存在一定的不确定性。部分项目是否能够在税前列支</w:t>
      </w:r>
    </w:p>
    <w:p>
      <w:pPr>
        <w:pStyle w:val="BodyText"/>
        <w:spacing w:line="316" w:lineRule="auto" w:before="31"/>
        <w:ind w:right="190"/>
        <w:jc w:val="both"/>
      </w:pPr>
      <w:r>
        <w:rPr>
          <w:spacing w:val="-2"/>
        </w:rPr>
        <w:t>需要税收主管机关的审批。如果这些税务事项的最终认定结果同最初估计的金额存在差异，则该差异将对其最终认定期间的</w:t>
      </w:r>
      <w:r>
        <w:rPr>
          <w:spacing w:val="-64"/>
        </w:rPr>
        <w:t> </w:t>
      </w:r>
      <w:r>
        <w:rPr>
          <w:spacing w:val="-64"/>
        </w:rPr>
      </w:r>
      <w:r>
        <w:rPr/>
        <w:t>当期所得税和递延所得税产生影响。</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60"/>
        <w:gridCol w:w="2340"/>
        <w:gridCol w:w="5068"/>
      </w:tblGrid>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5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税率</w:t>
            </w:r>
          </w:p>
        </w:tc>
      </w:tr>
    </w:tbl>
    <w:p>
      <w:pPr>
        <w:spacing w:after="0" w:line="240" w:lineRule="auto"/>
        <w:jc w:val="center"/>
        <w:rPr>
          <w:rFonts w:ascii="宋体" w:hAnsi="宋体" w:cs="宋体" w:eastAsia="宋体" w:hint="default"/>
          <w:sz w:val="18"/>
          <w:szCs w:val="18"/>
        </w:rPr>
        <w:sectPr>
          <w:pgSz w:w="11910" w:h="16840"/>
          <w:pgMar w:header="877" w:footer="950" w:top="1100" w:bottom="1140" w:left="980" w:right="940"/>
        </w:sectPr>
      </w:pPr>
    </w:p>
    <w:p>
      <w:pPr>
        <w:spacing w:line="240" w:lineRule="auto" w:before="6"/>
        <w:rPr>
          <w:rFonts w:ascii="宋体" w:hAnsi="宋体" w:cs="宋体" w:eastAsia="宋体" w:hint="default"/>
          <w:b/>
          <w:bCs/>
          <w:sz w:val="24"/>
          <w:szCs w:val="24"/>
        </w:rPr>
      </w:pPr>
    </w:p>
    <w:tbl>
      <w:tblPr>
        <w:tblW w:w="0" w:type="auto"/>
        <w:jc w:val="left"/>
        <w:tblInd w:w="269" w:type="dxa"/>
        <w:tblLayout w:type="fixed"/>
        <w:tblCellMar>
          <w:top w:w="0" w:type="dxa"/>
          <w:left w:w="0" w:type="dxa"/>
          <w:bottom w:w="0" w:type="dxa"/>
          <w:right w:w="0" w:type="dxa"/>
        </w:tblCellMar>
        <w:tblLook w:val="01E0"/>
      </w:tblPr>
      <w:tblGrid>
        <w:gridCol w:w="2160"/>
        <w:gridCol w:w="2340"/>
        <w:gridCol w:w="5068"/>
      </w:tblGrid>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一般应税收入按</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、销售汽和水按</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的税率计算销项税，并</w:t>
            </w:r>
            <w:r>
              <w:rPr>
                <w:rFonts w:ascii="宋体" w:hAnsi="宋体" w:cs="宋体" w:eastAsia="宋体" w:hint="default"/>
                <w:sz w:val="18"/>
                <w:szCs w:val="18"/>
              </w:rPr>
              <w:t> 按扣除当期允许抵扣的进项税额后的差额计缴增值税。</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实际缴纳的流转税税额</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，高新技术企业按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计缴，小规模企业按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实际缴纳的流转税税额</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实际缴纳的流转税税额</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274" w:right="261"/>
        <w:jc w:val="left"/>
      </w:pPr>
      <w:r>
        <w:rPr/>
        <w:t>各分公司、分厂执行的所得税税率</w:t>
      </w:r>
    </w:p>
    <w:p>
      <w:pPr>
        <w:spacing w:line="240" w:lineRule="auto" w:before="6"/>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2560"/>
        <w:gridCol w:w="702"/>
        <w:gridCol w:w="2618"/>
        <w:gridCol w:w="562"/>
        <w:gridCol w:w="2754"/>
        <w:gridCol w:w="743"/>
      </w:tblGrid>
      <w:tr>
        <w:trPr>
          <w:trHeight w:val="653" w:hRule="exact"/>
        </w:trPr>
        <w:tc>
          <w:tcPr>
            <w:tcW w:w="2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164" w:right="71" w:hanging="90"/>
              <w:jc w:val="left"/>
              <w:rPr>
                <w:rFonts w:ascii="宋体" w:hAnsi="宋体" w:cs="宋体" w:eastAsia="宋体" w:hint="default"/>
                <w:sz w:val="18"/>
                <w:szCs w:val="18"/>
              </w:rPr>
            </w:pPr>
            <w:r>
              <w:rPr>
                <w:rFonts w:ascii="宋体" w:hAnsi="宋体" w:cs="宋体" w:eastAsia="宋体" w:hint="default"/>
                <w:sz w:val="18"/>
                <w:szCs w:val="18"/>
              </w:rPr>
              <w:t>所得税 税率</w:t>
            </w:r>
          </w:p>
        </w:tc>
        <w:tc>
          <w:tcPr>
            <w:tcW w:w="26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92" w:right="2" w:hanging="90"/>
              <w:jc w:val="left"/>
              <w:rPr>
                <w:rFonts w:ascii="宋体" w:hAnsi="宋体" w:cs="宋体" w:eastAsia="宋体" w:hint="default"/>
                <w:sz w:val="18"/>
                <w:szCs w:val="18"/>
              </w:rPr>
            </w:pPr>
            <w:r>
              <w:rPr>
                <w:rFonts w:ascii="宋体" w:hAnsi="宋体" w:cs="宋体" w:eastAsia="宋体" w:hint="default"/>
                <w:sz w:val="18"/>
                <w:szCs w:val="18"/>
              </w:rPr>
              <w:t>所得税 税率</w:t>
            </w:r>
          </w:p>
        </w:tc>
        <w:tc>
          <w:tcPr>
            <w:tcW w:w="27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7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184" w:right="91" w:hanging="90"/>
              <w:jc w:val="left"/>
              <w:rPr>
                <w:rFonts w:ascii="宋体" w:hAnsi="宋体" w:cs="宋体" w:eastAsia="宋体" w:hint="default"/>
                <w:sz w:val="18"/>
                <w:szCs w:val="18"/>
              </w:rPr>
            </w:pPr>
            <w:r>
              <w:rPr>
                <w:rFonts w:ascii="宋体" w:hAnsi="宋体" w:cs="宋体" w:eastAsia="宋体" w:hint="default"/>
                <w:sz w:val="18"/>
                <w:szCs w:val="18"/>
              </w:rPr>
              <w:t>所得税 税率</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武汉晨鸣乾能热电有限责任公司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免征</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吉林市晨鸣机械制造有限公司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寿光顺达报关有限责任公司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寿光市晨鸣水泥有限公司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晨鸣国际有限公司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寿光晨鸣宏欣包装有限公司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寿光晨鸣地板有限责任公司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寿光晨鸣造纸机械有限公司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山东晨鸣新力热电有限公司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寿光市晨鸣天园林业有限公司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南昌晨鸣林业发展有限公司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免征</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寿光晨鸣工业物流有限公司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寿光虹宜包装装饰有限公司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寿光晨鸣佳泰物业管理有限公司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寿光市新源煤炭有限公司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寿光恒丰仓储有限公司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寿光市润生废纸回收有限责任公司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寿光维远物流有限公司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GmbH</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无锡松岭纸业有限公司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湛江晨鸣新型墙体材料有限公司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湛江晨鸣林业发展有限公司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免征</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c>
          <w:tcPr>
            <w:tcW w:w="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r>
      <w:tr>
        <w:trPr>
          <w:trHeight w:val="348"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寿光晨鸣现代物流有限公司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阳江晨鸣林业发展有限公司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免征</w:t>
            </w:r>
          </w:p>
        </w:tc>
        <w:tc>
          <w:tcPr>
            <w:tcW w:w="2754" w:type="dxa"/>
            <w:vMerge w:val="restart"/>
            <w:tcBorders>
              <w:top w:val="single" w:sz="6" w:space="0" w:color="000000"/>
              <w:left w:val="single" w:sz="6" w:space="0" w:color="000000"/>
              <w:right w:val="single" w:sz="6" w:space="0" w:color="000000"/>
            </w:tcBorders>
          </w:tcPr>
          <w:p>
            <w:pPr>
              <w:pStyle w:val="TableParagraph"/>
              <w:spacing w:line="316" w:lineRule="auto" w:before="26"/>
              <w:ind w:left="2" w:right="1"/>
              <w:jc w:val="left"/>
              <w:rPr>
                <w:rFonts w:ascii="宋体" w:hAnsi="宋体" w:cs="宋体" w:eastAsia="宋体" w:hint="default"/>
                <w:sz w:val="18"/>
                <w:szCs w:val="18"/>
              </w:rPr>
            </w:pPr>
            <w:r>
              <w:rPr>
                <w:rFonts w:ascii="宋体" w:hAnsi="宋体" w:cs="宋体" w:eastAsia="宋体" w:hint="default"/>
                <w:sz w:val="18"/>
                <w:szCs w:val="18"/>
              </w:rPr>
              <w:t>山东晨鸣纸业集团（富裕）销售有</w:t>
            </w:r>
            <w:r>
              <w:rPr>
                <w:rFonts w:ascii="宋体" w:hAnsi="宋体" w:cs="宋体" w:eastAsia="宋体" w:hint="default"/>
                <w:spacing w:val="-61"/>
                <w:sz w:val="18"/>
                <w:szCs w:val="18"/>
              </w:rPr>
              <w:t> </w:t>
            </w:r>
            <w:r>
              <w:rPr>
                <w:rFonts w:ascii="宋体" w:hAnsi="宋体" w:cs="宋体" w:eastAsia="宋体" w:hint="default"/>
                <w:sz w:val="18"/>
                <w:szCs w:val="18"/>
              </w:rPr>
              <w:t>限公司</w:t>
            </w:r>
          </w:p>
        </w:tc>
        <w:tc>
          <w:tcPr>
            <w:tcW w:w="743" w:type="dxa"/>
            <w:vMerge w:val="restart"/>
            <w:tcBorders>
              <w:top w:val="single" w:sz="6"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25%</w:t>
            </w:r>
          </w:p>
        </w:tc>
      </w:tr>
      <w:tr>
        <w:trPr>
          <w:trHeight w:val="347"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w:t>
            </w:r>
          </w:p>
        </w:tc>
        <w:tc>
          <w:tcPr>
            <w:tcW w:w="2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w:t>
            </w:r>
          </w:p>
        </w:tc>
        <w:tc>
          <w:tcPr>
            <w:tcW w:w="2754" w:type="dxa"/>
            <w:vMerge/>
            <w:tcBorders>
              <w:left w:val="single" w:sz="6" w:space="0" w:color="000000"/>
              <w:bottom w:val="single" w:sz="6" w:space="0" w:color="000000"/>
              <w:right w:val="single" w:sz="6" w:space="0" w:color="000000"/>
            </w:tcBorders>
          </w:tcPr>
          <w:p>
            <w:pPr/>
          </w:p>
        </w:tc>
        <w:tc>
          <w:tcPr>
            <w:tcW w:w="743" w:type="dxa"/>
            <w:vMerge/>
            <w:tcBorders>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274" w:right="261"/>
        <w:jc w:val="left"/>
        <w:rPr>
          <w:b w:val="0"/>
          <w:bCs w:val="0"/>
        </w:rPr>
      </w:pPr>
      <w:r>
        <w:rPr>
          <w:rFonts w:ascii="Times New Roman" w:hAnsi="Times New Roman" w:cs="Times New Roman" w:eastAsia="Times New Roman" w:hint="default"/>
        </w:rPr>
        <w:t>2</w:t>
      </w:r>
      <w:r>
        <w:rPr/>
        <w:t>、</w:t>
      </w:r>
      <w:r>
        <w:rPr>
          <w:spacing w:val="-2"/>
        </w:rPr>
        <w:t> </w:t>
      </w:r>
      <w:r>
        <w:rPr/>
        <w:t>营改增说明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273" w:right="271" w:firstLine="360"/>
        <w:jc w:val="both"/>
      </w:pPr>
      <w:r>
        <w:rPr/>
        <w:t>本公司从事交通运输业务的收入，原先按</w:t>
      </w:r>
      <w:r>
        <w:rPr>
          <w:rFonts w:ascii="Times New Roman" w:hAnsi="Times New Roman" w:cs="Times New Roman" w:eastAsia="Times New Roman" w:hint="default"/>
        </w:rPr>
        <w:t>3%</w:t>
      </w:r>
      <w:r>
        <w:rPr/>
        <w:t>税率计缴营业税。根据《财政部、国家税务总局关于在全国开展交通运输 </w:t>
      </w:r>
      <w:r>
        <w:rPr>
          <w:spacing w:val="-1"/>
        </w:rPr>
        <w:t>业和部分现代服务业营业税改征增值税试点税收政策的通知》（财税</w:t>
      </w:r>
      <w:r>
        <w:rPr>
          <w:rFonts w:ascii="Times New Roman" w:hAnsi="Times New Roman" w:cs="Times New Roman" w:eastAsia="Times New Roman" w:hint="default"/>
          <w:spacing w:val="-1"/>
        </w:rPr>
        <w:t>[2013]37</w:t>
      </w:r>
      <w:r>
        <w:rPr>
          <w:spacing w:val="-1"/>
        </w:rPr>
        <w:t>号）等相关规定，本公司之子公司寿光晨鸣现</w:t>
      </w:r>
      <w:r>
        <w:rPr>
          <w:spacing w:val="-58"/>
        </w:rPr>
        <w:t> </w:t>
      </w:r>
      <w:r>
        <w:rPr>
          <w:spacing w:val="-58"/>
        </w:rPr>
      </w:r>
      <w:r>
        <w:rPr/>
        <w:t>代物流有限公司、寿光维远物流有限公司从事交通运输业务的收入，自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日起改为征收增值税，税率为</w:t>
      </w:r>
      <w:r>
        <w:rPr>
          <w:rFonts w:ascii="Times New Roman" w:hAnsi="Times New Roman" w:cs="Times New Roman" w:eastAsia="Times New Roman" w:hint="default"/>
        </w:rPr>
        <w:t>11</w:t>
      </w:r>
      <w:r>
        <w:rPr/>
        <w:t>％。</w:t>
      </w:r>
    </w:p>
    <w:p>
      <w:pPr>
        <w:spacing w:line="240" w:lineRule="auto" w:before="1"/>
        <w:rPr>
          <w:rFonts w:ascii="宋体" w:hAnsi="宋体" w:cs="宋体" w:eastAsia="宋体" w:hint="default"/>
          <w:sz w:val="22"/>
          <w:szCs w:val="22"/>
        </w:rPr>
      </w:pPr>
    </w:p>
    <w:p>
      <w:pPr>
        <w:pStyle w:val="Heading4"/>
        <w:spacing w:line="240" w:lineRule="auto"/>
        <w:ind w:left="274" w:right="261"/>
        <w:jc w:val="left"/>
        <w:rPr>
          <w:b w:val="0"/>
          <w:bCs w:val="0"/>
        </w:rPr>
      </w:pPr>
      <w:r>
        <w:rPr>
          <w:rFonts w:ascii="Times New Roman" w:hAnsi="Times New Roman" w:cs="Times New Roman" w:eastAsia="Times New Roman" w:hint="default"/>
        </w:rPr>
        <w:t>3</w:t>
      </w:r>
      <w:r>
        <w:rPr/>
        <w:t>、税收优惠及批文</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261"/>
        <w:jc w:val="left"/>
      </w:pPr>
      <w:r>
        <w:rPr/>
        <w:t>（</w:t>
      </w:r>
      <w:r>
        <w:rPr>
          <w:rFonts w:ascii="Times New Roman" w:hAnsi="Times New Roman" w:cs="Times New Roman" w:eastAsia="Times New Roman" w:hint="default"/>
        </w:rPr>
        <w:t>1</w:t>
      </w:r>
      <w:r>
        <w:rPr/>
        <w:t>）企业所得税： 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日发布的《中华人民共和国企业所得税法》规定，本公司为符合条件的国家需要重点扶持的高新技术</w:t>
      </w:r>
    </w:p>
    <w:p>
      <w:pPr>
        <w:pStyle w:val="BodyText"/>
        <w:spacing w:line="300" w:lineRule="auto" w:before="13"/>
        <w:ind w:left="634" w:right="260" w:hanging="360"/>
        <w:jc w:val="left"/>
      </w:pPr>
      <w:r>
        <w:rPr/>
        <w:t>企业，经山东省寿光市国家税务局批准，本公司自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日执行</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的企业所得税率。 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日发布的《中华人民共和国企业所得税法》规定，本公司子公司江西晨鸣纸业有限责任公司为符合条</w:t>
      </w:r>
    </w:p>
    <w:p>
      <w:pPr>
        <w:pStyle w:val="BodyText"/>
        <w:spacing w:line="316" w:lineRule="auto" w:before="13"/>
        <w:ind w:left="274" w:right="261"/>
        <w:jc w:val="left"/>
      </w:pPr>
      <w:r>
        <w:rPr>
          <w:spacing w:val="-2"/>
        </w:rPr>
        <w:t>件的国家需要重点扶持的高新技术企业，经江西省南昌市经开区国家税务局批准，本公司之子公司江西晨鸣纸业有限责任公</w:t>
      </w:r>
      <w:r>
        <w:rPr>
          <w:spacing w:val="-64"/>
        </w:rPr>
        <w:t> </w:t>
      </w:r>
      <w:r>
        <w:rPr>
          <w:spacing w:val="-64"/>
        </w:rPr>
      </w:r>
      <w:r>
        <w:rPr/>
        <w:t>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日执行</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的企业所得税率。</w:t>
      </w:r>
    </w:p>
    <w:p>
      <w:pPr>
        <w:spacing w:after="0" w:line="316" w:lineRule="auto"/>
        <w:jc w:val="left"/>
        <w:sectPr>
          <w:pgSz w:w="11910" w:h="16840"/>
          <w:pgMar w:header="877" w:footer="950" w:top="1100" w:bottom="1140" w:left="860" w:right="860"/>
        </w:sectPr>
      </w:pPr>
    </w:p>
    <w:p>
      <w:pPr>
        <w:spacing w:line="240" w:lineRule="auto" w:before="12"/>
        <w:rPr>
          <w:rFonts w:ascii="宋体" w:hAnsi="宋体" w:cs="宋体" w:eastAsia="宋体" w:hint="default"/>
          <w:sz w:val="21"/>
          <w:szCs w:val="21"/>
        </w:rPr>
      </w:pPr>
    </w:p>
    <w:p>
      <w:pPr>
        <w:pStyle w:val="BodyText"/>
        <w:spacing w:line="309" w:lineRule="auto" w:before="44"/>
        <w:ind w:right="188" w:firstLine="360"/>
        <w:jc w:val="both"/>
      </w:pPr>
      <w:r>
        <w:rPr>
          <w:spacing w:val="-2"/>
        </w:rPr>
        <w:t>根据《中华人民共和国企业所得税法》第</w:t>
      </w:r>
      <w:r>
        <w:rPr>
          <w:rFonts w:ascii="Times New Roman" w:hAnsi="Times New Roman" w:cs="Times New Roman" w:eastAsia="Times New Roman" w:hint="default"/>
          <w:spacing w:val="-2"/>
        </w:rPr>
        <w:t>27</w:t>
      </w:r>
      <w:r>
        <w:rPr>
          <w:spacing w:val="-2"/>
        </w:rPr>
        <w:t>条、《中华人民共和国企业所得税法实施条例》第</w:t>
      </w:r>
      <w:r>
        <w:rPr>
          <w:rFonts w:ascii="Times New Roman" w:hAnsi="Times New Roman" w:cs="Times New Roman" w:eastAsia="Times New Roman" w:hint="default"/>
          <w:spacing w:val="-2"/>
        </w:rPr>
        <w:t>86</w:t>
      </w:r>
      <w:r>
        <w:rPr>
          <w:spacing w:val="-2"/>
        </w:rPr>
        <w:t>条的规定，本公司子公</w:t>
      </w:r>
      <w:r>
        <w:rPr/>
        <w:t> </w:t>
      </w:r>
      <w:r>
        <w:rPr>
          <w:spacing w:val="-2"/>
        </w:rPr>
        <w:t>司湛江晨鸣林业发展有限公司、阳江晨鸣林业发展有限公司、南昌晨鸣林业发展有限公司、黄冈晨鸣林业发展有限公司从事</w:t>
      </w:r>
      <w:r>
        <w:rPr>
          <w:spacing w:val="-66"/>
        </w:rPr>
        <w:t> </w:t>
      </w:r>
      <w:r>
        <w:rPr>
          <w:spacing w:val="-66"/>
        </w:rPr>
      </w:r>
      <w:r>
        <w:rPr/>
        <w:t>林木的培育和种植免征企业所得税。</w:t>
      </w:r>
    </w:p>
    <w:p>
      <w:pPr>
        <w:pStyle w:val="BodyText"/>
        <w:spacing w:line="300" w:lineRule="auto" w:before="24"/>
        <w:ind w:right="258" w:firstLine="360"/>
        <w:jc w:val="both"/>
      </w:pPr>
      <w:r>
        <w:rPr/>
        <w:t>根据香港特别行政区立法会</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日通过的《</w:t>
      </w:r>
      <w:r>
        <w:rPr>
          <w:rFonts w:ascii="Times New Roman" w:hAnsi="Times New Roman" w:cs="Times New Roman" w:eastAsia="Times New Roman" w:hint="default"/>
        </w:rPr>
        <w:t>2008</w:t>
      </w:r>
      <w:r>
        <w:rPr/>
        <w:t>收入条例草案》，本公司子公司晨鸣</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有限公司从</w:t>
      </w:r>
      <w:r>
        <w:rPr>
          <w:rFonts w:ascii="Times New Roman" w:hAnsi="Times New Roman" w:cs="Times New Roman" w:eastAsia="Times New Roman" w:hint="default"/>
        </w:rPr>
        <w:t>2008</w:t>
      </w:r>
      <w:r>
        <w:rPr/>
        <w:t>年 开始执行</w:t>
      </w:r>
      <w:r>
        <w:rPr>
          <w:rFonts w:ascii="Times New Roman" w:hAnsi="Times New Roman" w:cs="Times New Roman" w:eastAsia="Times New Roman" w:hint="default"/>
        </w:rPr>
        <w:t>16.5%</w:t>
      </w:r>
      <w:r>
        <w:rPr/>
        <w:t>的企业所得税率，</w:t>
      </w:r>
      <w:r>
        <w:rPr>
          <w:rFonts w:ascii="Times New Roman" w:hAnsi="Times New Roman" w:cs="Times New Roman" w:eastAsia="Times New Roman" w:hint="default"/>
        </w:rPr>
        <w:t>2013</w:t>
      </w:r>
      <w:r>
        <w:rPr/>
        <w:t>年适用税率为</w:t>
      </w:r>
      <w:r>
        <w:rPr>
          <w:rFonts w:ascii="Times New Roman" w:hAnsi="Times New Roman" w:cs="Times New Roman" w:eastAsia="Times New Roman" w:hint="default"/>
        </w:rPr>
        <w:t>16.5%</w:t>
      </w:r>
      <w:r>
        <w:rPr/>
        <w:t>。</w:t>
      </w:r>
    </w:p>
    <w:p>
      <w:pPr>
        <w:pStyle w:val="BodyText"/>
        <w:spacing w:line="240" w:lineRule="auto" w:before="13"/>
        <w:ind w:left="513" w:right="90"/>
        <w:jc w:val="left"/>
      </w:pPr>
      <w:r>
        <w:rPr/>
        <w:t>除上述优惠政策外，公司其他子公司的所得税税率为</w:t>
      </w:r>
      <w:r>
        <w:rPr>
          <w:rFonts w:ascii="Times New Roman" w:hAnsi="Times New Roman" w:cs="Times New Roman" w:eastAsia="Times New Roman" w:hint="default"/>
        </w:rPr>
        <w:t>25%</w:t>
      </w:r>
      <w:r>
        <w:rPr/>
        <w:t>。</w:t>
      </w:r>
    </w:p>
    <w:p>
      <w:pPr>
        <w:pStyle w:val="BodyText"/>
        <w:spacing w:line="240" w:lineRule="auto" w:before="62"/>
        <w:ind w:left="513" w:right="90"/>
        <w:jc w:val="left"/>
      </w:pPr>
      <w:r>
        <w:rPr/>
        <w:t>（</w:t>
      </w:r>
      <w:r>
        <w:rPr>
          <w:rFonts w:ascii="Times New Roman" w:hAnsi="Times New Roman" w:cs="Times New Roman" w:eastAsia="Times New Roman" w:hint="default"/>
        </w:rPr>
        <w:t>2</w:t>
      </w:r>
      <w:r>
        <w:rPr/>
        <w:t>）增值税优惠：</w:t>
      </w:r>
    </w:p>
    <w:p>
      <w:pPr>
        <w:pStyle w:val="BodyText"/>
        <w:spacing w:line="300" w:lineRule="auto" w:before="62"/>
        <w:ind w:right="100" w:firstLine="360"/>
        <w:jc w:val="both"/>
      </w:pPr>
      <w:r>
        <w:rPr/>
        <w:t>根据《国家税务总局对部分资源综合利用产品免征增值税的通知》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[1995]44</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，对企业生产的原料中掺有不少于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的煤矸石、石煤、粉煤灰、烧煤锅炉的炉底渣</w:t>
      </w:r>
      <w:r>
        <w:rPr>
          <w:rFonts w:ascii="Times New Roman" w:hAnsi="Times New Roman" w:cs="Times New Roman" w:eastAsia="Times New Roman" w:hint="default"/>
        </w:rPr>
        <w:t>(</w:t>
      </w:r>
      <w:r>
        <w:rPr/>
        <w:t>不包括高炉水渣</w:t>
      </w:r>
      <w:r>
        <w:rPr>
          <w:rFonts w:ascii="Times New Roman" w:hAnsi="Times New Roman" w:cs="Times New Roman" w:eastAsia="Times New Roman" w:hint="default"/>
        </w:rPr>
        <w:t>)</w:t>
      </w:r>
      <w:r>
        <w:rPr/>
        <w:t>的建材产品免征增值税，本公司所属湛江晨鸣新型墙体 材料有限公司用于生产的原材料中包含</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以上的粉煤灰，属于利用污染物进行生产的企业，</w:t>
      </w:r>
      <w:r>
        <w:rPr>
          <w:rFonts w:ascii="Times New Roman" w:hAnsi="Times New Roman" w:cs="Times New Roman" w:eastAsia="Times New Roman" w:hint="default"/>
        </w:rPr>
        <w:t>2013</w:t>
      </w:r>
      <w:r>
        <w:rPr/>
        <w:t>年按照规定免征增值税。</w:t>
      </w:r>
    </w:p>
    <w:p>
      <w:pPr>
        <w:pStyle w:val="BodyText"/>
        <w:spacing w:line="300" w:lineRule="auto" w:before="13"/>
        <w:ind w:right="190" w:firstLine="360"/>
        <w:jc w:val="both"/>
      </w:pPr>
      <w:r>
        <w:rPr>
          <w:spacing w:val="-1"/>
        </w:rPr>
        <w:t>根据国家税务总局财税字</w:t>
      </w:r>
      <w:r>
        <w:rPr>
          <w:rFonts w:ascii="Times New Roman" w:hAnsi="Times New Roman" w:cs="Times New Roman" w:eastAsia="Times New Roman" w:hint="default"/>
          <w:spacing w:val="-1"/>
        </w:rPr>
        <w:t>[1995]44</w:t>
      </w:r>
      <w:r>
        <w:rPr>
          <w:spacing w:val="-1"/>
        </w:rPr>
        <w:t>号《财政部、国家税务总局关于对部分资源综合利用产品免征增值税问题的通知》及</w:t>
      </w:r>
      <w:r>
        <w:rPr/>
        <w:t> </w:t>
      </w:r>
      <w:r>
        <w:rPr>
          <w:spacing w:val="-1"/>
        </w:rPr>
        <w:t>财税</w:t>
      </w:r>
      <w:r>
        <w:rPr>
          <w:rFonts w:ascii="Times New Roman" w:hAnsi="Times New Roman" w:cs="Times New Roman" w:eastAsia="Times New Roman" w:hint="default"/>
          <w:spacing w:val="-1"/>
        </w:rPr>
        <w:t>[2001]72</w:t>
      </w:r>
      <w:r>
        <w:rPr>
          <w:spacing w:val="-1"/>
        </w:rPr>
        <w:t>号文件有关规定，本公司之子公司山东晨鸣板材有限责任公司生产的资源综合利用产品享受增值税即征即退的</w:t>
      </w:r>
      <w:r>
        <w:rPr>
          <w:spacing w:val="-55"/>
        </w:rPr>
        <w:t> </w:t>
      </w:r>
      <w:r>
        <w:rPr>
          <w:spacing w:val="-55"/>
        </w:rPr>
      </w:r>
      <w:r>
        <w:rPr/>
        <w:t>优惠政策。</w:t>
      </w:r>
    </w:p>
    <w:p>
      <w:pPr>
        <w:spacing w:line="240" w:lineRule="auto" w:before="10"/>
        <w:rPr>
          <w:rFonts w:ascii="宋体" w:hAnsi="宋体" w:cs="宋体" w:eastAsia="宋体" w:hint="default"/>
          <w:sz w:val="21"/>
          <w:szCs w:val="21"/>
        </w:rPr>
      </w:pPr>
    </w:p>
    <w:p>
      <w:pPr>
        <w:pStyle w:val="Heading2"/>
        <w:spacing w:line="240" w:lineRule="auto"/>
        <w:ind w:right="90"/>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5"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纸品及</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鸣汉阳 纸业股 份有限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中国武 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211,370,</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造纸原 料、机 械生产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202,820</w:t>
            </w:r>
          </w:p>
          <w:p>
            <w:pPr>
              <w:pStyle w:val="TableParagraph"/>
              <w:spacing w:line="240" w:lineRule="auto" w:before="106"/>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4" w:right="0"/>
              <w:jc w:val="left"/>
              <w:rPr>
                <w:rFonts w:ascii="Times New Roman" w:hAnsi="Times New Roman" w:cs="Times New Roman" w:eastAsia="Times New Roman" w:hint="default"/>
                <w:sz w:val="18"/>
                <w:szCs w:val="18"/>
              </w:rPr>
            </w:pPr>
            <w:r>
              <w:rPr>
                <w:rFonts w:ascii="Times New Roman"/>
                <w:sz w:val="18"/>
              </w:rPr>
              <w:t>50.93%</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6" w:right="0"/>
              <w:jc w:val="left"/>
              <w:rPr>
                <w:rFonts w:ascii="Times New Roman" w:hAnsi="Times New Roman" w:cs="Times New Roman" w:eastAsia="Times New Roman" w:hint="default"/>
                <w:sz w:val="18"/>
                <w:szCs w:val="18"/>
              </w:rPr>
            </w:pPr>
            <w:r>
              <w:rPr>
                <w:rFonts w:ascii="Times New Roman"/>
                <w:sz w:val="18"/>
              </w:rPr>
              <w:t>50.93%</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203,521</w:t>
            </w:r>
          </w:p>
          <w:p>
            <w:pPr>
              <w:pStyle w:val="TableParagraph"/>
              <w:spacing w:line="240" w:lineRule="auto" w:before="106"/>
              <w:ind w:left="109" w:right="0"/>
              <w:jc w:val="left"/>
              <w:rPr>
                <w:rFonts w:ascii="Times New Roman" w:hAnsi="Times New Roman" w:cs="Times New Roman" w:eastAsia="Times New Roman" w:hint="default"/>
                <w:sz w:val="18"/>
                <w:szCs w:val="18"/>
              </w:rPr>
            </w:pPr>
            <w:r>
              <w:rPr>
                <w:rFonts w:ascii="Times New Roman"/>
                <w:sz w:val="18"/>
              </w:rPr>
              <w:t>,200.00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4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鸣热电 股份有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99,550,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热力生 产和供</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65" w:right="0"/>
              <w:jc w:val="left"/>
              <w:rPr>
                <w:rFonts w:ascii="Times New Roman" w:hAnsi="Times New Roman" w:cs="Times New Roman" w:eastAsia="Times New Roman" w:hint="default"/>
                <w:sz w:val="18"/>
                <w:szCs w:val="18"/>
              </w:rPr>
            </w:pPr>
            <w:r>
              <w:rPr>
                <w:rFonts w:ascii="Times New Roman"/>
                <w:sz w:val="18"/>
              </w:rPr>
              <w:t>157,810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24,769,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应</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销售加</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晨鸣纸 业有限 责任公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中国海 拉尔</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工及销 售机制 纸、浆</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75%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15,306,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板</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鸣矿业 有限责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中国海 城</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矿业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石、滑 石加工</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65" w:right="0"/>
              <w:jc w:val="left"/>
              <w:rPr>
                <w:rFonts w:ascii="Times New Roman" w:hAnsi="Times New Roman" w:cs="Times New Roman" w:eastAsia="Times New Roman" w:hint="default"/>
                <w:sz w:val="18"/>
                <w:szCs w:val="18"/>
              </w:rPr>
            </w:pPr>
            <w:r>
              <w:rPr>
                <w:rFonts w:ascii="Times New Roman"/>
                <w:sz w:val="18"/>
              </w:rPr>
              <w:t>144,000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纸、纸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江西晨 鸣纸业 有限责 任公司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中国南 昌</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27,200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板、纸 浆板、 纸制品 和造纸 原料的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1,206,5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加工等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速生杨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晨鸣天 园林业 有限公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及林果 蔬菜开 发、培</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7,200,0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68%</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68%</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-974,10</w:t>
            </w:r>
          </w:p>
          <w:p>
            <w:pPr>
              <w:pStyle w:val="TableParagraph"/>
              <w:spacing w:line="240" w:lineRule="auto" w:before="105"/>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育</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山东御 景大酒 店有限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餐饮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1,390.5</w:t>
            </w:r>
          </w:p>
          <w:p>
            <w:pPr>
              <w:pStyle w:val="TableParagraph"/>
              <w:spacing w:line="302" w:lineRule="auto" w:before="64"/>
              <w:ind w:left="2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餐饮服 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80,500,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-17,199,</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200.00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鸣美术 纸有限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等的生 产、销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 w:right="0"/>
              <w:jc w:val="center"/>
              <w:rPr>
                <w:rFonts w:ascii="Times New Roman" w:hAnsi="Times New Roman" w:cs="Times New Roman" w:eastAsia="Times New Roman" w:hint="default"/>
                <w:sz w:val="18"/>
                <w:szCs w:val="18"/>
              </w:rPr>
            </w:pPr>
            <w:r>
              <w:rPr>
                <w:rFonts w:ascii="Times New Roman"/>
                <w:sz w:val="18"/>
              </w:rPr>
              <w:t>113,620,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32,654,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吉林晨 鸣纸业 有限责 任公司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中国吉 林市</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纸、纸 板、纸 制品、 纸浆、 加工和</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1,501,3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湛江晨 鸣浆纸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中国湛 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加工、 销售纸 浆等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寿光美 伦纸业 有限责 任公司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机制 纸、纸 版等的 生产、 销售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山东晨 鸣纸业 销售有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07"/>
              <w:jc w:val="left"/>
              <w:rPr>
                <w:rFonts w:ascii="宋体" w:hAnsi="宋体" w:cs="宋体" w:eastAsia="宋体" w:hint="default"/>
                <w:sz w:val="18"/>
                <w:szCs w:val="18"/>
              </w:rPr>
            </w:pPr>
            <w:r>
              <w:rPr>
                <w:rFonts w:ascii="宋体" w:hAnsi="宋体" w:cs="宋体" w:eastAsia="宋体" w:hint="default"/>
                <w:sz w:val="18"/>
                <w:szCs w:val="18"/>
              </w:rPr>
              <w:t>纸品销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销售机 制纸、 纸板、 造纸原 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有关纸</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24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2" w:right="50"/>
              <w:jc w:val="both"/>
              <w:rPr>
                <w:rFonts w:ascii="宋体" w:hAnsi="宋体" w:cs="宋体" w:eastAsia="宋体"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08"/>
              <w:jc w:val="left"/>
              <w:rPr>
                <w:rFonts w:ascii="宋体" w:hAnsi="宋体" w:cs="宋体" w:eastAsia="宋体" w:hint="default"/>
                <w:sz w:val="18"/>
                <w:szCs w:val="18"/>
              </w:rPr>
            </w:pPr>
            <w:r>
              <w:rPr>
                <w:rFonts w:ascii="宋体" w:hAnsi="宋体" w:cs="宋体" w:eastAsia="宋体" w:hint="default"/>
                <w:sz w:val="18"/>
                <w:szCs w:val="18"/>
              </w:rPr>
              <w:t>中国香 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107"/>
              <w:jc w:val="left"/>
              <w:rPr>
                <w:rFonts w:ascii="宋体" w:hAnsi="宋体" w:cs="宋体" w:eastAsia="宋体" w:hint="default"/>
                <w:sz w:val="18"/>
                <w:szCs w:val="18"/>
              </w:rPr>
            </w:pPr>
            <w:r>
              <w:rPr>
                <w:rFonts w:ascii="宋体" w:hAnsi="宋体" w:cs="宋体" w:eastAsia="宋体" w:hint="default"/>
                <w:sz w:val="18"/>
                <w:szCs w:val="18"/>
              </w:rPr>
              <w:t>纸品贸 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业产品 的进出 口贸易 及市场</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0" w:right="0"/>
              <w:jc w:val="left"/>
              <w:rPr>
                <w:rFonts w:ascii="Times New Roman" w:hAnsi="Times New Roman" w:cs="Times New Roman" w:eastAsia="Times New Roman" w:hint="default"/>
                <w:sz w:val="18"/>
                <w:szCs w:val="18"/>
              </w:rPr>
            </w:pPr>
            <w:r>
              <w:rPr>
                <w:rFonts w:ascii="Times New Roman"/>
                <w:sz w:val="18"/>
              </w:rPr>
              <w:t>62,580,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调研等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鸣现代 物流有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货物运 输</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富裕晨 鸣纸业 有限责 任公司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中国富 裕</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208,000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机制 纸、纸 版等的 生产、 销售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5" w:right="0"/>
              <w:jc w:val="left"/>
              <w:rPr>
                <w:rFonts w:ascii="Times New Roman" w:hAnsi="Times New Roman" w:cs="Times New Roman" w:eastAsia="Times New Roman" w:hint="default"/>
                <w:sz w:val="18"/>
                <w:szCs w:val="18"/>
              </w:rPr>
            </w:pPr>
            <w:r>
              <w:rPr>
                <w:rFonts w:ascii="Times New Roman"/>
                <w:sz w:val="18"/>
              </w:rPr>
              <w:t>208,000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黄冈晨 鸣浆纸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中国黄 冈</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纸浆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林木经 营、收 购、纸 浆项目 筹建</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黄冈晨 鸣林业 发展有 限责任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中国黄 冈</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林木种 植、加 工、销 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寿光顺 达报关 有限责</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报关报 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专业报 关、报 检业务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代理</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晨鸣国 际有限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美国洛 杉矶</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进出 口、技 术研发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进出 口、技 术研发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67"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寿光晨 鸣宏欣 包装有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销售纸 张类包 装</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造纸机</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鸣造纸 机械有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7"/>
              <w:jc w:val="left"/>
              <w:rPr>
                <w:rFonts w:ascii="宋体" w:hAnsi="宋体" w:cs="宋体" w:eastAsia="宋体" w:hint="default"/>
                <w:sz w:val="18"/>
                <w:szCs w:val="18"/>
              </w:rPr>
            </w:pPr>
            <w:r>
              <w:rPr>
                <w:rFonts w:ascii="宋体" w:hAnsi="宋体" w:cs="宋体" w:eastAsia="宋体" w:hint="default"/>
                <w:sz w:val="18"/>
                <w:szCs w:val="18"/>
              </w:rPr>
              <w:t>机械制 造</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械加 工、维</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寿光晨 鸣进出 口贸易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07"/>
              <w:jc w:val="left"/>
              <w:rPr>
                <w:rFonts w:ascii="宋体" w:hAnsi="宋体" w:cs="宋体" w:eastAsia="宋体" w:hint="default"/>
                <w:sz w:val="18"/>
                <w:szCs w:val="18"/>
              </w:rPr>
            </w:pPr>
            <w:r>
              <w:rPr>
                <w:rFonts w:ascii="宋体" w:hAnsi="宋体" w:cs="宋体" w:eastAsia="宋体" w:hint="default"/>
                <w:sz w:val="18"/>
                <w:szCs w:val="18"/>
              </w:rPr>
              <w:t>进出口 贸易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货物及 技术进 出口贸 易</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寿光晨 鸣工业 物流有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陆路运 输、仓 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鸣佳泰 物业管 理有限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物业管 理</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物业管 理</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寿光恒 丰仓储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7"/>
              <w:jc w:val="left"/>
              <w:rPr>
                <w:rFonts w:ascii="宋体" w:hAnsi="宋体" w:cs="宋体" w:eastAsia="宋体" w:hint="default"/>
                <w:sz w:val="18"/>
                <w:szCs w:val="18"/>
              </w:rPr>
            </w:pPr>
            <w:r>
              <w:rPr>
                <w:rFonts w:ascii="宋体" w:hAnsi="宋体" w:cs="宋体" w:eastAsia="宋体" w:hint="default"/>
                <w:sz w:val="18"/>
                <w:szCs w:val="18"/>
              </w:rPr>
              <w:t>仓储租 赁</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仓储租 赁、仓 储服务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晨鸣纸 业日本 株式会 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日本东 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07"/>
              <w:jc w:val="left"/>
              <w:rPr>
                <w:rFonts w:ascii="宋体" w:hAnsi="宋体" w:cs="宋体" w:eastAsia="宋体" w:hint="default"/>
                <w:sz w:val="18"/>
                <w:szCs w:val="18"/>
              </w:rPr>
            </w:pPr>
            <w:r>
              <w:rPr>
                <w:rFonts w:ascii="宋体" w:hAnsi="宋体" w:cs="宋体" w:eastAsia="宋体" w:hint="default"/>
                <w:sz w:val="18"/>
                <w:szCs w:val="18"/>
              </w:rPr>
              <w:t>纸品贸 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纸品、 原材料 贸易</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3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67"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GmbH</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德国汉 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机制纸 贸易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万欧 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机制纸 贸易</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万欧</w:t>
            </w:r>
          </w:p>
          <w:p>
            <w:pPr>
              <w:pStyle w:val="TableParagraph"/>
              <w:spacing w:line="240" w:lineRule="auto" w:before="63"/>
              <w:ind w:right="20"/>
              <w:jc w:val="righ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销售机</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5"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鸣纸业 集团</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（富</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4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46"/>
              <w:ind w:left="22" w:right="108"/>
              <w:jc w:val="left"/>
              <w:rPr>
                <w:rFonts w:ascii="宋体" w:hAnsi="宋体" w:cs="宋体" w:eastAsia="宋体" w:hint="default"/>
                <w:sz w:val="18"/>
                <w:szCs w:val="18"/>
              </w:rPr>
            </w:pPr>
            <w:r>
              <w:rPr>
                <w:rFonts w:ascii="宋体" w:hAnsi="宋体" w:cs="宋体" w:eastAsia="宋体" w:hint="default"/>
                <w:sz w:val="18"/>
                <w:szCs w:val="18"/>
              </w:rPr>
              <w:t>中国富 裕</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46"/>
              <w:ind w:left="23" w:right="107"/>
              <w:jc w:val="left"/>
              <w:rPr>
                <w:rFonts w:ascii="宋体" w:hAnsi="宋体" w:cs="宋体" w:eastAsia="宋体" w:hint="default"/>
                <w:sz w:val="18"/>
                <w:szCs w:val="18"/>
              </w:rPr>
            </w:pPr>
            <w:r>
              <w:rPr>
                <w:rFonts w:ascii="宋体" w:hAnsi="宋体" w:cs="宋体" w:eastAsia="宋体" w:hint="default"/>
                <w:sz w:val="18"/>
                <w:szCs w:val="18"/>
              </w:rPr>
              <w:t>纸品销 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制纸、 纸板、 造纸原</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裕）销</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料及辅</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674"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售有限 公司</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料、造 纸机械</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林木种</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植、苗</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湛江晨 鸣林业 发展有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中国湛 江</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木培 育、木 材加工 销售、 林副产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品加工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阳江晨 鸣林业 发展有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中国阳 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林木种 植、开 发、林 业科技 咨询</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湛江美 伦浆纸 有限公 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中国湛 江</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纸浆</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生产、 加工、 销售纸 浆及相 关产品</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新型墙</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87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湛江晨 鸣新型 墙体材 料有限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中国湛 江</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墙体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体材料 的生产 与销 售、粉 煤灰的 综合利</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650"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武汉晨 鸣乾能 热电有 限责任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8"/>
              <w:jc w:val="left"/>
              <w:rPr>
                <w:rFonts w:ascii="宋体" w:hAnsi="宋体" w:cs="宋体" w:eastAsia="宋体" w:hint="default"/>
                <w:sz w:val="18"/>
                <w:szCs w:val="18"/>
              </w:rPr>
            </w:pPr>
            <w:r>
              <w:rPr>
                <w:rFonts w:ascii="宋体" w:hAnsi="宋体" w:cs="宋体" w:eastAsia="宋体" w:hint="default"/>
                <w:sz w:val="18"/>
                <w:szCs w:val="18"/>
              </w:rPr>
              <w:t>中国武 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88,240,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电力、 热力的 生产及 销售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0" w:right="0"/>
              <w:jc w:val="left"/>
              <w:rPr>
                <w:rFonts w:ascii="Times New Roman" w:hAnsi="Times New Roman" w:cs="Times New Roman" w:eastAsia="Times New Roman" w:hint="default"/>
                <w:sz w:val="18"/>
                <w:szCs w:val="18"/>
              </w:rPr>
            </w:pPr>
            <w:r>
              <w:rPr>
                <w:rFonts w:ascii="Times New Roman"/>
                <w:sz w:val="18"/>
              </w:rPr>
              <w:t>39,073,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900.00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吉林市 晨鸣机 械制造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中国吉 林市</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机械加 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机械加 工、机 械设备 制造、 安装及 维修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利用炉</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晨鸣水 泥有限</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7"/>
              <w:jc w:val="left"/>
              <w:rPr>
                <w:rFonts w:ascii="宋体" w:hAnsi="宋体" w:cs="宋体" w:eastAsia="宋体" w:hint="default"/>
                <w:sz w:val="18"/>
                <w:szCs w:val="18"/>
              </w:rPr>
            </w:pPr>
            <w:r>
              <w:rPr>
                <w:rFonts w:ascii="宋体" w:hAnsi="宋体" w:cs="宋体" w:eastAsia="宋体" w:hint="default"/>
                <w:sz w:val="18"/>
                <w:szCs w:val="18"/>
              </w:rPr>
              <w:t>水泥销 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灰生 产、销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售水泥</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人造板</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山东晨 鸣板材 有限责 任公司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板材销 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表面装 饰板木 制品人 造板、 强化木</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地板</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强化木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寿光晨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鸣地板 有限责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地板</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浸渍纸 生产、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6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鸣新力 热电有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热力生 产和供</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49,820,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0" w:right="0"/>
              <w:jc w:val="left"/>
              <w:rPr>
                <w:rFonts w:ascii="Times New Roman" w:hAnsi="Times New Roman" w:cs="Times New Roman" w:eastAsia="Times New Roman" w:hint="default"/>
                <w:sz w:val="18"/>
                <w:szCs w:val="18"/>
              </w:rPr>
            </w:pPr>
            <w:r>
              <w:rPr>
                <w:rFonts w:ascii="Times New Roman"/>
                <w:sz w:val="18"/>
              </w:rPr>
              <w:t>80,765,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200.00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3"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应</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木材成</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南昌晨 鸣林业 发展有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中国南 昌</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林业</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品、半 成品、 林副产 品的加 工、销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0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少数股</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93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7"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65"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子公司 净投资 的其他</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1"/>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7"/>
              <w:ind w:left="65"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66" w:right="65"/>
              <w:jc w:val="both"/>
              <w:rPr>
                <w:rFonts w:ascii="宋体" w:hAnsi="宋体" w:cs="宋体" w:eastAsia="宋体" w:hint="default"/>
                <w:sz w:val="18"/>
                <w:szCs w:val="18"/>
              </w:rPr>
            </w:pPr>
            <w:r>
              <w:rPr>
                <w:rFonts w:ascii="宋体" w:hAnsi="宋体" w:cs="宋体" w:eastAsia="宋体" w:hint="default"/>
                <w:sz w:val="18"/>
                <w:szCs w:val="18"/>
              </w:rPr>
              <w:t>公司少 数股东 分担的</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本期亏</w:t>
            </w:r>
          </w:p>
        </w:tc>
      </w:tr>
      <w:tr>
        <w:trPr>
          <w:trHeight w:val="32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损超过</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少数股</w:t>
            </w: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东在该</w:t>
            </w:r>
          </w:p>
        </w:tc>
      </w:tr>
    </w:tbl>
    <w:p>
      <w:pPr>
        <w:spacing w:after="0" w:line="240" w:lineRule="auto"/>
        <w:jc w:val="center"/>
        <w:rPr>
          <w:rFonts w:ascii="宋体" w:hAnsi="宋体" w:cs="宋体" w:eastAsia="宋体" w:hint="default"/>
          <w:sz w:val="18"/>
          <w:szCs w:val="18"/>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加工、</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寿光虹</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销售包</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宜包装 装饰有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包装</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1,550,0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装制 品、室</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1,550,0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内外装</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饰</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零售煤</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寿光市 新源煤 炭有限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煤炭</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炭、汽 油、建 筑材 料、水 暖配件</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93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润生废 纸回收 有限责</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废旧购 销</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both"/>
              <w:rPr>
                <w:rFonts w:ascii="宋体" w:hAnsi="宋体" w:cs="宋体" w:eastAsia="宋体" w:hint="default"/>
                <w:sz w:val="18"/>
                <w:szCs w:val="18"/>
              </w:rPr>
            </w:pPr>
            <w:r>
              <w:rPr>
                <w:rFonts w:ascii="宋体" w:hAnsi="宋体" w:cs="宋体" w:eastAsia="宋体" w:hint="default"/>
                <w:sz w:val="18"/>
                <w:szCs w:val="18"/>
              </w:rPr>
              <w:t>废旧物 资收购 与销售</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货物运</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输、汽</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车维</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寿光维</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w:t>
            </w:r>
            <w:r>
              <w:rPr>
                <w:rFonts w:ascii="宋体" w:hAnsi="宋体" w:cs="宋体" w:eastAsia="宋体" w:hint="default"/>
                <w:spacing w:val="-3"/>
                <w:sz w:val="18"/>
                <w:szCs w:val="18"/>
              </w:rPr>
              <w:t> </w:t>
            </w:r>
            <w:r>
              <w:rPr>
                <w:rFonts w:ascii="宋体" w:hAnsi="宋体" w:cs="宋体" w:eastAsia="宋体" w:hint="default"/>
                <w:sz w:val="18"/>
                <w:szCs w:val="18"/>
              </w:rPr>
              <w:t>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远物流 有限公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运输</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3,930,0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物仓 储、装</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8" w:right="0"/>
              <w:jc w:val="center"/>
              <w:rPr>
                <w:rFonts w:ascii="Times New Roman" w:hAnsi="Times New Roman" w:cs="Times New Roman" w:eastAsia="Times New Roman" w:hint="default"/>
                <w:sz w:val="18"/>
                <w:szCs w:val="18"/>
              </w:rPr>
            </w:pPr>
            <w:r>
              <w:rPr>
                <w:rFonts w:ascii="Times New Roman"/>
                <w:sz w:val="18"/>
              </w:rPr>
              <w:t>3,930,0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卸、国</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际货运</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1338"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无锡松 岭纸业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left"/>
              <w:rPr>
                <w:rFonts w:ascii="宋体" w:hAnsi="宋体" w:cs="宋体" w:eastAsia="宋体" w:hint="default"/>
                <w:sz w:val="18"/>
                <w:szCs w:val="18"/>
              </w:rPr>
            </w:pPr>
            <w:r>
              <w:rPr>
                <w:rFonts w:ascii="宋体" w:hAnsi="宋体" w:cs="宋体" w:eastAsia="宋体" w:hint="default"/>
                <w:sz w:val="18"/>
                <w:szCs w:val="18"/>
              </w:rPr>
              <w:t>中国无 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造纸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5,010,0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纸张销 售、裁 切加工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5,010,0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0"/>
              <w:jc w:val="both"/>
              <w:rPr>
                <w:rFonts w:ascii="宋体" w:hAnsi="宋体" w:cs="宋体" w:eastAsia="宋体" w:hint="default"/>
                <w:sz w:val="18"/>
                <w:szCs w:val="18"/>
              </w:rPr>
            </w:pPr>
            <w:r>
              <w:rPr>
                <w:rFonts w:ascii="宋体" w:hAnsi="宋体" w:cs="宋体" w:eastAsia="宋体" w:hint="default"/>
                <w:sz w:val="18"/>
                <w:szCs w:val="18"/>
              </w:rPr>
              <w:t>广东慧 锐投资 有限公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中国湛 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258,000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海洋工 程项目 投资等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131,580</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124,548</w:t>
            </w:r>
          </w:p>
          <w:p>
            <w:pPr>
              <w:pStyle w:val="TableParagraph"/>
              <w:spacing w:line="240" w:lineRule="auto" w:before="105"/>
              <w:ind w:left="109" w:right="0"/>
              <w:jc w:val="left"/>
              <w:rPr>
                <w:rFonts w:ascii="Times New Roman" w:hAnsi="Times New Roman" w:cs="Times New Roman" w:eastAsia="Times New Roman" w:hint="default"/>
                <w:sz w:val="18"/>
                <w:szCs w:val="18"/>
              </w:rPr>
            </w:pPr>
            <w:r>
              <w:rPr>
                <w:rFonts w:ascii="Times New Roman"/>
                <w:sz w:val="18"/>
              </w:rPr>
              <w:t>,700.00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寿光鸿 翔印刷 包装有 限责任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中国寿 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印刷包 装材料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加工、 销售包 装制 品、室 内外装 饰</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2,730,0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报告期公司无特殊目的主体或通过受托经营或承租等方式形成控制权的经营实体。</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6081" w:hanging="360"/>
        <w:jc w:val="left"/>
      </w:pPr>
      <w:r>
        <w:rPr/>
        <w:t>合并报表范围发生变更说明 合并范围发生变更的情况详见附注六、</w:t>
      </w:r>
      <w:r>
        <w:rPr>
          <w:rFonts w:ascii="Times New Roman" w:hAnsi="Times New Roman" w:cs="Times New Roman" w:eastAsia="Times New Roman" w:hint="default"/>
        </w:rPr>
        <w:t>4</w:t>
      </w:r>
      <w:r>
        <w:rPr/>
        <w:t>。</w:t>
      </w:r>
    </w:p>
    <w:p>
      <w:pPr>
        <w:spacing w:line="340" w:lineRule="auto" w:before="6"/>
        <w:ind w:left="154" w:right="5809"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与上年相比本年（期）新增合并单位</w:t>
      </w:r>
      <w:r>
        <w:rPr>
          <w:rFonts w:ascii="宋体" w:hAnsi="宋体" w:cs="宋体" w:eastAsia="宋体" w:hint="default"/>
          <w:b/>
          <w:bCs/>
          <w:spacing w:val="-52"/>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8"/>
          <w:sz w:val="18"/>
          <w:szCs w:val="18"/>
        </w:rPr>
        <w:t> </w:t>
      </w:r>
      <w:r>
        <w:rPr>
          <w:rFonts w:ascii="宋体" w:hAnsi="宋体" w:cs="宋体" w:eastAsia="宋体" w:hint="default"/>
          <w:b/>
          <w:bCs/>
          <w:sz w:val="18"/>
          <w:szCs w:val="18"/>
        </w:rPr>
        <w:t>家，原因为</w:t>
      </w:r>
      <w:r>
        <w:rPr>
          <w:rFonts w:ascii="宋体" w:hAnsi="宋体" w:cs="宋体" w:eastAsia="宋体" w:hint="default"/>
          <w:sz w:val="18"/>
          <w:szCs w:val="18"/>
        </w:rPr>
      </w:r>
    </w:p>
    <w:p>
      <w:pPr>
        <w:pStyle w:val="BodyText"/>
        <w:spacing w:line="300" w:lineRule="auto" w:before="17"/>
        <w:ind w:left="154" w:right="208" w:firstLine="360"/>
        <w:jc w:val="both"/>
      </w:pPr>
      <w:r>
        <w:rPr/>
        <w:t>报告期内，公司通过投资设立新增</w:t>
      </w:r>
      <w:r>
        <w:rPr>
          <w:rFonts w:ascii="Times New Roman" w:hAnsi="Times New Roman" w:cs="Times New Roman" w:eastAsia="Times New Roman" w:hint="default"/>
        </w:rPr>
        <w:t>4</w:t>
      </w:r>
      <w:r>
        <w:rPr/>
        <w:t>家公司，分别是晨鸣</w:t>
      </w:r>
      <w:r>
        <w:rPr>
          <w:rFonts w:ascii="Times New Roman" w:hAnsi="Times New Roman" w:cs="Times New Roman" w:eastAsia="Times New Roman" w:hint="default"/>
        </w:rPr>
        <w:t>GmbH</w:t>
      </w:r>
      <w:r>
        <w:rPr/>
        <w:t>、湛江美伦浆纸有限公司、湛江晨鸣新型墙体材料有限 公司、山东晨鸣纸业集团（富裕）销售有限公司。通过非同一控制下企业合并并购了寿光鸿翔印刷包装有限责任公司。</w:t>
      </w:r>
    </w:p>
    <w:p>
      <w:pPr>
        <w:pStyle w:val="BodyText"/>
        <w:spacing w:line="309" w:lineRule="auto" w:before="31"/>
        <w:ind w:left="154" w:right="149" w:firstLine="360"/>
        <w:jc w:val="both"/>
      </w:pPr>
      <w:r>
        <w:rPr>
          <w:spacing w:val="-2"/>
        </w:rPr>
        <w:t>为了加强本公司纸品销售工作，进一步扩大公司产品在欧洲市场的占有份额，建立更广泛、更完善的营销网络，公司决</w:t>
      </w:r>
      <w:r>
        <w:rPr/>
        <w:t> </w:t>
      </w:r>
      <w:r>
        <w:rPr>
          <w:spacing w:val="-1"/>
        </w:rPr>
        <w:t>定成立德国销售公司。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7</w:t>
      </w:r>
      <w:r>
        <w:rPr>
          <w:spacing w:val="-1"/>
        </w:rPr>
        <w:t>日，公司收到商务部批准的《企业境外投资证书》，批准成立晨鸣</w:t>
      </w:r>
      <w:r>
        <w:rPr>
          <w:rFonts w:ascii="Times New Roman" w:hAnsi="Times New Roman" w:cs="Times New Roman" w:eastAsia="Times New Roman" w:hint="default"/>
          <w:spacing w:val="-1"/>
        </w:rPr>
        <w:t>GmbH</w:t>
      </w:r>
      <w:r>
        <w:rPr>
          <w:spacing w:val="-1"/>
        </w:rPr>
        <w:t>（以下简称：德</w:t>
      </w:r>
      <w:r>
        <w:rPr>
          <w:spacing w:val="-69"/>
        </w:rPr>
        <w:t> </w:t>
      </w:r>
      <w:r>
        <w:rPr>
          <w:spacing w:val="-69"/>
        </w:rPr>
      </w:r>
      <w:r>
        <w:rPr/>
        <w:t>国晨鸣），注册资本为</w:t>
      </w:r>
      <w:r>
        <w:rPr>
          <w:rFonts w:ascii="Times New Roman" w:hAnsi="Times New Roman" w:cs="Times New Roman" w:eastAsia="Times New Roman" w:hint="default"/>
        </w:rPr>
        <w:t>2.5</w:t>
      </w:r>
      <w:r>
        <w:rPr/>
        <w:t>万欧元，并将根据新公司的运营情况及时追加投资，自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月份纳入公司合并报表范围。</w:t>
      </w:r>
    </w:p>
    <w:p>
      <w:pPr>
        <w:pStyle w:val="BodyText"/>
        <w:spacing w:line="316" w:lineRule="auto" w:before="5"/>
        <w:ind w:right="149" w:firstLine="360"/>
        <w:jc w:val="both"/>
      </w:pPr>
      <w:r>
        <w:rPr>
          <w:spacing w:val="-2"/>
        </w:rPr>
        <w:t>为充分利用湛江晨鸣已建成的公用工程和附属设施等配套资源，能够实现企业产品多元化，进一步降低成本，增强公司</w:t>
      </w:r>
      <w:r>
        <w:rPr/>
        <w:t> </w:t>
      </w:r>
      <w:r>
        <w:rPr>
          <w:spacing w:val="-2"/>
        </w:rPr>
        <w:t>的抗风险能力，公司六届董事会第五次临时会议审议通过《关于成立湛江美伦浆纸有限公司的议案》，批准成立了湛江美伦</w:t>
      </w:r>
      <w:r>
        <w:rPr>
          <w:spacing w:val="-66"/>
        </w:rPr>
        <w:t> </w:t>
      </w:r>
      <w:r>
        <w:rPr>
          <w:spacing w:val="-66"/>
        </w:rPr>
      </w:r>
      <w:r>
        <w:rPr/>
        <w:t>浆纸有限公司（以下简称：湛江美伦），注册资本</w:t>
      </w:r>
      <w:r>
        <w:rPr>
          <w:rFonts w:ascii="Times New Roman" w:hAnsi="Times New Roman" w:cs="Times New Roman" w:eastAsia="Times New Roman" w:hint="default"/>
        </w:rPr>
        <w:t>10,000</w:t>
      </w:r>
      <w:r>
        <w:rPr/>
        <w:t>万元，自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月纳入公司合并报表范围。</w:t>
      </w:r>
    </w:p>
    <w:p>
      <w:pPr>
        <w:pStyle w:val="BodyText"/>
        <w:spacing w:line="312" w:lineRule="auto"/>
        <w:ind w:right="114" w:firstLine="360"/>
        <w:jc w:val="right"/>
      </w:pPr>
      <w:r>
        <w:rPr>
          <w:spacing w:val="-2"/>
        </w:rPr>
        <w:t>为加强资源综合利用，积极响应国家资源综合利用政策，同时适应当地市场需求，决定由公司全资子公司湛江晨鸣出资</w:t>
      </w:r>
      <w:r>
        <w:rPr/>
        <w:t> </w:t>
      </w:r>
      <w:r>
        <w:rPr>
          <w:spacing w:val="-1"/>
        </w:rPr>
        <w:t>成立湛江晨鸣新型墙体材料有限公司（以下简称湛江墙体），注册资本</w:t>
      </w:r>
      <w:r>
        <w:rPr>
          <w:rFonts w:ascii="Times New Roman" w:hAnsi="Times New Roman" w:cs="Times New Roman" w:eastAsia="Times New Roman" w:hint="default"/>
          <w:spacing w:val="-1"/>
        </w:rPr>
        <w:t>1,000</w:t>
      </w:r>
      <w:r>
        <w:rPr>
          <w:spacing w:val="-1"/>
        </w:rPr>
        <w:t>万元，自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月份纳入公司合并报表范围。</w:t>
      </w:r>
      <w:r>
        <w:rPr>
          <w:spacing w:val="-43"/>
        </w:rPr>
        <w:t> </w:t>
      </w:r>
      <w:r>
        <w:rPr>
          <w:spacing w:val="-2"/>
        </w:rPr>
        <w:t>为延长本公司产业链，降低成品纸包装成本，增加收入，公司七届董事会第二次临时会议审议通过了《关于收购鸿翔印</w:t>
      </w:r>
      <w:r>
        <w:rPr/>
        <w:t> 刷股权的议案》，公司分别与宋培军、田长智、张波签订了《股权转让协议》，以人民币</w:t>
      </w:r>
      <w:r>
        <w:rPr>
          <w:rFonts w:ascii="Times New Roman" w:hAnsi="Times New Roman" w:cs="Times New Roman" w:eastAsia="Times New Roman" w:hint="default"/>
        </w:rPr>
        <w:t>273</w:t>
      </w:r>
      <w:r>
        <w:rPr/>
        <w:t>万元收购寿光鸿翔印刷包装有</w:t>
      </w:r>
    </w:p>
    <w:p>
      <w:pPr>
        <w:pStyle w:val="BodyText"/>
        <w:spacing w:line="300" w:lineRule="auto" w:before="3"/>
        <w:ind w:left="513" w:right="0" w:hanging="360"/>
        <w:jc w:val="left"/>
      </w:pPr>
      <w:r>
        <w:rPr/>
        <w:t>限责任公司（以下简称</w:t>
      </w:r>
      <w:r>
        <w:rPr>
          <w:rFonts w:ascii="Times New Roman" w:hAnsi="Times New Roman" w:cs="Times New Roman" w:eastAsia="Times New Roman" w:hint="default"/>
        </w:rPr>
        <w:t>“</w:t>
      </w:r>
      <w:r>
        <w:rPr/>
        <w:t>鸿翔印刷</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 </w:t>
      </w:r>
      <w:r>
        <w:rPr>
          <w:spacing w:val="-2"/>
        </w:rPr>
        <w:t>为便于业务操作，发挥集团统一销售优势，加强市场开发力度，公司七届董事会第二次临时会议审议通过了《关于成立</w:t>
      </w:r>
    </w:p>
    <w:p>
      <w:pPr>
        <w:pStyle w:val="BodyText"/>
        <w:spacing w:line="300" w:lineRule="auto" w:before="31"/>
        <w:ind w:right="141"/>
        <w:jc w:val="left"/>
      </w:pPr>
      <w:r>
        <w:rPr/>
        <w:t>富裕销售公司的议案》，批准成立了山东晨鸣纸业集团（富裕）销售有限公司（以下简称：富裕销售公司），注册资本</w:t>
      </w:r>
      <w:r>
        <w:rPr>
          <w:rFonts w:ascii="Times New Roman" w:hAnsi="Times New Roman" w:cs="Times New Roman" w:eastAsia="Times New Roman" w:hint="default"/>
        </w:rPr>
        <w:t>100 </w:t>
      </w:r>
      <w:r>
        <w:rPr/>
        <w:t>万元，自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月纳入公司合并报表范围。</w:t>
      </w:r>
    </w:p>
    <w:p>
      <w:pPr>
        <w:spacing w:line="338" w:lineRule="auto" w:before="53"/>
        <w:ind w:left="513" w:right="0" w:hanging="360"/>
        <w:jc w:val="left"/>
        <w:rPr>
          <w:rFonts w:ascii="宋体" w:hAnsi="宋体" w:cs="宋体" w:eastAsia="宋体" w:hint="default"/>
          <w:sz w:val="18"/>
          <w:szCs w:val="18"/>
        </w:rPr>
      </w:pPr>
      <w:r>
        <w:rPr>
          <w:rFonts w:ascii="宋体" w:hAnsi="宋体" w:cs="宋体" w:eastAsia="宋体" w:hint="default"/>
          <w:b/>
          <w:bCs/>
          <w:sz w:val="18"/>
          <w:szCs w:val="18"/>
        </w:rPr>
        <w:t>与上年相比本年（期）减少合并单位</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家，原因为</w:t>
      </w:r>
      <w:r>
        <w:rPr>
          <w:rFonts w:ascii="宋体" w:hAnsi="宋体" w:cs="宋体" w:eastAsia="宋体" w:hint="default"/>
          <w:b/>
          <w:bCs/>
          <w:w w:val="99"/>
          <w:sz w:val="18"/>
          <w:szCs w:val="18"/>
        </w:rPr>
        <w:t> </w:t>
      </w:r>
      <w:r>
        <w:rPr>
          <w:rFonts w:ascii="宋体" w:hAnsi="宋体" w:cs="宋体" w:eastAsia="宋体" w:hint="default"/>
          <w:spacing w:val="-2"/>
          <w:sz w:val="18"/>
          <w:szCs w:val="18"/>
        </w:rPr>
        <w:t>延边晨鸣纸业有限公司、武汉晨建新型墙体材料有限责任公司、上海润晨股权投资基金有限公司、武汉晨鸣万兴置业有</w:t>
      </w:r>
    </w:p>
    <w:p>
      <w:pPr>
        <w:pStyle w:val="BodyText"/>
        <w:spacing w:line="316" w:lineRule="auto" w:before="2"/>
        <w:ind w:right="0"/>
        <w:jc w:val="left"/>
      </w:pPr>
      <w:r>
        <w:rPr>
          <w:spacing w:val="-2"/>
        </w:rPr>
        <w:t>限公司为本期因出售股权而丧失控制权，从而不再纳入合并范围；武汉星之恋纸业有限公司、吉林晨鸣废旧物资回收有限公</w:t>
      </w:r>
      <w:r>
        <w:rPr>
          <w:spacing w:val="-66"/>
        </w:rPr>
        <w:t> </w:t>
      </w:r>
      <w:r>
        <w:rPr>
          <w:spacing w:val="-66"/>
        </w:rPr>
      </w:r>
      <w:r>
        <w:rPr/>
        <w:t>司为本期根据实际经营需要注销，从而不再纳入合并范围。</w:t>
      </w:r>
    </w:p>
    <w:p>
      <w:pPr>
        <w:pStyle w:val="BodyText"/>
        <w:spacing w:line="300" w:lineRule="auto" w:before="20"/>
        <w:ind w:left="154" w:right="0" w:firstLine="359"/>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日，公司六届董事会第十七次会议审议通过了</w:t>
      </w:r>
      <w:r>
        <w:rPr>
          <w:rFonts w:ascii="Times New Roman" w:hAnsi="Times New Roman" w:cs="Times New Roman" w:eastAsia="Times New Roman" w:hint="default"/>
          <w:spacing w:val="-2"/>
        </w:rPr>
        <w:t>“</w:t>
      </w:r>
      <w:r>
        <w:rPr>
          <w:spacing w:val="-2"/>
        </w:rPr>
        <w:t>关于出售上海润晨股权的议案</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日，公司与上</w:t>
      </w:r>
      <w:r>
        <w:rPr/>
        <w:t> 海锐宝环保科技有限公司签署了股权转让合同，向其转让上海润晨股权投资基金有限公司（以下简称：上海润晨）</w:t>
      </w:r>
      <w:r>
        <w:rPr>
          <w:rFonts w:ascii="Times New Roman" w:hAnsi="Times New Roman" w:cs="Times New Roman" w:eastAsia="Times New Roman" w:hint="default"/>
        </w:rPr>
        <w:t>98.36% </w:t>
      </w:r>
      <w:r>
        <w:rPr/>
        <w:t>股权，转让价款为</w:t>
      </w:r>
      <w:r>
        <w:rPr>
          <w:rFonts w:ascii="Times New Roman" w:hAnsi="Times New Roman" w:cs="Times New Roman" w:eastAsia="Times New Roman" w:hint="default"/>
        </w:rPr>
        <w:t>300,916,016.71</w:t>
      </w:r>
      <w:r>
        <w:rPr/>
        <w:t>元，自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日起，公司对上海润晨不再控制，不再纳入合并报表范围。</w:t>
      </w:r>
    </w:p>
    <w:p>
      <w:pPr>
        <w:pStyle w:val="BodyText"/>
        <w:spacing w:line="300" w:lineRule="auto" w:before="13"/>
        <w:ind w:right="151" w:firstLine="360"/>
        <w:jc w:val="both"/>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日，公司与延边石岘白麓纸业股份有限公司和延边国有资产投资管理有限公司签订股权转让合同，向其转 </w:t>
      </w:r>
      <w:r>
        <w:rPr>
          <w:spacing w:val="-1"/>
        </w:rPr>
        <w:t>让公司持有延边晨鸣纸业有限公司（以下简称：延边晨鸣）</w:t>
      </w:r>
      <w:r>
        <w:rPr>
          <w:rFonts w:ascii="Times New Roman" w:hAnsi="Times New Roman" w:cs="Times New Roman" w:eastAsia="Times New Roman" w:hint="default"/>
          <w:spacing w:val="-1"/>
        </w:rPr>
        <w:t>49%</w:t>
      </w:r>
      <w:r>
        <w:rPr>
          <w:spacing w:val="-1"/>
        </w:rPr>
        <w:t>和</w:t>
      </w:r>
      <w:r>
        <w:rPr>
          <w:rFonts w:ascii="Times New Roman" w:hAnsi="Times New Roman" w:cs="Times New Roman" w:eastAsia="Times New Roman" w:hint="default"/>
          <w:spacing w:val="-1"/>
        </w:rPr>
        <w:t>51%</w:t>
      </w:r>
      <w:r>
        <w:rPr>
          <w:spacing w:val="-1"/>
        </w:rPr>
        <w:t>股权，转让价款为</w:t>
      </w:r>
      <w:r>
        <w:rPr>
          <w:rFonts w:ascii="Times New Roman" w:hAnsi="Times New Roman" w:cs="Times New Roman" w:eastAsia="Times New Roman" w:hint="default"/>
          <w:spacing w:val="-1"/>
        </w:rPr>
        <w:t>5,400</w:t>
      </w:r>
      <w:r>
        <w:rPr>
          <w:spacing w:val="-1"/>
        </w:rPr>
        <w:t>万元和</w:t>
      </w:r>
      <w:r>
        <w:rPr>
          <w:rFonts w:ascii="Times New Roman" w:hAnsi="Times New Roman" w:cs="Times New Roman" w:eastAsia="Times New Roman" w:hint="default"/>
          <w:spacing w:val="-1"/>
        </w:rPr>
        <w:t>5,600</w:t>
      </w:r>
      <w:r>
        <w:rPr>
          <w:spacing w:val="-1"/>
        </w:rPr>
        <w:t>万元，自</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p>
    <w:p>
      <w:pPr>
        <w:spacing w:after="0" w:line="300" w:lineRule="auto"/>
        <w:jc w:val="both"/>
        <w:rPr>
          <w:rFonts w:ascii="Times New Roman" w:hAnsi="Times New Roman" w:cs="Times New Roman" w:eastAsia="Times New Roman" w:hint="default"/>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4"/>
          <w:szCs w:val="24"/>
        </w:rPr>
      </w:pPr>
    </w:p>
    <w:p>
      <w:pPr>
        <w:pStyle w:val="BodyText"/>
        <w:spacing w:line="240" w:lineRule="auto" w:before="44"/>
        <w:ind w:right="0"/>
        <w:jc w:val="both"/>
      </w:pPr>
      <w:r>
        <w:rPr/>
        <w:t>月</w:t>
      </w:r>
      <w:r>
        <w:rPr>
          <w:rFonts w:ascii="Times New Roman" w:hAnsi="Times New Roman" w:cs="Times New Roman" w:eastAsia="Times New Roman" w:hint="default"/>
        </w:rPr>
        <w:t>15</w:t>
      </w:r>
      <w:r>
        <w:rPr/>
        <w:t>日公司对延边晨鸣不再控制，不再将其纳入合并报表范围。</w:t>
      </w:r>
    </w:p>
    <w:p>
      <w:pPr>
        <w:pStyle w:val="BodyText"/>
        <w:spacing w:line="300" w:lineRule="auto" w:before="62"/>
        <w:ind w:right="191"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日，公司之子公司武汉晨鸣汉阳纸业股份有限公司与湖北中建昊华环保有限公司签订股权转让合同，向其 转让武汉晨鸣汉阳纸业股份有限公司持有的武汉晨建新型墙体材料有限责任公司</w:t>
      </w:r>
      <w:r>
        <w:rPr>
          <w:spacing w:val="-4"/>
        </w:rPr>
        <w:t> </w:t>
      </w:r>
      <w:r>
        <w:rPr>
          <w:rFonts w:ascii="Times New Roman" w:hAnsi="Times New Roman" w:cs="Times New Roman" w:eastAsia="Times New Roman" w:hint="default"/>
          <w:spacing w:val="-4"/>
        </w:rPr>
        <w:t>(</w:t>
      </w:r>
      <w:r>
        <w:rPr>
          <w:spacing w:val="-4"/>
        </w:rPr>
        <w:t>以下简称：晨建公司</w:t>
      </w:r>
      <w:r>
        <w:rPr>
          <w:rFonts w:ascii="Times New Roman" w:hAnsi="Times New Roman" w:cs="Times New Roman" w:eastAsia="Times New Roman" w:hint="default"/>
          <w:spacing w:val="-4"/>
        </w:rPr>
        <w:t>)51%</w:t>
      </w:r>
      <w:r>
        <w:rPr>
          <w:spacing w:val="-4"/>
        </w:rPr>
        <w:t>股权，转让价款</w:t>
      </w:r>
      <w:r>
        <w:rPr>
          <w:spacing w:val="-88"/>
        </w:rPr>
        <w:t> </w:t>
      </w:r>
      <w:r>
        <w:rPr>
          <w:spacing w:val="-88"/>
        </w:rPr>
      </w:r>
      <w:r>
        <w:rPr>
          <w:rFonts w:ascii="Times New Roman" w:hAnsi="Times New Roman" w:cs="Times New Roman" w:eastAsia="Times New Roman" w:hint="default"/>
        </w:rPr>
        <w:t>510</w:t>
      </w:r>
      <w:r>
        <w:rPr/>
        <w:t>万元，公司对晨建公司不再控制，不再将其纳入合并报表范围。</w:t>
      </w:r>
    </w:p>
    <w:p>
      <w:pPr>
        <w:pStyle w:val="BodyText"/>
        <w:spacing w:line="240" w:lineRule="auto" w:before="13"/>
        <w:ind w:left="513" w:right="90"/>
        <w:jc w:val="left"/>
      </w:pP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日，公司七届董事会第二次临时会议审议通过了《关于武汉晨鸣和湖北浙商合作开发房地产项目的议案》，</w:t>
      </w:r>
    </w:p>
    <w:p>
      <w:pPr>
        <w:pStyle w:val="BodyText"/>
        <w:spacing w:line="300" w:lineRule="auto" w:before="62"/>
        <w:ind w:right="189"/>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日，公司子公司武汉晨鸣汉阳纸业股份有限公司（以下简称</w:t>
      </w:r>
      <w:r>
        <w:rPr>
          <w:rFonts w:ascii="Times New Roman" w:hAnsi="Times New Roman" w:cs="Times New Roman" w:eastAsia="Times New Roman" w:hint="default"/>
        </w:rPr>
        <w:t>“</w:t>
      </w:r>
      <w:r>
        <w:rPr/>
        <w:t>武汉晨鸣</w:t>
      </w:r>
      <w:r>
        <w:rPr>
          <w:rFonts w:ascii="Times New Roman" w:hAnsi="Times New Roman" w:cs="Times New Roman" w:eastAsia="Times New Roman" w:hint="default"/>
        </w:rPr>
        <w:t>”</w:t>
      </w:r>
      <w:r>
        <w:rPr/>
        <w:t>）、武汉晨鸣万兴置业有限公司（以下 </w:t>
      </w:r>
      <w:r>
        <w:rPr>
          <w:spacing w:val="-1"/>
        </w:rPr>
        <w:t>简称</w:t>
      </w:r>
      <w:r>
        <w:rPr>
          <w:rFonts w:ascii="Times New Roman" w:hAnsi="Times New Roman" w:cs="Times New Roman" w:eastAsia="Times New Roman" w:hint="default"/>
          <w:spacing w:val="-1"/>
        </w:rPr>
        <w:t>“</w:t>
      </w:r>
      <w:r>
        <w:rPr>
          <w:spacing w:val="-1"/>
        </w:rPr>
        <w:t>万兴置业</w:t>
      </w:r>
      <w:r>
        <w:rPr>
          <w:rFonts w:ascii="Times New Roman" w:hAnsi="Times New Roman" w:cs="Times New Roman" w:eastAsia="Times New Roman" w:hint="default"/>
          <w:spacing w:val="-1"/>
        </w:rPr>
        <w:t>”</w:t>
      </w:r>
      <w:r>
        <w:rPr>
          <w:spacing w:val="-1"/>
        </w:rPr>
        <w:t>）与湖北浙商万兴投资有限公司（以下简称</w:t>
      </w:r>
      <w:r>
        <w:rPr>
          <w:rFonts w:ascii="Times New Roman" w:hAnsi="Times New Roman" w:cs="Times New Roman" w:eastAsia="Times New Roman" w:hint="default"/>
          <w:spacing w:val="-1"/>
        </w:rPr>
        <w:t>“</w:t>
      </w:r>
      <w:r>
        <w:rPr>
          <w:spacing w:val="-1"/>
        </w:rPr>
        <w:t>湖北浙商</w:t>
      </w:r>
      <w:r>
        <w:rPr>
          <w:rFonts w:ascii="Times New Roman" w:hAnsi="Times New Roman" w:cs="Times New Roman" w:eastAsia="Times New Roman" w:hint="default"/>
          <w:spacing w:val="-1"/>
        </w:rPr>
        <w:t>”</w:t>
      </w:r>
      <w:r>
        <w:rPr>
          <w:spacing w:val="-1"/>
        </w:rPr>
        <w:t>）签署了《房地产合作开发框架合同》、《房地产合</w:t>
      </w:r>
      <w:r>
        <w:rPr>
          <w:spacing w:val="-79"/>
        </w:rPr>
        <w:t> </w:t>
      </w:r>
      <w:r>
        <w:rPr>
          <w:spacing w:val="-79"/>
        </w:rPr>
      </w:r>
      <w:r>
        <w:rPr>
          <w:spacing w:val="-1"/>
        </w:rPr>
        <w:t>作开发框架合同》补充协议，项目公司由公司子公司武汉晨鸣之全资子公司变更为控股</w:t>
      </w:r>
      <w:r>
        <w:rPr>
          <w:rFonts w:ascii="Times New Roman" w:hAnsi="Times New Roman" w:cs="Times New Roman" w:eastAsia="Times New Roman" w:hint="default"/>
          <w:spacing w:val="-1"/>
        </w:rPr>
        <w:t>40%</w:t>
      </w:r>
      <w:r>
        <w:rPr>
          <w:spacing w:val="-1"/>
        </w:rPr>
        <w:t>之联营企业，公司对项目公司不</w:t>
      </w:r>
      <w:r>
        <w:rPr>
          <w:spacing w:val="-87"/>
        </w:rPr>
        <w:t> </w:t>
      </w:r>
      <w:r>
        <w:rPr>
          <w:spacing w:val="-87"/>
        </w:rPr>
      </w:r>
      <w:r>
        <w:rPr/>
        <w:t>再控制，不再将其纳入合并报表范围。</w:t>
      </w:r>
    </w:p>
    <w:p>
      <w:pPr>
        <w:pStyle w:val="BodyText"/>
        <w:spacing w:line="300" w:lineRule="auto" w:before="31"/>
        <w:ind w:left="154" w:right="198" w:firstLine="360"/>
        <w:jc w:val="both"/>
      </w:pPr>
      <w:r>
        <w:rPr/>
        <w:t>吉林晨鸣废旧物资回收有限公司多年已无业务发生，为节省相关费用支出，经吉林晨鸣董事会审议同意注销。</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30</w:t>
      </w:r>
      <w:r>
        <w:rPr/>
        <w:t>日吉林废旧资产、负债并入吉林晨鸣核算，自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日吉林废旧注销登记之日起，公司不再将其纳入合并报表范 围。</w:t>
      </w:r>
    </w:p>
    <w:p>
      <w:pPr>
        <w:pStyle w:val="BodyText"/>
        <w:spacing w:line="309" w:lineRule="auto" w:before="72"/>
        <w:ind w:left="154" w:right="188" w:firstLine="290"/>
        <w:jc w:val="both"/>
      </w:pPr>
      <w:r>
        <w:rPr>
          <w:spacing w:val="-1"/>
        </w:rPr>
        <w:t>根据公司战略规划及生产经营需要，生活用纸项目转移到武汉晨鸣投资建设，为减少相关费用支出，经武汉晨鸣第五届</w:t>
      </w:r>
      <w:r>
        <w:rPr/>
        <w:t> 董事会第十四次会议审议，同意注销武汉星之恋纸业有限公司，相关注销手续已于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日办理完毕。自武汉星之恋</w:t>
      </w:r>
      <w:r>
        <w:rPr>
          <w:spacing w:val="-84"/>
        </w:rPr>
        <w:t> </w:t>
      </w:r>
      <w:r>
        <w:rPr>
          <w:spacing w:val="-84"/>
        </w:rPr>
      </w:r>
      <w:r>
        <w:rPr/>
        <w:t>纸业有限公司注销登记之日起，公司不再将其纳入合并报表范围。</w:t>
      </w:r>
    </w:p>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90"/>
        <w:jc w:val="left"/>
      </w:pPr>
      <w:r>
        <w:rPr/>
        <w:t>本期新纳入合并范围的子公司、特殊目的主体、通过受托经营或承租等方式形成控制权的经营实体</w:t>
      </w:r>
    </w:p>
    <w:p>
      <w:pPr>
        <w:pStyle w:val="BodyText"/>
        <w:spacing w:line="240" w:lineRule="auto" w:before="117"/>
        <w:ind w:left="7767" w:right="18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GmbH</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-12,910,470.68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-16,404,255.49</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99,599,761.63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-400,238.37</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湛江晨鸣新型墙体材料有限公司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9,720,643.11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-279,356.89</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15,939,559.76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10,888,575.24</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山东晨鸣纸业集团（富裕）销售有限公司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996,654.25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-3,345.75</w:t>
            </w:r>
          </w:p>
        </w:tc>
      </w:tr>
    </w:tbl>
    <w:p>
      <w:pPr>
        <w:pStyle w:val="BodyText"/>
        <w:spacing w:line="300" w:lineRule="auto" w:before="10"/>
        <w:ind w:left="154" w:right="90" w:firstLine="359"/>
        <w:jc w:val="left"/>
      </w:pPr>
      <w:r>
        <w:rPr/>
        <w:t>（</w:t>
      </w:r>
      <w:r>
        <w:rPr>
          <w:rFonts w:ascii="Times New Roman" w:hAnsi="Times New Roman" w:cs="Times New Roman" w:eastAsia="Times New Roman" w:hint="default"/>
        </w:rPr>
        <w:t>1</w:t>
      </w:r>
      <w:r>
        <w:rPr/>
        <w:t>）晨鸣</w:t>
      </w:r>
      <w:r>
        <w:rPr>
          <w:rFonts w:ascii="Times New Roman" w:hAnsi="Times New Roman" w:cs="Times New Roman" w:eastAsia="Times New Roman" w:hint="default"/>
        </w:rPr>
        <w:t>GmbH</w:t>
      </w:r>
      <w:r>
        <w:rPr/>
        <w:t>、湛江美伦浆纸有限公司、湛江晨鸣新型墙体材料有限公司和山东晨鸣纸业集团（富裕）销售有限公</w:t>
      </w:r>
      <w:r>
        <w:rPr>
          <w:spacing w:val="1"/>
        </w:rPr>
        <w:t> </w:t>
      </w:r>
      <w:r>
        <w:rPr/>
        <w:t>司为本年投资设立增加的子公司（附注六、</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w:t>
      </w:r>
    </w:p>
    <w:p>
      <w:pPr>
        <w:pStyle w:val="BodyText"/>
        <w:spacing w:line="319" w:lineRule="auto" w:before="13"/>
        <w:ind w:left="154" w:right="180" w:firstLine="360"/>
        <w:jc w:val="left"/>
      </w:pPr>
      <w:r>
        <w:rPr/>
        <w:t>（</w:t>
      </w:r>
      <w:r>
        <w:rPr>
          <w:rFonts w:ascii="Times New Roman" w:hAnsi="Times New Roman" w:cs="Times New Roman" w:eastAsia="Times New Roman" w:hint="default"/>
        </w:rPr>
        <w:t>2</w:t>
      </w:r>
      <w:r>
        <w:rPr/>
        <w:t>）寿光鸿翔印刷包装有限责任公司为本年非同一控制下企业合并取得的子公司，其本年净利润为该公司自购买日至 本年年末止期间的净利润（附注六、</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 本期不再纳入合并范围的子公司、特殊目的主体、通过受托经营或承租等方式形成控制权的经营实体</w:t>
      </w:r>
    </w:p>
    <w:p>
      <w:pPr>
        <w:pStyle w:val="BodyText"/>
        <w:spacing w:line="240" w:lineRule="auto" w:before="58"/>
        <w:ind w:left="7767" w:right="18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128,385,259.16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-3,929,284.60</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武汉晨建新型墙体材料有限责任公司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25,411,399.32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-1,086,132.46</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上海润晨股权投资基金有限公司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305,931,289.86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573,994.12</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69,466,030.31</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-7,212,008.77</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武汉星之恋纸业有限公司</w:t>
            </w:r>
          </w:p>
        </w:tc>
        <w:tc>
          <w:tcPr>
            <w:tcW w:w="2850"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-2,715.42</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吉林晨鸣废旧物资回收有限公司</w:t>
            </w:r>
          </w:p>
        </w:tc>
        <w:tc>
          <w:tcPr>
            <w:tcW w:w="2850" w:type="dxa"/>
            <w:tcBorders>
              <w:top w:val="single" w:sz="4" w:space="0" w:color="000000"/>
              <w:left w:val="single" w:sz="4" w:space="0" w:color="000000"/>
              <w:bottom w:val="single" w:sz="4" w:space="0" w:color="000000"/>
              <w:right w:val="single" w:sz="4" w:space="0" w:color="000000"/>
            </w:tcBorders>
          </w:tcPr>
          <w:p>
            <w:pP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24,876.07</w:t>
            </w:r>
          </w:p>
        </w:tc>
      </w:tr>
    </w:tbl>
    <w:p>
      <w:pPr>
        <w:pStyle w:val="BodyText"/>
        <w:spacing w:line="240" w:lineRule="auto" w:before="10"/>
        <w:ind w:left="514" w:right="90"/>
        <w:jc w:val="left"/>
      </w:pPr>
      <w:r>
        <w:rPr/>
        <w:t>（</w:t>
      </w:r>
      <w:r>
        <w:rPr>
          <w:rFonts w:ascii="Times New Roman" w:hAnsi="Times New Roman" w:cs="Times New Roman" w:eastAsia="Times New Roman" w:hint="default"/>
        </w:rPr>
        <w:t>1</w:t>
      </w:r>
      <w:r>
        <w:rPr/>
        <w:t>）延边晨鸣纸业有限公司、武汉晨建新型墙体材料有限责任公司、上海润晨股权投资基金有限公司、武汉晨鸣万兴</w:t>
      </w:r>
    </w:p>
    <w:p>
      <w:pPr>
        <w:spacing w:after="0" w:line="240"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240" w:lineRule="auto" w:before="44"/>
        <w:ind w:right="331"/>
        <w:jc w:val="left"/>
      </w:pPr>
      <w:r>
        <w:rPr/>
        <w:t>置业有限公司为本年因出售股权</w:t>
      </w:r>
      <w:r>
        <w:rPr>
          <w:rFonts w:ascii="Times New Roman" w:hAnsi="Times New Roman" w:cs="Times New Roman" w:eastAsia="Times New Roman" w:hint="default"/>
        </w:rPr>
        <w:t>(</w:t>
      </w:r>
      <w:r>
        <w:rPr/>
        <w:t>出资权</w:t>
      </w:r>
      <w:r>
        <w:rPr>
          <w:rFonts w:ascii="Times New Roman" w:hAnsi="Times New Roman" w:cs="Times New Roman" w:eastAsia="Times New Roman" w:hint="default"/>
        </w:rPr>
        <w:t>)</w:t>
      </w:r>
      <w:r>
        <w:rPr/>
        <w:t>而丧失控制权，从而不再纳入合并范围（附注六、</w:t>
      </w:r>
      <w:r>
        <w:rPr>
          <w:rFonts w:ascii="Times New Roman" w:hAnsi="Times New Roman" w:cs="Times New Roman" w:eastAsia="Times New Roman" w:hint="default"/>
        </w:rPr>
        <w:t>3</w:t>
      </w:r>
      <w:r>
        <w:rPr/>
        <w:t>）。</w:t>
      </w:r>
    </w:p>
    <w:p>
      <w:pPr>
        <w:pStyle w:val="BodyText"/>
        <w:spacing w:line="240" w:lineRule="auto" w:before="62"/>
        <w:ind w:left="0" w:right="110"/>
        <w:jc w:val="right"/>
      </w:pPr>
      <w:r>
        <w:rPr>
          <w:spacing w:val="-4"/>
        </w:rPr>
        <w:t>（</w:t>
      </w:r>
      <w:r>
        <w:rPr>
          <w:rFonts w:ascii="Times New Roman" w:hAnsi="Times New Roman" w:cs="Times New Roman" w:eastAsia="Times New Roman" w:hint="default"/>
          <w:spacing w:val="-4"/>
        </w:rPr>
        <w:t>2</w:t>
      </w:r>
      <w:r>
        <w:rPr>
          <w:spacing w:val="-4"/>
        </w:rPr>
        <w:t>）武汉星之恋纸业有限公司、吉林晨鸣废旧物资回收有限公司为本期要注销，从而不再纳入合并范围（附注六、</w:t>
      </w:r>
      <w:r>
        <w:rPr>
          <w:rFonts w:ascii="Times New Roman" w:hAnsi="Times New Roman" w:cs="Times New Roman" w:eastAsia="Times New Roman" w:hint="default"/>
          <w:spacing w:val="-4"/>
        </w:rPr>
        <w:t>3</w:t>
      </w:r>
      <w:r>
        <w:rPr>
          <w:spacing w:val="-4"/>
        </w:rPr>
        <w:t>）。</w:t>
      </w:r>
      <w:r>
        <w:rPr/>
      </w:r>
    </w:p>
    <w:p>
      <w:pPr>
        <w:spacing w:line="240" w:lineRule="auto" w:before="12"/>
        <w:rPr>
          <w:rFonts w:ascii="宋体" w:hAnsi="宋体" w:cs="宋体" w:eastAsia="宋体" w:hint="default"/>
          <w:sz w:val="25"/>
          <w:szCs w:val="25"/>
        </w:rPr>
      </w:pPr>
    </w:p>
    <w:p>
      <w:pPr>
        <w:pStyle w:val="Heading4"/>
        <w:spacing w:line="240" w:lineRule="auto"/>
        <w:ind w:right="331"/>
        <w:jc w:val="left"/>
        <w:rPr>
          <w:b w:val="0"/>
          <w:bCs w:val="0"/>
        </w:rPr>
      </w:pPr>
      <w:r>
        <w:rPr>
          <w:rFonts w:ascii="Times New Roman" w:hAnsi="Times New Roman" w:cs="Times New Roman" w:eastAsia="Times New Roman" w:hint="default"/>
        </w:rPr>
        <w:t>5</w:t>
      </w:r>
      <w:r>
        <w:rPr/>
        <w:t>、报告期内发生的非同一控制下企业合并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7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77"/>
        <w:gridCol w:w="1643"/>
        <w:gridCol w:w="5248"/>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1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商誉金额</w:t>
            </w:r>
          </w:p>
        </w:tc>
        <w:tc>
          <w:tcPr>
            <w:tcW w:w="5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715"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寿光鸿翔印刷包装有限责任公司</w:t>
            </w:r>
          </w:p>
        </w:tc>
        <w:tc>
          <w:tcPr>
            <w:tcW w:w="1643" w:type="dxa"/>
            <w:tcBorders>
              <w:top w:val="single" w:sz="4" w:space="0" w:color="000000"/>
              <w:left w:val="single" w:sz="4" w:space="0" w:color="000000"/>
              <w:bottom w:val="single" w:sz="4" w:space="0" w:color="000000"/>
              <w:right w:val="single" w:sz="4" w:space="0" w:color="000000"/>
            </w:tcBorders>
          </w:tcPr>
          <w:p>
            <w:pPr/>
          </w:p>
        </w:tc>
        <w:tc>
          <w:tcPr>
            <w:tcW w:w="5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合并成本减去合并中取得的被购买方于购买日可辨认净资产公允 价值份额的差额确认为商誉，具体计算如后附表所述。</w:t>
            </w:r>
          </w:p>
        </w:tc>
      </w:tr>
    </w:tbl>
    <w:p>
      <w:pPr>
        <w:pStyle w:val="BodyText"/>
        <w:spacing w:line="300" w:lineRule="auto" w:before="10"/>
        <w:ind w:right="168" w:firstLine="360"/>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27</w:t>
      </w:r>
      <w:r>
        <w:rPr>
          <w:spacing w:val="-1"/>
        </w:rPr>
        <w:t>日，本公司向宋培军、田长智、张波三人收购了其拥有的寿光鸿翔印刷包装有限责任公司</w:t>
      </w:r>
      <w:r>
        <w:rPr>
          <w:rFonts w:ascii="Times New Roman" w:hAnsi="Times New Roman" w:cs="Times New Roman" w:eastAsia="Times New Roman" w:hint="default"/>
          <w:spacing w:val="-1"/>
        </w:rPr>
        <w:t>100%</w:t>
      </w:r>
      <w:r>
        <w:rPr>
          <w:spacing w:val="-1"/>
        </w:rPr>
        <w:t>的股权。本</w:t>
      </w:r>
      <w:r>
        <w:rPr/>
        <w:t> 次交易的购买日为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日，系本公司取得对寿光鸿翔印刷包装有限责任公司的控制权的日期。购买日确定的依据：</w:t>
      </w:r>
      <w:r>
        <w:rPr>
          <w:spacing w:val="-83"/>
        </w:rPr>
        <w:t> </w:t>
      </w:r>
      <w:r>
        <w:rPr>
          <w:spacing w:val="-83"/>
        </w:rPr>
      </w:r>
      <w:r>
        <w:rPr/>
        <w:t>本公司股价款支付完毕，委派了包括总经理在内的全部董事，取得了控制权。</w:t>
      </w:r>
    </w:p>
    <w:p>
      <w:pPr>
        <w:pStyle w:val="BodyText"/>
        <w:spacing w:line="240" w:lineRule="auto" w:before="31"/>
        <w:ind w:left="514" w:right="331"/>
        <w:jc w:val="left"/>
      </w:pPr>
      <w:r>
        <w:rPr/>
        <w:t>①</w:t>
      </w:r>
      <w:r>
        <w:rPr>
          <w:spacing w:val="-19"/>
        </w:rPr>
        <w:t> </w:t>
      </w:r>
      <w:r>
        <w:rPr/>
        <w:t>合并成本以及商誉（或可辨认净资产公允价值份额超出合并成本计入损益的金额）的确认情况如下：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7263"/>
        <w:gridCol w:w="2395"/>
      </w:tblGrid>
      <w:tr>
        <w:trPr>
          <w:trHeight w:val="342" w:hRule="exact"/>
        </w:trPr>
        <w:tc>
          <w:tcPr>
            <w:tcW w:w="7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7" w:hRule="exact"/>
        </w:trPr>
        <w:tc>
          <w:tcPr>
            <w:tcW w:w="7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395" w:type="dxa"/>
            <w:tcBorders>
              <w:top w:val="single" w:sz="10" w:space="0" w:color="000000"/>
              <w:left w:val="single" w:sz="7" w:space="0" w:color="000000"/>
              <w:bottom w:val="single" w:sz="6" w:space="0" w:color="000000"/>
              <w:right w:val="single" w:sz="6" w:space="0" w:color="000000"/>
            </w:tcBorders>
          </w:tcPr>
          <w:p>
            <w:pPr/>
          </w:p>
        </w:tc>
      </w:tr>
      <w:tr>
        <w:trPr>
          <w:trHeight w:val="347" w:hRule="exact"/>
        </w:trPr>
        <w:tc>
          <w:tcPr>
            <w:tcW w:w="7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239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2,730,000.00</w:t>
            </w:r>
          </w:p>
        </w:tc>
      </w:tr>
      <w:tr>
        <w:trPr>
          <w:trHeight w:val="347" w:hRule="exact"/>
        </w:trPr>
        <w:tc>
          <w:tcPr>
            <w:tcW w:w="7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2,730,000.00</w:t>
            </w:r>
          </w:p>
        </w:tc>
      </w:tr>
      <w:tr>
        <w:trPr>
          <w:trHeight w:val="347" w:hRule="exact"/>
        </w:trPr>
        <w:tc>
          <w:tcPr>
            <w:tcW w:w="7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减：取得的可辨认净资产的公允价值</w:t>
            </w:r>
          </w:p>
        </w:tc>
        <w:tc>
          <w:tcPr>
            <w:tcW w:w="239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5,138,368.37</w:t>
            </w:r>
          </w:p>
        </w:tc>
      </w:tr>
      <w:tr>
        <w:trPr>
          <w:trHeight w:val="342" w:hRule="exact"/>
        </w:trPr>
        <w:tc>
          <w:tcPr>
            <w:tcW w:w="72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可辨认净资产公允价值份额超出合并成本计入损益的金额</w:t>
            </w:r>
          </w:p>
        </w:tc>
        <w:tc>
          <w:tcPr>
            <w:tcW w:w="239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2,408,368.37</w:t>
            </w:r>
          </w:p>
        </w:tc>
      </w:tr>
    </w:tbl>
    <w:p>
      <w:pPr>
        <w:pStyle w:val="BodyText"/>
        <w:spacing w:line="300" w:lineRule="auto" w:before="15"/>
        <w:ind w:right="331" w:firstLine="360"/>
        <w:jc w:val="left"/>
      </w:pPr>
      <w:r>
        <w:rPr/>
        <w:t>被合并净资产公允价值参考北京国友大正资产评估有限公司</w:t>
      </w:r>
      <w:r>
        <w:rPr>
          <w:rFonts w:ascii="Times New Roman" w:hAnsi="Times New Roman" w:cs="Times New Roman" w:eastAsia="Times New Roman" w:hint="default"/>
        </w:rPr>
        <w:t>(</w:t>
      </w:r>
      <w:r>
        <w:rPr/>
        <w:t>后更名为</w:t>
      </w:r>
      <w:r>
        <w:rPr>
          <w:rFonts w:ascii="Times New Roman" w:hAnsi="Times New Roman" w:cs="Times New Roman" w:eastAsia="Times New Roman" w:hint="default"/>
        </w:rPr>
        <w:t>“</w:t>
      </w:r>
      <w:r>
        <w:rPr/>
        <w:t>北京大正海地人资产评估有限公司</w:t>
      </w:r>
      <w:r>
        <w:rPr>
          <w:rFonts w:ascii="Times New Roman" w:hAnsi="Times New Roman" w:cs="Times New Roman" w:eastAsia="Times New Roman" w:hint="default"/>
        </w:rPr>
        <w:t>”)</w:t>
      </w:r>
      <w:r>
        <w:rPr/>
        <w:t>的评估结 果确定。</w:t>
      </w:r>
    </w:p>
    <w:p>
      <w:pPr>
        <w:pStyle w:val="BodyText"/>
        <w:spacing w:line="240" w:lineRule="auto" w:before="31"/>
        <w:ind w:left="513" w:right="331"/>
        <w:jc w:val="left"/>
      </w:pPr>
      <w:r>
        <w:rPr/>
        <w:t>②</w:t>
      </w:r>
      <w:r>
        <w:rPr>
          <w:spacing w:val="-19"/>
        </w:rPr>
        <w:t> </w:t>
      </w:r>
      <w:r>
        <w:rPr/>
        <w:t>寿光鸿翔印刷包装有限责任公司于购买日的资产、负债及与收购相关的现金流量情况列示如下：</w:t>
      </w:r>
    </w:p>
    <w:p>
      <w:pPr>
        <w:spacing w:line="240" w:lineRule="auto" w:before="0"/>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919"/>
        <w:gridCol w:w="1964"/>
        <w:gridCol w:w="2357"/>
        <w:gridCol w:w="2418"/>
      </w:tblGrid>
      <w:tr>
        <w:trPr>
          <w:trHeight w:val="335"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344"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23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48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2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571" w:right="0"/>
              <w:jc w:val="left"/>
              <w:rPr>
                <w:rFonts w:ascii="宋体" w:hAnsi="宋体" w:cs="宋体" w:eastAsia="宋体" w:hint="default"/>
                <w:sz w:val="18"/>
                <w:szCs w:val="18"/>
              </w:rPr>
            </w:pPr>
            <w:r>
              <w:rPr>
                <w:rFonts w:ascii="宋体" w:hAnsi="宋体" w:cs="宋体" w:eastAsia="宋体" w:hint="default"/>
                <w:sz w:val="18"/>
                <w:szCs w:val="18"/>
              </w:rPr>
              <w:t>上年末账面价值</w:t>
            </w: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1964"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3,713,926.53</w:t>
            </w:r>
          </w:p>
        </w:tc>
        <w:tc>
          <w:tcPr>
            <w:tcW w:w="2357"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3,713,926.53</w:t>
            </w:r>
          </w:p>
        </w:tc>
        <w:tc>
          <w:tcPr>
            <w:tcW w:w="2418"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7,832,287.65</w:t>
            </w: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29,654,352.30</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29,654,352.30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34,286,963.97</w:t>
            </w: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664,048.15</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664,048.15</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86,559.47</w:t>
            </w: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6,934,536.39</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4,313,021.01</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4,242,337.43</w:t>
            </w: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64"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3,500,000.00</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3,500,000.00</w:t>
            </w:r>
          </w:p>
        </w:tc>
        <w:tc>
          <w:tcPr>
            <w:tcW w:w="241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减：借款</w:t>
            </w:r>
          </w:p>
        </w:tc>
        <w:tc>
          <w:tcPr>
            <w:tcW w:w="1964"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24,756,895.02</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24,756,895.02</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23,830,492.33</w:t>
            </w: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67,642.25</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67,642.25</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9,222.72</w:t>
            </w: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14,503,957.73</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14,503,957.73</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393,344.74</w:t>
            </w: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5,138,368.37</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2,516,852.99</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22,215,088.73</w:t>
            </w: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64"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5,138,368.37</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2,516,852.99</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22,215,088.73</w:t>
            </w:r>
          </w:p>
        </w:tc>
      </w:tr>
      <w:tr>
        <w:trPr>
          <w:trHeight w:val="348"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964"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以现金支付的对价</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2,730,000.00</w:t>
            </w:r>
          </w:p>
        </w:tc>
        <w:tc>
          <w:tcPr>
            <w:tcW w:w="2357" w:type="dxa"/>
            <w:tcBorders>
              <w:top w:val="single" w:sz="6" w:space="0" w:color="000000"/>
              <w:left w:val="single" w:sz="6" w:space="0" w:color="000000"/>
              <w:bottom w:val="single" w:sz="6"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减：取得的被收购子公司的现金及现</w:t>
            </w:r>
            <w:r>
              <w:rPr>
                <w:rFonts w:ascii="宋体" w:hAnsi="宋体" w:cs="宋体" w:eastAsia="宋体" w:hint="default"/>
                <w:spacing w:val="-75"/>
                <w:sz w:val="18"/>
                <w:szCs w:val="18"/>
              </w:rPr>
              <w:t> </w:t>
            </w:r>
            <w:r>
              <w:rPr>
                <w:rFonts w:ascii="宋体" w:hAnsi="宋体" w:cs="宋体" w:eastAsia="宋体" w:hint="default"/>
                <w:sz w:val="18"/>
                <w:szCs w:val="18"/>
              </w:rPr>
              <w:t>金等价物</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3,713,926.53</w:t>
            </w:r>
          </w:p>
        </w:tc>
        <w:tc>
          <w:tcPr>
            <w:tcW w:w="2357" w:type="dxa"/>
            <w:tcBorders>
              <w:top w:val="single" w:sz="6" w:space="0" w:color="000000"/>
              <w:left w:val="single" w:sz="6" w:space="0" w:color="000000"/>
              <w:bottom w:val="single" w:sz="6"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983,926.53</w:t>
            </w:r>
          </w:p>
        </w:tc>
        <w:tc>
          <w:tcPr>
            <w:tcW w:w="2357" w:type="dxa"/>
            <w:tcBorders>
              <w:top w:val="single" w:sz="6" w:space="0" w:color="000000"/>
              <w:left w:val="single" w:sz="6" w:space="0" w:color="000000"/>
              <w:bottom w:val="single" w:sz="6" w:space="0" w:color="000000"/>
              <w:right w:val="single" w:sz="6" w:space="0" w:color="000000"/>
            </w:tcBorders>
          </w:tcPr>
          <w:p>
            <w:pPr/>
          </w:p>
        </w:tc>
        <w:tc>
          <w:tcPr>
            <w:tcW w:w="24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50" w:top="1100" w:bottom="1140" w:left="980" w:right="960"/>
        </w:sectPr>
      </w:pPr>
    </w:p>
    <w:p>
      <w:pPr>
        <w:spacing w:line="240" w:lineRule="auto" w:before="12"/>
        <w:rPr>
          <w:rFonts w:ascii="宋体" w:hAnsi="宋体" w:cs="宋体" w:eastAsia="宋体" w:hint="default"/>
          <w:sz w:val="21"/>
          <w:szCs w:val="21"/>
        </w:rPr>
      </w:pPr>
    </w:p>
    <w:p>
      <w:pPr>
        <w:pStyle w:val="BodyText"/>
        <w:spacing w:line="316" w:lineRule="auto" w:before="44"/>
        <w:ind w:right="149" w:firstLine="360"/>
        <w:jc w:val="both"/>
      </w:pPr>
      <w:r>
        <w:rPr>
          <w:spacing w:val="-2"/>
        </w:rPr>
        <w:t>本公司采用估值技术来确定北京国有大正资产评估有限责任公司的资产负债于购买日的公允价值。本次评估采用了资产</w:t>
      </w:r>
      <w:r>
        <w:rPr/>
        <w:t> </w:t>
      </w:r>
      <w:r>
        <w:rPr>
          <w:spacing w:val="-2"/>
        </w:rPr>
        <w:t>基础法。其基本假设：企业能够持续经营；评估基准日资产负债表表内及表外各项资产和负债可以识别；被评估单位不存在</w:t>
      </w:r>
      <w:r>
        <w:rPr>
          <w:spacing w:val="-66"/>
        </w:rPr>
        <w:t> </w:t>
      </w:r>
      <w:r>
        <w:rPr>
          <w:spacing w:val="-66"/>
        </w:rPr>
      </w:r>
      <w:r>
        <w:rPr/>
        <w:t>对评估对象价值有重大影响且难以识别和评估的资产或者负债。</w:t>
      </w:r>
    </w:p>
    <w:p>
      <w:pPr>
        <w:pStyle w:val="BodyText"/>
        <w:spacing w:line="240" w:lineRule="auto" w:before="18"/>
        <w:ind w:left="513" w:right="0"/>
        <w:jc w:val="left"/>
      </w:pPr>
      <w:r>
        <w:rPr/>
        <w:t>③</w:t>
      </w:r>
      <w:r>
        <w:rPr>
          <w:spacing w:val="-19"/>
        </w:rPr>
        <w:t> </w:t>
      </w:r>
      <w:r>
        <w:rPr/>
        <w:t>寿光鸿翔印刷包装有限责任公司自购买日至当年末止期间的收入、净利润和现金流量列示</w:t>
      </w:r>
    </w:p>
    <w:p>
      <w:pPr>
        <w:spacing w:line="240" w:lineRule="auto" w:before="1"/>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5018"/>
        <w:gridCol w:w="4640"/>
      </w:tblGrid>
      <w:tr>
        <w:trPr>
          <w:trHeight w:val="335" w:hRule="exact"/>
        </w:trPr>
        <w:tc>
          <w:tcPr>
            <w:tcW w:w="5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6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6" w:hRule="exact"/>
        </w:trPr>
        <w:tc>
          <w:tcPr>
            <w:tcW w:w="5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4640" w:type="dxa"/>
            <w:tcBorders>
              <w:top w:val="single" w:sz="9"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62,104,960.27</w:t>
            </w:r>
          </w:p>
        </w:tc>
      </w:tr>
      <w:tr>
        <w:trPr>
          <w:trHeight w:val="347" w:hRule="exact"/>
        </w:trPr>
        <w:tc>
          <w:tcPr>
            <w:tcW w:w="5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464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10,888,575.24</w:t>
            </w:r>
          </w:p>
        </w:tc>
      </w:tr>
      <w:tr>
        <w:trPr>
          <w:trHeight w:val="348" w:hRule="exact"/>
        </w:trPr>
        <w:tc>
          <w:tcPr>
            <w:tcW w:w="5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464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-3,467,334.96</w:t>
            </w:r>
          </w:p>
        </w:tc>
      </w:tr>
      <w:tr>
        <w:trPr>
          <w:trHeight w:val="342" w:hRule="exact"/>
        </w:trPr>
        <w:tc>
          <w:tcPr>
            <w:tcW w:w="50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464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-3,607,156.35</w:t>
            </w:r>
          </w:p>
        </w:tc>
      </w:tr>
    </w:tbl>
    <w:p>
      <w:pPr>
        <w:pStyle w:val="BodyText"/>
        <w:spacing w:line="240" w:lineRule="auto" w:before="56"/>
        <w:ind w:left="154" w:right="0"/>
        <w:jc w:val="left"/>
      </w:pPr>
      <w:r>
        <w:rPr/>
        <w:t>是否存在通过多次交易分步实现企业合并且在本报告期取得控制权的情形</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6</w:t>
      </w:r>
      <w:r>
        <w:rPr/>
        <w:t>、报告期内出售丧失控制权的股权而减少子公司</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3199"/>
        <w:gridCol w:w="2032"/>
        <w:gridCol w:w="4463"/>
      </w:tblGrid>
      <w:tr>
        <w:trPr>
          <w:trHeight w:val="402" w:hRule="exact"/>
        </w:trPr>
        <w:tc>
          <w:tcPr>
            <w:tcW w:w="3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4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357" w:hRule="exact"/>
        </w:trPr>
        <w:tc>
          <w:tcPr>
            <w:tcW w:w="3199" w:type="dxa"/>
            <w:tcBorders>
              <w:top w:val="single" w:sz="4" w:space="0" w:color="000000"/>
              <w:left w:val="single" w:sz="4" w:space="0" w:color="000000"/>
              <w:bottom w:val="nil" w:sz="6" w:space="0" w:color="auto"/>
              <w:right w:val="single" w:sz="4" w:space="0" w:color="000000"/>
            </w:tcBorders>
          </w:tcPr>
          <w:p>
            <w:pPr/>
          </w:p>
        </w:tc>
        <w:tc>
          <w:tcPr>
            <w:tcW w:w="2032" w:type="dxa"/>
            <w:tcBorders>
              <w:top w:val="single" w:sz="4" w:space="0" w:color="000000"/>
              <w:left w:val="single" w:sz="4" w:space="0" w:color="000000"/>
              <w:bottom w:val="nil" w:sz="6" w:space="0" w:color="auto"/>
              <w:right w:val="single" w:sz="4" w:space="0" w:color="000000"/>
            </w:tcBorders>
          </w:tcPr>
          <w:p>
            <w:pPr/>
          </w:p>
        </w:tc>
        <w:tc>
          <w:tcPr>
            <w:tcW w:w="44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将处置对价减去被处置的股权所对应享有的该子公司处</w:t>
            </w:r>
          </w:p>
        </w:tc>
      </w:tr>
      <w:tr>
        <w:trPr>
          <w:trHeight w:val="318" w:hRule="exact"/>
        </w:trPr>
        <w:tc>
          <w:tcPr>
            <w:tcW w:w="319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c>
          <w:tcPr>
            <w:tcW w:w="203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置日净资产于本公司合并报表层面的价值的差额确认为</w:t>
            </w:r>
          </w:p>
        </w:tc>
      </w:tr>
      <w:tr>
        <w:trPr>
          <w:trHeight w:val="351" w:hRule="exact"/>
        </w:trPr>
        <w:tc>
          <w:tcPr>
            <w:tcW w:w="3199" w:type="dxa"/>
            <w:tcBorders>
              <w:top w:val="nil" w:sz="6" w:space="0" w:color="auto"/>
              <w:left w:val="single" w:sz="4" w:space="0" w:color="000000"/>
              <w:bottom w:val="single" w:sz="4" w:space="0" w:color="000000"/>
              <w:right w:val="single" w:sz="4" w:space="0" w:color="000000"/>
            </w:tcBorders>
          </w:tcPr>
          <w:p>
            <w:pPr/>
          </w:p>
        </w:tc>
        <w:tc>
          <w:tcPr>
            <w:tcW w:w="2032" w:type="dxa"/>
            <w:tcBorders>
              <w:top w:val="nil" w:sz="6" w:space="0" w:color="auto"/>
              <w:left w:val="single" w:sz="4" w:space="0" w:color="000000"/>
              <w:bottom w:val="single" w:sz="4" w:space="0" w:color="000000"/>
              <w:right w:val="single" w:sz="4" w:space="0" w:color="000000"/>
            </w:tcBorders>
          </w:tcPr>
          <w:p>
            <w:pPr/>
          </w:p>
        </w:tc>
        <w:tc>
          <w:tcPr>
            <w:tcW w:w="44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处置损益。</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武汉晨建新型墙体材料有限责任公司</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上海润晨股权投资基金有限公司</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2" w:hRule="exact"/>
        </w:trPr>
        <w:tc>
          <w:tcPr>
            <w:tcW w:w="3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pStyle w:val="BodyText"/>
        <w:spacing w:line="300" w:lineRule="auto" w:before="10"/>
        <w:ind w:left="513" w:right="0"/>
        <w:jc w:val="left"/>
      </w:pPr>
      <w:r>
        <w:rPr/>
        <w:t>（</w:t>
      </w:r>
      <w:r>
        <w:rPr>
          <w:rFonts w:ascii="Times New Roman" w:hAnsi="Times New Roman" w:cs="Times New Roman" w:eastAsia="Times New Roman" w:hint="default"/>
        </w:rPr>
        <w:t>1</w:t>
      </w:r>
      <w:r>
        <w:rPr/>
        <w:t>）延边晨鸣纸业有限公司 </w:t>
      </w:r>
      <w:r>
        <w:rPr>
          <w:spacing w:val="-1"/>
        </w:rPr>
        <w:t>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05</w:t>
      </w:r>
      <w:r>
        <w:rPr>
          <w:spacing w:val="-1"/>
        </w:rPr>
        <w:t>月</w:t>
      </w:r>
      <w:r>
        <w:rPr>
          <w:rFonts w:ascii="Times New Roman" w:hAnsi="Times New Roman" w:cs="Times New Roman" w:eastAsia="Times New Roman" w:hint="default"/>
          <w:spacing w:val="-1"/>
        </w:rPr>
        <w:t>15</w:t>
      </w:r>
      <w:r>
        <w:rPr>
          <w:spacing w:val="-1"/>
        </w:rPr>
        <w:t>日，本公司将拥有的有延边晨鸣纸业有限公司</w:t>
      </w:r>
      <w:r>
        <w:rPr>
          <w:rFonts w:ascii="Times New Roman" w:hAnsi="Times New Roman" w:cs="Times New Roman" w:eastAsia="Times New Roman" w:hint="default"/>
          <w:spacing w:val="-1"/>
        </w:rPr>
        <w:t>49%</w:t>
      </w:r>
      <w:r>
        <w:rPr>
          <w:spacing w:val="-1"/>
        </w:rPr>
        <w:t>和</w:t>
      </w:r>
      <w:r>
        <w:rPr>
          <w:rFonts w:ascii="Times New Roman" w:hAnsi="Times New Roman" w:cs="Times New Roman" w:eastAsia="Times New Roman" w:hint="default"/>
          <w:spacing w:val="-1"/>
        </w:rPr>
        <w:t>51%</w:t>
      </w:r>
      <w:r>
        <w:rPr>
          <w:spacing w:val="-1"/>
        </w:rPr>
        <w:t>的股权分别转让予延边石岘白麓纸业股份有限</w:t>
      </w:r>
    </w:p>
    <w:p>
      <w:pPr>
        <w:pStyle w:val="BodyText"/>
        <w:spacing w:line="316" w:lineRule="auto" w:before="13"/>
        <w:ind w:right="0"/>
        <w:jc w:val="left"/>
      </w:pPr>
      <w:r>
        <w:rPr>
          <w:spacing w:val="-2"/>
        </w:rPr>
        <w:t>公司和延边国有资产投资管理有限公司。出售日为本公司实际丧失对延边晨鸣纸业有限公司净资产和财务、经营决策的控制</w:t>
      </w:r>
      <w:r>
        <w:rPr>
          <w:spacing w:val="-64"/>
        </w:rPr>
        <w:t> </w:t>
      </w:r>
      <w:r>
        <w:rPr>
          <w:spacing w:val="-64"/>
        </w:rPr>
      </w:r>
      <w:r>
        <w:rPr/>
        <w:t>权的日期。</w:t>
      </w:r>
    </w:p>
    <w:p>
      <w:pPr>
        <w:pStyle w:val="BodyText"/>
        <w:spacing w:line="240" w:lineRule="auto" w:before="18"/>
        <w:ind w:left="513" w:right="0"/>
        <w:jc w:val="left"/>
      </w:pPr>
      <w:r>
        <w:rPr/>
        <w:t>①</w:t>
      </w:r>
      <w:r>
        <w:rPr>
          <w:spacing w:val="-19"/>
        </w:rPr>
        <w:t> </w:t>
      </w:r>
      <w:r>
        <w:rPr/>
        <w:t>处置价格及现金流量列示如下：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7031"/>
        <w:gridCol w:w="2627"/>
      </w:tblGrid>
      <w:tr>
        <w:trPr>
          <w:trHeight w:val="343"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397" w:val="left" w:leader="none"/>
              </w:tabs>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2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处置收到的现金和现金等价物</w:t>
            </w:r>
          </w:p>
        </w:tc>
        <w:tc>
          <w:tcPr>
            <w:tcW w:w="26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减：延边晨鸣持有的现金和现金等价物</w:t>
            </w:r>
          </w:p>
        </w:tc>
        <w:tc>
          <w:tcPr>
            <w:tcW w:w="26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34,675.02</w:t>
            </w:r>
          </w:p>
        </w:tc>
      </w:tr>
      <w:tr>
        <w:trPr>
          <w:trHeight w:val="342"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处置收到的现金净额</w:t>
            </w:r>
          </w:p>
        </w:tc>
        <w:tc>
          <w:tcPr>
            <w:tcW w:w="26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109,965,324.98</w:t>
            </w:r>
          </w:p>
        </w:tc>
      </w:tr>
    </w:tbl>
    <w:p>
      <w:pPr>
        <w:pStyle w:val="BodyText"/>
        <w:spacing w:line="240" w:lineRule="auto" w:before="16"/>
        <w:ind w:left="514" w:right="0"/>
        <w:jc w:val="left"/>
      </w:pPr>
      <w:r>
        <w:rPr/>
        <w:t>②</w:t>
      </w:r>
      <w:r>
        <w:rPr>
          <w:spacing w:val="-19"/>
        </w:rPr>
        <w:t> </w:t>
      </w:r>
      <w:r>
        <w:rPr/>
        <w:t>处置延边晨鸣的净资产列示如下：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295"/>
        <w:gridCol w:w="2789"/>
        <w:gridCol w:w="2573"/>
      </w:tblGrid>
      <w:tr>
        <w:trPr>
          <w:trHeight w:val="342"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470"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846"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737" w:right="0"/>
              <w:jc w:val="left"/>
              <w:rPr>
                <w:rFonts w:ascii="宋体" w:hAnsi="宋体" w:cs="宋体" w:eastAsia="宋体" w:hint="default"/>
                <w:sz w:val="18"/>
                <w:szCs w:val="18"/>
              </w:rPr>
            </w:pPr>
            <w:r>
              <w:rPr>
                <w:rFonts w:ascii="宋体" w:hAnsi="宋体" w:cs="宋体" w:eastAsia="宋体" w:hint="default"/>
                <w:sz w:val="18"/>
                <w:szCs w:val="18"/>
              </w:rPr>
              <w:t>上年末净资产</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8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47,720,649.88</w:t>
            </w:r>
          </w:p>
        </w:tc>
        <w:tc>
          <w:tcPr>
            <w:tcW w:w="257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145,392,684.32</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176,574,100.70</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180,333,803.65</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91,715,920.00</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189,218,372.79</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4,193,571.42</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4,193,571.42</w:t>
            </w:r>
          </w:p>
        </w:tc>
      </w:tr>
      <w:tr>
        <w:trPr>
          <w:trHeight w:val="342"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净资产合计</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128,385,259.16</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132,314,543.76</w:t>
            </w:r>
          </w:p>
        </w:tc>
      </w:tr>
    </w:tbl>
    <w:p>
      <w:pPr>
        <w:pStyle w:val="BodyText"/>
        <w:spacing w:line="240" w:lineRule="auto" w:before="16"/>
        <w:ind w:left="514" w:right="0"/>
        <w:jc w:val="left"/>
      </w:pPr>
      <w:r>
        <w:rPr/>
        <w:t>③</w:t>
      </w:r>
      <w:r>
        <w:rPr>
          <w:spacing w:val="53"/>
        </w:rPr>
        <w:t> </w:t>
      </w:r>
      <w:r>
        <w:rPr/>
        <w:t>处置损益计算如下：</w:t>
      </w:r>
    </w:p>
    <w:p>
      <w:pPr>
        <w:spacing w:line="240" w:lineRule="auto" w:before="6"/>
        <w:rPr>
          <w:rFonts w:ascii="宋体" w:hAnsi="宋体" w:cs="宋体" w:eastAsia="宋体" w:hint="default"/>
          <w:sz w:val="4"/>
          <w:szCs w:val="4"/>
        </w:rPr>
      </w:pPr>
    </w:p>
    <w:p>
      <w:pPr>
        <w:spacing w:line="376" w:lineRule="exact"/>
        <w:ind w:left="13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4pt;height:18.850pt;mso-position-horizontal-relative:char;mso-position-vertical-relative:line" coordorigin="0,0" coordsize="9680,377">
            <v:group style="position:absolute;left:22;top:349;width:7031;height:2" coordorigin="22,349" coordsize="7031,2">
              <v:shape style="position:absolute;left:22;top:349;width:7031;height:2" coordorigin="22,349" coordsize="7031,0" path="m22,349l7052,349e" filled="false" stroked="true" strokeweight=".4pt" strokecolor="#d9d9d9">
                <v:path arrowok="t"/>
              </v:shape>
            </v:group>
            <v:group style="position:absolute;left:23;top:33;width:2;height:312" coordorigin="23,33" coordsize="2,312">
              <v:shape style="position:absolute;left:23;top:33;width:2;height:312" coordorigin="23,33" coordsize="0,312" path="m23,33l23,345e" filled="false" stroked="true" strokeweight=".12pt" strokecolor="#d9d9d9">
                <v:path arrowok="t"/>
              </v:shape>
            </v:group>
            <v:group style="position:absolute;left:22;top:28;width:7031;height:2" coordorigin="22,28" coordsize="7031,2">
              <v:shape style="position:absolute;left:22;top:28;width:7031;height:2" coordorigin="22,28" coordsize="7031,0" path="m22,28l7052,28e" filled="false" stroked="true" strokeweight=".5pt" strokecolor="#d9d9d9">
                <v:path arrowok="t"/>
              </v:shape>
            </v:group>
            <v:group style="position:absolute;left:7051;top:32;width:2;height:312" coordorigin="7051,32" coordsize="2,312">
              <v:shape style="position:absolute;left:7051;top:32;width:2;height:312" coordorigin="7051,32" coordsize="0,312" path="m7051,32l7051,344e" filled="false" stroked="true" strokeweight=".18pt" strokecolor="#d9d9d9">
                <v:path arrowok="t"/>
              </v:shape>
            </v:group>
            <v:group style="position:absolute;left:24;top:32;width:7025;height:312" coordorigin="24,32" coordsize="7025,312">
              <v:shape style="position:absolute;left:24;top:32;width:7025;height:312" coordorigin="24,32" coordsize="7025,312" path="m24,344l7049,344,7049,32,24,32,24,344xe" filled="true" fillcolor="#d9d9d9" stroked="false">
                <v:path arrowok="t"/>
                <v:fill type="solid"/>
              </v:shape>
            </v:group>
            <v:group style="position:absolute;left:7067;top:349;width:2598;height:2" coordorigin="7067,349" coordsize="2598,2">
              <v:shape style="position:absolute;left:7067;top:349;width:2598;height:2" coordorigin="7067,349" coordsize="2598,0" path="m7067,349l9665,349e" filled="false" stroked="true" strokeweight=".4pt" strokecolor="#d9d9d9">
                <v:path arrowok="t"/>
              </v:shape>
            </v:group>
            <v:group style="position:absolute;left:7068;top:33;width:2;height:312" coordorigin="7068,33" coordsize="2,312">
              <v:shape style="position:absolute;left:7068;top:33;width:2;height:312" coordorigin="7068,33" coordsize="0,312" path="m7068,33l7068,345e" filled="false" stroked="true" strokeweight=".12pt" strokecolor="#d9d9d9">
                <v:path arrowok="t"/>
              </v:shape>
            </v:group>
            <v:group style="position:absolute;left:7067;top:28;width:2598;height:2" coordorigin="7067,28" coordsize="2598,2">
              <v:shape style="position:absolute;left:7067;top:28;width:2598;height:2" coordorigin="7067,28" coordsize="2598,0" path="m7067,28l9665,28e" filled="false" stroked="true" strokeweight=".5pt" strokecolor="#d9d9d9">
                <v:path arrowok="t"/>
              </v:shape>
            </v:group>
            <v:group style="position:absolute;left:9664;top:32;width:2;height:312" coordorigin="9664,32" coordsize="2,312">
              <v:shape style="position:absolute;left:9664;top:32;width:2;height:312" coordorigin="9664,32" coordsize="0,312" path="m9664,32l9664,344e" filled="false" stroked="true" strokeweight=".12pt" strokecolor="#d9d9d9">
                <v:path arrowok="t"/>
              </v:shape>
            </v:group>
            <v:group style="position:absolute;left:7069;top:32;width:2594;height:312" coordorigin="7069,32" coordsize="2594,312">
              <v:shape style="position:absolute;left:7069;top:32;width:2594;height:312" coordorigin="7069,32" coordsize="2594,312" path="m7069,344l9662,344,9662,32,7069,32,7069,344xe" filled="true" fillcolor="#d9d9d9" stroked="false">
                <v:path arrowok="t"/>
                <v:fill type="solid"/>
              </v:shape>
            </v:group>
            <v:group style="position:absolute;left:7;top:14;width:7046;height:2" coordorigin="7,14" coordsize="7046,2">
              <v:shape style="position:absolute;left:7;top:14;width:7046;height:2" coordorigin="7,14" coordsize="7046,0" path="m7,14l7052,14e" filled="false" stroked="true" strokeweight=".72pt" strokecolor="#000000">
                <v:path arrowok="t"/>
              </v:shape>
            </v:group>
            <v:group style="position:absolute;left:22;top:27;width:7031;height:2" coordorigin="22,27" coordsize="7031,2">
              <v:shape style="position:absolute;left:22;top:27;width:7031;height:2" coordorigin="22,27" coordsize="7031,0" path="m22,27l7052,27e" filled="false" stroked="true" strokeweight=".54pt" strokecolor="#d9d9d9">
                <v:path arrowok="t"/>
              </v:shape>
            </v:group>
            <v:group style="position:absolute;left:7067;top:14;width:2598;height:2" coordorigin="7067,14" coordsize="2598,2">
              <v:shape style="position:absolute;left:7067;top:14;width:2598;height:2" coordorigin="7067,14" coordsize="2598,0" path="m7067,14l9665,14e" filled="false" stroked="true" strokeweight=".72pt" strokecolor="#000000">
                <v:path arrowok="t"/>
              </v:shape>
            </v:group>
            <v:group style="position:absolute;left:7067;top:27;width:2598;height:2" coordorigin="7067,27" coordsize="2598,2">
              <v:shape style="position:absolute;left:7067;top:27;width:2598;height:2" coordorigin="7067,27" coordsize="2598,0" path="m7067,27l9665,27e" filled="false" stroked="true" strokeweight=".54pt" strokecolor="#d9d9d9">
                <v:path arrowok="t"/>
              </v:shape>
            </v:group>
            <v:group style="position:absolute;left:14;top:7;width:2;height:363" coordorigin="14,7" coordsize="2,363">
              <v:shape style="position:absolute;left:14;top:7;width:2;height:363" coordorigin="14,7" coordsize="0,363" path="m14,7l14,370e" filled="false" stroked="true" strokeweight=".72pt" strokecolor="#000000">
                <v:path arrowok="t"/>
              </v:shape>
            </v:group>
            <v:group style="position:absolute;left:7;top:362;width:7046;height:2" coordorigin="7,362" coordsize="7046,2">
              <v:shape style="position:absolute;left:7;top:362;width:7046;height:2" coordorigin="7,362" coordsize="7046,0" path="m7,362l7052,362e" filled="false" stroked="true" strokeweight=".72pt" strokecolor="#000000">
                <v:path arrowok="t"/>
              </v:shape>
            </v:group>
            <v:group style="position:absolute;left:7060;top:7;width:2;height:363" coordorigin="7060,7" coordsize="2,363">
              <v:shape style="position:absolute;left:7060;top:7;width:2;height:363" coordorigin="7060,7" coordsize="0,363" path="m7060,7l7060,370e" filled="false" stroked="true" strokeweight=".72pt" strokecolor="#000000">
                <v:path arrowok="t"/>
              </v:shape>
            </v:group>
            <v:group style="position:absolute;left:7067;top:362;width:2598;height:2" coordorigin="7067,362" coordsize="2598,2">
              <v:shape style="position:absolute;left:7067;top:362;width:2598;height:2" coordorigin="7067,362" coordsize="2598,0" path="m7067,362l9665,362e" filled="false" stroked="true" strokeweight=".72pt" strokecolor="#000000">
                <v:path arrowok="t"/>
              </v:shape>
            </v:group>
            <v:group style="position:absolute;left:9672;top:7;width:2;height:363" coordorigin="9672,7" coordsize="2,363">
              <v:shape style="position:absolute;left:9672;top:7;width:2;height:363" coordorigin="9672,7" coordsize="0,363" path="m9672,7l9672,370e" filled="false" stroked="true" strokeweight=".72pt" strokecolor="#000000">
                <v:path arrowok="t"/>
              </v:shape>
              <v:shape style="position:absolute;left:14;top:14;width:7046;height:343" type="#_x0000_t202" filled="false" stroked="false">
                <v:textbox inset="0,0,0,0">
                  <w:txbxContent>
                    <w:p>
                      <w:pPr>
                        <w:tabs>
                          <w:tab w:pos="542" w:val="left" w:leader="none"/>
                        </w:tabs>
                        <w:spacing w:before="28"/>
                        <w:ind w:left="0" w:right="1" w:firstLine="0"/>
                        <w:jc w:val="center"/>
                        <w:rPr>
                          <w:rFonts w:ascii="宋体" w:hAnsi="宋体" w:cs="宋体" w:eastAsia="宋体" w:hint="default"/>
                          <w:sz w:val="18"/>
                          <w:szCs w:val="18"/>
                        </w:rPr>
                      </w:pPr>
                      <w:r>
                        <w:rPr>
                          <w:rFonts w:ascii="宋体" w:hAnsi="宋体" w:cs="宋体" w:eastAsia="宋体" w:hint="default"/>
                          <w:sz w:val="18"/>
                          <w:szCs w:val="18"/>
                        </w:rPr>
                        <w:t>项</w:t>
                        <w:tab/>
                        <w:t>目</w:t>
                      </w:r>
                    </w:p>
                  </w:txbxContent>
                </v:textbox>
                <w10:wrap type="none"/>
              </v:shape>
              <v:shape style="position:absolute;left:7060;top:14;width:2613;height:343" type="#_x0000_t202" filled="false" stroked="false">
                <v:textbox inset="0,0,0,0">
                  <w:txbxContent>
                    <w:p>
                      <w:pPr>
                        <w:tabs>
                          <w:tab w:pos="470" w:val="left" w:leader="none"/>
                        </w:tabs>
                        <w:spacing w:before="28"/>
                        <w:ind w:left="0" w:right="1" w:firstLine="0"/>
                        <w:jc w:val="center"/>
                        <w:rPr>
                          <w:rFonts w:ascii="宋体" w:hAnsi="宋体" w:cs="宋体" w:eastAsia="宋体" w:hint="default"/>
                          <w:sz w:val="18"/>
                          <w:szCs w:val="18"/>
                        </w:rPr>
                      </w:pPr>
                      <w:r>
                        <w:rPr>
                          <w:rFonts w:ascii="宋体" w:hAnsi="宋体" w:cs="宋体" w:eastAsia="宋体" w:hint="default"/>
                          <w:sz w:val="18"/>
                          <w:szCs w:val="18"/>
                        </w:rPr>
                        <w:t>金</w:t>
                        <w:tab/>
                        <w:t>额</w:t>
                      </w:r>
                    </w:p>
                  </w:txbxContent>
                </v:textbox>
                <w10:wrap type="none"/>
              </v:shape>
            </v:group>
          </v:group>
        </w:pict>
      </w:r>
      <w:r>
        <w:rPr>
          <w:rFonts w:ascii="宋体" w:hAnsi="宋体" w:cs="宋体" w:eastAsia="宋体" w:hint="default"/>
          <w:position w:val="-7"/>
          <w:sz w:val="20"/>
          <w:szCs w:val="20"/>
        </w:rPr>
      </w:r>
    </w:p>
    <w:p>
      <w:pPr>
        <w:spacing w:after="0" w:line="376" w:lineRule="exact"/>
        <w:rPr>
          <w:rFonts w:ascii="宋体" w:hAnsi="宋体" w:cs="宋体" w:eastAsia="宋体" w:hint="default"/>
          <w:sz w:val="20"/>
          <w:szCs w:val="20"/>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7045"/>
        <w:gridCol w:w="2612"/>
      </w:tblGrid>
      <w:tr>
        <w:trPr>
          <w:trHeight w:val="347" w:hRule="exact"/>
        </w:trPr>
        <w:tc>
          <w:tcPr>
            <w:tcW w:w="7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347" w:hRule="exact"/>
        </w:trPr>
        <w:tc>
          <w:tcPr>
            <w:tcW w:w="7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减：延边晨鸣于处置日的净资产</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128,385,259.16</w:t>
            </w:r>
          </w:p>
        </w:tc>
      </w:tr>
      <w:tr>
        <w:trPr>
          <w:trHeight w:val="347" w:hRule="exact"/>
        </w:trPr>
        <w:tc>
          <w:tcPr>
            <w:tcW w:w="7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加：与延边晨鸣相关的其他综合收益转入处置当期损益的金额</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31,421,760.99</w:t>
            </w:r>
          </w:p>
        </w:tc>
      </w:tr>
      <w:tr>
        <w:trPr>
          <w:trHeight w:val="343" w:hRule="exact"/>
        </w:trPr>
        <w:tc>
          <w:tcPr>
            <w:tcW w:w="7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处置产生的投资收益</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13,036,501.83</w:t>
            </w:r>
          </w:p>
        </w:tc>
      </w:tr>
    </w:tbl>
    <w:p>
      <w:pPr>
        <w:pStyle w:val="BodyText"/>
        <w:spacing w:line="240" w:lineRule="auto" w:before="15"/>
        <w:ind w:left="514" w:right="0"/>
        <w:jc w:val="left"/>
      </w:pPr>
      <w:r>
        <w:rPr/>
        <w:t>④</w:t>
      </w:r>
      <w:r>
        <w:rPr>
          <w:spacing w:val="-19"/>
        </w:rPr>
        <w:t> </w:t>
      </w:r>
      <w:r>
        <w:rPr/>
        <w:t>延边晨鸣从处置当年年初至处置日的收入、费用和利润如下：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6448"/>
        <w:gridCol w:w="3210"/>
      </w:tblGrid>
      <w:tr>
        <w:trPr>
          <w:trHeight w:val="342"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1261" w:val="left" w:leader="none"/>
              </w:tabs>
              <w:spacing w:line="240" w:lineRule="auto" w:before="16"/>
              <w:ind w:left="7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61,124,299.59</w:t>
            </w:r>
          </w:p>
        </w:tc>
      </w:tr>
      <w:tr>
        <w:trPr>
          <w:trHeight w:val="348"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减：成本和费用</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66,363,345.73</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-5,239,046.14</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-1,309,761.54</w:t>
            </w:r>
          </w:p>
        </w:tc>
      </w:tr>
      <w:tr>
        <w:trPr>
          <w:trHeight w:val="342"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-3,929,284.60</w:t>
            </w:r>
          </w:p>
        </w:tc>
      </w:tr>
    </w:tbl>
    <w:p>
      <w:pPr>
        <w:pStyle w:val="BodyText"/>
        <w:spacing w:line="240" w:lineRule="auto" w:before="16"/>
        <w:ind w:left="514" w:right="0"/>
        <w:jc w:val="left"/>
      </w:pPr>
      <w:r>
        <w:rPr/>
        <w:t>⑤于丧失控制权之日，与原先子公司股权投资相关的其他综合收益转入投资损益的金额为</w:t>
      </w:r>
      <w:r>
        <w:rPr>
          <w:rFonts w:ascii="Times New Roman" w:hAnsi="Times New Roman" w:cs="Times New Roman" w:eastAsia="Times New Roman" w:hint="default"/>
        </w:rPr>
        <w:t>31,421,760.99</w:t>
      </w:r>
      <w:r>
        <w:rPr/>
        <w:t>元。</w:t>
      </w:r>
    </w:p>
    <w:p>
      <w:pPr>
        <w:pStyle w:val="BodyText"/>
        <w:spacing w:line="300" w:lineRule="auto" w:before="62"/>
        <w:ind w:left="513" w:right="231"/>
        <w:jc w:val="left"/>
      </w:pPr>
      <w:r>
        <w:rPr/>
        <w:t>（</w:t>
      </w:r>
      <w:r>
        <w:rPr>
          <w:rFonts w:ascii="Times New Roman" w:hAnsi="Times New Roman" w:cs="Times New Roman" w:eastAsia="Times New Roman" w:hint="default"/>
        </w:rPr>
        <w:t>2</w:t>
      </w:r>
      <w:r>
        <w:rPr/>
        <w:t>）武汉晨建新型墙体材料有限责任公司 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31</w:t>
      </w:r>
      <w:r>
        <w:rPr/>
        <w:t>日，本公司之子公司武汉晨鸣汉阳纸业股份有限公司将拥有的武汉晨建新型墙体材料有限责任公司有</w:t>
      </w:r>
    </w:p>
    <w:p>
      <w:pPr>
        <w:pStyle w:val="BodyText"/>
        <w:spacing w:line="300" w:lineRule="auto" w:before="13"/>
        <w:ind w:right="136"/>
        <w:jc w:val="left"/>
      </w:pPr>
      <w:r>
        <w:rPr>
          <w:rFonts w:ascii="Times New Roman" w:hAnsi="Times New Roman" w:cs="Times New Roman" w:eastAsia="Times New Roman" w:hint="default"/>
          <w:spacing w:val="-1"/>
        </w:rPr>
        <w:t>51%</w:t>
      </w:r>
      <w:r>
        <w:rPr>
          <w:spacing w:val="-1"/>
        </w:rPr>
        <w:t>的股权转让予湖北中建昊华环保有限责任公司。出售日为本公司实际丧失对武汉晨建新型墙体材料有限责任公司净资产</w:t>
      </w:r>
      <w:r>
        <w:rPr>
          <w:spacing w:val="-87"/>
        </w:rPr>
        <w:t> </w:t>
      </w:r>
      <w:r>
        <w:rPr>
          <w:spacing w:val="-87"/>
        </w:rPr>
      </w:r>
      <w:r>
        <w:rPr/>
        <w:t>和财务、经营决策的控制权的日期</w:t>
      </w:r>
    </w:p>
    <w:p>
      <w:pPr>
        <w:pStyle w:val="BodyText"/>
        <w:spacing w:line="240" w:lineRule="auto" w:before="31"/>
        <w:ind w:left="513" w:right="0"/>
        <w:jc w:val="left"/>
      </w:pPr>
      <w:r>
        <w:rPr/>
        <w:t>①</w:t>
      </w:r>
      <w:r>
        <w:rPr>
          <w:spacing w:val="-19"/>
        </w:rPr>
        <w:t> </w:t>
      </w:r>
      <w:r>
        <w:rPr/>
        <w:t>处置价格及现金流量列示如下：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7031"/>
        <w:gridCol w:w="2627"/>
      </w:tblGrid>
      <w:tr>
        <w:trPr>
          <w:trHeight w:val="342"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397"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27" w:type="dxa"/>
            <w:tcBorders>
              <w:top w:val="single" w:sz="9"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处置收到的现金和现金等价物</w:t>
            </w:r>
          </w:p>
        </w:tc>
        <w:tc>
          <w:tcPr>
            <w:tcW w:w="26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减：晨建公司持有的现金和现金等价物</w:t>
            </w:r>
          </w:p>
        </w:tc>
        <w:tc>
          <w:tcPr>
            <w:tcW w:w="26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2,140,518.36</w:t>
            </w:r>
          </w:p>
        </w:tc>
      </w:tr>
      <w:tr>
        <w:trPr>
          <w:trHeight w:val="342"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处置收到的现金净额</w:t>
            </w:r>
          </w:p>
        </w:tc>
        <w:tc>
          <w:tcPr>
            <w:tcW w:w="26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2,959,481.64</w:t>
            </w:r>
          </w:p>
        </w:tc>
      </w:tr>
    </w:tbl>
    <w:p>
      <w:pPr>
        <w:pStyle w:val="BodyText"/>
        <w:spacing w:line="240" w:lineRule="auto" w:before="16"/>
        <w:ind w:left="514" w:right="0"/>
        <w:jc w:val="left"/>
      </w:pPr>
      <w:r>
        <w:rPr/>
        <w:t>②</w:t>
      </w:r>
      <w:r>
        <w:rPr>
          <w:spacing w:val="-19"/>
        </w:rPr>
        <w:t> </w:t>
      </w:r>
      <w:r>
        <w:rPr/>
        <w:t>处置晨建公司的净资产列示如下：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295"/>
        <w:gridCol w:w="2789"/>
        <w:gridCol w:w="2573"/>
      </w:tblGrid>
      <w:tr>
        <w:trPr>
          <w:trHeight w:val="342"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470" w:val="left" w:leader="none"/>
              </w:tabs>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846"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737" w:right="0"/>
              <w:jc w:val="left"/>
              <w:rPr>
                <w:rFonts w:ascii="宋体" w:hAnsi="宋体" w:cs="宋体" w:eastAsia="宋体" w:hint="default"/>
                <w:sz w:val="18"/>
                <w:szCs w:val="18"/>
              </w:rPr>
            </w:pPr>
            <w:r>
              <w:rPr>
                <w:rFonts w:ascii="宋体" w:hAnsi="宋体" w:cs="宋体" w:eastAsia="宋体" w:hint="default"/>
                <w:sz w:val="18"/>
                <w:szCs w:val="18"/>
              </w:rPr>
              <w:t>上年末净资产</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89"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23,489,940.59</w:t>
            </w:r>
          </w:p>
        </w:tc>
        <w:tc>
          <w:tcPr>
            <w:tcW w:w="257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24,552,015.23</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17,376,409.34</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17,019,890.80</w:t>
            </w:r>
          </w:p>
        </w:tc>
      </w:tr>
      <w:tr>
        <w:trPr>
          <w:trHeight w:val="348"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15,454,950.61</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11,074,374.25</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89" w:type="dxa"/>
            <w:tcBorders>
              <w:top w:val="single" w:sz="6" w:space="0" w:color="000000"/>
              <w:left w:val="single" w:sz="6" w:space="0" w:color="000000"/>
              <w:bottom w:val="single" w:sz="6" w:space="0" w:color="000000"/>
              <w:right w:val="single" w:sz="6" w:space="0" w:color="000000"/>
            </w:tcBorders>
          </w:tcPr>
          <w:p>
            <w:pPr/>
          </w:p>
        </w:tc>
        <w:tc>
          <w:tcPr>
            <w:tcW w:w="2573"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净资产合计</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25,411,399.32</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30,497,531.78</w:t>
            </w:r>
          </w:p>
        </w:tc>
      </w:tr>
    </w:tbl>
    <w:p>
      <w:pPr>
        <w:pStyle w:val="BodyText"/>
        <w:spacing w:line="240" w:lineRule="auto" w:before="15"/>
        <w:ind w:left="514" w:right="0"/>
        <w:jc w:val="left"/>
      </w:pPr>
      <w:r>
        <w:rPr/>
        <w:t>③</w:t>
      </w:r>
      <w:r>
        <w:rPr>
          <w:spacing w:val="53"/>
        </w:rPr>
        <w:t> </w:t>
      </w:r>
      <w:r>
        <w:rPr/>
        <w:t>处置损益计算如下：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7043"/>
        <w:gridCol w:w="2614"/>
      </w:tblGrid>
      <w:tr>
        <w:trPr>
          <w:trHeight w:val="343"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470"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7"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14"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5,100,000.00</w:t>
            </w:r>
          </w:p>
        </w:tc>
      </w:tr>
      <w:tr>
        <w:trPr>
          <w:trHeight w:val="347"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减：晨建公司于处置日归属于本集团的净资产</w:t>
            </w:r>
          </w:p>
        </w:tc>
        <w:tc>
          <w:tcPr>
            <w:tcW w:w="26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12,959,813.65</w:t>
            </w:r>
          </w:p>
        </w:tc>
      </w:tr>
      <w:tr>
        <w:trPr>
          <w:trHeight w:val="347"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加：与相关的其他综合收益转入处置当期损益的金额</w:t>
            </w:r>
          </w:p>
        </w:tc>
        <w:tc>
          <w:tcPr>
            <w:tcW w:w="261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处置产生的投资收益</w:t>
            </w:r>
          </w:p>
        </w:tc>
        <w:tc>
          <w:tcPr>
            <w:tcW w:w="26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-7,859,813.65</w:t>
            </w:r>
          </w:p>
        </w:tc>
      </w:tr>
    </w:tbl>
    <w:p>
      <w:pPr>
        <w:pStyle w:val="BodyText"/>
        <w:spacing w:line="240" w:lineRule="auto" w:before="16"/>
        <w:ind w:left="514" w:right="0"/>
        <w:jc w:val="left"/>
      </w:pPr>
      <w:r>
        <w:rPr/>
        <w:t>④</w:t>
      </w:r>
      <w:r>
        <w:rPr>
          <w:spacing w:val="-19"/>
        </w:rPr>
        <w:t> </w:t>
      </w:r>
      <w:r>
        <w:rPr/>
        <w:t>晨建公司从处置当年年初至处置日的收入、费用和利润如下：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6448"/>
        <w:gridCol w:w="3210"/>
      </w:tblGrid>
      <w:tr>
        <w:trPr>
          <w:trHeight w:val="342"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1261" w:val="left" w:leader="none"/>
              </w:tabs>
              <w:spacing w:line="240" w:lineRule="auto" w:before="16"/>
              <w:ind w:left="7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3210"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290,082.30</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减：成本和费用</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1,376,214.76</w:t>
            </w:r>
          </w:p>
        </w:tc>
      </w:tr>
      <w:tr>
        <w:trPr>
          <w:trHeight w:val="342"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-1,086,132.46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6448"/>
        <w:gridCol w:w="3210"/>
      </w:tblGrid>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-1,086,132.46</w:t>
            </w:r>
          </w:p>
        </w:tc>
      </w:tr>
    </w:tbl>
    <w:p>
      <w:pPr>
        <w:pStyle w:val="BodyText"/>
        <w:spacing w:line="240" w:lineRule="auto" w:before="11"/>
        <w:ind w:left="514" w:right="0"/>
        <w:jc w:val="left"/>
        <w:rPr>
          <w:rFonts w:ascii="Times New Roman" w:hAnsi="Times New Roman" w:cs="Times New Roman" w:eastAsia="Times New Roman" w:hint="default"/>
        </w:rPr>
      </w:pPr>
      <w:r>
        <w:rPr/>
        <w:t>⑤于丧失控制权之日，与原先子公司股权投资相关的其他综合收益转入投资损益的金额为</w:t>
      </w:r>
      <w:r>
        <w:rPr>
          <w:rFonts w:ascii="Times New Roman" w:hAnsi="Times New Roman" w:cs="Times New Roman" w:eastAsia="Times New Roman" w:hint="default"/>
        </w:rPr>
        <w:t>0??</w:t>
      </w:r>
    </w:p>
    <w:p>
      <w:pPr>
        <w:pStyle w:val="BodyText"/>
        <w:spacing w:line="300" w:lineRule="auto" w:before="62"/>
        <w:ind w:left="513" w:right="0"/>
        <w:jc w:val="left"/>
      </w:pPr>
      <w:r>
        <w:rPr/>
        <w:t>（</w:t>
      </w:r>
      <w:r>
        <w:rPr>
          <w:rFonts w:ascii="Times New Roman" w:hAnsi="Times New Roman" w:cs="Times New Roman" w:eastAsia="Times New Roman" w:hint="default"/>
        </w:rPr>
        <w:t>3</w:t>
      </w:r>
      <w:r>
        <w:rPr/>
        <w:t>）上海润晨股权投资基金有限公司 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26</w:t>
      </w:r>
      <w:r>
        <w:rPr/>
        <w:t>日，本公司将拥有的有上海润晨股权投资基金有限公司的</w:t>
      </w:r>
      <w:r>
        <w:rPr>
          <w:rFonts w:ascii="Times New Roman" w:hAnsi="Times New Roman" w:cs="Times New Roman" w:eastAsia="Times New Roman" w:hint="default"/>
        </w:rPr>
        <w:t>98.36%</w:t>
      </w:r>
      <w:r>
        <w:rPr/>
        <w:t>股权转让予上海锐宝环保科技有限公</w:t>
      </w:r>
    </w:p>
    <w:p>
      <w:pPr>
        <w:pStyle w:val="BodyText"/>
        <w:spacing w:line="240" w:lineRule="auto" w:before="13"/>
        <w:ind w:left="154" w:right="0"/>
        <w:jc w:val="left"/>
      </w:pPr>
      <w:r>
        <w:rPr/>
        <w:t>司。出售日为本公司实际丧失对上海润晨股权投资基金有限公司净资产和财务、经营决策的控制权的日期。</w:t>
      </w:r>
    </w:p>
    <w:p>
      <w:pPr>
        <w:pStyle w:val="BodyText"/>
        <w:spacing w:line="240" w:lineRule="auto" w:before="76"/>
        <w:ind w:left="514" w:right="0"/>
        <w:jc w:val="left"/>
      </w:pPr>
      <w:r>
        <w:rPr/>
        <w:t>①</w:t>
      </w:r>
      <w:r>
        <w:rPr>
          <w:spacing w:val="-19"/>
        </w:rPr>
        <w:t> </w:t>
      </w:r>
      <w:r>
        <w:rPr/>
        <w:t>处置价格及现金流量列示如下：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7031"/>
        <w:gridCol w:w="2627"/>
      </w:tblGrid>
      <w:tr>
        <w:trPr>
          <w:trHeight w:val="342"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397" w:val="left" w:leader="none"/>
              </w:tabs>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2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300,916,016.71</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处置收到的现金和现金等价物</w:t>
            </w:r>
          </w:p>
        </w:tc>
        <w:tc>
          <w:tcPr>
            <w:tcW w:w="26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250,916,016.71</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减：上海润晨持有的现金和现金等价物</w:t>
            </w:r>
          </w:p>
        </w:tc>
        <w:tc>
          <w:tcPr>
            <w:tcW w:w="26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6,030,118.42</w:t>
            </w:r>
          </w:p>
        </w:tc>
      </w:tr>
      <w:tr>
        <w:trPr>
          <w:trHeight w:val="342"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处置收到的现金净额</w:t>
            </w:r>
          </w:p>
        </w:tc>
        <w:tc>
          <w:tcPr>
            <w:tcW w:w="262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244,885,898.29</w:t>
            </w:r>
          </w:p>
        </w:tc>
      </w:tr>
    </w:tbl>
    <w:p>
      <w:pPr>
        <w:pStyle w:val="BodyText"/>
        <w:spacing w:line="240" w:lineRule="auto" w:before="16"/>
        <w:ind w:left="514" w:right="0"/>
        <w:jc w:val="left"/>
      </w:pPr>
      <w:r>
        <w:rPr/>
        <w:t>②</w:t>
      </w:r>
      <w:r>
        <w:rPr>
          <w:spacing w:val="-19"/>
        </w:rPr>
        <w:t> </w:t>
      </w:r>
      <w:r>
        <w:rPr/>
        <w:t>处置上海润晨的净资产列示如下：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295"/>
        <w:gridCol w:w="2789"/>
        <w:gridCol w:w="2573"/>
      </w:tblGrid>
      <w:tr>
        <w:trPr>
          <w:trHeight w:val="342"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470"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846"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737" w:right="0"/>
              <w:jc w:val="left"/>
              <w:rPr>
                <w:rFonts w:ascii="宋体" w:hAnsi="宋体" w:cs="宋体" w:eastAsia="宋体" w:hint="default"/>
                <w:sz w:val="18"/>
                <w:szCs w:val="18"/>
              </w:rPr>
            </w:pPr>
            <w:r>
              <w:rPr>
                <w:rFonts w:ascii="宋体" w:hAnsi="宋体" w:cs="宋体" w:eastAsia="宋体" w:hint="default"/>
                <w:sz w:val="18"/>
                <w:szCs w:val="18"/>
              </w:rPr>
              <w:t>上年末净资产</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320,052,650.32</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56,236,406.82</w:t>
            </w:r>
          </w:p>
        </w:tc>
      </w:tr>
      <w:tr>
        <w:trPr>
          <w:trHeight w:val="348"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269,314,863.63</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268,743,677.13</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283,436,224.09</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309,101.71</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89" w:type="dxa"/>
            <w:tcBorders>
              <w:top w:val="single" w:sz="6" w:space="0" w:color="000000"/>
              <w:left w:val="single" w:sz="6" w:space="0" w:color="000000"/>
              <w:bottom w:val="single" w:sz="6" w:space="0" w:color="000000"/>
              <w:right w:val="single" w:sz="6" w:space="0" w:color="000000"/>
            </w:tcBorders>
          </w:tcPr>
          <w:p>
            <w:pPr/>
          </w:p>
        </w:tc>
        <w:tc>
          <w:tcPr>
            <w:tcW w:w="25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净资产合计</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305,931,289.86</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324,670,982.24</w:t>
            </w:r>
          </w:p>
        </w:tc>
      </w:tr>
    </w:tbl>
    <w:p>
      <w:pPr>
        <w:pStyle w:val="BodyText"/>
        <w:spacing w:line="240" w:lineRule="auto" w:before="16"/>
        <w:ind w:left="514" w:right="0"/>
        <w:jc w:val="left"/>
      </w:pPr>
      <w:r>
        <w:rPr/>
        <w:t>③</w:t>
      </w:r>
      <w:r>
        <w:rPr>
          <w:spacing w:val="53"/>
        </w:rPr>
        <w:t> </w:t>
      </w:r>
      <w:r>
        <w:rPr/>
        <w:t>处置损益计算如下：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7045"/>
        <w:gridCol w:w="2613"/>
      </w:tblGrid>
      <w:tr>
        <w:trPr>
          <w:trHeight w:val="342" w:hRule="exact"/>
        </w:trPr>
        <w:tc>
          <w:tcPr>
            <w:tcW w:w="7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470"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7" w:hRule="exact"/>
        </w:trPr>
        <w:tc>
          <w:tcPr>
            <w:tcW w:w="7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13" w:type="dxa"/>
            <w:tcBorders>
              <w:top w:val="single" w:sz="9" w:space="0" w:color="000000"/>
              <w:left w:val="single" w:sz="7"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300,916,016.71</w:t>
            </w:r>
          </w:p>
        </w:tc>
      </w:tr>
      <w:tr>
        <w:trPr>
          <w:trHeight w:val="347" w:hRule="exact"/>
        </w:trPr>
        <w:tc>
          <w:tcPr>
            <w:tcW w:w="7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减：上海润晨于处置日归属于本公司的净资产</w:t>
            </w:r>
          </w:p>
        </w:tc>
        <w:tc>
          <w:tcPr>
            <w:tcW w:w="261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300,916,016.71</w:t>
            </w:r>
          </w:p>
        </w:tc>
      </w:tr>
      <w:tr>
        <w:trPr>
          <w:trHeight w:val="347" w:hRule="exact"/>
        </w:trPr>
        <w:tc>
          <w:tcPr>
            <w:tcW w:w="7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加：与上海润晨相关的其他综合收益转入处置当期损益的金额</w:t>
            </w:r>
          </w:p>
        </w:tc>
        <w:tc>
          <w:tcPr>
            <w:tcW w:w="261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70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处置产生的投资收益</w:t>
            </w:r>
          </w:p>
        </w:tc>
        <w:tc>
          <w:tcPr>
            <w:tcW w:w="261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16"/>
        <w:ind w:left="514" w:right="0"/>
        <w:jc w:val="left"/>
      </w:pPr>
      <w:r>
        <w:rPr/>
        <w:t>④</w:t>
      </w:r>
      <w:r>
        <w:rPr>
          <w:spacing w:val="-19"/>
        </w:rPr>
        <w:t> </w:t>
      </w:r>
      <w:r>
        <w:rPr/>
        <w:t>上海润晨从处置当年年初至处置日的收入、费用和利润如下：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6448"/>
        <w:gridCol w:w="3210"/>
      </w:tblGrid>
      <w:tr>
        <w:trPr>
          <w:trHeight w:val="342"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1261" w:val="left" w:leader="none"/>
              </w:tabs>
              <w:spacing w:line="240" w:lineRule="auto" w:before="15"/>
              <w:ind w:left="7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3210" w:type="dxa"/>
            <w:tcBorders>
              <w:top w:val="single" w:sz="9"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减：成本和费用</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-3,743.50</w:t>
            </w:r>
          </w:p>
        </w:tc>
      </w:tr>
      <w:tr>
        <w:trPr>
          <w:trHeight w:val="348"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加：投资收益</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571,186.50</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3,743.50</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935.88</w:t>
            </w:r>
          </w:p>
        </w:tc>
      </w:tr>
      <w:tr>
        <w:trPr>
          <w:trHeight w:val="342"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573,994.12</w:t>
            </w:r>
          </w:p>
        </w:tc>
      </w:tr>
    </w:tbl>
    <w:p>
      <w:pPr>
        <w:pStyle w:val="BodyText"/>
        <w:spacing w:line="240" w:lineRule="auto" w:before="16"/>
        <w:ind w:left="514" w:right="0"/>
        <w:jc w:val="left"/>
      </w:pPr>
      <w:r>
        <w:rPr/>
        <w:t>⑤于丧失控制权之日，与原先子公司股权投资相关的其他综合收益转入投资损益的金额为</w:t>
      </w:r>
      <w:r>
        <w:rPr>
          <w:rFonts w:ascii="Times New Roman" w:hAnsi="Times New Roman" w:cs="Times New Roman" w:eastAsia="Times New Roman" w:hint="default"/>
        </w:rPr>
        <w:t>0</w:t>
      </w:r>
      <w:r>
        <w:rPr/>
        <w:t>元。</w:t>
      </w:r>
    </w:p>
    <w:p>
      <w:pPr>
        <w:pStyle w:val="BodyText"/>
        <w:spacing w:line="300" w:lineRule="auto" w:before="62"/>
        <w:ind w:left="51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）武汉晨鸣万兴置业有限公司 </w:t>
      </w:r>
      <w:r>
        <w:rPr>
          <w:spacing w:val="-2"/>
        </w:rPr>
        <w:t>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05</w:t>
      </w:r>
      <w:r>
        <w:rPr>
          <w:spacing w:val="-2"/>
        </w:rPr>
        <w:t>日，本公司之子公司武汉晨鸣和湖北浙商万兴投资有限公司分别对武汉晨鸣万兴置业有限公司增资</w:t>
      </w:r>
      <w:r>
        <w:rPr>
          <w:rFonts w:ascii="Times New Roman" w:hAnsi="Times New Roman" w:cs="Times New Roman" w:eastAsia="Times New Roman" w:hint="default"/>
          <w:spacing w:val="-2"/>
        </w:rPr>
        <w:t>2000</w:t>
      </w:r>
    </w:p>
    <w:p>
      <w:pPr>
        <w:pStyle w:val="BodyText"/>
        <w:spacing w:line="300" w:lineRule="auto" w:before="13"/>
        <w:ind w:right="138"/>
        <w:jc w:val="left"/>
      </w:pPr>
      <w:r>
        <w:rPr>
          <w:spacing w:val="-1"/>
        </w:rPr>
        <w:t>万元和</w:t>
      </w:r>
      <w:r>
        <w:rPr>
          <w:rFonts w:ascii="Times New Roman" w:hAnsi="Times New Roman" w:cs="Times New Roman" w:eastAsia="Times New Roman" w:hint="default"/>
          <w:spacing w:val="-1"/>
        </w:rPr>
        <w:t>6000</w:t>
      </w:r>
      <w:r>
        <w:rPr>
          <w:spacing w:val="-1"/>
        </w:rPr>
        <w:t>万元，增资完成后，武汉晨鸣控股万兴置业</w:t>
      </w:r>
      <w:r>
        <w:rPr>
          <w:rFonts w:ascii="Times New Roman" w:hAnsi="Times New Roman" w:cs="Times New Roman" w:eastAsia="Times New Roman" w:hint="default"/>
          <w:spacing w:val="-1"/>
        </w:rPr>
        <w:t>40%</w:t>
      </w:r>
      <w:r>
        <w:rPr>
          <w:spacing w:val="-1"/>
        </w:rPr>
        <w:t>股权。增资日为本公司实际丧失对武汉晨鸣万兴置业有限公司净</w:t>
      </w:r>
      <w:r>
        <w:rPr>
          <w:spacing w:val="-87"/>
        </w:rPr>
        <w:t> </w:t>
      </w:r>
      <w:r>
        <w:rPr>
          <w:spacing w:val="-87"/>
        </w:rPr>
      </w:r>
      <w:r>
        <w:rPr/>
        <w:t>资产和财务、经营决策的控制权的日期。</w:t>
      </w:r>
    </w:p>
    <w:p>
      <w:pPr>
        <w:pStyle w:val="BodyText"/>
        <w:spacing w:line="240" w:lineRule="auto" w:before="31"/>
        <w:ind w:left="513" w:right="0"/>
        <w:jc w:val="left"/>
      </w:pPr>
      <w:r>
        <w:rPr/>
        <w:t>①</w:t>
      </w:r>
      <w:r>
        <w:rPr>
          <w:spacing w:val="-19"/>
        </w:rPr>
        <w:t> </w:t>
      </w:r>
      <w:r>
        <w:rPr/>
        <w:t>处置价格及现金流量列示如下：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7031"/>
        <w:gridCol w:w="2627"/>
      </w:tblGrid>
      <w:tr>
        <w:trPr>
          <w:trHeight w:val="342"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397"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1"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处置价格</w:t>
            </w:r>
          </w:p>
        </w:tc>
        <w:tc>
          <w:tcPr>
            <w:tcW w:w="2627" w:type="dxa"/>
            <w:tcBorders>
              <w:top w:val="single" w:sz="9" w:space="0" w:color="000000"/>
              <w:left w:val="single" w:sz="7" w:space="0" w:color="000000"/>
              <w:bottom w:val="single" w:sz="6" w:space="0" w:color="000000"/>
              <w:right w:val="single" w:sz="6" w:space="0" w:color="000000"/>
            </w:tcBorders>
          </w:tcPr>
          <w:p>
            <w:pPr>
              <w:pStyle w:val="TableParagraph"/>
              <w:spacing w:line="240" w:lineRule="auto" w:before="56"/>
              <w:ind w:left="1573" w:right="0"/>
              <w:jc w:val="left"/>
              <w:rPr>
                <w:rFonts w:ascii="Times New Roman" w:hAnsi="Times New Roman" w:cs="Times New Roman" w:eastAsia="Times New Roman" w:hint="default"/>
                <w:sz w:val="18"/>
                <w:szCs w:val="18"/>
              </w:rPr>
            </w:pPr>
            <w:r>
              <w:rPr>
                <w:rFonts w:ascii="Times New Roman"/>
                <w:sz w:val="18"/>
              </w:rPr>
              <w:t>60,000,000.00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7031"/>
        <w:gridCol w:w="2627"/>
      </w:tblGrid>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处置收到的现金和现金等价物</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减：万兴置业持有的现金和现金等价物</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83,180,221.51</w:t>
            </w:r>
          </w:p>
        </w:tc>
      </w:tr>
      <w:tr>
        <w:trPr>
          <w:trHeight w:val="347"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投资子公司支付的现金和现金等价物</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3" w:hRule="exact"/>
        </w:trPr>
        <w:tc>
          <w:tcPr>
            <w:tcW w:w="70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3,180,221.51</w:t>
            </w:r>
          </w:p>
        </w:tc>
      </w:tr>
    </w:tbl>
    <w:p>
      <w:pPr>
        <w:pStyle w:val="BodyText"/>
        <w:spacing w:line="240" w:lineRule="auto" w:before="15"/>
        <w:ind w:left="514" w:right="0"/>
        <w:jc w:val="left"/>
      </w:pPr>
      <w:r>
        <w:rPr/>
        <w:t>②</w:t>
      </w:r>
      <w:r>
        <w:rPr>
          <w:spacing w:val="-19"/>
        </w:rPr>
        <w:t> </w:t>
      </w:r>
      <w:r>
        <w:rPr/>
        <w:t>处置万兴置业的净资产列示如下：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295"/>
        <w:gridCol w:w="2789"/>
        <w:gridCol w:w="2573"/>
      </w:tblGrid>
      <w:tr>
        <w:trPr>
          <w:trHeight w:val="342"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470"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846"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737" w:right="0"/>
              <w:jc w:val="left"/>
              <w:rPr>
                <w:rFonts w:ascii="宋体" w:hAnsi="宋体" w:cs="宋体" w:eastAsia="宋体" w:hint="default"/>
                <w:sz w:val="18"/>
                <w:szCs w:val="18"/>
              </w:rPr>
            </w:pPr>
            <w:r>
              <w:rPr>
                <w:rFonts w:ascii="宋体" w:hAnsi="宋体" w:cs="宋体" w:eastAsia="宋体" w:hint="default"/>
                <w:sz w:val="18"/>
                <w:szCs w:val="18"/>
              </w:rPr>
              <w:t>上年末净资产</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638,939,855.90</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111,002,810.67</w:t>
            </w:r>
          </w:p>
        </w:tc>
      </w:tr>
      <w:tr>
        <w:trPr>
          <w:trHeight w:val="348"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95,280.67</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40,987.27</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569,569,106.26</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114,365,758.86</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89" w:type="dxa"/>
            <w:tcBorders>
              <w:top w:val="single" w:sz="6" w:space="0" w:color="000000"/>
              <w:left w:val="single" w:sz="6" w:space="0" w:color="000000"/>
              <w:bottom w:val="single" w:sz="6" w:space="0" w:color="000000"/>
              <w:right w:val="single" w:sz="6" w:space="0" w:color="000000"/>
            </w:tcBorders>
          </w:tcPr>
          <w:p>
            <w:pPr/>
          </w:p>
        </w:tc>
        <w:tc>
          <w:tcPr>
            <w:tcW w:w="257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2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净资产合计</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69,466,030.31</w:t>
            </w:r>
          </w:p>
        </w:tc>
        <w:tc>
          <w:tcPr>
            <w:tcW w:w="2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-3,321,960.92</w:t>
            </w:r>
          </w:p>
        </w:tc>
      </w:tr>
    </w:tbl>
    <w:p>
      <w:pPr>
        <w:pStyle w:val="BodyText"/>
        <w:spacing w:line="240" w:lineRule="auto" w:before="16"/>
        <w:ind w:left="514" w:right="0"/>
        <w:jc w:val="left"/>
      </w:pPr>
      <w:r>
        <w:rPr/>
        <w:t>③</w:t>
      </w:r>
      <w:r>
        <w:rPr>
          <w:spacing w:val="53"/>
        </w:rPr>
        <w:t> </w:t>
      </w:r>
      <w:r>
        <w:rPr/>
        <w:t>处置损益计算如下：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7043"/>
        <w:gridCol w:w="2614"/>
      </w:tblGrid>
      <w:tr>
        <w:trPr>
          <w:trHeight w:val="342"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470"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7"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增资后享有的净资产</w:t>
            </w:r>
          </w:p>
        </w:tc>
        <w:tc>
          <w:tcPr>
            <w:tcW w:w="2614" w:type="dxa"/>
            <w:tcBorders>
              <w:top w:val="single" w:sz="9"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27,786,412.12</w:t>
            </w:r>
          </w:p>
        </w:tc>
      </w:tr>
      <w:tr>
        <w:trPr>
          <w:trHeight w:val="347"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减：增资金额</w:t>
            </w:r>
          </w:p>
        </w:tc>
        <w:tc>
          <w:tcPr>
            <w:tcW w:w="26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7"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减：万兴置业于增资日归属于本集团的净资产</w:t>
            </w:r>
          </w:p>
        </w:tc>
        <w:tc>
          <w:tcPr>
            <w:tcW w:w="26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-10,533,969.69</w:t>
            </w:r>
          </w:p>
        </w:tc>
      </w:tr>
      <w:tr>
        <w:trPr>
          <w:trHeight w:val="347"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加：与万兴置业相关的其他综合收益转入处置当期损益的金额</w:t>
            </w:r>
          </w:p>
        </w:tc>
        <w:tc>
          <w:tcPr>
            <w:tcW w:w="2614" w:type="dxa"/>
            <w:tcBorders>
              <w:top w:val="single" w:sz="6" w:space="0" w:color="000000"/>
              <w:left w:val="single" w:sz="7" w:space="0" w:color="000000"/>
              <w:bottom w:val="single" w:sz="6" w:space="0" w:color="000000"/>
              <w:right w:val="single" w:sz="6" w:space="0" w:color="000000"/>
            </w:tcBorders>
          </w:tcPr>
          <w:p>
            <w:pPr/>
          </w:p>
        </w:tc>
      </w:tr>
      <w:tr>
        <w:trPr>
          <w:trHeight w:val="342" w:hRule="exact"/>
        </w:trPr>
        <w:tc>
          <w:tcPr>
            <w:tcW w:w="70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处置产生的投资收益</w:t>
            </w:r>
          </w:p>
        </w:tc>
        <w:tc>
          <w:tcPr>
            <w:tcW w:w="261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18,320,381.81</w:t>
            </w:r>
          </w:p>
        </w:tc>
      </w:tr>
    </w:tbl>
    <w:p>
      <w:pPr>
        <w:pStyle w:val="BodyText"/>
        <w:spacing w:line="240" w:lineRule="auto" w:before="16"/>
        <w:ind w:left="514" w:right="0"/>
        <w:jc w:val="left"/>
      </w:pPr>
      <w:r>
        <w:rPr/>
        <w:t>④</w:t>
      </w:r>
      <w:r>
        <w:rPr>
          <w:spacing w:val="-19"/>
        </w:rPr>
        <w:t> </w:t>
      </w:r>
      <w:r>
        <w:rPr/>
        <w:t>万兴置业从处置当年年初至处置日的收入、费用和利润如下：</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6448"/>
        <w:gridCol w:w="3210"/>
      </w:tblGrid>
      <w:tr>
        <w:trPr>
          <w:trHeight w:val="342"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1261" w:val="left" w:leader="none"/>
              </w:tabs>
              <w:spacing w:line="240" w:lineRule="auto" w:before="16"/>
              <w:ind w:left="71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减：成本和费用</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7,212,008.77</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-7,212,008.77</w:t>
            </w:r>
          </w:p>
        </w:tc>
      </w:tr>
      <w:tr>
        <w:trPr>
          <w:trHeight w:val="347"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6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10"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-7,212,008.77</w:t>
            </w:r>
          </w:p>
        </w:tc>
      </w:tr>
    </w:tbl>
    <w:p>
      <w:pPr>
        <w:pStyle w:val="BodyText"/>
        <w:spacing w:line="340" w:lineRule="auto" w:before="16"/>
        <w:ind w:right="1941" w:firstLine="360"/>
        <w:jc w:val="left"/>
      </w:pPr>
      <w:r>
        <w:rPr/>
        <w:t>⑤于丧失控制权之日，与原先子公司股权投资相关的其他综合收益转入投资损益的金额为</w:t>
      </w:r>
      <w:r>
        <w:rPr>
          <w:rFonts w:ascii="Times New Roman" w:hAnsi="Times New Roman" w:cs="Times New Roman" w:eastAsia="Times New Roman" w:hint="default"/>
        </w:rPr>
        <w:t>0</w:t>
      </w:r>
      <w:r>
        <w:rPr/>
        <w:t>元。 是否存在通过多次交易分步处置对子公司投资且至本报告期丧失控制权的情形</w:t>
      </w:r>
    </w:p>
    <w:p>
      <w:pPr>
        <w:pStyle w:val="BodyText"/>
        <w:spacing w:line="240" w:lineRule="auto" w:before="40"/>
        <w:ind w:right="0"/>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、境外经营实体主要报表项目的折算汇率</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203"/>
        <w:gridCol w:w="3308"/>
        <w:gridCol w:w="3146"/>
      </w:tblGrid>
      <w:tr>
        <w:trPr>
          <w:trHeight w:val="343" w:hRule="exact"/>
        </w:trPr>
        <w:tc>
          <w:tcPr>
            <w:tcW w:w="320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45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资产和负债项目</w:t>
            </w:r>
          </w:p>
        </w:tc>
      </w:tr>
      <w:tr>
        <w:trPr>
          <w:trHeight w:val="347" w:hRule="exact"/>
        </w:trPr>
        <w:tc>
          <w:tcPr>
            <w:tcW w:w="3203" w:type="dxa"/>
            <w:vMerge/>
            <w:tcBorders>
              <w:left w:val="single" w:sz="6" w:space="0" w:color="000000"/>
              <w:bottom w:val="single" w:sz="6" w:space="0" w:color="000000"/>
              <w:right w:val="single" w:sz="6" w:space="0" w:color="000000"/>
            </w:tcBorders>
            <w:shd w:val="clear" w:color="auto" w:fill="D9D9D9"/>
          </w:tcPr>
          <w:p>
            <w:pPr/>
          </w:p>
        </w:tc>
        <w:tc>
          <w:tcPr>
            <w:tcW w:w="33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1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6"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330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美元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6.0969</w:t>
            </w:r>
            <w:r>
              <w:rPr>
                <w:rFonts w:ascii="宋体" w:hAnsi="宋体" w:cs="宋体" w:eastAsia="宋体" w:hint="default"/>
                <w:sz w:val="18"/>
                <w:szCs w:val="18"/>
              </w:rPr>
              <w:t>人民币</w:t>
            </w:r>
          </w:p>
        </w:tc>
        <w:tc>
          <w:tcPr>
            <w:tcW w:w="31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美元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6.2855</w:t>
            </w:r>
            <w:r>
              <w:rPr>
                <w:rFonts w:ascii="宋体" w:hAnsi="宋体" w:cs="宋体" w:eastAsia="宋体" w:hint="default"/>
                <w:sz w:val="18"/>
                <w:szCs w:val="18"/>
              </w:rPr>
              <w:t>人民币</w:t>
            </w:r>
          </w:p>
        </w:tc>
      </w:tr>
      <w:tr>
        <w:trPr>
          <w:trHeight w:val="347"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33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日元</w:t>
            </w:r>
            <w:r>
              <w:rPr>
                <w:rFonts w:ascii="Times New Roman" w:hAnsi="Times New Roman" w:cs="Times New Roman" w:eastAsia="Times New Roman" w:hint="default"/>
                <w:sz w:val="18"/>
                <w:szCs w:val="18"/>
              </w:rPr>
              <w:t>=5.7771</w:t>
            </w:r>
            <w:r>
              <w:rPr>
                <w:rFonts w:ascii="宋体" w:hAnsi="宋体" w:cs="宋体" w:eastAsia="宋体" w:hint="default"/>
                <w:sz w:val="18"/>
                <w:szCs w:val="18"/>
              </w:rPr>
              <w:t>人民币</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日元</w:t>
            </w:r>
            <w:r>
              <w:rPr>
                <w:rFonts w:ascii="Times New Roman" w:hAnsi="Times New Roman" w:cs="Times New Roman" w:eastAsia="Times New Roman" w:hint="default"/>
                <w:sz w:val="18"/>
                <w:szCs w:val="18"/>
              </w:rPr>
              <w:t>=7.3049</w:t>
            </w:r>
            <w:r>
              <w:rPr>
                <w:rFonts w:ascii="宋体" w:hAnsi="宋体" w:cs="宋体" w:eastAsia="宋体" w:hint="default"/>
                <w:sz w:val="18"/>
                <w:szCs w:val="18"/>
              </w:rPr>
              <w:t>人民币</w:t>
            </w:r>
          </w:p>
        </w:tc>
      </w:tr>
      <w:tr>
        <w:trPr>
          <w:trHeight w:val="347"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GmbH</w:t>
            </w:r>
          </w:p>
        </w:tc>
        <w:tc>
          <w:tcPr>
            <w:tcW w:w="33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欧元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8.8149</w:t>
            </w:r>
            <w:r>
              <w:rPr>
                <w:rFonts w:ascii="宋体" w:hAnsi="宋体" w:cs="宋体" w:eastAsia="宋体" w:hint="default"/>
                <w:sz w:val="18"/>
                <w:szCs w:val="18"/>
              </w:rPr>
              <w:t>人民币</w:t>
            </w:r>
          </w:p>
        </w:tc>
        <w:tc>
          <w:tcPr>
            <w:tcW w:w="314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454" w:type="dxa"/>
            <w:gridSpan w:val="2"/>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left="2138" w:right="0"/>
              <w:jc w:val="left"/>
              <w:rPr>
                <w:rFonts w:ascii="宋体" w:hAnsi="宋体" w:cs="宋体" w:eastAsia="宋体" w:hint="default"/>
                <w:sz w:val="18"/>
                <w:szCs w:val="18"/>
              </w:rPr>
            </w:pPr>
            <w:r>
              <w:rPr>
                <w:rFonts w:ascii="宋体" w:hAnsi="宋体" w:cs="宋体" w:eastAsia="宋体" w:hint="default"/>
                <w:sz w:val="18"/>
                <w:szCs w:val="18"/>
              </w:rPr>
              <w:t>收入、费用和现金流量项目</w:t>
            </w:r>
          </w:p>
        </w:tc>
      </w:tr>
      <w:tr>
        <w:trPr>
          <w:trHeight w:val="348"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33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47"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33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美元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6.1811</w:t>
            </w:r>
            <w:r>
              <w:rPr>
                <w:rFonts w:ascii="宋体" w:hAnsi="宋体" w:cs="宋体" w:eastAsia="宋体" w:hint="default"/>
                <w:sz w:val="18"/>
                <w:szCs w:val="18"/>
              </w:rPr>
              <w:t>人民币</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美元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6.3029</w:t>
            </w:r>
            <w:r>
              <w:rPr>
                <w:rFonts w:ascii="宋体" w:hAnsi="宋体" w:cs="宋体" w:eastAsia="宋体" w:hint="default"/>
                <w:sz w:val="18"/>
                <w:szCs w:val="18"/>
              </w:rPr>
              <w:t>人民币</w:t>
            </w:r>
          </w:p>
        </w:tc>
      </w:tr>
      <w:tr>
        <w:trPr>
          <w:trHeight w:val="347" w:hRule="exact"/>
        </w:trPr>
        <w:tc>
          <w:tcPr>
            <w:tcW w:w="32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晨鸣纸业日本株式会社</w:t>
            </w:r>
          </w:p>
        </w:tc>
        <w:tc>
          <w:tcPr>
            <w:tcW w:w="330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日元</w:t>
            </w:r>
            <w:r>
              <w:rPr>
                <w:rFonts w:ascii="Times New Roman" w:hAnsi="Times New Roman" w:cs="Times New Roman" w:eastAsia="Times New Roman" w:hint="default"/>
                <w:sz w:val="18"/>
                <w:szCs w:val="18"/>
              </w:rPr>
              <w:t>=6.2623</w:t>
            </w:r>
            <w:r>
              <w:rPr>
                <w:rFonts w:ascii="宋体" w:hAnsi="宋体" w:cs="宋体" w:eastAsia="宋体" w:hint="default"/>
                <w:sz w:val="18"/>
                <w:szCs w:val="18"/>
              </w:rPr>
              <w:t>人民币</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日元</w:t>
            </w:r>
            <w:r>
              <w:rPr>
                <w:rFonts w:ascii="Times New Roman" w:hAnsi="Times New Roman" w:cs="Times New Roman" w:eastAsia="Times New Roman" w:hint="default"/>
                <w:sz w:val="18"/>
                <w:szCs w:val="18"/>
              </w:rPr>
              <w:t>=7.7856</w:t>
            </w:r>
            <w:r>
              <w:rPr>
                <w:rFonts w:ascii="宋体" w:hAnsi="宋体" w:cs="宋体" w:eastAsia="宋体" w:hint="default"/>
                <w:sz w:val="18"/>
                <w:szCs w:val="18"/>
              </w:rPr>
              <w:t>人民币</w:t>
            </w:r>
          </w:p>
        </w:tc>
      </w:tr>
    </w:tbl>
    <w:p>
      <w:pPr>
        <w:spacing w:after="0" w:line="240" w:lineRule="auto"/>
        <w:jc w:val="center"/>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b/>
          <w:bCs/>
          <w:sz w:val="24"/>
          <w:szCs w:val="24"/>
        </w:rPr>
      </w:pPr>
    </w:p>
    <w:tbl>
      <w:tblPr>
        <w:tblW w:w="0" w:type="auto"/>
        <w:jc w:val="left"/>
        <w:tblInd w:w="146" w:type="dxa"/>
        <w:tblLayout w:type="fixed"/>
        <w:tblCellMar>
          <w:top w:w="0" w:type="dxa"/>
          <w:left w:w="0" w:type="dxa"/>
          <w:bottom w:w="0" w:type="dxa"/>
          <w:right w:w="0" w:type="dxa"/>
        </w:tblCellMar>
        <w:tblLook w:val="01E0"/>
      </w:tblPr>
      <w:tblGrid>
        <w:gridCol w:w="3204"/>
        <w:gridCol w:w="3307"/>
        <w:gridCol w:w="3146"/>
      </w:tblGrid>
      <w:tr>
        <w:trPr>
          <w:trHeight w:val="348" w:hRule="exact"/>
        </w:trPr>
        <w:tc>
          <w:tcPr>
            <w:tcW w:w="32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晨鸣</w:t>
            </w:r>
            <w:r>
              <w:rPr>
                <w:rFonts w:ascii="Times New Roman" w:hAnsi="Times New Roman" w:cs="Times New Roman" w:eastAsia="Times New Roman" w:hint="default"/>
                <w:sz w:val="18"/>
                <w:szCs w:val="18"/>
              </w:rPr>
              <w:t>GmbH</w:t>
            </w:r>
          </w:p>
        </w:tc>
        <w:tc>
          <w:tcPr>
            <w:tcW w:w="3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欧元</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=8.1517</w:t>
            </w:r>
            <w:r>
              <w:rPr>
                <w:rFonts w:ascii="宋体" w:hAnsi="宋体" w:cs="宋体" w:eastAsia="宋体" w:hint="default"/>
                <w:sz w:val="18"/>
                <w:szCs w:val="18"/>
              </w:rPr>
              <w:t>人民币</w:t>
            </w:r>
          </w:p>
        </w:tc>
        <w:tc>
          <w:tcPr>
            <w:tcW w:w="31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七、合并财务报表主要项目注释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201" w:hRule="exact"/>
        </w:trPr>
        <w:tc>
          <w:tcPr>
            <w:tcW w:w="19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9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98"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11" w:hRule="exact"/>
        </w:trPr>
        <w:tc>
          <w:tcPr>
            <w:tcW w:w="19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30"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1,333,503.27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1,398,324.17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879,154.77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937,182.22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6.0969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243,876.00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294,789.95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8.4189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210,472.50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8.3176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166,352.00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725,199,425.69</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2,342,151,861.28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612,023,754.51</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2,187,734,778.74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11,698,274.37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6.0969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71,323,209.01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23,459,592.25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147,455,267.10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1,548,593.85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8.4189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13,037,456.78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61,101.44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8.3176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508,217.34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498,558,670.00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0.057771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28,802,232.92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85,917,693.00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0.073049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6,276,201.56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16,245.21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0.78623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12,772.47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218,778.49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0.81085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177,396.54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1,821,196,865.28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2,112,667,177.41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1,788,148,011.28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1,953,372,355.46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5,420,599.65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6.0969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33,048,854.00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25,343,206.29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159,294,723.14</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8.3176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2,547,729,794.24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4,456,217,362.86</w:t>
            </w:r>
          </w:p>
        </w:tc>
      </w:tr>
    </w:tbl>
    <w:p>
      <w:pPr>
        <w:pStyle w:val="BodyText"/>
        <w:spacing w:line="240" w:lineRule="auto" w:before="51"/>
        <w:ind w:left="154" w:right="0"/>
        <w:jc w:val="left"/>
      </w:pPr>
      <w:r>
        <w:rPr/>
        <w:t>如有因抵押、质押或冻结等对使用有限制、存放在境外、有潜在回收风险的款项应单独说明</w:t>
      </w:r>
    </w:p>
    <w:p>
      <w:pPr>
        <w:pStyle w:val="BodyText"/>
        <w:spacing w:line="300" w:lineRule="auto" w:before="116"/>
        <w:ind w:right="141"/>
        <w:jc w:val="left"/>
      </w:pPr>
      <w:r>
        <w:rPr/>
        <w:t>①其他货币资金</w:t>
      </w:r>
      <w:r>
        <w:rPr>
          <w:rFonts w:ascii="Times New Roman" w:hAnsi="Times New Roman" w:cs="Times New Roman" w:eastAsia="Times New Roman" w:hint="default"/>
        </w:rPr>
        <w:t>249,333,637.64</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987,167,187.90</w:t>
      </w:r>
      <w:r>
        <w:rPr/>
        <w:t>元）为本集团向银行申请开具银行承兑汇票所存入的保</w:t>
      </w:r>
      <w:r>
        <w:rPr>
          <w:spacing w:val="-87"/>
        </w:rPr>
        <w:t> </w:t>
      </w:r>
      <w:r>
        <w:rPr>
          <w:spacing w:val="-87"/>
        </w:rPr>
      </w:r>
      <w:r>
        <w:rPr/>
        <w:t>证金存款。</w:t>
      </w:r>
    </w:p>
    <w:p>
      <w:pPr>
        <w:pStyle w:val="BodyText"/>
        <w:spacing w:line="300" w:lineRule="auto" w:before="31"/>
        <w:ind w:right="138"/>
        <w:jc w:val="left"/>
      </w:pPr>
      <w:r>
        <w:rPr/>
        <w:t>②其他货币资金</w:t>
      </w:r>
      <w:r>
        <w:rPr>
          <w:rFonts w:ascii="Times New Roman" w:hAnsi="Times New Roman" w:cs="Times New Roman" w:eastAsia="Times New Roman" w:hint="default"/>
        </w:rPr>
        <w:t>1,380,738,601.00</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595,207,540.73</w:t>
      </w:r>
      <w:r>
        <w:rPr>
          <w:rFonts w:ascii="Times New Roman" w:hAnsi="Times New Roman" w:cs="Times New Roman" w:eastAsia="Times New Roman" w:hint="default"/>
          <w:spacing w:val="3"/>
        </w:rPr>
        <w:t> </w:t>
      </w:r>
      <w:r>
        <w:rPr/>
        <w:t>元），为本集团向银行申请开具信用证所存入的保证 金存款。</w:t>
      </w:r>
    </w:p>
    <w:p>
      <w:pPr>
        <w:pStyle w:val="BodyText"/>
        <w:spacing w:line="240" w:lineRule="auto" w:before="31"/>
        <w:ind w:right="0"/>
        <w:jc w:val="left"/>
      </w:pPr>
      <w:r>
        <w:rPr/>
        <w:t>③其他货币资金</w:t>
      </w:r>
      <w:r>
        <w:rPr>
          <w:rFonts w:ascii="Times New Roman" w:hAnsi="Times New Roman" w:cs="Times New Roman" w:eastAsia="Times New Roman" w:hint="default"/>
        </w:rPr>
        <w:t>140,836,352.11</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394,200,000.00</w:t>
      </w:r>
      <w:r>
        <w:rPr/>
        <w:t>元），为本集团向银行申请保函所存入的保证金存款。</w:t>
      </w:r>
    </w:p>
    <w:p>
      <w:pPr>
        <w:pStyle w:val="BodyText"/>
        <w:spacing w:line="240" w:lineRule="auto" w:before="62"/>
        <w:ind w:right="0"/>
        <w:jc w:val="left"/>
      </w:pPr>
      <w:r>
        <w:rPr/>
        <w:t>④其他货币资金</w:t>
      </w:r>
      <w:r>
        <w:rPr>
          <w:rFonts w:ascii="Times New Roman" w:hAnsi="Times New Roman" w:cs="Times New Roman" w:eastAsia="Times New Roman" w:hint="default"/>
        </w:rPr>
        <w:t>50,288,274.53</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136,092,448.78</w:t>
      </w:r>
      <w:r>
        <w:rPr/>
        <w:t>元），为本集团向银行申请贷款所存入的保证金存款。</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76"/>
        <w:gridCol w:w="2658"/>
        <w:gridCol w:w="2922"/>
      </w:tblGrid>
      <w:tr>
        <w:trPr>
          <w:trHeight w:val="401" w:hRule="exact"/>
        </w:trPr>
        <w:tc>
          <w:tcPr>
            <w:tcW w:w="3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2,827,024,280.10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1,852,478,364.46</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43,419,401.39</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2,870,443,681.49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1,852,478,364.46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156"/>
        <w:gridCol w:w="2195"/>
        <w:gridCol w:w="2195"/>
        <w:gridCol w:w="1555"/>
        <w:gridCol w:w="593"/>
      </w:tblGrid>
      <w:tr>
        <w:trPr>
          <w:trHeight w:val="401" w:hRule="exact"/>
        </w:trPr>
        <w:tc>
          <w:tcPr>
            <w:tcW w:w="3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2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2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成都金泰元纸业有限公司</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江西蓝海国际贸易有限公司</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森信纸业（深圳）有限公司</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上海江龙纸业有限公司</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嘉兴市民和工贸有限公司</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w:t>
            </w: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20,600,000.00</w:t>
            </w:r>
          </w:p>
        </w:tc>
        <w:tc>
          <w:tcPr>
            <w:tcW w:w="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9"/>
          <w:szCs w:val="19"/>
        </w:rPr>
      </w:pPr>
    </w:p>
    <w:p>
      <w:pPr>
        <w:pStyle w:val="Heading4"/>
        <w:spacing w:line="259" w:lineRule="auto" w:before="35"/>
        <w:ind w:left="153"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50" w:top="1100" w:bottom="1140" w:left="980" w:right="980"/>
        </w:sectPr>
      </w:pPr>
    </w:p>
    <w:p>
      <w:pPr>
        <w:pStyle w:val="BodyText"/>
        <w:spacing w:line="360" w:lineRule="auto" w:before="44"/>
        <w:ind w:right="-19"/>
        <w:jc w:val="left"/>
      </w:pPr>
      <w:r>
        <w:rPr/>
        <w:t>报告期内，公司无因出票人无力履约而将票据转为应收账款的票据。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5555" w:space="327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41"/>
        <w:gridCol w:w="1938"/>
        <w:gridCol w:w="1939"/>
        <w:gridCol w:w="1373"/>
        <w:gridCol w:w="1202"/>
      </w:tblGrid>
      <w:tr>
        <w:trPr>
          <w:trHeight w:val="402" w:hRule="exact"/>
        </w:trPr>
        <w:tc>
          <w:tcPr>
            <w:tcW w:w="3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泉州仁盛贸易有限公司</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已终止确认</w:t>
            </w:r>
          </w:p>
        </w:tc>
      </w:tr>
      <w:tr>
        <w:trPr>
          <w:trHeight w:val="402"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江苏省出版印刷物资公司</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已终止确认</w:t>
            </w:r>
          </w:p>
        </w:tc>
      </w:tr>
      <w:tr>
        <w:trPr>
          <w:trHeight w:val="402"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利丰雅高印刷（深圳）有限公司</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已终止确认</w:t>
            </w:r>
          </w:p>
        </w:tc>
      </w:tr>
      <w:tr>
        <w:trPr>
          <w:trHeight w:val="402"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大连三井森包装有限公司</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3,606,094.50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已终止确认</w:t>
            </w:r>
          </w:p>
        </w:tc>
      </w:tr>
      <w:tr>
        <w:trPr>
          <w:trHeight w:val="402" w:hRule="exact"/>
        </w:trPr>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上海昌益胶粘制品有限公司</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已终止确认</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20,206,094.50</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780"/>
        <w:gridCol w:w="1328"/>
        <w:gridCol w:w="684"/>
        <w:gridCol w:w="1181"/>
        <w:gridCol w:w="695"/>
        <w:gridCol w:w="1316"/>
        <w:gridCol w:w="696"/>
        <w:gridCol w:w="1181"/>
        <w:gridCol w:w="820"/>
      </w:tblGrid>
      <w:tr>
        <w:trPr>
          <w:trHeight w:val="402" w:hRule="exact"/>
        </w:trPr>
        <w:tc>
          <w:tcPr>
            <w:tcW w:w="1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8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0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1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102"/>
              <w:jc w:val="center"/>
              <w:rPr>
                <w:rFonts w:ascii="宋体" w:hAnsi="宋体" w:cs="宋体" w:eastAsia="宋体" w:hint="default"/>
                <w:sz w:val="18"/>
                <w:szCs w:val="18"/>
              </w:rPr>
            </w:pPr>
            <w:r>
              <w:rPr>
                <w:rFonts w:ascii="宋体" w:hAnsi="宋体" w:cs="宋体" w:eastAsia="宋体" w:hint="default"/>
                <w:sz w:val="18"/>
                <w:szCs w:val="18"/>
              </w:rPr>
              <w:t>单项金额重大并单项</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48,605,549.72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48,605,549.72</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48,696,549.72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48,696,549.72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774"/>
        <w:gridCol w:w="1322"/>
        <w:gridCol w:w="696"/>
        <w:gridCol w:w="1181"/>
        <w:gridCol w:w="696"/>
        <w:gridCol w:w="1316"/>
        <w:gridCol w:w="696"/>
        <w:gridCol w:w="1181"/>
        <w:gridCol w:w="832"/>
      </w:tblGrid>
      <w:tr>
        <w:trPr>
          <w:trHeight w:val="674" w:hRule="exact"/>
        </w:trPr>
        <w:tc>
          <w:tcPr>
            <w:tcW w:w="1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计提坏账准备的应收 账款</w:t>
            </w:r>
          </w:p>
        </w:tc>
        <w:tc>
          <w:tcPr>
            <w:tcW w:w="1322" w:type="dxa"/>
            <w:tcBorders>
              <w:top w:val="single" w:sz="4" w:space="0" w:color="000000"/>
              <w:left w:val="single" w:sz="13" w:space="0" w:color="D3D3D3"/>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457,124,812.49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13.73%</w:t>
            </w:r>
          </w:p>
        </w:tc>
        <w:tc>
          <w:tcPr>
            <w:tcW w:w="118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358,778,459.12</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9.27%</w:t>
            </w:r>
          </w:p>
        </w:tc>
        <w:tc>
          <w:tcPr>
            <w:tcW w:w="1181"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一般组合</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2,823,789,275.45</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84.81%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178,271,004.40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3,461,286,305.68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217,109,713.62</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6.27%</w:t>
            </w:r>
          </w:p>
        </w:tc>
      </w:tr>
      <w:tr>
        <w:trPr>
          <w:trHeight w:val="402" w:hRule="exact"/>
        </w:trPr>
        <w:tc>
          <w:tcPr>
            <w:tcW w:w="1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3,280,914,087.94</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98.54%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178,271,004.40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3,820,064,764.80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98.74%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217,109,713.62</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5.68%</w:t>
            </w:r>
          </w:p>
        </w:tc>
      </w:tr>
      <w:tr>
        <w:trPr>
          <w:trHeight w:val="357" w:hRule="exact"/>
        </w:trPr>
        <w:tc>
          <w:tcPr>
            <w:tcW w:w="177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单项金额虽不重大但</w:t>
            </w:r>
          </w:p>
        </w:tc>
        <w:tc>
          <w:tcPr>
            <w:tcW w:w="1322" w:type="dxa"/>
            <w:vMerge w:val="restart"/>
            <w:tcBorders>
              <w:top w:val="single" w:sz="4" w:space="0" w:color="000000"/>
              <w:left w:val="single" w:sz="4" w:space="0" w:color="000000"/>
              <w:right w:val="single" w:sz="4" w:space="0" w:color="000000"/>
            </w:tcBorders>
          </w:tcPr>
          <w:p>
            <w:pPr/>
          </w:p>
        </w:tc>
        <w:tc>
          <w:tcPr>
            <w:tcW w:w="696"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696" w:type="dxa"/>
            <w:vMerge w:val="restart"/>
            <w:tcBorders>
              <w:top w:val="single" w:sz="4" w:space="0" w:color="000000"/>
              <w:left w:val="single" w:sz="4" w:space="0" w:color="000000"/>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696"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83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7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w:t>
            </w:r>
          </w:p>
        </w:tc>
        <w:tc>
          <w:tcPr>
            <w:tcW w:w="1322"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696" w:type="dxa"/>
            <w:vMerge/>
            <w:tcBorders>
              <w:left w:val="single" w:sz="4" w:space="0" w:color="000000"/>
              <w:right w:val="single" w:sz="4" w:space="0" w:color="000000"/>
            </w:tcBorders>
          </w:tcPr>
          <w:p>
            <w:pP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86,850.13</w:t>
            </w:r>
          </w:p>
        </w:tc>
        <w:tc>
          <w:tcPr>
            <w:tcW w:w="696"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86,850.13</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79" w:right="0"/>
              <w:jc w:val="lef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177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2"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696"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83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3,329,519,637.66</w:t>
            </w:r>
          </w:p>
        </w:tc>
        <w:tc>
          <w:tcPr>
            <w:tcW w:w="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226,876,554.12</w:t>
            </w:r>
          </w:p>
        </w:tc>
        <w:tc>
          <w:tcPr>
            <w:tcW w:w="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3,868,848,164.65</w:t>
            </w:r>
          </w:p>
        </w:tc>
        <w:tc>
          <w:tcPr>
            <w:tcW w:w="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265,893,113.47</w:t>
            </w:r>
          </w:p>
        </w:tc>
        <w:tc>
          <w:tcPr>
            <w:tcW w:w="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50" w:top="1100" w:bottom="1140" w:left="980" w:right="980"/>
        </w:sectPr>
      </w:pPr>
    </w:p>
    <w:p>
      <w:pPr>
        <w:pStyle w:val="Heading4"/>
        <w:spacing w:line="240" w:lineRule="auto" w:before="35"/>
        <w:ind w:left="514" w:right="-20"/>
        <w:jc w:val="left"/>
        <w:rPr>
          <w:b w:val="0"/>
          <w:bCs w:val="0"/>
        </w:rPr>
      </w:pPr>
      <w:r>
        <w:rPr/>
        <w:t>应收账款按账龄列示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513" w:right="0"/>
        <w:jc w:val="left"/>
      </w:pPr>
      <w:r>
        <w:rPr/>
        <w:t>单位： 元</w:t>
      </w:r>
    </w:p>
    <w:p>
      <w:pPr>
        <w:spacing w:after="0" w:line="240" w:lineRule="auto"/>
        <w:jc w:val="left"/>
        <w:sectPr>
          <w:type w:val="continuous"/>
          <w:pgSz w:w="11910" w:h="16840"/>
          <w:pgMar w:top="1600" w:bottom="280" w:left="980" w:right="980"/>
          <w:cols w:num="2" w:equalWidth="0">
            <w:col w:w="2413" w:space="6056"/>
            <w:col w:w="1481"/>
          </w:cols>
        </w:sectPr>
      </w:pP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258"/>
        <w:gridCol w:w="2478"/>
        <w:gridCol w:w="1723"/>
        <w:gridCol w:w="2478"/>
        <w:gridCol w:w="1721"/>
      </w:tblGrid>
      <w:tr>
        <w:trPr>
          <w:trHeight w:val="347" w:hRule="exact"/>
        </w:trPr>
        <w:tc>
          <w:tcPr>
            <w:tcW w:w="1258"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201"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199"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1258" w:type="dxa"/>
            <w:vMerge/>
            <w:tcBorders>
              <w:left w:val="single" w:sz="6" w:space="0" w:color="000000"/>
              <w:bottom w:val="single" w:sz="6" w:space="0" w:color="000000"/>
              <w:right w:val="single" w:sz="6" w:space="0" w:color="000000"/>
            </w:tcBorders>
            <w:shd w:val="clear" w:color="auto" w:fill="CCCCCC"/>
          </w:tcPr>
          <w:p>
            <w:pPr/>
          </w:p>
        </w:tc>
        <w:tc>
          <w:tcPr>
            <w:tcW w:w="24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2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1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2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1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3,172,267,013.90</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95.28%</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3,709,154,191.60</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95.88%</w:t>
            </w:r>
          </w:p>
        </w:tc>
      </w:tr>
      <w:tr>
        <w:trPr>
          <w:trHeight w:val="347"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50,136,238.22</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1.50%</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65,152,312.73</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1.68%</w:t>
            </w:r>
          </w:p>
        </w:tc>
      </w:tr>
      <w:tr>
        <w:trPr>
          <w:trHeight w:val="347"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26,223,349.82</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0.79%</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3,440,056.06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0.09%</w:t>
            </w:r>
          </w:p>
        </w:tc>
      </w:tr>
      <w:tr>
        <w:trPr>
          <w:trHeight w:val="348"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80,893,035.72</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2.43%</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91,101,604.26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2.35%</w:t>
            </w:r>
          </w:p>
        </w:tc>
      </w:tr>
      <w:tr>
        <w:trPr>
          <w:trHeight w:val="347" w:hRule="exact"/>
        </w:trPr>
        <w:tc>
          <w:tcPr>
            <w:tcW w:w="125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6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3,329,519,637.66</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3,868,848,164.65</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0"/>
        <w:ind w:right="0" w:firstLine="360"/>
        <w:jc w:val="left"/>
      </w:pPr>
      <w:r>
        <w:rPr>
          <w:spacing w:val="-2"/>
        </w:rPr>
        <w:t>除了若干客户获授超过</w:t>
      </w:r>
      <w:r>
        <w:rPr>
          <w:rFonts w:ascii="Times New Roman" w:hAnsi="Times New Roman" w:cs="Times New Roman" w:eastAsia="Times New Roman" w:hint="default"/>
          <w:spacing w:val="-2"/>
        </w:rPr>
        <w:t>90</w:t>
      </w:r>
      <w:r>
        <w:rPr>
          <w:spacing w:val="-2"/>
        </w:rPr>
        <w:t>日的信用期外，本集团授予贸易客户平均</w:t>
      </w:r>
      <w:r>
        <w:rPr>
          <w:rFonts w:ascii="Times New Roman" w:hAnsi="Times New Roman" w:cs="Times New Roman" w:eastAsia="Times New Roman" w:hint="default"/>
          <w:spacing w:val="-2"/>
        </w:rPr>
        <w:t>90</w:t>
      </w:r>
      <w:r>
        <w:rPr>
          <w:spacing w:val="-2"/>
        </w:rPr>
        <w:t>日信用期并设定信用额度。于报告日，根据发票日</w:t>
      </w:r>
      <w:r>
        <w:rPr/>
        <w:t> 期扣除减值账龄分析如下：</w:t>
      </w:r>
    </w:p>
    <w:p>
      <w:pPr>
        <w:pStyle w:val="BodyText"/>
        <w:spacing w:line="240" w:lineRule="auto" w:before="72"/>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675"/>
        <w:gridCol w:w="3120"/>
        <w:gridCol w:w="3863"/>
      </w:tblGrid>
      <w:tr>
        <w:trPr>
          <w:trHeight w:val="331" w:hRule="exact"/>
        </w:trPr>
        <w:tc>
          <w:tcPr>
            <w:tcW w:w="267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075"/>
              <w:jc w:val="righ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龄</w:t>
            </w:r>
          </w:p>
        </w:tc>
        <w:tc>
          <w:tcPr>
            <w:tcW w:w="31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86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63" w:hRule="exact"/>
        </w:trPr>
        <w:tc>
          <w:tcPr>
            <w:tcW w:w="2675"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20"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pacing w:val="-1"/>
                <w:sz w:val="18"/>
              </w:rPr>
              <w:t>3,036,498,972.05</w:t>
            </w:r>
          </w:p>
        </w:tc>
        <w:tc>
          <w:tcPr>
            <w:tcW w:w="386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Times New Roman" w:hAnsi="Times New Roman" w:cs="Times New Roman" w:eastAsia="Times New Roman" w:hint="default"/>
                <w:sz w:val="18"/>
                <w:szCs w:val="18"/>
              </w:rPr>
            </w:pPr>
            <w:r>
              <w:rPr>
                <w:rFonts w:ascii="Times New Roman"/>
                <w:spacing w:val="-1"/>
                <w:sz w:val="18"/>
              </w:rPr>
              <w:t>3,541,635,404.98</w:t>
            </w:r>
          </w:p>
        </w:tc>
      </w:tr>
      <w:tr>
        <w:trPr>
          <w:trHeight w:val="347" w:hRule="exact"/>
        </w:trPr>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45,123,524.40</w:t>
            </w: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58,637,081.46</w:t>
            </w:r>
          </w:p>
        </w:tc>
      </w:tr>
      <w:tr>
        <w:trPr>
          <w:trHeight w:val="348" w:hRule="exact"/>
        </w:trPr>
        <w:tc>
          <w:tcPr>
            <w:tcW w:w="2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21,020,587.09</w:t>
            </w: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2,682,564.74</w:t>
            </w:r>
          </w:p>
        </w:tc>
      </w:tr>
      <w:tr>
        <w:trPr>
          <w:trHeight w:val="347" w:hRule="exact"/>
        </w:trPr>
        <w:tc>
          <w:tcPr>
            <w:tcW w:w="267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075"/>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3,102,643,083.54</w:t>
            </w: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3,602,955,051.18</w:t>
            </w:r>
          </w:p>
        </w:tc>
      </w:tr>
    </w:tbl>
    <w:p>
      <w:pPr>
        <w:pStyle w:val="BodyText"/>
        <w:spacing w:line="240" w:lineRule="auto" w:before="10"/>
        <w:ind w:left="514" w:right="0"/>
        <w:jc w:val="left"/>
      </w:pPr>
      <w:r>
        <w:rPr/>
        <w:t>已超过信用期未收回应收账款扣除减值账龄分析如下：</w:t>
      </w:r>
    </w:p>
    <w:p>
      <w:pPr>
        <w:pStyle w:val="BodyText"/>
        <w:spacing w:line="240" w:lineRule="auto" w:before="117"/>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228"/>
        <w:gridCol w:w="3566"/>
        <w:gridCol w:w="3863"/>
      </w:tblGrid>
      <w:tr>
        <w:trPr>
          <w:trHeight w:val="331" w:hRule="exact"/>
        </w:trPr>
        <w:tc>
          <w:tcPr>
            <w:tcW w:w="222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852"/>
              <w:jc w:val="righ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龄</w:t>
            </w:r>
          </w:p>
        </w:tc>
        <w:tc>
          <w:tcPr>
            <w:tcW w:w="356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86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63" w:hRule="exact"/>
        </w:trPr>
        <w:tc>
          <w:tcPr>
            <w:tcW w:w="2228"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3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566"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right="1"/>
              <w:jc w:val="right"/>
              <w:rPr>
                <w:rFonts w:ascii="Times New Roman" w:hAnsi="Times New Roman" w:cs="Times New Roman" w:eastAsia="Times New Roman" w:hint="default"/>
                <w:sz w:val="18"/>
                <w:szCs w:val="18"/>
              </w:rPr>
            </w:pPr>
            <w:r>
              <w:rPr>
                <w:rFonts w:ascii="Times New Roman"/>
                <w:spacing w:val="-1"/>
                <w:sz w:val="18"/>
              </w:rPr>
              <w:t>515,745,255.68</w:t>
            </w:r>
          </w:p>
        </w:tc>
        <w:tc>
          <w:tcPr>
            <w:tcW w:w="386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pacing w:val="-1"/>
                <w:sz w:val="18"/>
              </w:rPr>
              <w:t>897,287,266.76</w:t>
            </w:r>
          </w:p>
        </w:tc>
      </w:tr>
      <w:tr>
        <w:trPr>
          <w:trHeight w:val="347"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45,123,524.40</w:t>
            </w: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58,637,081.46</w:t>
            </w:r>
          </w:p>
        </w:tc>
      </w:tr>
      <w:tr>
        <w:trPr>
          <w:trHeight w:val="348"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21,020,587.09</w:t>
            </w: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2,682,564.74</w:t>
            </w:r>
          </w:p>
        </w:tc>
      </w:tr>
      <w:tr>
        <w:trPr>
          <w:trHeight w:val="347" w:hRule="exact"/>
        </w:trPr>
        <w:tc>
          <w:tcPr>
            <w:tcW w:w="222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852"/>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581,889,367.17</w:t>
            </w:r>
          </w:p>
        </w:tc>
        <w:tc>
          <w:tcPr>
            <w:tcW w:w="3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958,606,912.96</w:t>
            </w:r>
          </w:p>
        </w:tc>
      </w:tr>
    </w:tbl>
    <w:p>
      <w:pPr>
        <w:pStyle w:val="BodyText"/>
        <w:spacing w:line="309" w:lineRule="auto" w:before="10"/>
        <w:ind w:left="154" w:right="149" w:firstLine="359"/>
        <w:jc w:val="both"/>
      </w:pPr>
      <w:r>
        <w:rPr>
          <w:spacing w:val="-2"/>
        </w:rPr>
        <w:t>根据集团应收账款催收经验，</w:t>
      </w:r>
      <w:r>
        <w:rPr>
          <w:rFonts w:ascii="Times New Roman" w:hAnsi="Times New Roman" w:cs="Times New Roman" w:eastAsia="Times New Roman" w:hint="default"/>
          <w:spacing w:val="-2"/>
        </w:rPr>
        <w:t>3</w:t>
      </w:r>
      <w:r>
        <w:rPr>
          <w:spacing w:val="-2"/>
        </w:rPr>
        <w:t>年以上应收账款一般无法收回，故本集团对逾期</w:t>
      </w:r>
      <w:r>
        <w:rPr>
          <w:rFonts w:ascii="Times New Roman" w:hAnsi="Times New Roman" w:cs="Times New Roman" w:eastAsia="Times New Roman" w:hint="default"/>
          <w:spacing w:val="-2"/>
        </w:rPr>
        <w:t>3</w:t>
      </w:r>
      <w:r>
        <w:rPr>
          <w:spacing w:val="-2"/>
        </w:rPr>
        <w:t>年以上应收账款全额计提减值准备。由</w:t>
      </w:r>
      <w:r>
        <w:rPr/>
        <w:t> </w:t>
      </w:r>
      <w:r>
        <w:rPr>
          <w:spacing w:val="-2"/>
        </w:rPr>
        <w:t>于本集团认可该等客户以后还款情况及信用度，认为无需就以上逾期应收账款全额计提减值准备，除单项进行减值测试已减</w:t>
      </w:r>
      <w:r>
        <w:rPr>
          <w:spacing w:val="-64"/>
        </w:rPr>
        <w:t> </w:t>
      </w:r>
      <w:r>
        <w:rPr>
          <w:spacing w:val="-64"/>
        </w:rPr>
      </w:r>
      <w:r>
        <w:rPr/>
        <w:t>值的除外。</w:t>
      </w:r>
    </w:p>
    <w:p>
      <w:pPr>
        <w:pStyle w:val="BodyText"/>
        <w:spacing w:line="240" w:lineRule="auto" w:before="65"/>
        <w:ind w:left="154" w:right="0"/>
        <w:jc w:val="left"/>
      </w:pPr>
      <w:r>
        <w:rPr/>
        <w:t>期末单项金额重大并单项计提坏账准备的应收账款</w:t>
      </w:r>
    </w:p>
    <w:p>
      <w:pPr>
        <w:spacing w:after="0" w:line="240" w:lineRule="auto"/>
        <w:jc w:val="left"/>
        <w:sectPr>
          <w:type w:val="continuous"/>
          <w:pgSz w:w="11910" w:h="16840"/>
          <w:pgMar w:top="1600" w:bottom="2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 适用 □ 不适用</w:t>
      </w:r>
    </w:p>
    <w:p>
      <w:pPr>
        <w:pStyle w:val="BodyText"/>
        <w:spacing w:line="240" w:lineRule="auto" w:before="116"/>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06"/>
        <w:gridCol w:w="1252"/>
        <w:gridCol w:w="1253"/>
        <w:gridCol w:w="1477"/>
        <w:gridCol w:w="4406"/>
      </w:tblGrid>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2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48,605,549.72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48,605,549.72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主要是账龄三年以上的货款，预计收回可能性小</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48,605,549.72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48,605,549.72</w:t>
            </w:r>
          </w:p>
        </w:tc>
        <w:tc>
          <w:tcPr>
            <w:tcW w:w="1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50" w:top="1100" w:bottom="1140" w:left="980" w:right="980"/>
        </w:sectPr>
      </w:pPr>
    </w:p>
    <w:p>
      <w:pPr>
        <w:pStyle w:val="BodyText"/>
        <w:spacing w:line="240" w:lineRule="auto" w:before="51"/>
        <w:ind w:left="154" w:right="-20"/>
        <w:jc w:val="left"/>
      </w:pPr>
      <w:r>
        <w:rPr/>
        <w:t>组合中，按账龄分析法计提坏账准备的应收账款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3935" w:space="489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60"/>
        <w:gridCol w:w="1600"/>
        <w:gridCol w:w="929"/>
        <w:gridCol w:w="1727"/>
        <w:gridCol w:w="1462"/>
        <w:gridCol w:w="929"/>
        <w:gridCol w:w="1462"/>
      </w:tblGrid>
      <w:tr>
        <w:trPr>
          <w:trHeight w:val="402" w:hRule="exact"/>
        </w:trPr>
        <w:tc>
          <w:tcPr>
            <w:tcW w:w="14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0" w:type="dxa"/>
            <w:vMerge/>
            <w:tcBorders>
              <w:left w:val="single" w:sz="4" w:space="0" w:color="000000"/>
              <w:right w:val="single" w:sz="4" w:space="0" w:color="000000"/>
            </w:tcBorders>
            <w:shd w:val="clear" w:color="auto" w:fill="D3D3D3"/>
          </w:tcPr>
          <w:p>
            <w:pP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0" w:type="dxa"/>
            <w:vMerge/>
            <w:tcBorders>
              <w:left w:val="single" w:sz="4" w:space="0" w:color="000000"/>
              <w:bottom w:val="single" w:sz="4" w:space="0" w:color="000000"/>
              <w:right w:val="single" w:sz="4" w:space="0" w:color="000000"/>
            </w:tcBorders>
            <w:shd w:val="clear" w:color="auto" w:fill="D3D3D3"/>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2,715,360,837.57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96.16%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135,768,041.85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3,350,375,732.48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167,518,786.62</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2,715,360,837.57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96.16%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135,768,041.85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3,350,375,732.48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167,518,786.62</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50,127,138.22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5,012,713.82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65,152,312.73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6,515,231.27</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26,013,813.66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5,202,762.73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3,353,205.93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670,641.19</w:t>
            </w:r>
          </w:p>
        </w:tc>
      </w:tr>
      <w:tr>
        <w:trPr>
          <w:trHeight w:val="402"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32,287,486.00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32,287,486.00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42,405,054.54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42,405,054.54</w:t>
            </w:r>
          </w:p>
        </w:tc>
      </w:tr>
      <w:tr>
        <w:trPr>
          <w:trHeight w:val="403" w:hRule="exact"/>
        </w:trPr>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2,823,789,275.45</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178,271,004.40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3,461,286,305.68</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217,109,713.62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980"/>
        </w:sectPr>
      </w:pPr>
    </w:p>
    <w:p>
      <w:pPr>
        <w:pStyle w:val="BodyText"/>
        <w:spacing w:line="240" w:lineRule="auto" w:before="51"/>
        <w:ind w:left="154" w:right="-20"/>
        <w:jc w:val="left"/>
      </w:pPr>
      <w:r>
        <w:rPr/>
        <w:t>组合中，采用余额百分比法计提坏账准备的应收账款</w:t>
      </w:r>
    </w:p>
    <w:p>
      <w:pPr>
        <w:pStyle w:val="BodyText"/>
        <w:spacing w:line="360" w:lineRule="auto" w:before="116"/>
        <w:ind w:right="341"/>
        <w:jc w:val="left"/>
      </w:pPr>
      <w:r>
        <w:rPr/>
        <w:t>□ 适用 √ 不适用 组合中，采用其他方法计提坏账准备的应收账款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3254"/>
        <w:gridCol w:w="3253"/>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457,124,812.49</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457,124,812.49</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期末单项金额虽不重大但单项计提坏账准备的应收账款</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0"/>
        <w:gridCol w:w="1620"/>
        <w:gridCol w:w="2526"/>
        <w:gridCol w:w="1918"/>
        <w:gridCol w:w="1884"/>
      </w:tblGrid>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收回货款</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年以上，预计收回可能性极小</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45,059,061.86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6" w:right="0"/>
              <w:jc w:val="left"/>
              <w:rPr>
                <w:rFonts w:ascii="Times New Roman" w:hAnsi="Times New Roman" w:cs="Times New Roman" w:eastAsia="Times New Roman" w:hint="default"/>
                <w:sz w:val="18"/>
                <w:szCs w:val="18"/>
              </w:rPr>
            </w:pPr>
            <w:r>
              <w:rPr>
                <w:rFonts w:ascii="Times New Roman"/>
                <w:sz w:val="18"/>
              </w:rPr>
              <w:t>45,059,061.86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20"/>
        <w:gridCol w:w="1620"/>
        <w:gridCol w:w="2526"/>
        <w:gridCol w:w="1918"/>
        <w:gridCol w:w="1884"/>
      </w:tblGrid>
      <w:tr>
        <w:trPr>
          <w:trHeight w:val="402"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45,059,061.86</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应收账款核销说明：报告期累计核销应收款</w:t>
      </w:r>
      <w:r>
        <w:rPr>
          <w:spacing w:val="-46"/>
        </w:rPr>
        <w:t> </w:t>
      </w:r>
      <w:r>
        <w:rPr>
          <w:rFonts w:ascii="Times New Roman" w:hAnsi="Times New Roman" w:cs="Times New Roman" w:eastAsia="Times New Roman" w:hint="default"/>
        </w:rPr>
        <w:t>908,010.41</w:t>
      </w:r>
      <w:r>
        <w:rPr>
          <w:rFonts w:ascii="Times New Roman" w:hAnsi="Times New Roman" w:cs="Times New Roman" w:eastAsia="Times New Roman" w:hint="default"/>
          <w:spacing w:val="-9"/>
        </w:rPr>
        <w:t> </w:t>
      </w:r>
      <w:r>
        <w:rPr/>
        <w:t>元，无实际核销的大额应收账款情况。</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）本报告期应收账款中无持有公司</w:t>
      </w:r>
      <w:r>
        <w:rPr>
          <w:spacing w:val="-64"/>
        </w:rPr>
        <w:t> </w:t>
      </w:r>
      <w:r>
        <w:rPr>
          <w:rFonts w:ascii="Times New Roman" w:hAnsi="Times New Roman" w:cs="Times New Roman" w:eastAsia="Times New Roman" w:hint="default"/>
        </w:rPr>
        <w:t>5</w:t>
      </w:r>
      <w:r>
        <w:rPr/>
        <w:t>％（含</w:t>
      </w:r>
      <w:r>
        <w:rPr>
          <w:spacing w:val="-64"/>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3"/>
        <w:gridCol w:w="1421"/>
        <w:gridCol w:w="1477"/>
        <w:gridCol w:w="914"/>
        <w:gridCol w:w="2658"/>
      </w:tblGrid>
      <w:tr>
        <w:trPr>
          <w:trHeight w:val="402" w:hRule="exact"/>
        </w:trPr>
        <w:tc>
          <w:tcPr>
            <w:tcW w:w="3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上海姚记扑克股份有限公司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65,717,836.66</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1.97%</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山西省印刷物资总公司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30,747,042.34</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杭州伟盛纸业有限公司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28,869,282.19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0.87%</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湖北长江出版印刷物资有限公司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27,688,858.88</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0.83%</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北京中版联印刷物资有限公司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26,904,618.69</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3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179,927,638.76</w:t>
            </w:r>
          </w:p>
        </w:tc>
        <w:tc>
          <w:tcPr>
            <w:tcW w:w="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w:t>
      </w:r>
      <w:r>
        <w:rPr>
          <w:spacing w:val="-7"/>
        </w:rPr>
        <w:t> </w:t>
      </w:r>
      <w:r>
        <w:rPr/>
        <w:t>应收关联方账款情况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详见附注九、</w:t>
      </w:r>
      <w:r>
        <w:rPr>
          <w:rFonts w:ascii="Times New Roman" w:hAnsi="Times New Roman" w:cs="Times New Roman" w:eastAsia="Times New Roman" w:hint="default"/>
        </w:rPr>
        <w:t>5</w:t>
      </w:r>
      <w:r>
        <w:rPr/>
        <w:t>关联方应收应付款项。</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w:t>
      </w:r>
      <w:r>
        <w:rPr>
          <w:spacing w:val="-14"/>
        </w:rPr>
        <w:t> </w:t>
      </w:r>
      <w:r>
        <w:rPr/>
        <w:t>外币应收账款原币金额以及折算汇率列式</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994"/>
        <w:gridCol w:w="1714"/>
        <w:gridCol w:w="1039"/>
        <w:gridCol w:w="1633"/>
        <w:gridCol w:w="1634"/>
        <w:gridCol w:w="1042"/>
        <w:gridCol w:w="1602"/>
      </w:tblGrid>
      <w:tr>
        <w:trPr>
          <w:trHeight w:val="348" w:hRule="exact"/>
        </w:trPr>
        <w:tc>
          <w:tcPr>
            <w:tcW w:w="99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1"/>
              <w:ind w:left="30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38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27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6" w:hRule="exact"/>
        </w:trPr>
        <w:tc>
          <w:tcPr>
            <w:tcW w:w="994" w:type="dxa"/>
            <w:vMerge/>
            <w:tcBorders>
              <w:left w:val="single" w:sz="6" w:space="0" w:color="000000"/>
              <w:bottom w:val="single" w:sz="6" w:space="0" w:color="000000"/>
              <w:right w:val="single" w:sz="6" w:space="0" w:color="000000"/>
            </w:tcBorders>
            <w:shd w:val="clear" w:color="auto" w:fill="D9D9D9"/>
          </w:tcPr>
          <w:p>
            <w:pPr/>
          </w:p>
        </w:tc>
        <w:tc>
          <w:tcPr>
            <w:tcW w:w="17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8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31"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6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58"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6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5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32"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6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602,271.27</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8.4189</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5,070,461.60</w:t>
            </w:r>
          </w:p>
        </w:tc>
        <w:tc>
          <w:tcPr>
            <w:tcW w:w="1634"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66,378,968.74</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6.0969</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404,705,934.51</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46,883,111.89</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6.2855</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294,683,799.78</w:t>
            </w:r>
          </w:p>
        </w:tc>
      </w:tr>
      <w:tr>
        <w:trPr>
          <w:trHeight w:val="347" w:hRule="exact"/>
        </w:trPr>
        <w:tc>
          <w:tcPr>
            <w:tcW w:w="99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331,554,816.00</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0.057771</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19,154,253.28</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102,504,709.99</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0.073049</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7,487,866.56</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14" w:type="dxa"/>
            <w:tcBorders>
              <w:top w:val="single" w:sz="6" w:space="0" w:color="000000"/>
              <w:left w:val="single" w:sz="6" w:space="0" w:color="000000"/>
              <w:bottom w:val="single" w:sz="6" w:space="0" w:color="000000"/>
              <w:right w:val="single" w:sz="6" w:space="0" w:color="000000"/>
            </w:tcBorders>
          </w:tcPr>
          <w:p>
            <w:pPr/>
          </w:p>
        </w:tc>
        <w:tc>
          <w:tcPr>
            <w:tcW w:w="1039" w:type="dxa"/>
            <w:tcBorders>
              <w:top w:val="single" w:sz="6" w:space="0" w:color="000000"/>
              <w:left w:val="single" w:sz="6"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428,930,649.39</w:t>
            </w:r>
          </w:p>
        </w:tc>
        <w:tc>
          <w:tcPr>
            <w:tcW w:w="1634"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302,171,666.34</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843"/>
        <w:gridCol w:w="1315"/>
        <w:gridCol w:w="718"/>
        <w:gridCol w:w="1092"/>
        <w:gridCol w:w="719"/>
        <w:gridCol w:w="1316"/>
        <w:gridCol w:w="852"/>
        <w:gridCol w:w="1123"/>
        <w:gridCol w:w="688"/>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4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3" w:type="dxa"/>
            <w:vMerge/>
            <w:tcBorders>
              <w:left w:val="single" w:sz="4" w:space="0" w:color="000000"/>
              <w:right w:val="single" w:sz="4" w:space="0" w:color="000000"/>
            </w:tcBorders>
            <w:shd w:val="clear" w:color="auto" w:fill="D3D3D3"/>
          </w:tcPr>
          <w:p>
            <w:pPr/>
          </w:p>
        </w:tc>
        <w:tc>
          <w:tcPr>
            <w:tcW w:w="20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837"/>
        <w:gridCol w:w="1321"/>
        <w:gridCol w:w="718"/>
        <w:gridCol w:w="1092"/>
        <w:gridCol w:w="719"/>
        <w:gridCol w:w="1316"/>
        <w:gridCol w:w="852"/>
        <w:gridCol w:w="1123"/>
        <w:gridCol w:w="715"/>
      </w:tblGrid>
      <w:tr>
        <w:trPr>
          <w:trHeight w:val="357" w:hRule="exact"/>
        </w:trPr>
        <w:tc>
          <w:tcPr>
            <w:tcW w:w="18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w:t>
            </w:r>
          </w:p>
        </w:tc>
        <w:tc>
          <w:tcPr>
            <w:tcW w:w="1321" w:type="dxa"/>
            <w:tcBorders>
              <w:top w:val="single" w:sz="4" w:space="0" w:color="000000"/>
              <w:left w:val="single" w:sz="13" w:space="0" w:color="D3D3D3"/>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719"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计提坏账准备的其他</w:t>
            </w:r>
          </w:p>
        </w:tc>
        <w:tc>
          <w:tcPr>
            <w:tcW w:w="1321" w:type="dxa"/>
            <w:tcBorders>
              <w:top w:val="nil" w:sz="6" w:space="0" w:color="auto"/>
              <w:left w:val="single" w:sz="13" w:space="0" w:color="D3D3D3"/>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8,918,424.06</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0.64%</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8,918,424.06</w:t>
            </w:r>
          </w:p>
        </w:tc>
        <w:tc>
          <w:tcPr>
            <w:tcW w:w="71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100%</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8,918,424.06</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0.66%</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8,918,424.06</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18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321" w:type="dxa"/>
            <w:tcBorders>
              <w:top w:val="nil" w:sz="6" w:space="0" w:color="auto"/>
              <w:left w:val="single" w:sz="13" w:space="0" w:color="D3D3D3"/>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719"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1,251,663,625.86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89.22%</w:t>
            </w:r>
          </w:p>
        </w:tc>
        <w:tc>
          <w:tcPr>
            <w:tcW w:w="1092"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1,213,593,786.15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89.91%</w:t>
            </w:r>
          </w:p>
        </w:tc>
        <w:tc>
          <w:tcPr>
            <w:tcW w:w="1123"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一般组合</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128,661,773.06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48,424,649.08</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113,580,888.39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42,519,331.91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37.44%</w:t>
            </w:r>
          </w:p>
        </w:tc>
      </w:tr>
      <w:tr>
        <w:trPr>
          <w:trHeight w:val="402" w:hRule="exact"/>
        </w:trPr>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1,380,325,398.92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48,424,649.08</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1,327,174,674.54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42,519,331.91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r>
      <w:tr>
        <w:trPr>
          <w:trHeight w:val="357" w:hRule="exact"/>
        </w:trPr>
        <w:tc>
          <w:tcPr>
            <w:tcW w:w="18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单项金额虽不重大但</w:t>
            </w:r>
          </w:p>
        </w:tc>
        <w:tc>
          <w:tcPr>
            <w:tcW w:w="1321" w:type="dxa"/>
            <w:tcBorders>
              <w:top w:val="single" w:sz="4" w:space="0" w:color="000000"/>
              <w:left w:val="single" w:sz="4" w:space="0" w:color="000000"/>
              <w:bottom w:val="nil" w:sz="6" w:space="0" w:color="auto"/>
              <w:right w:val="single" w:sz="4" w:space="0" w:color="000000"/>
            </w:tcBorders>
          </w:tcPr>
          <w:p>
            <w:pPr/>
          </w:p>
        </w:tc>
        <w:tc>
          <w:tcPr>
            <w:tcW w:w="718"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719"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1123" w:type="dxa"/>
            <w:tcBorders>
              <w:top w:val="single" w:sz="4" w:space="0" w:color="000000"/>
              <w:left w:val="single" w:sz="4" w:space="0" w:color="000000"/>
              <w:bottom w:val="nil" w:sz="6" w:space="0" w:color="auto"/>
              <w:right w:val="single" w:sz="4" w:space="0" w:color="000000"/>
            </w:tcBorders>
          </w:tcPr>
          <w:p>
            <w:pPr/>
          </w:p>
        </w:tc>
        <w:tc>
          <w:tcPr>
            <w:tcW w:w="71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w:t>
            </w:r>
          </w:p>
        </w:tc>
        <w:tc>
          <w:tcPr>
            <w:tcW w:w="132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13,717,509.43</w:t>
            </w:r>
          </w:p>
        </w:tc>
        <w:tc>
          <w:tcPr>
            <w:tcW w:w="71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0.97%</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13,717,509.43</w:t>
            </w:r>
          </w:p>
        </w:tc>
        <w:tc>
          <w:tcPr>
            <w:tcW w:w="71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100%</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13,771,354.38</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1.02%</w:t>
            </w:r>
          </w:p>
        </w:tc>
        <w:tc>
          <w:tcPr>
            <w:tcW w:w="112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13,771,354.38</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18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1" w:type="dxa"/>
            <w:tcBorders>
              <w:top w:val="nil" w:sz="6" w:space="0" w:color="auto"/>
              <w:left w:val="single" w:sz="4" w:space="0" w:color="000000"/>
              <w:bottom w:val="single" w:sz="4" w:space="0" w:color="000000"/>
              <w:right w:val="single" w:sz="4" w:space="0" w:color="000000"/>
            </w:tcBorders>
          </w:tcPr>
          <w:p>
            <w:pPr/>
          </w:p>
        </w:tc>
        <w:tc>
          <w:tcPr>
            <w:tcW w:w="718"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719"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123" w:type="dxa"/>
            <w:tcBorders>
              <w:top w:val="nil" w:sz="6" w:space="0" w:color="auto"/>
              <w:left w:val="single" w:sz="4" w:space="0" w:color="000000"/>
              <w:bottom w:val="single" w:sz="4" w:space="0" w:color="000000"/>
              <w:right w:val="single" w:sz="4" w:space="0" w:color="000000"/>
            </w:tcBorders>
          </w:tcPr>
          <w:p>
            <w:pPr/>
          </w:p>
        </w:tc>
        <w:tc>
          <w:tcPr>
            <w:tcW w:w="715"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1,402,961,332.41</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71,060,582.57</w:t>
            </w:r>
          </w:p>
        </w:tc>
        <w:tc>
          <w:tcPr>
            <w:tcW w:w="7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1,349,864,452.98</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65,209,110.35</w:t>
            </w:r>
          </w:p>
        </w:tc>
        <w:tc>
          <w:tcPr>
            <w:tcW w:w="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50" w:top="1100" w:bottom="1140" w:left="980" w:right="980"/>
        </w:sectPr>
      </w:pPr>
    </w:p>
    <w:p>
      <w:pPr>
        <w:pStyle w:val="Heading4"/>
        <w:spacing w:line="240" w:lineRule="auto" w:before="35"/>
        <w:ind w:left="634" w:right="0"/>
        <w:jc w:val="left"/>
        <w:rPr>
          <w:b w:val="0"/>
          <w:bCs w:val="0"/>
        </w:rPr>
      </w:pPr>
      <w:r>
        <w:rPr>
          <w:w w:val="95"/>
        </w:rPr>
        <w:t>其他应收款按账龄列示</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3"/>
          <w:szCs w:val="13"/>
        </w:rPr>
      </w:pPr>
    </w:p>
    <w:p>
      <w:pPr>
        <w:pStyle w:val="BodyText"/>
        <w:spacing w:line="240" w:lineRule="auto"/>
        <w:ind w:left="633" w:right="0"/>
        <w:jc w:val="left"/>
      </w:pPr>
      <w:r>
        <w:rPr/>
        <w:t>单位： 元</w:t>
      </w:r>
    </w:p>
    <w:p>
      <w:pPr>
        <w:spacing w:after="0" w:line="240" w:lineRule="auto"/>
        <w:jc w:val="left"/>
        <w:sectPr>
          <w:type w:val="continuous"/>
          <w:pgSz w:w="11910" w:h="16840"/>
          <w:pgMar w:top="1600" w:bottom="280" w:left="980" w:right="980"/>
          <w:cols w:num="2" w:equalWidth="0">
            <w:col w:w="2741" w:space="5607"/>
            <w:col w:w="1602"/>
          </w:cols>
        </w:sectPr>
      </w:pPr>
    </w:p>
    <w:p>
      <w:pPr>
        <w:spacing w:line="240" w:lineRule="auto" w:before="7"/>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1427"/>
        <w:gridCol w:w="2403"/>
        <w:gridCol w:w="1878"/>
        <w:gridCol w:w="2156"/>
        <w:gridCol w:w="1793"/>
      </w:tblGrid>
      <w:tr>
        <w:trPr>
          <w:trHeight w:val="342" w:hRule="exact"/>
        </w:trPr>
        <w:tc>
          <w:tcPr>
            <w:tcW w:w="1427"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281"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49"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1" w:hRule="exact"/>
        </w:trPr>
        <w:tc>
          <w:tcPr>
            <w:tcW w:w="1427" w:type="dxa"/>
            <w:vMerge/>
            <w:tcBorders>
              <w:left w:val="single" w:sz="6" w:space="0" w:color="000000"/>
              <w:bottom w:val="single" w:sz="6" w:space="0" w:color="000000"/>
              <w:right w:val="single" w:sz="6" w:space="0" w:color="000000"/>
            </w:tcBorders>
            <w:shd w:val="clear" w:color="auto" w:fill="CCCCCC"/>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49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14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6"/>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0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6"/>
              <w:ind w:right="1"/>
              <w:jc w:val="right"/>
              <w:rPr>
                <w:rFonts w:ascii="Times New Roman" w:hAnsi="Times New Roman" w:cs="Times New Roman" w:eastAsia="Times New Roman" w:hint="default"/>
                <w:sz w:val="18"/>
                <w:szCs w:val="18"/>
              </w:rPr>
            </w:pPr>
            <w:r>
              <w:rPr>
                <w:rFonts w:ascii="Times New Roman"/>
                <w:spacing w:val="-1"/>
                <w:sz w:val="18"/>
              </w:rPr>
              <w:t>1,200,466,405.38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sz w:val="18"/>
              </w:rPr>
              <w:t>85.57%</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spacing w:val="-1"/>
                <w:sz w:val="18"/>
              </w:rPr>
              <w:t>1,145,721,315.64</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
              <w:jc w:val="right"/>
              <w:rPr>
                <w:rFonts w:ascii="Times New Roman" w:hAnsi="Times New Roman" w:cs="Times New Roman" w:eastAsia="Times New Roman" w:hint="default"/>
                <w:sz w:val="18"/>
                <w:szCs w:val="18"/>
              </w:rPr>
            </w:pPr>
            <w:r>
              <w:rPr>
                <w:rFonts w:ascii="Times New Roman"/>
                <w:sz w:val="18"/>
              </w:rPr>
              <w:t>84.88%</w:t>
            </w:r>
          </w:p>
        </w:tc>
      </w:tr>
      <w:tr>
        <w:trPr>
          <w:trHeight w:val="348" w:hRule="exact"/>
        </w:trPr>
        <w:tc>
          <w:tcPr>
            <w:tcW w:w="14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0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100,811,139.72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7.18%</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131,913,116.61</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9.77%</w:t>
            </w:r>
          </w:p>
        </w:tc>
      </w:tr>
      <w:tr>
        <w:trPr>
          <w:trHeight w:val="347" w:hRule="exact"/>
        </w:trPr>
        <w:tc>
          <w:tcPr>
            <w:tcW w:w="14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0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41,370,171.48</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2.95%</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13,139,381.38</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0.97%</w:t>
            </w:r>
          </w:p>
        </w:tc>
      </w:tr>
      <w:tr>
        <w:trPr>
          <w:trHeight w:val="347" w:hRule="exact"/>
        </w:trPr>
        <w:tc>
          <w:tcPr>
            <w:tcW w:w="14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0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60,313,615.83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59,090,639.35</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4.38%</w:t>
            </w:r>
          </w:p>
        </w:tc>
      </w:tr>
      <w:tr>
        <w:trPr>
          <w:trHeight w:val="348" w:hRule="exact"/>
        </w:trPr>
        <w:tc>
          <w:tcPr>
            <w:tcW w:w="14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53"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0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1,402,961,332.41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1,349,864,452.98</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600" w:bottom="280" w:left="980" w:right="980"/>
        </w:sectPr>
      </w:pPr>
    </w:p>
    <w:p>
      <w:pPr>
        <w:pStyle w:val="BodyText"/>
        <w:spacing w:line="240" w:lineRule="auto" w:before="44"/>
        <w:ind w:left="154"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80"/>
        <w:gridCol w:w="1127"/>
        <w:gridCol w:w="1127"/>
        <w:gridCol w:w="1446"/>
        <w:gridCol w:w="4514"/>
      </w:tblGrid>
      <w:tr>
        <w:trPr>
          <w:trHeight w:val="402" w:hRule="exact"/>
        </w:trPr>
        <w:tc>
          <w:tcPr>
            <w:tcW w:w="1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8,918,424.06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8,918,424.06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主要是账龄三年以上的往来款，预计收回可能性小</w:t>
            </w:r>
          </w:p>
        </w:tc>
      </w:tr>
      <w:tr>
        <w:trPr>
          <w:trHeight w:val="403" w:hRule="exact"/>
        </w:trPr>
        <w:tc>
          <w:tcPr>
            <w:tcW w:w="1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8,918,424.06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8,918,424.06</w:t>
            </w:r>
          </w:p>
        </w:tc>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980" w:right="980"/>
        </w:sectPr>
      </w:pPr>
    </w:p>
    <w:p>
      <w:pPr>
        <w:pStyle w:val="BodyText"/>
        <w:spacing w:line="240" w:lineRule="auto" w:before="52"/>
        <w:ind w:left="154" w:right="-20"/>
        <w:jc w:val="left"/>
      </w:pPr>
      <w:r>
        <w:rPr/>
        <w:t>组合中，采用账龄分析法计提坏账准备的其他应收款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6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18"/>
        <w:gridCol w:w="1870"/>
        <w:gridCol w:w="659"/>
        <w:gridCol w:w="1447"/>
        <w:gridCol w:w="1450"/>
        <w:gridCol w:w="656"/>
        <w:gridCol w:w="1668"/>
      </w:tblGrid>
      <w:tr>
        <w:trPr>
          <w:trHeight w:val="402" w:hRule="exact"/>
        </w:trPr>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44,912,660.62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2,245,633.03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52,096,861.35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45.87%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2,604,843.05</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44,912,660.62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2,245,633.03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52,096,861.35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45.87%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2,604,843.05</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6,967,923.12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696,792.31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13,434,171.09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11.83%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1,343,417.10</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39,123,706.98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7,824,741.40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11,848,480.25</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10.43%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2,369,696.05</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37,657,482.34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37,657,482.34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36,201,375.70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31.87%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36,201,375.70</w:t>
            </w:r>
          </w:p>
        </w:tc>
      </w:tr>
      <w:tr>
        <w:trPr>
          <w:trHeight w:val="402" w:hRule="exact"/>
        </w:trPr>
        <w:tc>
          <w:tcPr>
            <w:tcW w:w="1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128,661,773.06</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48,424,649.08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113,580,888.39</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42,519,331.90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pStyle w:val="BodyText"/>
        <w:spacing w:line="240" w:lineRule="auto" w:before="51"/>
        <w:ind w:left="154" w:right="-20"/>
        <w:jc w:val="left"/>
      </w:pPr>
      <w:r>
        <w:rPr/>
        <w:t>组合中，采用余额百分比法计提坏账准备的其他应收款</w:t>
      </w:r>
    </w:p>
    <w:p>
      <w:pPr>
        <w:pStyle w:val="BodyText"/>
        <w:spacing w:line="338" w:lineRule="auto" w:before="117"/>
        <w:ind w:left="154" w:right="3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59"/>
        <w:gridCol w:w="2857"/>
        <w:gridCol w:w="2752"/>
      </w:tblGrid>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1,251,663,625.86</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1,251,663,625.86</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980"/>
        </w:sectPr>
      </w:pPr>
    </w:p>
    <w:p>
      <w:pPr>
        <w:pStyle w:val="BodyText"/>
        <w:spacing w:line="240" w:lineRule="auto" w:before="51"/>
        <w:ind w:left="154" w:right="-20"/>
        <w:jc w:val="left"/>
      </w:pPr>
      <w:r>
        <w:rPr/>
        <w:t>期末单项金额虽不重大但单项计提坏账准备的其他应收款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4655" w:space="417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51"/>
        <w:gridCol w:w="1202"/>
        <w:gridCol w:w="1201"/>
        <w:gridCol w:w="1417"/>
        <w:gridCol w:w="4422"/>
      </w:tblGrid>
      <w:tr>
        <w:trPr>
          <w:trHeight w:val="402"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13,717,509.43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13,717,509.43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主要是账龄三年以上的往来款，预计收回可能性小</w:t>
            </w:r>
          </w:p>
        </w:tc>
      </w:tr>
      <w:tr>
        <w:trPr>
          <w:trHeight w:val="402"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13,717,509.43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13,717,509.43</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0"/>
        <w:gridCol w:w="1440"/>
        <w:gridCol w:w="2886"/>
        <w:gridCol w:w="1918"/>
        <w:gridCol w:w="1884"/>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三年以上，预计收回可能性极小</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7,023,563.36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6" w:right="0"/>
              <w:jc w:val="left"/>
              <w:rPr>
                <w:rFonts w:ascii="Times New Roman" w:hAnsi="Times New Roman" w:cs="Times New Roman" w:eastAsia="Times New Roman" w:hint="default"/>
                <w:sz w:val="18"/>
                <w:szCs w:val="18"/>
              </w:rPr>
            </w:pPr>
            <w:r>
              <w:rPr>
                <w:rFonts w:ascii="Times New Roman"/>
                <w:sz w:val="18"/>
              </w:rPr>
              <w:t>7,023,563.36</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7,023,563.36</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074"/>
        <w:gridCol w:w="1571"/>
        <w:gridCol w:w="926"/>
        <w:gridCol w:w="1194"/>
        <w:gridCol w:w="928"/>
        <w:gridCol w:w="2000"/>
      </w:tblGrid>
      <w:tr>
        <w:trPr>
          <w:trHeight w:val="402" w:hRule="exact"/>
        </w:trPr>
        <w:tc>
          <w:tcPr>
            <w:tcW w:w="3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2" w:hRule="exact"/>
        </w:trPr>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武汉东荆废旧物资回收有限公司</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92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2,227,742.56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公司注销</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2,227,742.56</w:t>
            </w:r>
          </w:p>
        </w:tc>
        <w:tc>
          <w:tcPr>
            <w:tcW w:w="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w:t>
      </w:r>
      <w:r>
        <w:rPr>
          <w:spacing w:val="-11"/>
        </w:rPr>
        <w:t> </w:t>
      </w:r>
      <w:r>
        <w:rPr/>
        <w:t>本报告期其他应收款中无持有公司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73"/>
        <w:gridCol w:w="1318"/>
        <w:gridCol w:w="1529"/>
        <w:gridCol w:w="1597"/>
        <w:gridCol w:w="2677"/>
      </w:tblGrid>
      <w:tr>
        <w:trPr>
          <w:trHeight w:val="402" w:hRule="exact"/>
        </w:trPr>
        <w:tc>
          <w:tcPr>
            <w:tcW w:w="2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山东江河纸业有限责任公司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587,776,068.96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w:t>
            </w:r>
          </w:p>
        </w:tc>
      </w:tr>
      <w:tr>
        <w:trPr>
          <w:trHeight w:val="402"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551,964,609.01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39.34%</w:t>
            </w:r>
          </w:p>
        </w:tc>
      </w:tr>
      <w:tr>
        <w:trPr>
          <w:trHeight w:val="402"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江苏新海港口工程有限公司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60,396,083.33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湛江市财政局</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30,517,103.35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天元建设集团有限公司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16,745,771.53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r>
      <w:tr>
        <w:trPr>
          <w:trHeight w:val="403" w:hRule="exact"/>
        </w:trPr>
        <w:tc>
          <w:tcPr>
            <w:tcW w:w="2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1,247,399,636.18</w:t>
            </w:r>
          </w:p>
        </w:tc>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w:t>
      </w:r>
      <w:r>
        <w:rPr>
          <w:spacing w:val="-6"/>
        </w:rPr>
        <w:t> </w:t>
      </w:r>
      <w:r>
        <w:rPr/>
        <w:t>其他应收关联方账款情况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详见附注九、</w:t>
      </w:r>
      <w:r>
        <w:rPr>
          <w:rFonts w:ascii="Times New Roman" w:hAnsi="Times New Roman" w:cs="Times New Roman" w:eastAsia="Times New Roman" w:hint="default"/>
        </w:rPr>
        <w:t>5</w:t>
      </w:r>
      <w:r>
        <w:rPr/>
        <w:t>关联方应收应付款项。</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0"/>
        <w:gridCol w:w="3199"/>
        <w:gridCol w:w="1051"/>
        <w:gridCol w:w="3065"/>
        <w:gridCol w:w="1062"/>
      </w:tblGrid>
      <w:tr>
        <w:trPr>
          <w:trHeight w:val="201" w:hRule="exact"/>
        </w:trPr>
        <w:tc>
          <w:tcPr>
            <w:tcW w:w="1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42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1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3D3D3"/>
          </w:tcPr>
          <w:p>
            <w:pPr/>
          </w:p>
        </w:tc>
        <w:tc>
          <w:tcPr>
            <w:tcW w:w="4127"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190"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11" w:hRule="exact"/>
        </w:trPr>
        <w:tc>
          <w:tcPr>
            <w:tcW w:w="1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3065"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647,808,677.28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40.77%</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1,458,377,404.07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89.13%</w:t>
            </w:r>
          </w:p>
        </w:tc>
      </w:tr>
      <w:tr>
        <w:trPr>
          <w:trHeight w:val="402"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941,212,653.96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59.23%</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177,856,520.57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10.87%</w:t>
            </w:r>
          </w:p>
        </w:tc>
      </w:tr>
      <w:tr>
        <w:trPr>
          <w:trHeight w:val="403" w:hRule="exact"/>
        </w:trPr>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1,589,021,331.24</w:t>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66" w:right="0"/>
              <w:jc w:val="left"/>
              <w:rPr>
                <w:rFonts w:ascii="Times New Roman" w:hAnsi="Times New Roman" w:cs="Times New Roman" w:eastAsia="Times New Roman" w:hint="default"/>
                <w:sz w:val="18"/>
                <w:szCs w:val="18"/>
              </w:rPr>
            </w:pPr>
            <w:r>
              <w:rPr>
                <w:rFonts w:ascii="Times New Roman"/>
                <w:sz w:val="18"/>
              </w:rPr>
              <w:t>--</w:t>
            </w:r>
          </w:p>
        </w:tc>
        <w:tc>
          <w:tcPr>
            <w:tcW w:w="3065"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1,636,233,924.64</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66"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599"/>
        <w:gridCol w:w="1334"/>
        <w:gridCol w:w="1546"/>
        <w:gridCol w:w="1614"/>
        <w:gridCol w:w="2600"/>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江苏新海港口工程有限公司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880,000,000.00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按合同约定预付的工程款</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黄冈市辖各村</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89,821,337.60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按合同约定预付的林木定金</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重庆理文造纸有限公司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22,614,881.68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满洲里金发贸易有限公司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19,267,277.77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13,854,408.77</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26"/>
                <w:sz w:val="18"/>
                <w:szCs w:val="18"/>
              </w:rPr>
              <w:t> </w:t>
            </w:r>
            <w:r>
              <w:rPr>
                <w:rFonts w:ascii="宋体" w:hAnsi="宋体" w:cs="宋体" w:eastAsia="宋体" w:hint="default"/>
                <w:sz w:val="18"/>
                <w:szCs w:val="18"/>
              </w:rPr>
              <w:t>年以内</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按合同约定预付的货款</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1,025,557,905.82</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w:t>
      </w:r>
      <w:r>
        <w:rPr>
          <w:spacing w:val="-12"/>
        </w:rPr>
        <w:t> </w:t>
      </w:r>
      <w:r>
        <w:rPr/>
        <w:t>报告期内无预付款项中持有公司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外币预付账款原币金额以及折算汇率列示</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947"/>
        <w:gridCol w:w="1493"/>
        <w:gridCol w:w="1042"/>
        <w:gridCol w:w="1770"/>
        <w:gridCol w:w="1540"/>
        <w:gridCol w:w="796"/>
        <w:gridCol w:w="1627"/>
      </w:tblGrid>
      <w:tr>
        <w:trPr>
          <w:trHeight w:val="336" w:hRule="exact"/>
        </w:trPr>
        <w:tc>
          <w:tcPr>
            <w:tcW w:w="94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5"/>
              <w:ind w:left="28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30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62"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2" w:hRule="exact"/>
        </w:trPr>
        <w:tc>
          <w:tcPr>
            <w:tcW w:w="947" w:type="dxa"/>
            <w:vMerge/>
            <w:tcBorders>
              <w:left w:val="single" w:sz="6" w:space="0" w:color="000000"/>
              <w:bottom w:val="single" w:sz="6" w:space="0" w:color="000000"/>
              <w:right w:val="single" w:sz="6" w:space="0" w:color="000000"/>
            </w:tcBorders>
            <w:shd w:val="clear" w:color="auto" w:fill="D9D9D9"/>
          </w:tcPr>
          <w:p>
            <w:pP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7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33"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27"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0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11"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56"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48" w:hRule="exact"/>
        </w:trPr>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欧元</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22,541,744.63</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8.4189</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189,776,693.87</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5,685,388.64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8.3176</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47,288,788.51</w:t>
            </w:r>
          </w:p>
        </w:tc>
      </w:tr>
      <w:tr>
        <w:trPr>
          <w:trHeight w:val="347" w:hRule="exact"/>
        </w:trPr>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29,277,464.16</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6.0969</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178,501,771.24</w:t>
            </w:r>
          </w:p>
        </w:tc>
        <w:tc>
          <w:tcPr>
            <w:tcW w:w="1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42,598,033.82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6.2855</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267,749,941.56</w:t>
            </w:r>
          </w:p>
        </w:tc>
      </w:tr>
      <w:tr>
        <w:trPr>
          <w:trHeight w:val="347" w:hRule="exact"/>
        </w:trPr>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日元</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9,343,583.00</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0.057771</w:t>
            </w: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539,788.13</w:t>
            </w:r>
          </w:p>
        </w:tc>
        <w:tc>
          <w:tcPr>
            <w:tcW w:w="1540"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62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9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93" w:type="dxa"/>
            <w:tcBorders>
              <w:top w:val="single" w:sz="6" w:space="0" w:color="000000"/>
              <w:left w:val="single" w:sz="6" w:space="0" w:color="000000"/>
              <w:bottom w:val="single" w:sz="6" w:space="0" w:color="000000"/>
              <w:right w:val="single" w:sz="6" w:space="0" w:color="000000"/>
            </w:tcBorders>
          </w:tcPr>
          <w:p>
            <w:pPr/>
          </w:p>
        </w:tc>
        <w:tc>
          <w:tcPr>
            <w:tcW w:w="1042" w:type="dxa"/>
            <w:tcBorders>
              <w:top w:val="single" w:sz="6" w:space="0" w:color="000000"/>
              <w:left w:val="single" w:sz="6" w:space="0" w:color="000000"/>
              <w:bottom w:val="single" w:sz="6" w:space="0" w:color="000000"/>
              <w:right w:val="single" w:sz="6" w:space="0" w:color="000000"/>
            </w:tcBorders>
          </w:tcPr>
          <w:p>
            <w:pPr/>
          </w:p>
        </w:tc>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368,818,253.24</w:t>
            </w:r>
          </w:p>
        </w:tc>
        <w:tc>
          <w:tcPr>
            <w:tcW w:w="1540"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315,038,730.07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6"/>
        <w:gridCol w:w="1461"/>
        <w:gridCol w:w="1194"/>
        <w:gridCol w:w="1330"/>
        <w:gridCol w:w="1327"/>
        <w:gridCol w:w="1330"/>
        <w:gridCol w:w="1328"/>
      </w:tblGrid>
      <w:tr>
        <w:trPr>
          <w:trHeight w:val="201"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1" w:hRule="exact"/>
        </w:trPr>
        <w:tc>
          <w:tcPr>
            <w:tcW w:w="1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586"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2,102,799,924.39</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2,102,799,924.39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1,961,862,887.18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1,961,862,887.18</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55,128,694.09</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55,128,694.09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179,769,195.77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center"/>
              <w:rPr>
                <w:rFonts w:ascii="Times New Roman" w:hAnsi="Times New Roman" w:cs="Times New Roman" w:eastAsia="Times New Roman" w:hint="default"/>
                <w:sz w:val="18"/>
                <w:szCs w:val="18"/>
              </w:rPr>
            </w:pPr>
            <w:r>
              <w:rPr>
                <w:rFonts w:ascii="Times New Roman"/>
                <w:sz w:val="18"/>
              </w:rPr>
              <w:t>179,769,195.77</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1,516,242,717.77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36,472,052.20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1,479,770,665.57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2,285,369,746.18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14,453,128.45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2,270,916,617.73</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88,110,593.20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88,110,593.20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3,762,281,929.45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36,472,052.20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3,725,809,877.25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4,427,001,829.13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14,453,128.45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4,412,548,700.68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726"/>
        <w:gridCol w:w="1615"/>
        <w:gridCol w:w="1615"/>
        <w:gridCol w:w="1414"/>
        <w:gridCol w:w="1418"/>
        <w:gridCol w:w="1768"/>
      </w:tblGrid>
      <w:tr>
        <w:trPr>
          <w:trHeight w:val="200" w:hRule="exact"/>
        </w:trPr>
        <w:tc>
          <w:tcPr>
            <w:tcW w:w="17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283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7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32" w:type="dxa"/>
            <w:gridSpan w:val="2"/>
            <w:vMerge/>
            <w:tcBorders>
              <w:left w:val="single" w:sz="4" w:space="0" w:color="000000"/>
              <w:bottom w:val="single" w:sz="4" w:space="0" w:color="000000"/>
              <w:right w:val="single" w:sz="4" w:space="0" w:color="000000"/>
            </w:tcBorders>
            <w:shd w:val="clear" w:color="auto" w:fill="D3D3D3"/>
          </w:tcPr>
          <w:p>
            <w:pPr/>
          </w:p>
        </w:tc>
        <w:tc>
          <w:tcPr>
            <w:tcW w:w="17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1" w:hRule="exact"/>
        </w:trPr>
        <w:tc>
          <w:tcPr>
            <w:tcW w:w="1726"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4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68"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7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4"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76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14,453,128.45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36,472,052.20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14,453,128.45</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36,472,052.20</w:t>
            </w: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14,453,128.45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36,472,052.20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14,453,128.45</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36,472,052.20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069"/>
        <w:gridCol w:w="4871"/>
        <w:gridCol w:w="1428"/>
        <w:gridCol w:w="2177"/>
      </w:tblGrid>
      <w:tr>
        <w:trPr>
          <w:trHeight w:val="160" w:hRule="exact"/>
        </w:trPr>
        <w:tc>
          <w:tcPr>
            <w:tcW w:w="1069" w:type="dxa"/>
            <w:tcBorders>
              <w:top w:val="single" w:sz="4" w:space="0" w:color="000000"/>
              <w:left w:val="single" w:sz="4" w:space="0" w:color="000000"/>
              <w:bottom w:val="nil" w:sz="6" w:space="0" w:color="auto"/>
              <w:right w:val="single" w:sz="4" w:space="0" w:color="000000"/>
            </w:tcBorders>
            <w:shd w:val="clear" w:color="auto" w:fill="D3D3D3"/>
          </w:tcPr>
          <w:p>
            <w:pPr/>
          </w:p>
        </w:tc>
        <w:tc>
          <w:tcPr>
            <w:tcW w:w="48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42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162" w:right="83" w:hanging="90"/>
              <w:jc w:val="left"/>
              <w:rPr>
                <w:rFonts w:ascii="宋体" w:hAnsi="宋体" w:cs="宋体" w:eastAsia="宋体" w:hint="default"/>
                <w:sz w:val="18"/>
                <w:szCs w:val="18"/>
              </w:rPr>
            </w:pPr>
            <w:r>
              <w:rPr>
                <w:rFonts w:ascii="宋体" w:hAnsi="宋体" w:cs="宋体" w:eastAsia="宋体" w:hint="default"/>
                <w:sz w:val="18"/>
                <w:szCs w:val="18"/>
              </w:rPr>
              <w:t>本期转回存货跌 价准备的原因</w:t>
            </w:r>
          </w:p>
        </w:tc>
        <w:tc>
          <w:tcPr>
            <w:tcW w:w="217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0"/>
              <w:ind w:left="204" w:right="86" w:hanging="106"/>
              <w:jc w:val="left"/>
              <w:rPr>
                <w:rFonts w:ascii="宋体" w:hAnsi="宋体" w:cs="宋体" w:eastAsia="宋体" w:hint="default"/>
                <w:sz w:val="18"/>
                <w:szCs w:val="18"/>
              </w:rPr>
            </w:pPr>
            <w:r>
              <w:rPr>
                <w:rFonts w:ascii="宋体" w:hAnsi="宋体" w:cs="宋体" w:eastAsia="宋体" w:hint="default"/>
                <w:sz w:val="18"/>
                <w:szCs w:val="18"/>
              </w:rPr>
              <w:t>本期转回金额占该项存货 期末余额的比例（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10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354"/>
              <w:jc w:val="right"/>
              <w:rPr>
                <w:rFonts w:ascii="宋体" w:hAnsi="宋体" w:cs="宋体" w:eastAsia="宋体" w:hint="default"/>
                <w:sz w:val="18"/>
                <w:szCs w:val="18"/>
              </w:rPr>
            </w:pPr>
            <w:r>
              <w:rPr>
                <w:rFonts w:ascii="宋体" w:hAnsi="宋体" w:cs="宋体" w:eastAsia="宋体" w:hint="default"/>
                <w:sz w:val="18"/>
                <w:szCs w:val="18"/>
              </w:rPr>
              <w:t>项目</w:t>
            </w:r>
          </w:p>
        </w:tc>
        <w:tc>
          <w:tcPr>
            <w:tcW w:w="48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1428" w:type="dxa"/>
            <w:vMerge/>
            <w:tcBorders>
              <w:left w:val="single" w:sz="4" w:space="0" w:color="000000"/>
              <w:right w:val="single" w:sz="4" w:space="0" w:color="000000"/>
            </w:tcBorders>
            <w:shd w:val="clear" w:color="auto" w:fill="D3D3D3"/>
          </w:tcPr>
          <w:p>
            <w:pPr/>
          </w:p>
        </w:tc>
        <w:tc>
          <w:tcPr>
            <w:tcW w:w="2177" w:type="dxa"/>
            <w:vMerge/>
            <w:tcBorders>
              <w:left w:val="single" w:sz="4" w:space="0" w:color="000000"/>
              <w:right w:val="single" w:sz="4" w:space="0" w:color="000000"/>
            </w:tcBorders>
            <w:shd w:val="clear" w:color="auto" w:fill="D3D3D3"/>
          </w:tcPr>
          <w:p>
            <w:pPr/>
          </w:p>
        </w:tc>
      </w:tr>
      <w:tr>
        <w:trPr>
          <w:trHeight w:val="161" w:hRule="exact"/>
        </w:trPr>
        <w:tc>
          <w:tcPr>
            <w:tcW w:w="1069" w:type="dxa"/>
            <w:tcBorders>
              <w:top w:val="nil" w:sz="6" w:space="0" w:color="auto"/>
              <w:left w:val="single" w:sz="4" w:space="0" w:color="000000"/>
              <w:bottom w:val="single" w:sz="4" w:space="0" w:color="000000"/>
              <w:right w:val="single" w:sz="4" w:space="0" w:color="000000"/>
            </w:tcBorders>
            <w:shd w:val="clear" w:color="auto" w:fill="D3D3D3"/>
          </w:tcPr>
          <w:p>
            <w:pPr/>
          </w:p>
        </w:tc>
        <w:tc>
          <w:tcPr>
            <w:tcW w:w="48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428" w:type="dxa"/>
            <w:vMerge/>
            <w:tcBorders>
              <w:left w:val="single" w:sz="4" w:space="0" w:color="000000"/>
              <w:bottom w:val="single" w:sz="4" w:space="0" w:color="000000"/>
              <w:right w:val="single" w:sz="4" w:space="0" w:color="000000"/>
            </w:tcBorders>
            <w:shd w:val="clear" w:color="auto" w:fill="D3D3D3"/>
          </w:tcPr>
          <w:p>
            <w:pPr/>
          </w:p>
        </w:tc>
        <w:tc>
          <w:tcPr>
            <w:tcW w:w="217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25"/>
              <w:jc w:val="right"/>
              <w:rPr>
                <w:rFonts w:ascii="宋体" w:hAnsi="宋体" w:cs="宋体" w:eastAsia="宋体" w:hint="default"/>
                <w:sz w:val="18"/>
                <w:szCs w:val="18"/>
              </w:rPr>
            </w:pPr>
            <w:r>
              <w:rPr>
                <w:rFonts w:ascii="宋体" w:hAnsi="宋体" w:cs="宋体" w:eastAsia="宋体" w:hint="default"/>
                <w:sz w:val="18"/>
                <w:szCs w:val="18"/>
              </w:rPr>
              <w:t>库存商品</w:t>
            </w:r>
          </w:p>
        </w:tc>
        <w:tc>
          <w:tcPr>
            <w:tcW w:w="487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pacing w:val="-3"/>
                <w:sz w:val="18"/>
                <w:szCs w:val="18"/>
              </w:rPr>
              <w:t>白牛卡纸市场价格下降，导致产成品可变现净值低于存货成本</w:t>
            </w:r>
          </w:p>
        </w:tc>
        <w:tc>
          <w:tcPr>
            <w:tcW w:w="142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74,006,369.37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103,139,626.04</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尚未抵扣的增值税进项税额</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1,666,514,217.00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1,700,116,681.57</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1,740,520,586.37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1,803,256,307.61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、对联营企业的投资</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1626"/>
        <w:gridCol w:w="1055"/>
        <w:gridCol w:w="1150"/>
        <w:gridCol w:w="1039"/>
        <w:gridCol w:w="1188"/>
        <w:gridCol w:w="1477"/>
        <w:gridCol w:w="857"/>
        <w:gridCol w:w="1266"/>
      </w:tblGrid>
      <w:tr>
        <w:trPr>
          <w:trHeight w:val="965" w:hRule="exact"/>
        </w:trPr>
        <w:tc>
          <w:tcPr>
            <w:tcW w:w="16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7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1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37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61" w:right="59"/>
              <w:jc w:val="center"/>
              <w:rPr>
                <w:rFonts w:ascii="宋体" w:hAnsi="宋体" w:cs="宋体" w:eastAsia="宋体" w:hint="default"/>
                <w:sz w:val="18"/>
                <w:szCs w:val="18"/>
              </w:rPr>
            </w:pPr>
            <w:r>
              <w:rPr>
                <w:rFonts w:ascii="宋体" w:hAnsi="宋体" w:cs="宋体" w:eastAsia="宋体" w:hint="default"/>
                <w:sz w:val="18"/>
                <w:szCs w:val="18"/>
              </w:rPr>
              <w:t>本企业持 股比例</w:t>
            </w:r>
          </w:p>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85" w:right="84"/>
              <w:jc w:val="both"/>
              <w:rPr>
                <w:rFonts w:ascii="宋体" w:hAnsi="宋体" w:cs="宋体" w:eastAsia="宋体"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9" w:hRule="exact"/>
        </w:trPr>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67"/>
              <w:jc w:val="left"/>
              <w:rPr>
                <w:rFonts w:ascii="宋体" w:hAnsi="宋体" w:cs="宋体" w:eastAsia="宋体" w:hint="default"/>
                <w:sz w:val="18"/>
                <w:szCs w:val="18"/>
              </w:rPr>
            </w:pPr>
            <w:r>
              <w:rPr>
                <w:rFonts w:ascii="宋体" w:hAnsi="宋体" w:cs="宋体" w:eastAsia="宋体" w:hint="default"/>
                <w:sz w:val="18"/>
                <w:szCs w:val="18"/>
              </w:rPr>
              <w:t>武汉晨鸣万兴置业 有限公司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湖北</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王淳</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房地产开发</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100,000,000.00</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40.00</w:t>
            </w:r>
          </w:p>
        </w:tc>
      </w:tr>
      <w:tr>
        <w:trPr>
          <w:trHeight w:val="659" w:hRule="exact"/>
        </w:trPr>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67"/>
              <w:jc w:val="left"/>
              <w:rPr>
                <w:rFonts w:ascii="宋体" w:hAnsi="宋体" w:cs="宋体" w:eastAsia="宋体" w:hint="default"/>
                <w:sz w:val="18"/>
                <w:szCs w:val="18"/>
              </w:rPr>
            </w:pPr>
            <w:r>
              <w:rPr>
                <w:rFonts w:ascii="宋体" w:hAnsi="宋体" w:cs="宋体" w:eastAsia="宋体" w:hint="default"/>
                <w:sz w:val="18"/>
                <w:szCs w:val="18"/>
              </w:rPr>
              <w:t>阿尔诺维根斯晨鸣 特种纸有限公司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29" w:right="68" w:hanging="360"/>
              <w:jc w:val="left"/>
              <w:rPr>
                <w:rFonts w:ascii="宋体" w:hAnsi="宋体" w:cs="宋体" w:eastAsia="宋体" w:hint="default"/>
                <w:sz w:val="18"/>
                <w:szCs w:val="18"/>
              </w:rPr>
            </w:pPr>
            <w:r>
              <w:rPr>
                <w:rFonts w:ascii="宋体" w:hAnsi="宋体" w:cs="宋体" w:eastAsia="宋体" w:hint="default"/>
                <w:sz w:val="18"/>
                <w:szCs w:val="18"/>
              </w:rPr>
              <w:t>中外合资企 业</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山东</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佟翀</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造纸</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267,368,330.00</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30.00</w:t>
            </w:r>
          </w:p>
        </w:tc>
      </w:tr>
      <w:tr>
        <w:trPr>
          <w:trHeight w:val="659" w:hRule="exact"/>
        </w:trPr>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67"/>
              <w:jc w:val="left"/>
              <w:rPr>
                <w:rFonts w:ascii="宋体" w:hAnsi="宋体" w:cs="宋体" w:eastAsia="宋体" w:hint="default"/>
                <w:sz w:val="18"/>
                <w:szCs w:val="18"/>
              </w:rPr>
            </w:pPr>
            <w:r>
              <w:rPr>
                <w:rFonts w:ascii="宋体" w:hAnsi="宋体" w:cs="宋体" w:eastAsia="宋体" w:hint="default"/>
                <w:sz w:val="18"/>
                <w:szCs w:val="18"/>
              </w:rPr>
              <w:t>青州市晨鸣变性淀 粉有限责任公司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山东</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房师明</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淀粉</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3,000,000.00</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30.00</w:t>
            </w:r>
          </w:p>
        </w:tc>
      </w:tr>
      <w:tr>
        <w:trPr>
          <w:trHeight w:val="660" w:hRule="exact"/>
        </w:trPr>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67"/>
              <w:jc w:val="left"/>
              <w:rPr>
                <w:rFonts w:ascii="宋体" w:hAnsi="宋体" w:cs="宋体" w:eastAsia="宋体" w:hint="default"/>
                <w:sz w:val="18"/>
                <w:szCs w:val="18"/>
              </w:rPr>
            </w:pPr>
            <w:r>
              <w:rPr>
                <w:rFonts w:ascii="宋体" w:hAnsi="宋体" w:cs="宋体" w:eastAsia="宋体" w:hint="default"/>
                <w:sz w:val="18"/>
                <w:szCs w:val="18"/>
              </w:rPr>
              <w:t>江西江报传媒彩印 有限公司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江西</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欧洋</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印刷</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23,140,000.00</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21.16</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21.16</w:t>
            </w:r>
          </w:p>
        </w:tc>
      </w:tr>
    </w:tbl>
    <w:p>
      <w:pPr>
        <w:pStyle w:val="BodyText"/>
        <w:spacing w:line="240" w:lineRule="auto" w:before="10"/>
        <w:ind w:left="514" w:right="0"/>
        <w:jc w:val="left"/>
      </w:pPr>
      <w:r>
        <w:rPr/>
        <w:t>（续）</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596"/>
        <w:gridCol w:w="1387"/>
        <w:gridCol w:w="1292"/>
        <w:gridCol w:w="1291"/>
        <w:gridCol w:w="1292"/>
        <w:gridCol w:w="1151"/>
        <w:gridCol w:w="574"/>
        <w:gridCol w:w="1074"/>
      </w:tblGrid>
      <w:tr>
        <w:trPr>
          <w:trHeight w:val="653" w:hRule="exact"/>
        </w:trPr>
        <w:tc>
          <w:tcPr>
            <w:tcW w:w="15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59"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505" w:right="325" w:hanging="180"/>
              <w:jc w:val="left"/>
              <w:rPr>
                <w:rFonts w:ascii="宋体" w:hAnsi="宋体" w:cs="宋体" w:eastAsia="宋体" w:hint="default"/>
                <w:sz w:val="18"/>
                <w:szCs w:val="18"/>
              </w:rPr>
            </w:pPr>
            <w:r>
              <w:rPr>
                <w:rFonts w:ascii="宋体" w:hAnsi="宋体" w:cs="宋体" w:eastAsia="宋体" w:hint="default"/>
                <w:sz w:val="18"/>
                <w:szCs w:val="18"/>
              </w:rPr>
              <w:t>年末资产 总额</w:t>
            </w:r>
          </w:p>
        </w:tc>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98" w:right="0"/>
              <w:jc w:val="left"/>
              <w:rPr>
                <w:rFonts w:ascii="宋体" w:hAnsi="宋体" w:cs="宋体" w:eastAsia="宋体" w:hint="default"/>
                <w:sz w:val="18"/>
                <w:szCs w:val="18"/>
              </w:rPr>
            </w:pPr>
            <w:r>
              <w:rPr>
                <w:rFonts w:ascii="宋体" w:hAnsi="宋体" w:cs="宋体" w:eastAsia="宋体" w:hint="default"/>
                <w:sz w:val="18"/>
                <w:szCs w:val="18"/>
              </w:rPr>
              <w:t>年末负债总额</w:t>
            </w:r>
          </w:p>
        </w:tc>
        <w:tc>
          <w:tcPr>
            <w:tcW w:w="12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6"/>
              <w:jc w:val="right"/>
              <w:rPr>
                <w:rFonts w:ascii="宋体" w:hAnsi="宋体" w:cs="宋体" w:eastAsia="宋体" w:hint="default"/>
                <w:sz w:val="18"/>
                <w:szCs w:val="18"/>
              </w:rPr>
            </w:pPr>
            <w:r>
              <w:rPr>
                <w:rFonts w:ascii="宋体" w:hAnsi="宋体" w:cs="宋体" w:eastAsia="宋体" w:hint="default"/>
                <w:sz w:val="18"/>
                <w:szCs w:val="18"/>
              </w:rPr>
              <w:t>年末净资产总额</w:t>
            </w:r>
          </w:p>
        </w:tc>
        <w:tc>
          <w:tcPr>
            <w:tcW w:w="1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549" w:right="6" w:hanging="540"/>
              <w:jc w:val="left"/>
              <w:rPr>
                <w:rFonts w:ascii="宋体" w:hAnsi="宋体" w:cs="宋体" w:eastAsia="宋体" w:hint="default"/>
                <w:sz w:val="18"/>
                <w:szCs w:val="18"/>
              </w:rPr>
            </w:pPr>
            <w:r>
              <w:rPr>
                <w:rFonts w:ascii="宋体" w:hAnsi="宋体" w:cs="宋体" w:eastAsia="宋体" w:hint="default"/>
                <w:sz w:val="18"/>
                <w:szCs w:val="18"/>
              </w:rPr>
              <w:t>本年营业收入总 额</w:t>
            </w:r>
          </w:p>
        </w:tc>
        <w:tc>
          <w:tcPr>
            <w:tcW w:w="11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117" w:right="0"/>
              <w:jc w:val="left"/>
              <w:rPr>
                <w:rFonts w:ascii="宋体" w:hAnsi="宋体" w:cs="宋体" w:eastAsia="宋体" w:hint="default"/>
                <w:sz w:val="18"/>
                <w:szCs w:val="18"/>
              </w:rPr>
            </w:pPr>
            <w:r>
              <w:rPr>
                <w:rFonts w:ascii="宋体" w:hAnsi="宋体" w:cs="宋体" w:eastAsia="宋体" w:hint="default"/>
                <w:sz w:val="18"/>
                <w:szCs w:val="18"/>
              </w:rPr>
              <w:t>本年净利润</w:t>
            </w:r>
          </w:p>
        </w:tc>
        <w:tc>
          <w:tcPr>
            <w:tcW w:w="5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189" w:right="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1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6"/>
              <w:ind w:left="440" w:right="77"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659"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7"/>
              <w:jc w:val="left"/>
              <w:rPr>
                <w:rFonts w:ascii="宋体" w:hAnsi="宋体" w:cs="宋体" w:eastAsia="宋体" w:hint="default"/>
                <w:sz w:val="18"/>
                <w:szCs w:val="18"/>
              </w:rPr>
            </w:pPr>
            <w:r>
              <w:rPr>
                <w:rFonts w:ascii="宋体" w:hAnsi="宋体" w:cs="宋体" w:eastAsia="宋体" w:hint="default"/>
                <w:sz w:val="18"/>
                <w:szCs w:val="18"/>
              </w:rPr>
              <w:t>武汉晨鸣万兴置业 有限公司</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641,447,498.07</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572,768,481.62</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68,679,016.45</w:t>
            </w:r>
          </w:p>
        </w:tc>
        <w:tc>
          <w:tcPr>
            <w:tcW w:w="1292" w:type="dxa"/>
            <w:tcBorders>
              <w:top w:val="single" w:sz="6" w:space="0" w:color="000000"/>
              <w:left w:val="single" w:sz="6" w:space="0" w:color="000000"/>
              <w:bottom w:val="single" w:sz="6" w:space="0" w:color="000000"/>
              <w:right w:val="single" w:sz="6" w:space="0" w:color="000000"/>
            </w:tcBorders>
          </w:tcPr>
          <w:p>
            <w:pP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-7,999,022.63</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9" w:right="7" w:hanging="180"/>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69534385-0</w:t>
            </w:r>
          </w:p>
        </w:tc>
      </w:tr>
      <w:tr>
        <w:trPr>
          <w:trHeight w:val="660"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7"/>
              <w:jc w:val="left"/>
              <w:rPr>
                <w:rFonts w:ascii="宋体" w:hAnsi="宋体" w:cs="宋体" w:eastAsia="宋体" w:hint="default"/>
                <w:sz w:val="18"/>
                <w:szCs w:val="18"/>
              </w:rPr>
            </w:pPr>
            <w:r>
              <w:rPr>
                <w:rFonts w:ascii="宋体" w:hAnsi="宋体" w:cs="宋体" w:eastAsia="宋体" w:hint="default"/>
                <w:sz w:val="18"/>
                <w:szCs w:val="18"/>
              </w:rPr>
              <w:t>阿尔诺维根斯晨鸣 特种纸有限公司</w:t>
            </w:r>
          </w:p>
        </w:tc>
        <w:tc>
          <w:tcPr>
            <w:tcW w:w="641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399" w:right="0"/>
              <w:jc w:val="left"/>
              <w:rPr>
                <w:rFonts w:ascii="宋体" w:hAnsi="宋体" w:cs="宋体" w:eastAsia="宋体" w:hint="default"/>
                <w:sz w:val="18"/>
                <w:szCs w:val="18"/>
              </w:rPr>
            </w:pPr>
            <w:r>
              <w:rPr>
                <w:rFonts w:ascii="宋体" w:hAnsi="宋体" w:cs="宋体" w:eastAsia="宋体" w:hint="default"/>
                <w:sz w:val="18"/>
                <w:szCs w:val="18"/>
              </w:rPr>
              <w:t>以前年度超额亏损已将长期股权投资减计为零</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9" w:right="7" w:hanging="180"/>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78233868-9</w:t>
            </w:r>
          </w:p>
        </w:tc>
      </w:tr>
      <w:tr>
        <w:trPr>
          <w:trHeight w:val="659"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7"/>
              <w:jc w:val="left"/>
              <w:rPr>
                <w:rFonts w:ascii="宋体" w:hAnsi="宋体" w:cs="宋体" w:eastAsia="宋体" w:hint="default"/>
                <w:sz w:val="18"/>
                <w:szCs w:val="18"/>
              </w:rPr>
            </w:pPr>
            <w:r>
              <w:rPr>
                <w:rFonts w:ascii="宋体" w:hAnsi="宋体" w:cs="宋体" w:eastAsia="宋体" w:hint="default"/>
                <w:sz w:val="18"/>
                <w:szCs w:val="18"/>
              </w:rPr>
              <w:t>青州市晨鸣变性淀 粉有限责任公司</w:t>
            </w:r>
          </w:p>
        </w:tc>
        <w:tc>
          <w:tcPr>
            <w:tcW w:w="641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79" w:right="0"/>
              <w:jc w:val="left"/>
              <w:rPr>
                <w:rFonts w:ascii="宋体" w:hAnsi="宋体" w:cs="宋体" w:eastAsia="宋体" w:hint="default"/>
                <w:sz w:val="18"/>
                <w:szCs w:val="18"/>
              </w:rPr>
            </w:pPr>
            <w:r>
              <w:rPr>
                <w:rFonts w:ascii="宋体" w:hAnsi="宋体" w:cs="宋体" w:eastAsia="宋体" w:hint="default"/>
                <w:sz w:val="18"/>
                <w:szCs w:val="18"/>
              </w:rPr>
              <w:t>经营不善，以前年度已全额计提减值准备</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9" w:right="7" w:hanging="180"/>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z w:val="18"/>
              </w:rPr>
              <w:t>16937769-8</w:t>
            </w:r>
          </w:p>
        </w:tc>
      </w:tr>
      <w:tr>
        <w:trPr>
          <w:trHeight w:val="659"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37"/>
              <w:jc w:val="left"/>
              <w:rPr>
                <w:rFonts w:ascii="宋体" w:hAnsi="宋体" w:cs="宋体" w:eastAsia="宋体" w:hint="default"/>
                <w:sz w:val="18"/>
                <w:szCs w:val="18"/>
              </w:rPr>
            </w:pPr>
            <w:r>
              <w:rPr>
                <w:rFonts w:ascii="宋体" w:hAnsi="宋体" w:cs="宋体" w:eastAsia="宋体" w:hint="default"/>
                <w:sz w:val="18"/>
                <w:szCs w:val="18"/>
              </w:rPr>
              <w:t>江西江报传媒彩印 有限公司</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50,143,033.28</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27,717,783.98</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22,425,249.30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18,689,549.86</w:t>
            </w:r>
          </w:p>
        </w:tc>
        <w:tc>
          <w:tcPr>
            <w:tcW w:w="1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-224,444.11</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9" w:right="7" w:hanging="180"/>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2"/>
              <w:jc w:val="right"/>
              <w:rPr>
                <w:rFonts w:ascii="Times New Roman" w:hAnsi="Times New Roman" w:cs="Times New Roman" w:eastAsia="Times New Roman" w:hint="default"/>
                <w:sz w:val="18"/>
                <w:szCs w:val="18"/>
              </w:rPr>
            </w:pPr>
            <w:r>
              <w:rPr>
                <w:rFonts w:ascii="Times New Roman"/>
                <w:sz w:val="18"/>
              </w:rPr>
              <w:t>79479506-X</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1298"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在被投资 单位持股 比例与表 决权比例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after="0" w:line="316" w:lineRule="auto"/>
        <w:jc w:val="left"/>
        <w:rPr>
          <w:rFonts w:ascii="宋体" w:hAnsi="宋体" w:cs="宋体" w:eastAsia="宋体" w:hint="default"/>
          <w:sz w:val="18"/>
          <w:szCs w:val="18"/>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67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13" w:right="32" w:hanging="180"/>
              <w:jc w:val="left"/>
              <w:rPr>
                <w:rFonts w:ascii="宋体" w:hAnsi="宋体" w:cs="宋体" w:eastAsia="宋体" w:hint="default"/>
                <w:sz w:val="18"/>
                <w:szCs w:val="18"/>
              </w:rPr>
            </w:pPr>
            <w:r>
              <w:rPr>
                <w:rFonts w:ascii="宋体" w:hAnsi="宋体" w:cs="宋体" w:eastAsia="宋体" w:hint="default"/>
                <w:sz w:val="18"/>
                <w:szCs w:val="18"/>
              </w:rPr>
              <w:t>不一致的 说明</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武汉晨鸣 万兴置业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27,471,60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27,471,60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6.58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根斯晨鸣 特种纸有</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80,100,00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青州市晨</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鸣变性淀 粉有限责</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江西江报 传媒彩印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4,792,675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-47,492.3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4,745,182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上海安舟 新能源有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268,743,6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77.13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-268,743,</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677.13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山东纸业 集团总公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济南商友 商务有限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浙江省广</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育报业印 务有限公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9.96%</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寿光弥河 水务有限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上海林嘉</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纸电子商 务有限公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1,139,574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安徽时代 物资股份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潍坊新业 资本投资</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山东虹桥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16.67%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16.67%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461,950,0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359,386,3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52.25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-241,319,</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562.92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118,066,7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89.33</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2,589,574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w:t>
      </w:r>
      <w:r>
        <w:rPr>
          <w:spacing w:val="-8"/>
        </w:rPr>
        <w:t> </w:t>
      </w:r>
      <w:r>
        <w:rPr/>
        <w:t>长期股权投资分类</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393"/>
        <w:gridCol w:w="1831"/>
        <w:gridCol w:w="1408"/>
        <w:gridCol w:w="1406"/>
        <w:gridCol w:w="1620"/>
      </w:tblGrid>
      <w:tr>
        <w:trPr>
          <w:trHeight w:val="342" w:hRule="exact"/>
        </w:trPr>
        <w:tc>
          <w:tcPr>
            <w:tcW w:w="3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4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33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33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570"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46" w:hRule="exact"/>
        </w:trPr>
        <w:tc>
          <w:tcPr>
            <w:tcW w:w="3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83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274,436,352.25</w:t>
            </w:r>
          </w:p>
        </w:tc>
        <w:tc>
          <w:tcPr>
            <w:tcW w:w="140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355" w:right="0"/>
              <w:jc w:val="left"/>
              <w:rPr>
                <w:rFonts w:ascii="Times New Roman" w:hAnsi="Times New Roman" w:cs="Times New Roman" w:eastAsia="Times New Roman" w:hint="default"/>
                <w:sz w:val="18"/>
                <w:szCs w:val="18"/>
              </w:rPr>
            </w:pPr>
            <w:r>
              <w:rPr>
                <w:rFonts w:ascii="Times New Roman"/>
                <w:sz w:val="18"/>
              </w:rPr>
              <w:t>27,471,606.58</w:t>
            </w:r>
          </w:p>
        </w:tc>
        <w:tc>
          <w:tcPr>
            <w:tcW w:w="140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268,791,169.50</w:t>
            </w:r>
          </w:p>
        </w:tc>
        <w:tc>
          <w:tcPr>
            <w:tcW w:w="16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33,116,789.33</w:t>
            </w:r>
          </w:p>
        </w:tc>
      </w:tr>
      <w:tr>
        <w:trPr>
          <w:trHeight w:val="348" w:hRule="exact"/>
        </w:trPr>
        <w:tc>
          <w:tcPr>
            <w:tcW w:w="3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84,950,000.00</w:t>
            </w:r>
          </w:p>
        </w:tc>
        <w:tc>
          <w:tcPr>
            <w:tcW w:w="1408"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84,950,000.00</w:t>
            </w:r>
          </w:p>
        </w:tc>
      </w:tr>
      <w:tr>
        <w:trPr>
          <w:trHeight w:val="347" w:hRule="exact"/>
        </w:trPr>
        <w:tc>
          <w:tcPr>
            <w:tcW w:w="3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08"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2,589,574.47</w:t>
            </w:r>
          </w:p>
        </w:tc>
        <w:tc>
          <w:tcPr>
            <w:tcW w:w="1408"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2,589,574.47</w:t>
            </w:r>
          </w:p>
        </w:tc>
      </w:tr>
      <w:tr>
        <w:trPr>
          <w:trHeight w:val="347" w:hRule="exact"/>
        </w:trPr>
        <w:tc>
          <w:tcPr>
            <w:tcW w:w="33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356,796,777.78</w:t>
            </w:r>
          </w:p>
        </w:tc>
        <w:tc>
          <w:tcPr>
            <w:tcW w:w="1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55" w:right="0"/>
              <w:jc w:val="left"/>
              <w:rPr>
                <w:rFonts w:ascii="Times New Roman" w:hAnsi="Times New Roman" w:cs="Times New Roman" w:eastAsia="Times New Roman" w:hint="default"/>
                <w:sz w:val="18"/>
                <w:szCs w:val="18"/>
              </w:rPr>
            </w:pPr>
            <w:r>
              <w:rPr>
                <w:rFonts w:ascii="Times New Roman"/>
                <w:sz w:val="18"/>
              </w:rPr>
              <w:t>27,471,606.58</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268,791,169.50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115,477,214.86</w:t>
            </w:r>
          </w:p>
        </w:tc>
      </w:tr>
    </w:tbl>
    <w:p>
      <w:pPr>
        <w:pStyle w:val="BodyText"/>
        <w:spacing w:line="240" w:lineRule="auto" w:before="10"/>
        <w:ind w:left="514" w:right="0"/>
        <w:jc w:val="left"/>
      </w:pPr>
      <w:r>
        <w:rPr/>
        <w:t>（</w:t>
      </w:r>
      <w:r>
        <w:rPr>
          <w:rFonts w:ascii="Times New Roman" w:hAnsi="Times New Roman" w:cs="Times New Roman" w:eastAsia="Times New Roman" w:hint="default"/>
        </w:rPr>
        <w:t>4</w:t>
      </w:r>
      <w:r>
        <w:rPr/>
        <w:t>）长期股权投资减值准备明细情况</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234"/>
        <w:gridCol w:w="1932"/>
        <w:gridCol w:w="1337"/>
        <w:gridCol w:w="1283"/>
        <w:gridCol w:w="1872"/>
      </w:tblGrid>
      <w:tr>
        <w:trPr>
          <w:trHeight w:val="330" w:hRule="exact"/>
        </w:trPr>
        <w:tc>
          <w:tcPr>
            <w:tcW w:w="32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9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3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0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7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365" w:hRule="exact"/>
        </w:trPr>
        <w:tc>
          <w:tcPr>
            <w:tcW w:w="32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青州市晨鸣变性淀粉有限责任公司</w:t>
            </w:r>
          </w:p>
        </w:tc>
        <w:tc>
          <w:tcPr>
            <w:tcW w:w="193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8"/>
                <w:szCs w:val="18"/>
              </w:rPr>
            </w:pPr>
            <w:r>
              <w:rPr>
                <w:rFonts w:ascii="Times New Roman"/>
                <w:sz w:val="18"/>
              </w:rPr>
              <w:t>900,000.00</w:t>
            </w:r>
          </w:p>
        </w:tc>
        <w:tc>
          <w:tcPr>
            <w:tcW w:w="1337" w:type="dxa"/>
            <w:tcBorders>
              <w:top w:val="single" w:sz="10" w:space="0" w:color="000000"/>
              <w:left w:val="single" w:sz="6" w:space="0" w:color="000000"/>
              <w:bottom w:val="single" w:sz="6" w:space="0" w:color="000000"/>
              <w:right w:val="single" w:sz="6" w:space="0" w:color="000000"/>
            </w:tcBorders>
          </w:tcPr>
          <w:p>
            <w:pPr/>
          </w:p>
        </w:tc>
        <w:tc>
          <w:tcPr>
            <w:tcW w:w="1283" w:type="dxa"/>
            <w:tcBorders>
              <w:top w:val="single" w:sz="10" w:space="0" w:color="000000"/>
              <w:left w:val="single" w:sz="6" w:space="0" w:color="000000"/>
              <w:bottom w:val="single" w:sz="6" w:space="0" w:color="000000"/>
              <w:right w:val="single" w:sz="6" w:space="0" w:color="000000"/>
            </w:tcBorders>
          </w:tcPr>
          <w:p>
            <w:pPr/>
          </w:p>
        </w:tc>
        <w:tc>
          <w:tcPr>
            <w:tcW w:w="18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8"/>
                <w:szCs w:val="18"/>
              </w:rPr>
            </w:pPr>
            <w:r>
              <w:rPr>
                <w:rFonts w:ascii="Times New Roman"/>
                <w:sz w:val="18"/>
              </w:rPr>
              <w:t>900,000.00</w:t>
            </w:r>
          </w:p>
        </w:tc>
      </w:tr>
      <w:tr>
        <w:trPr>
          <w:trHeight w:val="347"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山东纸业集团总公司</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200,000.00</w:t>
            </w:r>
          </w:p>
        </w:tc>
      </w:tr>
      <w:tr>
        <w:trPr>
          <w:trHeight w:val="347"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济南商友商务有限责任公司</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350,000.00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350,000.00</w:t>
            </w:r>
          </w:p>
        </w:tc>
      </w:tr>
      <w:tr>
        <w:trPr>
          <w:trHeight w:val="347" w:hRule="exact"/>
        </w:trPr>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上海林嘉纸电子商务有限公司</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1,139,574.47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1,139,574.47</w:t>
            </w:r>
          </w:p>
        </w:tc>
      </w:tr>
      <w:tr>
        <w:trPr>
          <w:trHeight w:val="348" w:hRule="exact"/>
        </w:trPr>
        <w:tc>
          <w:tcPr>
            <w:tcW w:w="32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2,589,574.47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2,589,574.47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746"/>
        <w:gridCol w:w="1673"/>
        <w:gridCol w:w="1464"/>
        <w:gridCol w:w="1231"/>
        <w:gridCol w:w="1567"/>
      </w:tblGrid>
      <w:tr>
        <w:trPr>
          <w:trHeight w:val="402" w:hRule="exact"/>
        </w:trPr>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7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402" w:hRule="exact"/>
        </w:trPr>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7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c>
          <w:tcPr>
            <w:tcW w:w="146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38,291,395.70</w:t>
            </w:r>
          </w:p>
        </w:tc>
      </w:tr>
      <w:tr>
        <w:trPr>
          <w:trHeight w:val="402" w:hRule="exact"/>
        </w:trPr>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67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17,079,695.71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1,738,256.04</w:t>
            </w:r>
          </w:p>
        </w:tc>
        <w:tc>
          <w:tcPr>
            <w:tcW w:w="123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18,817,951.75</w:t>
            </w:r>
          </w:p>
        </w:tc>
      </w:tr>
      <w:tr>
        <w:trPr>
          <w:trHeight w:val="402" w:hRule="exact"/>
        </w:trPr>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7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17,079,695.71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1,738,256.04</w:t>
            </w:r>
          </w:p>
        </w:tc>
        <w:tc>
          <w:tcPr>
            <w:tcW w:w="123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18,817,951.75</w:t>
            </w:r>
          </w:p>
        </w:tc>
      </w:tr>
      <w:tr>
        <w:trPr>
          <w:trHeight w:val="402" w:hRule="exact"/>
        </w:trPr>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三、投资性房地产账面净值合计</w:t>
            </w:r>
          </w:p>
        </w:tc>
        <w:tc>
          <w:tcPr>
            <w:tcW w:w="167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c>
          <w:tcPr>
            <w:tcW w:w="146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19,473,443.95</w:t>
            </w:r>
          </w:p>
        </w:tc>
      </w:tr>
      <w:tr>
        <w:trPr>
          <w:trHeight w:val="402" w:hRule="exact"/>
        </w:trPr>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7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c>
          <w:tcPr>
            <w:tcW w:w="146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19,473,443.95</w:t>
            </w:r>
          </w:p>
        </w:tc>
      </w:tr>
      <w:tr>
        <w:trPr>
          <w:trHeight w:val="402" w:hRule="exact"/>
        </w:trPr>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五、投资性房地产账面价值合计</w:t>
            </w:r>
          </w:p>
        </w:tc>
        <w:tc>
          <w:tcPr>
            <w:tcW w:w="167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c>
          <w:tcPr>
            <w:tcW w:w="146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19,473,443.95</w:t>
            </w:r>
          </w:p>
        </w:tc>
      </w:tr>
      <w:tr>
        <w:trPr>
          <w:trHeight w:val="403" w:hRule="exact"/>
        </w:trPr>
        <w:tc>
          <w:tcPr>
            <w:tcW w:w="3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67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21,211,699.99</w:t>
            </w:r>
          </w:p>
        </w:tc>
        <w:tc>
          <w:tcPr>
            <w:tcW w:w="1464"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19,473,443.95</w:t>
            </w:r>
          </w:p>
        </w:tc>
      </w:tr>
    </w:tbl>
    <w:p>
      <w:pPr>
        <w:pStyle w:val="BodyText"/>
        <w:spacing w:line="240" w:lineRule="auto" w:before="51"/>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5401"/>
        <w:gridCol w:w="4270"/>
      </w:tblGrid>
      <w:tr>
        <w:trPr>
          <w:trHeight w:val="402" w:hRule="exact"/>
        </w:trPr>
        <w:tc>
          <w:tcPr>
            <w:tcW w:w="54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1,738,256.04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2"/>
        <w:rPr>
          <w:rFonts w:ascii="宋体" w:hAnsi="宋体" w:cs="宋体" w:eastAsia="宋体" w:hint="default"/>
          <w:sz w:val="24"/>
          <w:szCs w:val="24"/>
        </w:rPr>
      </w:pPr>
    </w:p>
    <w:p>
      <w:pPr>
        <w:spacing w:line="421"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85.65pt;height:21.1pt;mso-position-horizontal-relative:char;mso-position-vertical-relative:line" coordorigin="0,0" coordsize="9713,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422;top:14;width:2;height:393" coordorigin="5422,14" coordsize="2,393">
              <v:shape style="position:absolute;left:5422;top:14;width:2;height:393" coordorigin="5422,14" coordsize="0,393" path="m5422,14l5422,407e" filled="false" stroked="true" strokeweight="1.2pt" strokecolor="#d3d3d3">
                <v:path arrowok="t"/>
              </v:shape>
            </v:group>
            <v:group style="position:absolute;left:37;top:14;width:5373;height:393" coordorigin="37,14" coordsize="5373,393">
              <v:shape style="position:absolute;left:37;top:14;width:5373;height:393" coordorigin="37,14" coordsize="5373,393" path="m37,407l5410,407,5410,14,37,14,37,407xe" filled="true" fillcolor="#d3d3d3" stroked="false">
                <v:path arrowok="t"/>
                <v:fill type="solid"/>
              </v:shape>
            </v:group>
            <v:group style="position:absolute;left:5;top:10;width:9704;height:2" coordorigin="5,10" coordsize="9704,2">
              <v:shape style="position:absolute;left:5;top:10;width:9704;height:2" coordorigin="5,10" coordsize="9704,0" path="m5,10l9708,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pt" strokecolor="#000000">
                <v:path arrowok="t"/>
              </v:shape>
            </v:group>
            <v:group style="position:absolute;left:5;top:412;width:5429;height:2" coordorigin="5,412" coordsize="5429,2">
              <v:shape style="position:absolute;left:5;top:412;width:5429;height:2" coordorigin="5,412" coordsize="5429,0" path="m5,412l5434,412e" filled="false" stroked="true" strokeweight=".48pt" strokecolor="#000000">
                <v:path arrowok="t"/>
              </v:shape>
            </v:group>
            <v:group style="position:absolute;left:5438;top:14;width:2;height:402" coordorigin="5438,14" coordsize="2,402">
              <v:shape style="position:absolute;left:5438;top:14;width:2;height:402" coordorigin="5438,14" coordsize="0,402" path="m5438,14l5438,416e" filled="false" stroked="true" strokeweight=".48pt" strokecolor="#000000">
                <v:path arrowok="t"/>
              </v:shape>
            </v:group>
            <v:group style="position:absolute;left:5443;top:412;width:4256;height:2" coordorigin="5443,412" coordsize="4256,2">
              <v:shape style="position:absolute;left:5443;top:412;width:4256;height:2" coordorigin="5443,412" coordsize="4256,0" path="m5443,412l9698,412e" filled="false" stroked="true" strokeweight=".48pt" strokecolor="#000000">
                <v:path arrowok="t"/>
              </v:shape>
            </v:group>
            <v:group style="position:absolute;left:9703;top:5;width:2;height:412" coordorigin="9703,5" coordsize="2,412">
              <v:shape style="position:absolute;left:9703;top:5;width:2;height:412" coordorigin="9703,5" coordsize="0,412" path="m9703,5l9703,416e" filled="false" stroked="true" strokeweight=".48pt" strokecolor="#000000">
                <v:path arrowok="t"/>
              </v:shape>
              <v:shape style="position:absolute;left:10;top:10;width:5429;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xbxContent>
                </v:textbox>
                <w10:wrap type="none"/>
              </v:shape>
              <v:shape style="position:absolute;left:9359;top:129;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0.00</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w:t>
      </w:r>
      <w:r>
        <w:rPr>
          <w:spacing w:val="-6"/>
        </w:rPr>
        <w:t> </w:t>
      </w:r>
      <w:r>
        <w:rPr/>
        <w:t>投资性房地产明细情况</w:t>
      </w:r>
      <w:r>
        <w:rPr>
          <w:b w:val="0"/>
          <w:bCs w:val="0"/>
        </w:rPr>
      </w:r>
    </w:p>
    <w:p>
      <w:pPr>
        <w:spacing w:line="240" w:lineRule="auto" w:before="1"/>
        <w:rPr>
          <w:rFonts w:ascii="宋体" w:hAnsi="宋体" w:cs="宋体" w:eastAsia="宋体" w:hint="default"/>
          <w:b/>
          <w:bCs/>
          <w:sz w:val="26"/>
          <w:szCs w:val="26"/>
        </w:rPr>
      </w:pPr>
    </w:p>
    <w:tbl>
      <w:tblPr>
        <w:tblW w:w="0" w:type="auto"/>
        <w:jc w:val="left"/>
        <w:tblInd w:w="137" w:type="dxa"/>
        <w:tblLayout w:type="fixed"/>
        <w:tblCellMar>
          <w:top w:w="0" w:type="dxa"/>
          <w:left w:w="0" w:type="dxa"/>
          <w:bottom w:w="0" w:type="dxa"/>
          <w:right w:w="0" w:type="dxa"/>
        </w:tblCellMar>
        <w:tblLook w:val="01E0"/>
      </w:tblPr>
      <w:tblGrid>
        <w:gridCol w:w="4580"/>
        <w:gridCol w:w="1403"/>
        <w:gridCol w:w="985"/>
        <w:gridCol w:w="1285"/>
        <w:gridCol w:w="1404"/>
      </w:tblGrid>
      <w:tr>
        <w:trPr>
          <w:trHeight w:val="343" w:hRule="exact"/>
        </w:trPr>
        <w:tc>
          <w:tcPr>
            <w:tcW w:w="45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tabs>
                <w:tab w:pos="397"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0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42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9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12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27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0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423"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47" w:hRule="exact"/>
        </w:trPr>
        <w:tc>
          <w:tcPr>
            <w:tcW w:w="45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142"/>
              <w:jc w:val="right"/>
              <w:rPr>
                <w:rFonts w:ascii="宋体" w:hAnsi="宋体" w:cs="宋体" w:eastAsia="宋体" w:hint="default"/>
                <w:sz w:val="18"/>
                <w:szCs w:val="18"/>
              </w:rPr>
            </w:pPr>
            <w:r>
              <w:rPr>
                <w:rFonts w:ascii="宋体" w:hAnsi="宋体" w:cs="宋体" w:eastAsia="宋体" w:hint="default"/>
                <w:sz w:val="18"/>
                <w:szCs w:val="18"/>
              </w:rPr>
              <w:t>采用成本模式进行后续计量的投资性房地产</w:t>
            </w:r>
          </w:p>
        </w:tc>
        <w:tc>
          <w:tcPr>
            <w:tcW w:w="1403"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21,211,699.99</w:t>
            </w:r>
          </w:p>
        </w:tc>
        <w:tc>
          <w:tcPr>
            <w:tcW w:w="985" w:type="dxa"/>
            <w:tcBorders>
              <w:top w:val="single" w:sz="10" w:space="0" w:color="000000"/>
              <w:left w:val="single" w:sz="6" w:space="0" w:color="000000"/>
              <w:bottom w:val="single" w:sz="6" w:space="0" w:color="000000"/>
              <w:right w:val="single" w:sz="6" w:space="0" w:color="000000"/>
            </w:tcBorders>
          </w:tcPr>
          <w:p>
            <w:pPr/>
          </w:p>
        </w:tc>
        <w:tc>
          <w:tcPr>
            <w:tcW w:w="12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322" w:right="0"/>
              <w:jc w:val="left"/>
              <w:rPr>
                <w:rFonts w:ascii="Times New Roman" w:hAnsi="Times New Roman" w:cs="Times New Roman" w:eastAsia="Times New Roman" w:hint="default"/>
                <w:sz w:val="18"/>
                <w:szCs w:val="18"/>
              </w:rPr>
            </w:pPr>
            <w:r>
              <w:rPr>
                <w:rFonts w:ascii="Times New Roman"/>
                <w:sz w:val="18"/>
              </w:rPr>
              <w:t>1,738,256.04</w:t>
            </w:r>
          </w:p>
        </w:tc>
        <w:tc>
          <w:tcPr>
            <w:tcW w:w="140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19,473,443.95</w:t>
            </w:r>
          </w:p>
        </w:tc>
      </w:tr>
      <w:tr>
        <w:trPr>
          <w:trHeight w:val="347" w:hRule="exact"/>
        </w:trPr>
        <w:tc>
          <w:tcPr>
            <w:tcW w:w="45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1202"/>
              <w:jc w:val="right"/>
              <w:rPr>
                <w:rFonts w:ascii="宋体" w:hAnsi="宋体" w:cs="宋体" w:eastAsia="宋体" w:hint="default"/>
                <w:sz w:val="18"/>
                <w:szCs w:val="18"/>
              </w:rPr>
            </w:pPr>
            <w:r>
              <w:rPr>
                <w:rFonts w:ascii="宋体" w:hAnsi="宋体" w:cs="宋体" w:eastAsia="宋体" w:hint="default"/>
                <w:sz w:val="18"/>
                <w:szCs w:val="18"/>
              </w:rPr>
              <w:t>减：投资性房地产减值准备</w:t>
            </w:r>
          </w:p>
        </w:tc>
        <w:tc>
          <w:tcPr>
            <w:tcW w:w="1403" w:type="dxa"/>
            <w:tcBorders>
              <w:top w:val="single" w:sz="6" w:space="0" w:color="000000"/>
              <w:left w:val="single" w:sz="7"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40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5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0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21,211,699.99</w:t>
            </w:r>
          </w:p>
        </w:tc>
        <w:tc>
          <w:tcPr>
            <w:tcW w:w="985"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22" w:right="0"/>
              <w:jc w:val="left"/>
              <w:rPr>
                <w:rFonts w:ascii="Times New Roman" w:hAnsi="Times New Roman" w:cs="Times New Roman" w:eastAsia="Times New Roman" w:hint="default"/>
                <w:sz w:val="18"/>
                <w:szCs w:val="18"/>
              </w:rPr>
            </w:pPr>
            <w:r>
              <w:rPr>
                <w:rFonts w:ascii="Times New Roman"/>
                <w:sz w:val="18"/>
              </w:rPr>
              <w:t>1,738,256.04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19,473,443.95</w:t>
            </w:r>
          </w:p>
        </w:tc>
      </w:tr>
    </w:tbl>
    <w:p>
      <w:pPr>
        <w:spacing w:line="240" w:lineRule="auto" w:before="8"/>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5"/>
        <w:gridCol w:w="1485"/>
        <w:gridCol w:w="1438"/>
        <w:gridCol w:w="1472"/>
        <w:gridCol w:w="1582"/>
        <w:gridCol w:w="1473"/>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28,412,923,014.84</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7" w:right="0"/>
              <w:jc w:val="left"/>
              <w:rPr>
                <w:rFonts w:ascii="Times New Roman" w:hAnsi="Times New Roman" w:cs="Times New Roman" w:eastAsia="Times New Roman" w:hint="default"/>
                <w:sz w:val="18"/>
                <w:szCs w:val="18"/>
              </w:rPr>
            </w:pPr>
            <w:r>
              <w:rPr>
                <w:rFonts w:ascii="Times New Roman"/>
                <w:sz w:val="18"/>
              </w:rPr>
              <w:t>3,626,770,096.17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1,743,756,557.25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30,295,936,553.76</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4,539,770,091.32</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2" w:right="0"/>
              <w:jc w:val="left"/>
              <w:rPr>
                <w:rFonts w:ascii="Times New Roman" w:hAnsi="Times New Roman" w:cs="Times New Roman" w:eastAsia="Times New Roman" w:hint="default"/>
                <w:sz w:val="18"/>
                <w:szCs w:val="18"/>
              </w:rPr>
            </w:pPr>
            <w:r>
              <w:rPr>
                <w:rFonts w:ascii="Times New Roman"/>
                <w:sz w:val="18"/>
              </w:rPr>
              <w:t>502,087,028.73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407,376,889.65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4,634,480,230.40</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23,039,134,217.46</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7" w:right="0"/>
              <w:jc w:val="left"/>
              <w:rPr>
                <w:rFonts w:ascii="Times New Roman" w:hAnsi="Times New Roman" w:cs="Times New Roman" w:eastAsia="Times New Roman" w:hint="default"/>
                <w:sz w:val="18"/>
                <w:szCs w:val="18"/>
              </w:rPr>
            </w:pPr>
            <w:r>
              <w:rPr>
                <w:rFonts w:ascii="Times New Roman"/>
                <w:sz w:val="18"/>
              </w:rPr>
              <w:t>3,064,309,919.94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1,063,710,326.14</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25,039,733,811.26</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216,843,313.45</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1" w:right="0"/>
              <w:jc w:val="left"/>
              <w:rPr>
                <w:rFonts w:ascii="Times New Roman" w:hAnsi="Times New Roman" w:cs="Times New Roman" w:eastAsia="Times New Roman" w:hint="default"/>
                <w:sz w:val="18"/>
                <w:szCs w:val="18"/>
              </w:rPr>
            </w:pPr>
            <w:r>
              <w:rPr>
                <w:rFonts w:ascii="Times New Roman"/>
                <w:sz w:val="18"/>
              </w:rPr>
              <w:t>13,854,584.67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33,207,413.55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197,490,484.57</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617,175,392.61</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1" w:right="0"/>
              <w:jc w:val="left"/>
              <w:rPr>
                <w:rFonts w:ascii="Times New Roman" w:hAnsi="Times New Roman" w:cs="Times New Roman" w:eastAsia="Times New Roman" w:hint="default"/>
                <w:sz w:val="18"/>
                <w:szCs w:val="18"/>
              </w:rPr>
            </w:pPr>
            <w:r>
              <w:rPr>
                <w:rFonts w:ascii="Times New Roman"/>
                <w:sz w:val="18"/>
              </w:rPr>
              <w:t>46,518,562.83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239,461,927.91</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424,232,027.53</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8,648,567,024.93</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1,322,959,919.80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883,457,879.36</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9,088,069,065.37</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827,808,803.62</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133,659,156.59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160,975,764.13</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800,492,196.08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7,354,849,826.06</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1,128,083,337.49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529,810,479.69</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7,953,122,683.86</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88,283,565.63</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26,223,777.60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19,376,368.75</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95,130,974.48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377,624,829.62</w:t>
            </w:r>
          </w:p>
        </w:tc>
        <w:tc>
          <w:tcPr>
            <w:tcW w:w="1438"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34,993,648.12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173,295,266.79</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239,323,210.95</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85"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19,764,355,989.91</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21,207,867,488.39</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3,711,961,287.70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3,833,988,034.32</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15,684,284,391.40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17,086,611,127.40</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85"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128,559,747.82</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102,359,510.09</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8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239,550,562.99</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184,908,816.58</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85"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13,015,998.85</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26,220,000.00</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85"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13,015,998.85</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26,220,000.00</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85" w:type="dxa"/>
            <w:tcBorders>
              <w:top w:val="single" w:sz="4" w:space="0" w:color="000000"/>
              <w:left w:val="single" w:sz="4" w:space="0" w:color="000000"/>
              <w:bottom w:val="single" w:sz="4" w:space="0" w:color="000000"/>
              <w:right w:val="single" w:sz="13" w:space="0" w:color="D3D3D3"/>
            </w:tcBorders>
          </w:tcPr>
          <w:p>
            <w:pP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85"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19,751,339,991.06</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21,181,647,488.39</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85"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3,711,961,287.70</w:t>
            </w:r>
          </w:p>
        </w:tc>
        <w:tc>
          <w:tcPr>
            <w:tcW w:w="4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3,833,988,034.32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249" w:type="dxa"/>
        <w:tblLayout w:type="fixed"/>
        <w:tblCellMar>
          <w:top w:w="0" w:type="dxa"/>
          <w:left w:w="0" w:type="dxa"/>
          <w:bottom w:w="0" w:type="dxa"/>
          <w:right w:w="0" w:type="dxa"/>
        </w:tblCellMar>
        <w:tblLook w:val="01E0"/>
      </w:tblPr>
      <w:tblGrid>
        <w:gridCol w:w="2117"/>
        <w:gridCol w:w="1474"/>
        <w:gridCol w:w="4516"/>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15,671,268,392.55</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17,060,391,127.40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128,559,747.82</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102,359,510.09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239,550,562.99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184,908,816.58</w:t>
            </w:r>
          </w:p>
        </w:tc>
      </w:tr>
    </w:tbl>
    <w:p>
      <w:pPr>
        <w:pStyle w:val="BodyText"/>
        <w:spacing w:line="240" w:lineRule="auto" w:before="51"/>
        <w:ind w:left="254" w:right="0"/>
        <w:jc w:val="left"/>
      </w:pPr>
      <w:r>
        <w:rPr/>
        <w:t>本期折旧额</w:t>
      </w:r>
      <w:r>
        <w:rPr>
          <w:spacing w:val="-47"/>
        </w:rPr>
        <w:t> </w:t>
      </w:r>
      <w:r>
        <w:rPr>
          <w:rFonts w:ascii="Times New Roman" w:hAnsi="Times New Roman" w:cs="Times New Roman" w:eastAsia="Times New Roman" w:hint="default"/>
        </w:rPr>
        <w:t>1,322,959,919.80</w:t>
      </w:r>
      <w:r>
        <w:rPr>
          <w:rFonts w:ascii="Times New Roman" w:hAnsi="Times New Roman" w:cs="Times New Roman" w:eastAsia="Times New Roman" w:hint="default"/>
          <w:spacing w:val="-2"/>
        </w:rPr>
        <w:t> </w:t>
      </w:r>
      <w:r>
        <w:rPr/>
        <w:t>元；本期由在建工程转入固定资产原价为</w:t>
      </w:r>
      <w:r>
        <w:rPr>
          <w:spacing w:val="-47"/>
        </w:rPr>
        <w:t> </w:t>
      </w:r>
      <w:r>
        <w:rPr>
          <w:rFonts w:ascii="Times New Roman" w:hAnsi="Times New Roman" w:cs="Times New Roman" w:eastAsia="Times New Roman" w:hint="default"/>
        </w:rPr>
        <w:t>3,354,109,295.74</w:t>
      </w:r>
      <w:r>
        <w:rPr>
          <w:rFonts w:ascii="Times New Roman" w:hAnsi="Times New Roman" w:cs="Times New Roman" w:eastAsia="Times New Roman" w:hint="default"/>
          <w:spacing w:val="-3"/>
        </w:rPr>
        <w:t> </w:t>
      </w:r>
      <w:r>
        <w:rPr/>
        <w:t>元。</w:t>
      </w:r>
    </w:p>
    <w:p>
      <w:pPr>
        <w:spacing w:line="240" w:lineRule="auto" w:before="10"/>
        <w:rPr>
          <w:rFonts w:ascii="宋体" w:hAnsi="宋体" w:cs="宋体" w:eastAsia="宋体" w:hint="default"/>
          <w:sz w:val="25"/>
          <w:szCs w:val="25"/>
        </w:rPr>
      </w:pPr>
    </w:p>
    <w:p>
      <w:pPr>
        <w:pStyle w:val="Heading4"/>
        <w:spacing w:line="240" w:lineRule="auto"/>
        <w:ind w:left="254" w:right="0"/>
        <w:jc w:val="left"/>
        <w:rPr>
          <w:b w:val="0"/>
          <w:bCs w:val="0"/>
        </w:rPr>
      </w:pPr>
      <w:r>
        <w:rPr/>
        <w:t>（</w:t>
      </w:r>
      <w:r>
        <w:rPr>
          <w:rFonts w:ascii="Times New Roman" w:hAnsi="Times New Roman" w:cs="Times New Roman" w:eastAsia="Times New Roman" w:hint="default"/>
        </w:rPr>
        <w:t>2</w:t>
      </w:r>
      <w:r>
        <w:rPr/>
        <w:t>）</w:t>
      </w:r>
      <w:r>
        <w:rPr>
          <w:spacing w:val="-10"/>
        </w:rPr>
        <w:t> </w:t>
      </w:r>
      <w:r>
        <w:rPr/>
        <w:t>所有权受到限制的固定资产情况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253" w:right="230" w:firstLine="360"/>
        <w:jc w:val="both"/>
      </w:pP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日，账面价值约为</w:t>
      </w:r>
      <w:r>
        <w:rPr>
          <w:rFonts w:ascii="Times New Roman" w:hAnsi="Times New Roman" w:cs="Times New Roman" w:eastAsia="Times New Roman" w:hint="default"/>
        </w:rPr>
        <w:t>6,096,739,906.27</w:t>
      </w:r>
      <w:r>
        <w:rPr/>
        <w:t>（原值</w:t>
      </w:r>
      <w:r>
        <w:rPr>
          <w:rFonts w:ascii="Times New Roman" w:hAnsi="Times New Roman" w:cs="Times New Roman" w:eastAsia="Times New Roman" w:hint="default"/>
        </w:rPr>
        <w:t>6,696,658,597.87</w:t>
      </w:r>
      <w:r>
        <w:rPr/>
        <w:t>元）的房屋、建筑物及设备（</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spacing w:val="17"/>
        </w:rPr>
        <w:t>日：账面价值</w:t>
      </w:r>
      <w:r>
        <w:rPr>
          <w:spacing w:val="-71"/>
        </w:rPr>
        <w:t> </w:t>
      </w:r>
      <w:r>
        <w:rPr>
          <w:rFonts w:ascii="Times New Roman" w:hAnsi="Times New Roman" w:cs="Times New Roman" w:eastAsia="Times New Roman" w:hint="default"/>
        </w:rPr>
        <w:t>6,351,131,719.77</w:t>
      </w:r>
      <w:r>
        <w:rPr>
          <w:rFonts w:ascii="Times New Roman" w:hAnsi="Times New Roman" w:cs="Times New Roman" w:eastAsia="Times New Roman" w:hint="default"/>
          <w:spacing w:val="-24"/>
        </w:rPr>
        <w:t> </w:t>
      </w:r>
      <w:r>
        <w:rPr>
          <w:spacing w:val="15"/>
        </w:rPr>
        <w:t>元、原值</w:t>
      </w:r>
      <w:r>
        <w:rPr>
          <w:spacing w:val="-70"/>
        </w:rPr>
        <w:t> </w:t>
      </w:r>
      <w:r>
        <w:rPr>
          <w:rFonts w:ascii="Times New Roman" w:hAnsi="Times New Roman" w:cs="Times New Roman" w:eastAsia="Times New Roman" w:hint="default"/>
        </w:rPr>
        <w:t>6,654,874,429.83</w:t>
      </w:r>
      <w:r>
        <w:rPr>
          <w:rFonts w:ascii="Times New Roman" w:hAnsi="Times New Roman" w:cs="Times New Roman" w:eastAsia="Times New Roman" w:hint="default"/>
          <w:spacing w:val="-25"/>
        </w:rPr>
        <w:t> </w:t>
      </w:r>
      <w:r>
        <w:rPr>
          <w:spacing w:val="15"/>
        </w:rPr>
        <w:t>元）作为</w:t>
      </w:r>
      <w:r>
        <w:rPr>
          <w:spacing w:val="-70"/>
        </w:rPr>
        <w:t> </w:t>
      </w:r>
      <w:r>
        <w:rPr>
          <w:rFonts w:ascii="Times New Roman" w:hAnsi="Times New Roman" w:cs="Times New Roman" w:eastAsia="Times New Roman" w:hint="default"/>
        </w:rPr>
        <w:t>2,784,334,971.96</w:t>
      </w:r>
      <w:r>
        <w:rPr>
          <w:rFonts w:ascii="Times New Roman" w:hAnsi="Times New Roman" w:cs="Times New Roman" w:eastAsia="Times New Roman" w:hint="default"/>
          <w:spacing w:val="-24"/>
        </w:rPr>
        <w:t> </w:t>
      </w:r>
      <w:r>
        <w:rPr>
          <w:spacing w:val="17"/>
        </w:rPr>
        <w:t>元的长期借款（</w:t>
      </w:r>
      <w:r>
        <w:rPr>
          <w:spacing w:val="-7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w:t>
      </w:r>
      <w:r>
        <w:rPr>
          <w:spacing w:val="-70"/>
        </w:rPr>
        <w:t> </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spacing w:val="10"/>
        </w:rPr>
        <w:t>日：</w:t>
      </w:r>
      <w:r>
        <w:rPr>
          <w:spacing w:val="-69"/>
        </w:rPr>
        <w:t> </w:t>
      </w:r>
      <w:r>
        <w:rPr>
          <w:rFonts w:ascii="Times New Roman" w:hAnsi="Times New Roman" w:cs="Times New Roman" w:eastAsia="Times New Roman" w:hint="default"/>
          <w:spacing w:val="-3"/>
        </w:rPr>
        <w:t>3,098,403,800.00</w:t>
      </w:r>
      <w:r>
        <w:rPr>
          <w:spacing w:val="-3"/>
        </w:rPr>
        <w:t>元）（附注七、</w:t>
      </w:r>
      <w:r>
        <w:rPr>
          <w:rFonts w:ascii="Times New Roman" w:hAnsi="Times New Roman" w:cs="Times New Roman" w:eastAsia="Times New Roman" w:hint="default"/>
          <w:spacing w:val="-3"/>
        </w:rPr>
        <w:t>32</w:t>
      </w:r>
      <w:r>
        <w:rPr>
          <w:spacing w:val="-3"/>
        </w:rPr>
        <w:t>）和</w:t>
      </w:r>
      <w:r>
        <w:rPr>
          <w:rFonts w:ascii="Times New Roman" w:hAnsi="Times New Roman" w:cs="Times New Roman" w:eastAsia="Times New Roman" w:hint="default"/>
          <w:spacing w:val="-3"/>
        </w:rPr>
        <w:t>269,313,900.00</w:t>
      </w:r>
      <w:r>
        <w:rPr>
          <w:spacing w:val="-3"/>
        </w:rPr>
        <w:t>元的一年内到期的长期借款（</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290,625,800.00</w:t>
      </w:r>
      <w:r>
        <w:rPr>
          <w:spacing w:val="-3"/>
        </w:rPr>
        <w:t>元）（附</w:t>
      </w:r>
      <w:r>
        <w:rPr>
          <w:spacing w:val="-24"/>
        </w:rPr>
        <w:t> </w:t>
      </w:r>
      <w:r>
        <w:rPr>
          <w:spacing w:val="-24"/>
        </w:rPr>
      </w:r>
      <w:r>
        <w:rPr/>
        <w:t>注七、</w:t>
      </w:r>
      <w:r>
        <w:rPr>
          <w:rFonts w:ascii="Times New Roman" w:hAnsi="Times New Roman" w:cs="Times New Roman" w:eastAsia="Times New Roman" w:hint="default"/>
        </w:rPr>
        <w:t>30</w:t>
      </w:r>
      <w:r>
        <w:rPr/>
        <w:t>）的抵押物。</w:t>
      </w:r>
    </w:p>
    <w:p>
      <w:pPr>
        <w:spacing w:line="240" w:lineRule="auto" w:before="1"/>
        <w:rPr>
          <w:rFonts w:ascii="宋体" w:hAnsi="宋体" w:cs="宋体" w:eastAsia="宋体" w:hint="default"/>
          <w:sz w:val="22"/>
          <w:szCs w:val="22"/>
        </w:rPr>
      </w:pPr>
    </w:p>
    <w:p>
      <w:pPr>
        <w:pStyle w:val="Heading4"/>
        <w:spacing w:line="240" w:lineRule="auto"/>
        <w:ind w:left="254" w:right="0"/>
        <w:jc w:val="left"/>
        <w:rPr>
          <w:b w:val="0"/>
          <w:bCs w:val="0"/>
        </w:rPr>
      </w:pPr>
      <w:r>
        <w:rPr/>
        <w:t>（</w:t>
      </w:r>
      <w:r>
        <w:rPr>
          <w:rFonts w:ascii="Times New Roman" w:hAnsi="Times New Roman" w:cs="Times New Roman" w:eastAsia="Times New Roman" w:hint="default"/>
        </w:rPr>
        <w:t>3</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50"/>
        <w:jc w:val="right"/>
      </w:pPr>
      <w:r>
        <w:rPr/>
        <w:t>单位： 元</w:t>
      </w: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1573"/>
        <w:gridCol w:w="1606"/>
        <w:gridCol w:w="1595"/>
        <w:gridCol w:w="1594"/>
        <w:gridCol w:w="1594"/>
        <w:gridCol w:w="1595"/>
      </w:tblGrid>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18,543,388.90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1,538,986.90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17,004,402.00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59,287,663.47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1,004,224.43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58,283,439.04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77,831,052.37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2,543,211.33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75,287,841.04</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254" w:right="0"/>
        <w:jc w:val="left"/>
        <w:rPr>
          <w:b w:val="0"/>
          <w:bCs w:val="0"/>
        </w:rPr>
      </w:pPr>
      <w:r>
        <w:rPr/>
        <w:t>（</w:t>
      </w:r>
      <w:r>
        <w:rPr>
          <w:rFonts w:ascii="Times New Roman" w:hAnsi="Times New Roman" w:cs="Times New Roman" w:eastAsia="Times New Roman" w:hint="default"/>
        </w:rPr>
        <w:t>4</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2"/>
        <w:rPr>
          <w:rFonts w:ascii="宋体" w:hAnsi="宋体" w:cs="宋体" w:eastAsia="宋体" w:hint="default"/>
          <w:b/>
          <w:bCs/>
          <w:sz w:val="19"/>
          <w:szCs w:val="19"/>
        </w:rPr>
      </w:pPr>
    </w:p>
    <w:p>
      <w:pPr>
        <w:pStyle w:val="Heading4"/>
        <w:spacing w:line="240" w:lineRule="auto" w:before="35"/>
        <w:ind w:left="254"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54"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50"/>
        <w:jc w:val="right"/>
      </w:pPr>
      <w:r>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086"/>
        <w:gridCol w:w="1441"/>
        <w:gridCol w:w="718"/>
        <w:gridCol w:w="1319"/>
        <w:gridCol w:w="1357"/>
        <w:gridCol w:w="611"/>
        <w:gridCol w:w="1388"/>
      </w:tblGrid>
      <w:tr>
        <w:trPr>
          <w:trHeight w:val="402" w:hRule="exact"/>
        </w:trPr>
        <w:tc>
          <w:tcPr>
            <w:tcW w:w="30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7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714" w:hRule="exact"/>
        </w:trPr>
        <w:tc>
          <w:tcPr>
            <w:tcW w:w="3086" w:type="dxa"/>
            <w:vMerge/>
            <w:tcBorders>
              <w:left w:val="single" w:sz="4" w:space="0" w:color="000000"/>
              <w:bottom w:val="single" w:sz="4" w:space="0" w:color="000000"/>
              <w:right w:val="single" w:sz="4" w:space="0" w:color="000000"/>
            </w:tcBorders>
            <w:shd w:val="clear" w:color="auto" w:fill="D3D3D3"/>
          </w:tcPr>
          <w:p>
            <w:pP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3" w:right="83"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10" w:right="29" w:hanging="180"/>
              <w:jc w:val="left"/>
              <w:rPr>
                <w:rFonts w:ascii="宋体" w:hAnsi="宋体" w:cs="宋体" w:eastAsia="宋体" w:hint="default"/>
                <w:sz w:val="18"/>
                <w:szCs w:val="18"/>
              </w:rPr>
            </w:pPr>
            <w:r>
              <w:rPr>
                <w:rFonts w:ascii="宋体" w:hAnsi="宋体" w:cs="宋体" w:eastAsia="宋体" w:hint="default"/>
                <w:sz w:val="18"/>
                <w:szCs w:val="18"/>
              </w:rPr>
              <w:t>减值准 备</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电厂三期再扩建</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483,981,213.99</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483,981,213.99</w:t>
            </w:r>
          </w:p>
        </w:tc>
      </w:tr>
      <w:tr>
        <w:trPr>
          <w:trHeight w:val="403"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铁路项目</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67,825,111.06</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67,825,111.06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430,297.89</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430,297.89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880" w:right="88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3086"/>
        <w:gridCol w:w="1441"/>
        <w:gridCol w:w="718"/>
        <w:gridCol w:w="1319"/>
        <w:gridCol w:w="1357"/>
        <w:gridCol w:w="611"/>
        <w:gridCol w:w="1388"/>
      </w:tblGrid>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白卡纸等项目技改</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57,275,709.38</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57,275,709.38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18,231,971.17</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18,231,971.17</w:t>
            </w:r>
          </w:p>
        </w:tc>
      </w:tr>
      <w:tr>
        <w:trPr>
          <w:trHeight w:val="71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湛江晨鸣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万吨木浆设备升级改造项 目（湛江晨鸣）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267,839,895.73</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267,839,895.73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116,258,400.00</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116,258,400.00</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万吨纸杯原纸项目（湛江晨鸣）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313,760,579.02</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313,760,579.02</w:t>
            </w:r>
          </w:p>
        </w:tc>
        <w:tc>
          <w:tcPr>
            <w:tcW w:w="1357"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万吨高级文化纸项目（湛江晨鸣）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284,958,974.38</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284,958,974.38</w:t>
            </w:r>
          </w:p>
        </w:tc>
        <w:tc>
          <w:tcPr>
            <w:tcW w:w="1357"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纸机压榨部改造（江西晨鸣）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62,598,886.06</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62,598,886.06</w:t>
            </w:r>
          </w:p>
        </w:tc>
        <w:tc>
          <w:tcPr>
            <w:tcW w:w="1357"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电厂脱硫脱硝项目（江西晨鸣）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27,249,910.87</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27,249,910.87</w:t>
            </w:r>
          </w:p>
        </w:tc>
        <w:tc>
          <w:tcPr>
            <w:tcW w:w="1357"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食品包装纸项目（江西晨鸣）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122,625,351.96</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122,625,351.96</w:t>
            </w:r>
          </w:p>
        </w:tc>
        <w:tc>
          <w:tcPr>
            <w:tcW w:w="1357" w:type="dxa"/>
            <w:tcBorders>
              <w:top w:val="single" w:sz="4" w:space="0" w:color="000000"/>
              <w:left w:val="single" w:sz="4" w:space="0" w:color="000000"/>
              <w:bottom w:val="single" w:sz="4" w:space="0" w:color="000000"/>
              <w:right w:val="single" w:sz="4" w:space="0" w:color="000000"/>
            </w:tcBorders>
          </w:tcPr>
          <w:p>
            <w:pP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二厂新增生活纸机生产线改造工程（武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汉晨鸣）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445,390,478.03</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445,390,478.03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47,110,293.82</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47,110,293.82</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特种纸技术改造工程（武汉晨鸣）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185,261,723.30</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185,261,723.30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37,306,505.60</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37,306,505.60</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吉林迁建（吉林晨鸣）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2,218,570,285.48</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2,218,570,285.48</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1,358,160,725.92</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1,358,160,725.92</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菱镁矿开采（海城海鸣）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463,059,536.30</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463,059,536.30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196,118,936.12</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196,118,936.12</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万吨涂布白牛卡项目（寿光美伦）</w:t>
            </w:r>
          </w:p>
        </w:tc>
        <w:tc>
          <w:tcPr>
            <w:tcW w:w="1441"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2,488,623,232.74</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2,488,623,232.74</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美伦造纸添加剂项目（寿光美伦）</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339,261,614.70</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339,261,614.70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50,464,830.16</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50,464,830.16</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热敏纸改造项目（寿光美术纸）</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208,582,395.43</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208,582,395.43</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92,572.74</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92,572.74</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林浆一体化项目（黄冈晨鸣）</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130,795,345.46</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130,795,345.46</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120,872,039.53</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120,872,039.53</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70,976,020.44</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70,976,020.44</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99,953,801.91</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99,953,801.91</w:t>
            </w:r>
          </w:p>
        </w:tc>
      </w:tr>
      <w:tr>
        <w:trPr>
          <w:trHeight w:val="402" w:hRule="exact"/>
        </w:trPr>
        <w:tc>
          <w:tcPr>
            <w:tcW w:w="3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5,266,031,817.60</w:t>
            </w:r>
          </w:p>
        </w:tc>
        <w:tc>
          <w:tcPr>
            <w:tcW w:w="71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5,266,031,817.60</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5,017,604,821.59</w:t>
            </w:r>
          </w:p>
        </w:tc>
        <w:tc>
          <w:tcPr>
            <w:tcW w:w="6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5,017,604,821.59</w:t>
            </w:r>
          </w:p>
        </w:tc>
      </w:tr>
    </w:tbl>
    <w:p>
      <w:pPr>
        <w:spacing w:line="240" w:lineRule="auto" w:before="2"/>
        <w:rPr>
          <w:rFonts w:ascii="宋体" w:hAnsi="宋体" w:cs="宋体" w:eastAsia="宋体" w:hint="default"/>
          <w:sz w:val="19"/>
          <w:szCs w:val="19"/>
        </w:rPr>
      </w:pPr>
    </w:p>
    <w:p>
      <w:pPr>
        <w:pStyle w:val="Heading4"/>
        <w:spacing w:line="240" w:lineRule="auto" w:before="35"/>
        <w:ind w:left="254"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25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电厂三</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r>
      <w:tr>
        <w:trPr>
          <w:trHeight w:val="629"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期再扩 建</w:t>
            </w:r>
            <w:r>
              <w:rPr>
                <w:rFonts w:ascii="Times New Roman" w:hAnsi="Times New Roman" w:cs="Times New Roman" w:eastAsia="Times New Roman" w:hint="default"/>
                <w:sz w:val="18"/>
                <w:szCs w:val="18"/>
              </w:rPr>
              <w:t>(</w:t>
            </w:r>
            <w:r>
              <w:rPr>
                <w:rFonts w:ascii="宋体" w:hAnsi="宋体" w:cs="宋体" w:eastAsia="宋体" w:hint="default"/>
                <w:sz w:val="18"/>
                <w:szCs w:val="18"/>
              </w:rPr>
              <w:t>母公</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9" w:right="0"/>
              <w:jc w:val="center"/>
              <w:rPr>
                <w:rFonts w:ascii="Times New Roman" w:hAnsi="Times New Roman" w:cs="Times New Roman" w:eastAsia="Times New Roman" w:hint="default"/>
                <w:sz w:val="18"/>
                <w:szCs w:val="18"/>
              </w:rPr>
            </w:pPr>
            <w:r>
              <w:rPr>
                <w:rFonts w:ascii="Times New Roman"/>
                <w:sz w:val="18"/>
              </w:rPr>
              <w:t>583,000,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8" w:right="0"/>
              <w:jc w:val="center"/>
              <w:rPr>
                <w:rFonts w:ascii="Times New Roman" w:hAnsi="Times New Roman" w:cs="Times New Roman" w:eastAsia="Times New Roman" w:hint="default"/>
                <w:sz w:val="18"/>
                <w:szCs w:val="18"/>
              </w:rPr>
            </w:pPr>
            <w:r>
              <w:rPr>
                <w:rFonts w:ascii="Times New Roman"/>
                <w:sz w:val="18"/>
              </w:rPr>
              <w:t>483,981,</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213.99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71,071,9</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28.66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8" w:right="0"/>
              <w:jc w:val="center"/>
              <w:rPr>
                <w:rFonts w:ascii="Times New Roman" w:hAnsi="Times New Roman" w:cs="Times New Roman" w:eastAsia="Times New Roman" w:hint="default"/>
                <w:sz w:val="18"/>
                <w:szCs w:val="18"/>
              </w:rPr>
            </w:pPr>
            <w:r>
              <w:rPr>
                <w:rFonts w:ascii="Times New Roman"/>
                <w:sz w:val="18"/>
              </w:rPr>
              <w:t>555,053,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142.65</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38,944,6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01.01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8,832,62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0.16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vMerge/>
            <w:tcBorders>
              <w:left w:val="single" w:sz="4" w:space="0" w:color="000000"/>
              <w:right w:val="single" w:sz="4" w:space="0" w:color="000000"/>
            </w:tcBorders>
          </w:tcPr>
          <w:p>
            <w:pP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铁路项 目</w:t>
            </w:r>
            <w:r>
              <w:rPr>
                <w:rFonts w:ascii="Times New Roman" w:hAnsi="Times New Roman" w:cs="Times New Roman" w:eastAsia="Times New Roman" w:hint="default"/>
                <w:sz w:val="18"/>
                <w:szCs w:val="18"/>
              </w:rPr>
              <w:t>(</w:t>
            </w:r>
            <w:r>
              <w:rPr>
                <w:rFonts w:ascii="宋体" w:hAnsi="宋体" w:cs="宋体" w:eastAsia="宋体" w:hint="default"/>
                <w:sz w:val="18"/>
                <w:szCs w:val="18"/>
              </w:rPr>
              <w:t>母公 司</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430,297.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67,394,8</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13.17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1,276,46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1,276,46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67,825,1</w:t>
            </w:r>
          </w:p>
          <w:p>
            <w:pPr>
              <w:pStyle w:val="TableParagraph"/>
              <w:spacing w:line="240" w:lineRule="auto" w:before="105"/>
              <w:ind w:left="306" w:right="0"/>
              <w:jc w:val="left"/>
              <w:rPr>
                <w:rFonts w:ascii="Times New Roman" w:hAnsi="Times New Roman" w:cs="Times New Roman" w:eastAsia="Times New Roman" w:hint="default"/>
                <w:sz w:val="18"/>
                <w:szCs w:val="18"/>
              </w:rPr>
            </w:pPr>
            <w:r>
              <w:rPr>
                <w:rFonts w:ascii="Times New Roman"/>
                <w:sz w:val="18"/>
              </w:rPr>
              <w:t>11.06</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1"/>
              <w:jc w:val="left"/>
              <w:rPr>
                <w:rFonts w:ascii="宋体" w:hAnsi="宋体" w:cs="宋体" w:eastAsia="宋体" w:hint="default"/>
                <w:sz w:val="18"/>
                <w:szCs w:val="18"/>
              </w:rPr>
            </w:pPr>
            <w:r>
              <w:rPr>
                <w:rFonts w:ascii="宋体" w:hAnsi="宋体" w:cs="宋体" w:eastAsia="宋体" w:hint="default"/>
                <w:sz w:val="18"/>
                <w:szCs w:val="18"/>
              </w:rPr>
              <w:t>等项目 技改</w:t>
            </w:r>
            <w:r>
              <w:rPr>
                <w:rFonts w:ascii="Times New Roman" w:hAnsi="Times New Roman" w:cs="Times New Roman" w:eastAsia="Times New Roman" w:hint="default"/>
                <w:sz w:val="18"/>
                <w:szCs w:val="18"/>
              </w:rPr>
              <w:t>(</w:t>
            </w:r>
            <w:r>
              <w:rPr>
                <w:rFonts w:ascii="宋体" w:hAnsi="宋体" w:cs="宋体" w:eastAsia="宋体" w:hint="default"/>
                <w:sz w:val="18"/>
                <w:szCs w:val="18"/>
              </w:rPr>
              <w:t>母</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9"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18,231,9</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71.17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71,744,1</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08.89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32,700,3</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70.68</w:t>
            </w: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57,275,7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09.38</w:t>
            </w:r>
          </w:p>
        </w:tc>
      </w:tr>
      <w:tr>
        <w:trPr>
          <w:trHeight w:val="352"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880" w:right="8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1"/>
              <w:jc w:val="both"/>
              <w:rPr>
                <w:rFonts w:ascii="宋体" w:hAnsi="宋体" w:cs="宋体" w:eastAsia="宋体" w:hint="default"/>
                <w:sz w:val="18"/>
                <w:szCs w:val="18"/>
              </w:rPr>
            </w:pPr>
            <w:r>
              <w:rPr>
                <w:rFonts w:ascii="宋体" w:hAnsi="宋体" w:cs="宋体" w:eastAsia="宋体" w:hint="default"/>
                <w:sz w:val="18"/>
                <w:szCs w:val="18"/>
              </w:rPr>
              <w:t>吨木浆 设备升 级改造</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116,258,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151,581,</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495.73</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99%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99%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9,939,14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8.74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6,380,72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3.66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267,839,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895.73</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项目（湛</w:t>
            </w: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17"/>
              <w:jc w:val="left"/>
              <w:rPr>
                <w:rFonts w:ascii="宋体" w:hAnsi="宋体" w:cs="宋体" w:eastAsia="宋体" w:hint="default"/>
                <w:sz w:val="18"/>
                <w:szCs w:val="18"/>
              </w:rPr>
            </w:pPr>
            <w:r>
              <w:rPr>
                <w:rFonts w:ascii="宋体" w:hAnsi="宋体" w:cs="宋体" w:eastAsia="宋体" w:hint="default"/>
                <w:sz w:val="18"/>
                <w:szCs w:val="18"/>
              </w:rPr>
              <w:t>江晨鸣）</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1"/>
              <w:jc w:val="left"/>
              <w:rPr>
                <w:rFonts w:ascii="宋体" w:hAnsi="宋体" w:cs="宋体" w:eastAsia="宋体" w:hint="default"/>
                <w:sz w:val="18"/>
                <w:szCs w:val="18"/>
              </w:rPr>
            </w:pPr>
            <w:r>
              <w:rPr>
                <w:rFonts w:ascii="宋体" w:hAnsi="宋体" w:cs="宋体" w:eastAsia="宋体" w:hint="default"/>
                <w:sz w:val="18"/>
                <w:szCs w:val="18"/>
              </w:rPr>
              <w:t>纸杯原 纸项目</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（湛江</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1,322,00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0,000.00</w:t>
            </w:r>
          </w:p>
        </w:tc>
        <w:tc>
          <w:tcPr>
            <w:tcW w:w="736"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313,760,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579.02</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24%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24%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16,395,2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72.65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16,395,2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72.65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313,760,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579.02</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z w:val="18"/>
                <w:szCs w:val="18"/>
              </w:rPr>
              <w:t>高级文 化纸项 </w:t>
            </w:r>
            <w:r>
              <w:rPr>
                <w:rFonts w:ascii="宋体" w:hAnsi="宋体" w:cs="宋体" w:eastAsia="宋体" w:hint="default"/>
                <w:spacing w:val="-11"/>
                <w:sz w:val="18"/>
                <w:szCs w:val="18"/>
              </w:rPr>
              <w:t>目（湛江</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3,097,00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0,000.00</w:t>
            </w:r>
          </w:p>
        </w:tc>
        <w:tc>
          <w:tcPr>
            <w:tcW w:w="736"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284,958,</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974.38</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9%</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284,958,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974.38</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纸</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61"/>
              <w:jc w:val="left"/>
              <w:rPr>
                <w:rFonts w:ascii="宋体" w:hAnsi="宋体" w:cs="宋体" w:eastAsia="宋体" w:hint="default"/>
                <w:sz w:val="18"/>
                <w:szCs w:val="18"/>
              </w:rPr>
            </w:pPr>
            <w:r>
              <w:rPr>
                <w:rFonts w:ascii="宋体" w:hAnsi="宋体" w:cs="宋体" w:eastAsia="宋体" w:hint="default"/>
                <w:sz w:val="18"/>
                <w:szCs w:val="18"/>
              </w:rPr>
              <w:t>机压榨 部改造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76,000,0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00.00</w:t>
            </w:r>
          </w:p>
        </w:tc>
        <w:tc>
          <w:tcPr>
            <w:tcW w:w="736"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62,598,8</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86.06</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82%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390,973.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390,973.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62,598,8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86.06</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电厂脱</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硫脱硝 </w:t>
            </w:r>
            <w:r>
              <w:rPr>
                <w:rFonts w:ascii="宋体" w:hAnsi="宋体" w:cs="宋体" w:eastAsia="宋体" w:hint="default"/>
                <w:spacing w:val="-11"/>
                <w:sz w:val="18"/>
                <w:szCs w:val="18"/>
              </w:rPr>
              <w:t>项目（江</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00.00</w:t>
            </w:r>
          </w:p>
        </w:tc>
        <w:tc>
          <w:tcPr>
            <w:tcW w:w="736"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27,249,9</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10.87</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27,249,9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10.87</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17"/>
              <w:jc w:val="left"/>
              <w:rPr>
                <w:rFonts w:ascii="宋体" w:hAnsi="宋体" w:cs="宋体" w:eastAsia="宋体" w:hint="default"/>
                <w:sz w:val="18"/>
                <w:szCs w:val="18"/>
              </w:rPr>
            </w:pPr>
            <w:r>
              <w:rPr>
                <w:rFonts w:ascii="宋体" w:hAnsi="宋体" w:cs="宋体" w:eastAsia="宋体" w:hint="default"/>
                <w:sz w:val="18"/>
                <w:szCs w:val="18"/>
              </w:rPr>
              <w:t>西晨鸣）</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食品包</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装纸项 </w:t>
            </w:r>
            <w:r>
              <w:rPr>
                <w:rFonts w:ascii="宋体" w:hAnsi="宋体" w:cs="宋体" w:eastAsia="宋体" w:hint="default"/>
                <w:spacing w:val="-11"/>
                <w:sz w:val="18"/>
                <w:szCs w:val="18"/>
              </w:rPr>
              <w:t>目（江西</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1" w:right="0"/>
              <w:jc w:val="left"/>
              <w:rPr>
                <w:rFonts w:ascii="Times New Roman" w:hAnsi="Times New Roman" w:cs="Times New Roman" w:eastAsia="Times New Roman" w:hint="default"/>
                <w:sz w:val="18"/>
                <w:szCs w:val="18"/>
              </w:rPr>
            </w:pPr>
            <w:r>
              <w:rPr>
                <w:rFonts w:ascii="Times New Roman"/>
                <w:sz w:val="18"/>
              </w:rPr>
              <w:t>1,830,00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0,000.00</w:t>
            </w:r>
          </w:p>
        </w:tc>
        <w:tc>
          <w:tcPr>
            <w:tcW w:w="736"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9" w:right="0"/>
              <w:jc w:val="center"/>
              <w:rPr>
                <w:rFonts w:ascii="Times New Roman" w:hAnsi="Times New Roman" w:cs="Times New Roman" w:eastAsia="Times New Roman" w:hint="default"/>
                <w:sz w:val="18"/>
                <w:szCs w:val="18"/>
              </w:rPr>
            </w:pPr>
            <w:r>
              <w:rPr>
                <w:rFonts w:ascii="Times New Roman"/>
                <w:sz w:val="18"/>
              </w:rPr>
              <w:t>122,625,</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351.96</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765,014.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765,014.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2" w:right="0"/>
              <w:jc w:val="center"/>
              <w:rPr>
                <w:rFonts w:ascii="Times New Roman" w:hAnsi="Times New Roman" w:cs="Times New Roman" w:eastAsia="Times New Roman" w:hint="default"/>
                <w:sz w:val="18"/>
                <w:szCs w:val="18"/>
              </w:rPr>
            </w:pPr>
            <w:r>
              <w:rPr>
                <w:rFonts w:ascii="Times New Roman"/>
                <w:sz w:val="18"/>
              </w:rPr>
              <w:t>122,625,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351.96</w:t>
            </w:r>
          </w:p>
        </w:tc>
      </w:tr>
      <w:tr>
        <w:trPr>
          <w:trHeight w:val="353"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二厂新</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增生活</w:t>
            </w: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纸机生 产线改 造工程</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47,110,2</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93.82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398,521,</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446.27</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99%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99%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19,477,8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07.67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18,400,1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04.52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6.39%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445,390,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478.03</w:t>
            </w:r>
          </w:p>
        </w:tc>
      </w:tr>
      <w:tr>
        <w:trPr>
          <w:trHeight w:val="313"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73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特种纸</w:t>
            </w: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技术改 造工程</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248,000,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37,306,5</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05.60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147,955,</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217.70</w:t>
            </w: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75%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75%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3,604,91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1.14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3,321,83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0.19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185,261,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723.30</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晨鸣）</w:t>
            </w: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吉林迁 </w:t>
            </w:r>
            <w:r>
              <w:rPr>
                <w:rFonts w:ascii="宋体" w:hAnsi="宋体" w:cs="宋体" w:eastAsia="宋体" w:hint="default"/>
                <w:spacing w:val="-11"/>
                <w:sz w:val="18"/>
                <w:szCs w:val="18"/>
              </w:rPr>
              <w:t>建（吉林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2,300,00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1,358,16</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0,725.92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936,908,</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330.16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76,498,7</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70.60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5,499,99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2,218,57</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0,285.48</w:t>
            </w:r>
          </w:p>
        </w:tc>
      </w:tr>
      <w:tr>
        <w:trPr>
          <w:trHeight w:val="1026"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菱镁矿 </w:t>
            </w:r>
            <w:r>
              <w:rPr>
                <w:rFonts w:ascii="宋体" w:hAnsi="宋体" w:cs="宋体" w:eastAsia="宋体" w:hint="default"/>
                <w:spacing w:val="-11"/>
                <w:sz w:val="18"/>
                <w:szCs w:val="18"/>
              </w:rPr>
              <w:t>开采（海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城海鸣）</w:t>
            </w:r>
          </w:p>
        </w:tc>
        <w:tc>
          <w:tcPr>
            <w:tcW w:w="7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196,118,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936.12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266,940,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600.18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463,059,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536.30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 涂布白 牛卡项 </w:t>
            </w:r>
            <w:r>
              <w:rPr>
                <w:rFonts w:ascii="宋体" w:hAnsi="宋体" w:cs="宋体" w:eastAsia="宋体" w:hint="default"/>
                <w:spacing w:val="-11"/>
                <w:sz w:val="18"/>
                <w:szCs w:val="18"/>
              </w:rPr>
              <w:t>目（寿光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美伦）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2,488,62</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3,232.74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89,648,9</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81.23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2,578,27</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2,213.97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0" w:right="0"/>
              <w:jc w:val="center"/>
              <w:rPr>
                <w:rFonts w:ascii="Times New Roman" w:hAnsi="Times New Roman" w:cs="Times New Roman" w:eastAsia="Times New Roman" w:hint="default"/>
                <w:sz w:val="18"/>
                <w:szCs w:val="18"/>
              </w:rPr>
            </w:pPr>
            <w:r>
              <w:rPr>
                <w:rFonts w:ascii="Times New Roman"/>
                <w:sz w:val="18"/>
              </w:rPr>
              <w:t>200,669,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260.09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美伦造 纸添加 剂项目</w:t>
            </w:r>
          </w:p>
          <w:p>
            <w:pPr>
              <w:pStyle w:val="TableParagraph"/>
              <w:spacing w:line="319" w:lineRule="auto" w:before="19"/>
              <w:ind w:left="22" w:right="161"/>
              <w:jc w:val="both"/>
              <w:rPr>
                <w:rFonts w:ascii="宋体" w:hAnsi="宋体" w:cs="宋体" w:eastAsia="宋体" w:hint="default"/>
                <w:sz w:val="18"/>
                <w:szCs w:val="18"/>
              </w:rPr>
            </w:pPr>
            <w:r>
              <w:rPr>
                <w:rFonts w:ascii="宋体" w:hAnsi="宋体" w:cs="宋体" w:eastAsia="宋体" w:hint="default"/>
                <w:sz w:val="18"/>
                <w:szCs w:val="18"/>
              </w:rPr>
              <w:t>（寿光 美伦）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9" w:right="0"/>
              <w:jc w:val="center"/>
              <w:rPr>
                <w:rFonts w:ascii="Times New Roman" w:hAnsi="Times New Roman" w:cs="Times New Roman" w:eastAsia="Times New Roman" w:hint="default"/>
                <w:sz w:val="18"/>
                <w:szCs w:val="18"/>
              </w:rPr>
            </w:pPr>
            <w:r>
              <w:rPr>
                <w:rFonts w:ascii="Times New Roman"/>
                <w:sz w:val="18"/>
              </w:rPr>
              <w:t>550,000,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50,464,8</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30.16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9" w:right="0"/>
              <w:jc w:val="center"/>
              <w:rPr>
                <w:rFonts w:ascii="Times New Roman" w:hAnsi="Times New Roman" w:cs="Times New Roman" w:eastAsia="Times New Roman" w:hint="default"/>
                <w:sz w:val="18"/>
                <w:szCs w:val="18"/>
              </w:rPr>
            </w:pPr>
            <w:r>
              <w:rPr>
                <w:rFonts w:ascii="Times New Roman"/>
                <w:sz w:val="18"/>
              </w:rPr>
              <w:t>288,796,</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784.54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7,703,57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3" w:right="0"/>
              <w:jc w:val="left"/>
              <w:rPr>
                <w:rFonts w:ascii="Times New Roman" w:hAnsi="Times New Roman" w:cs="Times New Roman" w:eastAsia="Times New Roman" w:hint="default"/>
                <w:sz w:val="18"/>
                <w:szCs w:val="18"/>
              </w:rPr>
            </w:pPr>
            <w:r>
              <w:rPr>
                <w:rFonts w:ascii="Times New Roman"/>
                <w:sz w:val="18"/>
              </w:rPr>
              <w:t>7,703,57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2" w:right="0"/>
              <w:jc w:val="center"/>
              <w:rPr>
                <w:rFonts w:ascii="Times New Roman" w:hAnsi="Times New Roman" w:cs="Times New Roman" w:eastAsia="Times New Roman" w:hint="default"/>
                <w:sz w:val="18"/>
                <w:szCs w:val="18"/>
              </w:rPr>
            </w:pPr>
            <w:r>
              <w:rPr>
                <w:rFonts w:ascii="Times New Roman"/>
                <w:sz w:val="18"/>
              </w:rPr>
              <w:t>339,261,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614.70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热敏纸 改造项 </w:t>
            </w:r>
            <w:r>
              <w:rPr>
                <w:rFonts w:ascii="宋体" w:hAnsi="宋体" w:cs="宋体" w:eastAsia="宋体" w:hint="default"/>
                <w:spacing w:val="-11"/>
                <w:sz w:val="18"/>
                <w:szCs w:val="18"/>
              </w:rPr>
              <w:t>目（寿光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美术纸）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208,489,</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822.69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1,141,83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1,141,83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208,582,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395.43</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林浆一 体化项 </w:t>
            </w:r>
            <w:r>
              <w:rPr>
                <w:rFonts w:ascii="宋体" w:hAnsi="宋体" w:cs="宋体" w:eastAsia="宋体" w:hint="default"/>
                <w:spacing w:val="-11"/>
                <w:sz w:val="18"/>
                <w:szCs w:val="18"/>
              </w:rPr>
              <w:t>目（黄冈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晨鸣）</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3,485,00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0,000.00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120,872,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039.53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9,923,30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5.93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130,795,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345.46</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99,953,8</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01.91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158,864,</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524.91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188,083,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568.44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2,629,87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1,993,52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资本金 及借款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70,976,0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20.44</w:t>
            </w: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18,033,0</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5,017,60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4,821.59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3,679,03</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5,062.35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3,354,10</w:t>
            </w:r>
          </w:p>
          <w:p>
            <w:pPr>
              <w:pStyle w:val="TableParagraph"/>
              <w:spacing w:line="240" w:lineRule="auto" w:before="105"/>
              <w:ind w:left="70" w:right="0"/>
              <w:jc w:val="left"/>
              <w:rPr>
                <w:rFonts w:ascii="Times New Roman" w:hAnsi="Times New Roman" w:cs="Times New Roman" w:eastAsia="Times New Roman" w:hint="default"/>
                <w:sz w:val="18"/>
                <w:szCs w:val="18"/>
              </w:rPr>
            </w:pPr>
            <w:r>
              <w:rPr>
                <w:rFonts w:ascii="Times New Roman"/>
                <w:sz w:val="18"/>
              </w:rPr>
              <w:t>9,295.74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76,498,7</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70.60</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308,438,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755.83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66,601,9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49.46</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5,266,03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1,817.60</w:t>
            </w:r>
          </w:p>
        </w:tc>
      </w:tr>
    </w:tbl>
    <w:p>
      <w:pPr>
        <w:pStyle w:val="BodyText"/>
        <w:spacing w:line="240" w:lineRule="auto" w:before="51"/>
        <w:ind w:left="154" w:right="0"/>
        <w:jc w:val="left"/>
      </w:pPr>
      <w:r>
        <w:rPr/>
        <w:t>在建工程项目变动情况的说明：吉林迁建在建工程其他减少数原因是由于搬迁导致部分资产报废。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）重大在建工程的工程进度情况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4348"/>
        <w:gridCol w:w="1280"/>
        <w:gridCol w:w="4066"/>
      </w:tblGrid>
      <w:tr>
        <w:trPr>
          <w:trHeight w:val="401" w:hRule="exact"/>
        </w:trPr>
        <w:tc>
          <w:tcPr>
            <w:tcW w:w="4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4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电厂三期再扩建</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100%</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铁路项目</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白卡纸等项目技改</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w:t>
            </w:r>
            <w:r>
              <w:rPr>
                <w:rFonts w:ascii="Times New Roman" w:hAnsi="Times New Roman" w:cs="Times New Roman" w:eastAsia="Times New Roman" w:hint="default"/>
                <w:sz w:val="18"/>
                <w:szCs w:val="18"/>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万吨木浆设备升级改造项目（湛江晨鸣）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万吨纸杯原纸项目（湛江晨鸣）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万吨高级文化纸项目（湛江晨鸣）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bl>
    <w:p>
      <w:pPr>
        <w:spacing w:after="0" w:line="240" w:lineRule="auto"/>
        <w:jc w:val="center"/>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4348"/>
        <w:gridCol w:w="1280"/>
        <w:gridCol w:w="4066"/>
      </w:tblGrid>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纸机压榨部改造（江西晨鸣）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电厂脱硫脱硝项目（江西晨鸣）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食品包装纸项目（江西晨鸣）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二厂新增生活纸机生产线改造工程（武汉晨鸣）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特种纸技术改造工程（武汉晨鸣）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吉林迁建（吉林晨鸣）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菱镁矿开采（海城海鸣）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万吨涂布白牛卡项目（寿光美伦）</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美伦造纸添加剂项目（寿光美伦）</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热敏纸改造项目（寿光美术纸）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r>
        <w:trPr>
          <w:trHeight w:val="402" w:hRule="exact"/>
        </w:trPr>
        <w:tc>
          <w:tcPr>
            <w:tcW w:w="4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林浆一体化项目（黄冈晨鸣）</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4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工程进度以投入占预算的比例为基础进行估计</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13</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59"/>
        <w:gridCol w:w="1595"/>
        <w:gridCol w:w="1460"/>
        <w:gridCol w:w="1594"/>
        <w:gridCol w:w="1860"/>
      </w:tblGrid>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38,672,668.55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659,611,752.87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662,469,772.11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35,814,649.31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36,382,323.54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96,087,584.93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104,316,490.16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28,153,418.31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75,054,992.09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755,699,337.80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766,786,262.27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63,968,067.62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14</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304"/>
        <w:gridCol w:w="1732"/>
        <w:gridCol w:w="1730"/>
        <w:gridCol w:w="1927"/>
      </w:tblGrid>
      <w:tr>
        <w:trPr>
          <w:trHeight w:val="402" w:hRule="exact"/>
        </w:trPr>
        <w:tc>
          <w:tcPr>
            <w:tcW w:w="4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2"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吉林晨鸣纸业有限责任公司环保迁建</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287,015,185.63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242,538,418.36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搬迁</w:t>
            </w:r>
          </w:p>
        </w:tc>
      </w:tr>
      <w:tr>
        <w:trPr>
          <w:trHeight w:val="402"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武汉晨鸣汉阳纸业股份有限公司搬迁</w:t>
            </w:r>
          </w:p>
        </w:tc>
        <w:tc>
          <w:tcPr>
            <w:tcW w:w="1732"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345,643,229.17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搬迁</w:t>
            </w:r>
          </w:p>
        </w:tc>
      </w:tr>
      <w:tr>
        <w:trPr>
          <w:trHeight w:val="402" w:hRule="exact"/>
        </w:trPr>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294,632.40</w:t>
            </w:r>
          </w:p>
        </w:tc>
        <w:tc>
          <w:tcPr>
            <w:tcW w:w="1730"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287,309,818.03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588,181,647.53</w:t>
            </w:r>
          </w:p>
        </w:tc>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right="150" w:firstLine="360"/>
        <w:jc w:val="both"/>
      </w:pPr>
      <w:r>
        <w:rPr>
          <w:spacing w:val="11"/>
        </w:rPr>
        <w:t>注：吉林晨鸣纸业有限公司</w:t>
      </w:r>
      <w:r>
        <w:rPr>
          <w:rFonts w:ascii="Times New Roman" w:hAnsi="Times New Roman" w:cs="Times New Roman" w:eastAsia="Times New Roman" w:hint="default"/>
          <w:spacing w:val="11"/>
        </w:rPr>
        <w:t>2013</w:t>
      </w:r>
      <w:r>
        <w:rPr>
          <w:rFonts w:ascii="Times New Roman" w:hAnsi="Times New Roman" w:cs="Times New Roman" w:eastAsia="Times New Roman" w:hint="default"/>
          <w:spacing w:val="-16"/>
        </w:rPr>
        <w:t> </w:t>
      </w:r>
      <w:r>
        <w:rPr>
          <w:spacing w:val="10"/>
        </w:rPr>
        <w:t>年因搬迁固定资产净值</w:t>
      </w:r>
      <w:r>
        <w:rPr>
          <w:rFonts w:ascii="Times New Roman" w:hAnsi="Times New Roman" w:cs="Times New Roman" w:eastAsia="Times New Roman" w:hint="default"/>
          <w:spacing w:val="10"/>
        </w:rPr>
        <w:t>17,160,644.51</w:t>
      </w:r>
      <w:r>
        <w:rPr>
          <w:spacing w:val="10"/>
        </w:rPr>
        <w:t>元转入清理，在建工程转入固定资产清理</w:t>
      </w:r>
      <w:r>
        <w:rPr/>
        <w:t> </w:t>
      </w:r>
      <w:r>
        <w:rPr>
          <w:rFonts w:ascii="Times New Roman" w:hAnsi="Times New Roman" w:cs="Times New Roman" w:eastAsia="Times New Roman" w:hint="default"/>
          <w:spacing w:val="-1"/>
        </w:rPr>
        <w:t>76,498,770.60</w:t>
      </w:r>
      <w:r>
        <w:rPr>
          <w:spacing w:val="-1"/>
        </w:rPr>
        <w:t>元，工程物资转入固定资产清理</w:t>
      </w:r>
      <w:r>
        <w:rPr>
          <w:rFonts w:ascii="Times New Roman" w:hAnsi="Times New Roman" w:cs="Times New Roman" w:eastAsia="Times New Roman" w:hint="default"/>
          <w:spacing w:val="-1"/>
        </w:rPr>
        <w:t>19,781,725.75</w:t>
      </w:r>
      <w:r>
        <w:rPr>
          <w:spacing w:val="-1"/>
        </w:rPr>
        <w:t>元，已清理资产净值</w:t>
      </w:r>
      <w:r>
        <w:rPr>
          <w:rFonts w:ascii="Times New Roman" w:hAnsi="Times New Roman" w:cs="Times New Roman" w:eastAsia="Times New Roman" w:hint="default"/>
          <w:spacing w:val="-1"/>
        </w:rPr>
        <w:t>158,004,749.34</w:t>
      </w:r>
      <w:r>
        <w:rPr>
          <w:spacing w:val="-1"/>
        </w:rPr>
        <w:t>元。武汉晨鸣汉阳纸业股份有</w:t>
      </w:r>
      <w:r>
        <w:rPr>
          <w:spacing w:val="-62"/>
        </w:rPr>
        <w:t> </w:t>
      </w:r>
      <w:r>
        <w:rPr>
          <w:spacing w:val="-62"/>
        </w:rPr>
      </w:r>
      <w:r>
        <w:rPr/>
        <w:t>限公司</w:t>
      </w:r>
      <w:r>
        <w:rPr>
          <w:rFonts w:ascii="Times New Roman" w:hAnsi="Times New Roman" w:cs="Times New Roman" w:eastAsia="Times New Roman" w:hint="default"/>
        </w:rPr>
        <w:t>2013</w:t>
      </w:r>
      <w:r>
        <w:rPr/>
        <w:t>年因搬迁固定资产净值</w:t>
      </w:r>
      <w:r>
        <w:rPr>
          <w:rFonts w:ascii="Times New Roman" w:hAnsi="Times New Roman" w:cs="Times New Roman" w:eastAsia="Times New Roman" w:hint="default"/>
        </w:rPr>
        <w:t>520,014,570.53</w:t>
      </w:r>
      <w:r>
        <w:rPr/>
        <w:t>元转入清理，已清理资产净值</w:t>
      </w:r>
      <w:r>
        <w:rPr>
          <w:rFonts w:ascii="Times New Roman" w:hAnsi="Times New Roman" w:cs="Times New Roman" w:eastAsia="Times New Roman" w:hint="default"/>
        </w:rPr>
        <w:t>174,371,341.36</w:t>
      </w:r>
      <w:r>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15</w:t>
      </w:r>
      <w:r>
        <w:rPr/>
        <w:t>、消耗性生物资产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）以公允价值计量</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left"/>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84"/>
        <w:gridCol w:w="1738"/>
        <w:gridCol w:w="1861"/>
        <w:gridCol w:w="2125"/>
        <w:gridCol w:w="1860"/>
      </w:tblGrid>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林业</w:t>
            </w:r>
          </w:p>
        </w:tc>
      </w:tr>
      <w:tr>
        <w:trPr>
          <w:trHeight w:val="402"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林木</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1,169,269,054.15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170,257,270.82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22,385,201.20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1,317,141,123.77</w:t>
            </w:r>
          </w:p>
        </w:tc>
      </w:tr>
      <w:tr>
        <w:trPr>
          <w:trHeight w:val="402" w:hRule="exact"/>
        </w:trPr>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1,169,269,054.15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170,257,270.82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22,385,201.20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1,317,141,123.77</w:t>
            </w:r>
          </w:p>
        </w:tc>
      </w:tr>
    </w:tbl>
    <w:p>
      <w:pPr>
        <w:pStyle w:val="BodyText"/>
        <w:spacing w:line="300" w:lineRule="auto" w:before="10"/>
        <w:ind w:right="151" w:firstLine="360"/>
        <w:jc w:val="both"/>
      </w:pPr>
      <w:r>
        <w:rPr/>
        <w:t>（</w:t>
      </w:r>
      <w:r>
        <w:rPr>
          <w:rFonts w:ascii="Times New Roman" w:hAnsi="Times New Roman" w:cs="Times New Roman" w:eastAsia="Times New Roman" w:hint="default"/>
        </w:rPr>
        <w:t>1</w:t>
      </w:r>
      <w:r>
        <w:rPr/>
        <w:t>）以公允价值计量生物资产，林木因购买而增加人民币</w:t>
      </w:r>
      <w:r>
        <w:rPr>
          <w:rFonts w:ascii="Times New Roman" w:hAnsi="Times New Roman" w:cs="Times New Roman" w:eastAsia="Times New Roman" w:hint="default"/>
        </w:rPr>
        <w:t>12,924,958.49</w:t>
      </w:r>
      <w:r>
        <w:rPr/>
        <w:t>元，因繁育而增加人民币</w:t>
      </w:r>
      <w:r>
        <w:rPr>
          <w:rFonts w:ascii="Times New Roman" w:hAnsi="Times New Roman" w:cs="Times New Roman" w:eastAsia="Times New Roman" w:hint="default"/>
        </w:rPr>
        <w:t>146,110,483.57</w:t>
      </w:r>
      <w:r>
        <w:rPr/>
        <w:t>元，因 出售而减少人民币</w:t>
      </w:r>
      <w:r>
        <w:rPr>
          <w:rFonts w:ascii="Times New Roman" w:hAnsi="Times New Roman" w:cs="Times New Roman" w:eastAsia="Times New Roman" w:hint="default"/>
        </w:rPr>
        <w:t>22,385,201.20</w:t>
      </w:r>
      <w:r>
        <w:rPr/>
        <w:t>元，因公允价值变动而增加人民币</w:t>
      </w:r>
      <w:r>
        <w:rPr>
          <w:rFonts w:ascii="Times New Roman" w:hAnsi="Times New Roman" w:cs="Times New Roman" w:eastAsia="Times New Roman" w:hint="default"/>
        </w:rPr>
        <w:t>11,221,828.76</w:t>
      </w:r>
      <w:r>
        <w:rPr/>
        <w:t>元。</w:t>
      </w:r>
    </w:p>
    <w:p>
      <w:pPr>
        <w:pStyle w:val="BodyText"/>
        <w:spacing w:line="307" w:lineRule="auto" w:before="13"/>
        <w:ind w:right="148" w:firstLine="360"/>
        <w:jc w:val="both"/>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日止，消耗性生物资产中当年种植的或者是没有形成蓄积量的林木的公允价值和成本之间不存 </w:t>
      </w:r>
      <w:r>
        <w:rPr>
          <w:spacing w:val="-2"/>
        </w:rPr>
        <w:t>在重大差异，以账面值作为公允价值，形成蓄积量的林木以公允价值计量，公允价值根据北京大正海地人资产评估有限公司</w:t>
      </w:r>
      <w:r>
        <w:rPr>
          <w:spacing w:val="-66"/>
        </w:rPr>
        <w:t> </w:t>
      </w:r>
      <w:r>
        <w:rPr>
          <w:spacing w:val="-66"/>
        </w:rPr>
      </w:r>
      <w:r>
        <w:rPr/>
        <w:t>评估值确定。以账面值作为公允价值计量的消耗性生物资产为</w:t>
      </w:r>
      <w:r>
        <w:rPr>
          <w:rFonts w:ascii="Times New Roman" w:hAnsi="Times New Roman" w:cs="Times New Roman" w:eastAsia="Times New Roman" w:hint="default"/>
        </w:rPr>
        <w:t>124,503,050.23</w:t>
      </w:r>
      <w:r>
        <w:rPr/>
        <w:t>元，以评估值作为公允价值计量的消耗性生物</w:t>
      </w:r>
      <w:r>
        <w:rPr>
          <w:spacing w:val="-48"/>
        </w:rPr>
        <w:t> </w:t>
      </w:r>
      <w:r>
        <w:rPr>
          <w:spacing w:val="-48"/>
        </w:rPr>
      </w:r>
      <w:r>
        <w:rPr/>
        <w:t>资产为</w:t>
      </w:r>
      <w:r>
        <w:rPr>
          <w:rFonts w:ascii="Times New Roman" w:hAnsi="Times New Roman" w:cs="Times New Roman" w:eastAsia="Times New Roman" w:hint="default"/>
        </w:rPr>
        <w:t>1,192,638,073.54</w:t>
      </w:r>
      <w:r>
        <w:rPr/>
        <w:t>元。</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1,607,671,950.95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156,276,649.45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199,061,078.12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1,564,887,522.28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1,590,505,598.38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155,074,574.55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199,011,078.12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1,546,569,094.81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17,166,352.57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1,202,074.90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18,318,427.47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191,174,791.73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31,794,800.76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23,500,072.47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199,469,520.02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179,397,382.19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29,769,094.70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23,471,600.25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185,694,876.64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11,777,409.54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2,025,706.06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28,472.22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13,774,643.38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1,416,497,159.22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124,481,848.69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175,561,005.65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1,365,418,002.26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1,411,108,216.19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125,305,479.85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175,539,477.87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1,360,874,218.17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5,388,943.03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-823,631.16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21,527.78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4,543,784.09</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1,416,497,159.22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124,481,848.69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175,561,005.65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1,365,418,002.26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1,411,108,216.19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125,305,479.85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175,539,477.87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1,360,874,218.17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5,388,943.03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-823,631.16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21,527.78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4,543,784.09</w:t>
            </w:r>
          </w:p>
        </w:tc>
      </w:tr>
    </w:tbl>
    <w:p>
      <w:pPr>
        <w:pStyle w:val="BodyText"/>
        <w:spacing w:line="240" w:lineRule="auto" w:before="51"/>
        <w:ind w:left="514" w:right="0"/>
        <w:jc w:val="left"/>
      </w:pPr>
      <w:r>
        <w:rPr/>
        <w:t>本期摊销额</w:t>
      </w:r>
      <w:r>
        <w:rPr>
          <w:spacing w:val="-46"/>
        </w:rPr>
        <w:t> </w:t>
      </w:r>
      <w:r>
        <w:rPr>
          <w:rFonts w:ascii="Times New Roman" w:hAnsi="Times New Roman" w:cs="Times New Roman" w:eastAsia="Times New Roman" w:hint="default"/>
        </w:rPr>
        <w:t>31,794,800.76</w:t>
      </w:r>
      <w:r>
        <w:rPr>
          <w:rFonts w:ascii="Times New Roman" w:hAnsi="Times New Roman" w:cs="Times New Roman" w:eastAsia="Times New Roman" w:hint="default"/>
          <w:spacing w:val="-1"/>
        </w:rPr>
        <w:t> </w:t>
      </w:r>
      <w:r>
        <w:rPr/>
        <w:t>元。</w:t>
      </w:r>
    </w:p>
    <w:p>
      <w:pPr>
        <w:pStyle w:val="BodyText"/>
        <w:spacing w:line="240" w:lineRule="auto" w:before="102"/>
        <w:ind w:left="514" w:right="0"/>
        <w:jc w:val="left"/>
      </w:pPr>
      <w:r>
        <w:rPr/>
        <w:t>①</w:t>
      </w:r>
      <w:r>
        <w:rPr>
          <w:spacing w:val="5"/>
        </w:rPr>
        <w:t> </w:t>
      </w:r>
      <w:r>
        <w:rPr>
          <w:spacing w:val="7"/>
        </w:rPr>
        <w:t>本年因出售子公司而减少的无形资产原值为</w:t>
      </w:r>
      <w:r>
        <w:rPr>
          <w:rFonts w:ascii="Times New Roman" w:hAnsi="Times New Roman" w:cs="Times New Roman" w:eastAsia="Times New Roman" w:hint="default"/>
          <w:spacing w:val="7"/>
        </w:rPr>
        <w:t>40,132,700.00</w:t>
      </w:r>
      <w:r>
        <w:rPr>
          <w:spacing w:val="7"/>
        </w:rPr>
        <w:t>元，本年因出售子公司而减少的无形资产累计摊销为</w:t>
      </w:r>
      <w:r>
        <w:rPr/>
      </w:r>
    </w:p>
    <w:p>
      <w:pPr>
        <w:pStyle w:val="BodyText"/>
        <w:spacing w:line="240" w:lineRule="auto" w:before="62"/>
        <w:ind w:right="0"/>
        <w:jc w:val="left"/>
      </w:pPr>
      <w:r>
        <w:rPr>
          <w:rFonts w:ascii="Times New Roman" w:hAnsi="Times New Roman" w:cs="Times New Roman" w:eastAsia="Times New Roman" w:hint="default"/>
        </w:rPr>
        <w:t>1,270,868.77</w:t>
      </w:r>
      <w:r>
        <w:rPr/>
        <w:t>元。</w:t>
      </w:r>
    </w:p>
    <w:p>
      <w:pPr>
        <w:pStyle w:val="BodyText"/>
        <w:spacing w:line="300" w:lineRule="auto" w:before="62"/>
        <w:ind w:right="148" w:firstLine="359"/>
        <w:jc w:val="both"/>
      </w:pPr>
      <w:r>
        <w:rPr/>
        <w:t>②于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日，账面价值人民币</w:t>
      </w:r>
      <w:r>
        <w:rPr>
          <w:rFonts w:ascii="Times New Roman" w:hAnsi="Times New Roman" w:cs="Times New Roman" w:eastAsia="Times New Roman" w:hint="default"/>
        </w:rPr>
        <w:t>323,501,839.10</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330,717,493.46</w:t>
      </w:r>
      <w:r>
        <w:rPr/>
        <w:t>元）无形资产所有权 受到限制，系本公司以账面价值为人民币</w:t>
      </w:r>
      <w:r>
        <w:rPr>
          <w:rFonts w:ascii="Times New Roman" w:hAnsi="Times New Roman" w:cs="Times New Roman" w:eastAsia="Times New Roman" w:hint="default"/>
        </w:rPr>
        <w:t>323,501,839.10</w:t>
      </w:r>
      <w:r>
        <w:rPr/>
        <w:t>元的土地使用权为抵押，取得长期借款</w:t>
      </w:r>
      <w:r>
        <w:rPr>
          <w:rFonts w:ascii="Times New Roman" w:hAnsi="Times New Roman" w:cs="Times New Roman" w:eastAsia="Times New Roman" w:hint="default"/>
        </w:rPr>
        <w:t>2,784,334,971.96</w:t>
      </w:r>
      <w:r>
        <w:rPr/>
        <w:t>元（</w:t>
      </w:r>
      <w:r>
        <w:rPr>
          <w:rFonts w:ascii="Times New Roman" w:hAnsi="Times New Roman" w:cs="Times New Roman" w:eastAsia="Times New Roman" w:hint="default"/>
        </w:rPr>
        <w:t>2012</w:t>
      </w:r>
      <w:r>
        <w:rPr/>
        <w:t>年</w:t>
      </w:r>
      <w:r>
        <w:rPr>
          <w:spacing w:val="-50"/>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3,098,403,800.00</w:t>
      </w:r>
      <w:r>
        <w:rPr/>
        <w:t>元）和</w:t>
      </w:r>
      <w:r>
        <w:rPr>
          <w:rFonts w:ascii="Times New Roman" w:hAnsi="Times New Roman" w:cs="Times New Roman" w:eastAsia="Times New Roman" w:hint="default"/>
        </w:rPr>
        <w:t>269,313,900.00</w:t>
      </w:r>
      <w:r>
        <w:rPr/>
        <w:t>元的一年内到期的长期借款（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290,625,800.00</w:t>
      </w:r>
      <w:r>
        <w:rPr/>
        <w:t>元）（详见 附注七、</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2013</w:t>
      </w:r>
      <w:r>
        <w:rPr/>
        <w:t>年该土地使用权的摊销额为人民币</w:t>
      </w:r>
      <w:r>
        <w:rPr>
          <w:rFonts w:ascii="Times New Roman" w:hAnsi="Times New Roman" w:cs="Times New Roman" w:eastAsia="Times New Roman" w:hint="default"/>
        </w:rPr>
        <w:t>7,215,654.36</w:t>
      </w:r>
      <w:r>
        <w:rPr/>
        <w:t>元（</w:t>
      </w:r>
      <w:r>
        <w:rPr>
          <w:rFonts w:ascii="Times New Roman" w:hAnsi="Times New Roman" w:cs="Times New Roman" w:eastAsia="Times New Roman" w:hint="default"/>
        </w:rPr>
        <w:t>2012</w:t>
      </w:r>
      <w:r>
        <w:rPr/>
        <w:t>年：人民币</w:t>
      </w:r>
      <w:r>
        <w:rPr>
          <w:rFonts w:ascii="Times New Roman" w:hAnsi="Times New Roman" w:cs="Times New Roman" w:eastAsia="Times New Roman" w:hint="default"/>
        </w:rPr>
        <w:t>7,215,654.36</w:t>
      </w:r>
      <w:r>
        <w:rPr/>
        <w:t>元）。</w:t>
      </w:r>
    </w:p>
    <w:p>
      <w:pPr>
        <w:pStyle w:val="BodyText"/>
        <w:spacing w:line="240" w:lineRule="auto" w:before="13"/>
        <w:ind w:left="514" w:right="0"/>
        <w:jc w:val="left"/>
      </w:pPr>
      <w:r>
        <w:rPr/>
        <w:t>③土地使用权系本集团依照中国法律在中国境内取得的国有土地使用权，出让期限自取得土地使用权起为</w:t>
      </w:r>
      <w:r>
        <w:rPr>
          <w:rFonts w:ascii="Times New Roman" w:hAnsi="Times New Roman" w:cs="Times New Roman" w:eastAsia="Times New Roman" w:hint="default"/>
        </w:rPr>
        <w:t>40</w:t>
      </w:r>
      <w:r>
        <w:rPr/>
        <w:t>年</w:t>
      </w:r>
      <w:r>
        <w:rPr>
          <w:rFonts w:ascii="Times New Roman" w:hAnsi="Times New Roman" w:cs="Times New Roman" w:eastAsia="Times New Roman" w:hint="default"/>
        </w:rPr>
        <w:t>-50</w:t>
      </w:r>
      <w:r>
        <w:rPr/>
        <w:t>年。</w:t>
      </w:r>
    </w:p>
    <w:p>
      <w:pPr>
        <w:spacing w:after="0" w:line="240" w:lineRule="auto"/>
        <w:jc w:val="left"/>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17</w:t>
      </w:r>
      <w:r>
        <w:rPr/>
        <w:t>、商誉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504"/>
        <w:gridCol w:w="1386"/>
        <w:gridCol w:w="986"/>
        <w:gridCol w:w="988"/>
        <w:gridCol w:w="1386"/>
        <w:gridCol w:w="1444"/>
      </w:tblGrid>
      <w:tr>
        <w:trPr>
          <w:trHeight w:val="402" w:hRule="exact"/>
        </w:trPr>
        <w:tc>
          <w:tcPr>
            <w:tcW w:w="35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2"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14,314,160.60</w:t>
            </w:r>
          </w:p>
        </w:tc>
        <w:tc>
          <w:tcPr>
            <w:tcW w:w="98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14,314,160.60</w:t>
            </w:r>
          </w:p>
        </w:tc>
        <w:tc>
          <w:tcPr>
            <w:tcW w:w="1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山东晨鸣板材有限责任公司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5,969,626.57</w:t>
            </w:r>
          </w:p>
        </w:tc>
        <w:tc>
          <w:tcPr>
            <w:tcW w:w="98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5,969,626.57</w:t>
            </w:r>
          </w:p>
        </w:tc>
        <w:tc>
          <w:tcPr>
            <w:tcW w:w="14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20,283,787.17</w:t>
            </w:r>
          </w:p>
        </w:tc>
        <w:tc>
          <w:tcPr>
            <w:tcW w:w="98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20,283,787.17</w:t>
            </w:r>
          </w:p>
        </w:tc>
        <w:tc>
          <w:tcPr>
            <w:tcW w:w="14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left="444" w:right="0"/>
        <w:jc w:val="left"/>
      </w:pPr>
      <w:r>
        <w:rPr/>
        <w:t>本公司商誉系本公司于以前年度非同一控制下的企业合并形成。 </w:t>
      </w:r>
      <w:r>
        <w:rPr>
          <w:spacing w:val="-1"/>
        </w:rPr>
        <w:t>资产负债表日，公司管理层评估产生商誉的现金产出单元的可收回金额，以决定是否对其计提相应的减值准备。现金产</w:t>
      </w:r>
    </w:p>
    <w:p>
      <w:pPr>
        <w:pStyle w:val="BodyText"/>
        <w:spacing w:line="300" w:lineRule="auto" w:before="18"/>
        <w:ind w:right="149"/>
        <w:jc w:val="both"/>
      </w:pPr>
      <w:r>
        <w:rPr>
          <w:spacing w:val="2"/>
        </w:rPr>
        <w:t>出单元的可收回金额按管理层制定的未来五年财务预算中的现金流量预算，使用每年市场预期的行业稳定增长率</w:t>
      </w:r>
      <w:r>
        <w:rPr>
          <w:rFonts w:ascii="Times New Roman" w:hAnsi="Times New Roman" w:cs="Times New Roman" w:eastAsia="Times New Roman" w:hint="default"/>
          <w:spacing w:val="2"/>
        </w:rPr>
        <w:t>5%(2012</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5%)</w:t>
      </w:r>
      <w:r>
        <w:rPr/>
        <w:t>计算，并按照</w:t>
      </w:r>
      <w:r>
        <w:rPr>
          <w:rFonts w:ascii="Times New Roman" w:hAnsi="Times New Roman" w:cs="Times New Roman" w:eastAsia="Times New Roman" w:hint="default"/>
        </w:rPr>
        <w:t>8.32%(2012</w:t>
      </w:r>
      <w:r>
        <w:rPr/>
        <w:t>年：</w:t>
      </w:r>
      <w:r>
        <w:rPr>
          <w:rFonts w:ascii="Times New Roman" w:hAnsi="Times New Roman" w:cs="Times New Roman" w:eastAsia="Times New Roman" w:hint="default"/>
        </w:rPr>
        <w:t>8.32%)</w:t>
      </w:r>
      <w:r>
        <w:rPr/>
        <w:t>的折现率评估货币之时间价值。公司管理层预计报告期内，商誉无需计提减值</w:t>
      </w:r>
      <w:r>
        <w:rPr>
          <w:spacing w:val="-85"/>
        </w:rPr>
        <w:t> </w:t>
      </w:r>
      <w:r>
        <w:rPr>
          <w:spacing w:val="-85"/>
        </w:rPr>
      </w:r>
      <w:r>
        <w:rPr/>
        <w:t>准备。</w:t>
      </w:r>
    </w:p>
    <w:p>
      <w:pPr>
        <w:pStyle w:val="BodyText"/>
        <w:spacing w:line="240" w:lineRule="auto" w:before="31"/>
        <w:ind w:left="454" w:right="0"/>
        <w:jc w:val="left"/>
      </w:pPr>
      <w:r>
        <w:rPr/>
        <w:t>商誉减值测试方法详见附注四、</w:t>
      </w:r>
      <w:r>
        <w:rPr>
          <w:rFonts w:ascii="Times New Roman" w:hAnsi="Times New Roman" w:cs="Times New Roman" w:eastAsia="Times New Roman" w:hint="default"/>
        </w:rPr>
        <w:t>20</w:t>
      </w:r>
      <w:r>
        <w:rPr/>
        <w:t>。</w:t>
      </w: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756"/>
        <w:gridCol w:w="1385"/>
        <w:gridCol w:w="1174"/>
        <w:gridCol w:w="1172"/>
        <w:gridCol w:w="1280"/>
        <w:gridCol w:w="1384"/>
        <w:gridCol w:w="1543"/>
      </w:tblGrid>
      <w:tr>
        <w:trPr>
          <w:trHeight w:val="402" w:hRule="exact"/>
        </w:trPr>
        <w:tc>
          <w:tcPr>
            <w:tcW w:w="1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6"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租赁资产改良支出</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12,108,612.65</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1,724,187.60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2" w:right="0"/>
              <w:jc w:val="left"/>
              <w:rPr>
                <w:rFonts w:ascii="Times New Roman" w:hAnsi="Times New Roman" w:cs="Times New Roman" w:eastAsia="Times New Roman" w:hint="default"/>
                <w:sz w:val="18"/>
                <w:szCs w:val="18"/>
              </w:rPr>
            </w:pPr>
            <w:r>
              <w:rPr>
                <w:rFonts w:ascii="Times New Roman"/>
                <w:sz w:val="18"/>
              </w:rPr>
              <w:t>10,384,425.05</w:t>
            </w:r>
          </w:p>
        </w:tc>
        <w:tc>
          <w:tcPr>
            <w:tcW w:w="1384"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延边于本期出售</w:t>
            </w:r>
          </w:p>
        </w:tc>
      </w:tr>
      <w:tr>
        <w:trPr>
          <w:trHeight w:val="402" w:hRule="exact"/>
        </w:trPr>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林地费用</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170,460,955.74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2,756,861.13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6,833,966.41</w:t>
            </w:r>
          </w:p>
        </w:tc>
        <w:tc>
          <w:tcPr>
            <w:tcW w:w="128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166,383,850.46</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2,201,117.26</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46,484.04</w:t>
            </w:r>
          </w:p>
        </w:tc>
        <w:tc>
          <w:tcPr>
            <w:tcW w:w="128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2,154,633.22</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184,770,685.65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2,756,861.13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8,604,638.05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2" w:right="0"/>
              <w:jc w:val="left"/>
              <w:rPr>
                <w:rFonts w:ascii="Times New Roman" w:hAnsi="Times New Roman" w:cs="Times New Roman" w:eastAsia="Times New Roman" w:hint="default"/>
                <w:sz w:val="18"/>
                <w:szCs w:val="18"/>
              </w:rPr>
            </w:pPr>
            <w:r>
              <w:rPr>
                <w:rFonts w:ascii="Times New Roman"/>
                <w:sz w:val="18"/>
              </w:rPr>
              <w:t>10,384,425.05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168,538,483.68</w:t>
            </w:r>
          </w:p>
        </w:tc>
        <w:tc>
          <w:tcPr>
            <w:tcW w:w="15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19</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54" w:right="0"/>
        <w:jc w:val="left"/>
      </w:pPr>
      <w:r>
        <w:rPr/>
        <w:t>已确认的递延所得税资产和递延所得税负债</w:t>
      </w:r>
    </w:p>
    <w:p>
      <w:pPr>
        <w:pStyle w:val="BodyText"/>
        <w:spacing w:line="240" w:lineRule="auto" w:before="116"/>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11"/>
        <w:gridCol w:w="2923"/>
        <w:gridCol w:w="2922"/>
      </w:tblGrid>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76,545,138.40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76,283,989.46</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391,818,687.83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244,104,208.24</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14,392,382.14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20,805,987.85</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应付未付款项</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10,652,244.21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17,531,699.23</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14,244,935.80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18,212,201.82</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507,653,388.38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376,938,086.60</w:t>
            </w:r>
          </w:p>
        </w:tc>
      </w:tr>
      <w:tr>
        <w:trPr>
          <w:trHeight w:val="403"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52"/>
        <w:ind w:left="0" w:right="150"/>
        <w:jc w:val="right"/>
      </w:pPr>
      <w:r>
        <w:rPr/>
        <w:t>单位： 元</w:t>
      </w:r>
    </w:p>
    <w:p>
      <w:pPr>
        <w:spacing w:after="0" w:line="240" w:lineRule="auto"/>
        <w:jc w:val="right"/>
        <w:sectPr>
          <w:footerReference w:type="default" r:id="rId27"/>
          <w:pgSz w:w="11910" w:h="16840"/>
          <w:pgMar w:footer="950" w:header="877" w:top="1100" w:bottom="1140" w:left="980" w:right="980"/>
          <w:pgNumType w:start="156"/>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699"/>
        <w:gridCol w:w="2935"/>
        <w:gridCol w:w="2922"/>
      </w:tblGrid>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2,095,852.19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118,431,196.57</w:t>
            </w:r>
          </w:p>
        </w:tc>
      </w:tr>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420,230,273.61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329,374,556.35</w:t>
            </w:r>
          </w:p>
        </w:tc>
      </w:tr>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422,326,125.80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447,805,752.92</w:t>
            </w:r>
          </w:p>
        </w:tc>
      </w:tr>
    </w:tbl>
    <w:p>
      <w:pPr>
        <w:pStyle w:val="BodyText"/>
        <w:spacing w:line="240" w:lineRule="auto" w:before="51"/>
        <w:ind w:left="154" w:right="0"/>
        <w:jc w:val="left"/>
      </w:pPr>
      <w:r>
        <w:rPr/>
        <w:t>未确认递延所得税资产的可抵扣亏损将于以下年度到期</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74,170.94</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60,626,308.87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38,442,223.21</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37,886,444.37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67,208,911.93</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64,240,356.54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70,887,235.48</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116,631,374.76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152,762,014.79</w:t>
            </w: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140,845,789.07</w:t>
            </w: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420,230,273.61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329,374,556.35</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应纳税差异和可抵扣差异项目明细</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328,446,526.51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322,820,452.56</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57,569,528.58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83,223,951.42</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应付未付款项</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53,895,396.66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95,609,060.53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70,461,516.47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86,010,898.97</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1,567,274,751.26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976,416,833.00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2,077,647,719.48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1,564,081,196.48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20</w:t>
      </w:r>
      <w:r>
        <w:rPr/>
        <w:t>、资产减值准备明细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451"/>
        <w:gridCol w:w="1313"/>
        <w:gridCol w:w="1214"/>
        <w:gridCol w:w="1214"/>
        <w:gridCol w:w="1214"/>
        <w:gridCol w:w="964"/>
        <w:gridCol w:w="1313"/>
      </w:tblGrid>
      <w:tr>
        <w:trPr>
          <w:trHeight w:val="200" w:hRule="exact"/>
        </w:trPr>
        <w:tc>
          <w:tcPr>
            <w:tcW w:w="24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4" w:type="dxa"/>
            <w:tcBorders>
              <w:top w:val="single" w:sz="4" w:space="0" w:color="000000"/>
              <w:left w:val="single" w:sz="4" w:space="0" w:color="000000"/>
              <w:bottom w:val="nil" w:sz="6" w:space="0" w:color="auto"/>
              <w:right w:val="single" w:sz="4" w:space="0" w:color="000000"/>
            </w:tcBorders>
            <w:shd w:val="clear" w:color="auto" w:fill="D3D3D3"/>
          </w:tcPr>
          <w:p>
            <w:pPr/>
          </w:p>
        </w:tc>
        <w:tc>
          <w:tcPr>
            <w:tcW w:w="339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1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245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2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392" w:type="dxa"/>
            <w:gridSpan w:val="3"/>
            <w:vMerge/>
            <w:tcBorders>
              <w:left w:val="single" w:sz="4" w:space="0" w:color="000000"/>
              <w:bottom w:val="single" w:sz="4" w:space="0" w:color="000000"/>
              <w:right w:val="single" w:sz="4" w:space="0" w:color="000000"/>
            </w:tcBorders>
            <w:shd w:val="clear" w:color="auto" w:fill="D3D3D3"/>
          </w:tcPr>
          <w:p>
            <w:pPr/>
          </w:p>
        </w:tc>
        <w:tc>
          <w:tcPr>
            <w:tcW w:w="13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0" w:hRule="exact"/>
        </w:trPr>
        <w:tc>
          <w:tcPr>
            <w:tcW w:w="2451" w:type="dxa"/>
            <w:vMerge/>
            <w:tcBorders>
              <w:left w:val="single" w:sz="4" w:space="0" w:color="000000"/>
              <w:bottom w:val="nil" w:sz="6" w:space="0" w:color="auto"/>
              <w:right w:val="single" w:sz="4" w:space="0" w:color="000000"/>
            </w:tcBorders>
            <w:shd w:val="clear" w:color="auto" w:fill="D3D3D3"/>
          </w:tcPr>
          <w:p>
            <w:pPr/>
          </w:p>
        </w:tc>
        <w:tc>
          <w:tcPr>
            <w:tcW w:w="1313" w:type="dxa"/>
            <w:vMerge/>
            <w:tcBorders>
              <w:left w:val="single" w:sz="4" w:space="0" w:color="000000"/>
              <w:bottom w:val="nil" w:sz="6" w:space="0" w:color="auto"/>
              <w:right w:val="single" w:sz="4" w:space="0" w:color="000000"/>
            </w:tcBorders>
            <w:shd w:val="clear" w:color="auto" w:fill="D3D3D3"/>
          </w:tcPr>
          <w:p>
            <w:pPr/>
          </w:p>
        </w:tc>
        <w:tc>
          <w:tcPr>
            <w:tcW w:w="1214" w:type="dxa"/>
            <w:vMerge/>
            <w:tcBorders>
              <w:left w:val="single" w:sz="4" w:space="0" w:color="000000"/>
              <w:bottom w:val="nil" w:sz="6" w:space="0" w:color="auto"/>
              <w:right w:val="single" w:sz="4" w:space="0" w:color="000000"/>
            </w:tcBorders>
            <w:shd w:val="clear" w:color="auto" w:fill="D3D3D3"/>
          </w:tcPr>
          <w:p>
            <w:pPr/>
          </w:p>
        </w:tc>
        <w:tc>
          <w:tcPr>
            <w:tcW w:w="12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14" w:type="dxa"/>
            <w:vMerge w:val="restart"/>
            <w:tcBorders>
              <w:top w:val="single" w:sz="4" w:space="0" w:color="000000"/>
              <w:left w:val="single" w:sz="4" w:space="0" w:color="000000"/>
              <w:right w:val="single" w:sz="6"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964" w:type="dxa"/>
            <w:vMerge w:val="restart"/>
            <w:tcBorders>
              <w:top w:val="single" w:sz="4" w:space="0" w:color="000000"/>
              <w:left w:val="single" w:sz="6" w:space="0" w:color="000000"/>
              <w:right w:val="single" w:sz="4" w:space="0" w:color="000000"/>
            </w:tcBorders>
            <w:shd w:val="clear" w:color="auto" w:fill="D3D3D3"/>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3"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24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4" w:type="dxa"/>
            <w:vMerge/>
            <w:tcBorders>
              <w:left w:val="single" w:sz="4" w:space="0" w:color="000000"/>
              <w:bottom w:val="single" w:sz="4" w:space="0" w:color="000000"/>
              <w:right w:val="single" w:sz="4" w:space="0" w:color="000000"/>
            </w:tcBorders>
            <w:shd w:val="clear" w:color="auto" w:fill="D3D3D3"/>
          </w:tcPr>
          <w:p>
            <w:pPr/>
          </w:p>
        </w:tc>
        <w:tc>
          <w:tcPr>
            <w:tcW w:w="1214" w:type="dxa"/>
            <w:vMerge/>
            <w:tcBorders>
              <w:left w:val="single" w:sz="4" w:space="0" w:color="000000"/>
              <w:bottom w:val="single" w:sz="4" w:space="0" w:color="000000"/>
              <w:right w:val="single" w:sz="6" w:space="0" w:color="000000"/>
            </w:tcBorders>
            <w:shd w:val="clear" w:color="auto" w:fill="D3D3D3"/>
          </w:tcPr>
          <w:p>
            <w:pPr/>
          </w:p>
        </w:tc>
        <w:tc>
          <w:tcPr>
            <w:tcW w:w="964" w:type="dxa"/>
            <w:vMerge/>
            <w:tcBorders>
              <w:left w:val="single" w:sz="6" w:space="0" w:color="000000"/>
              <w:bottom w:val="single" w:sz="4" w:space="0" w:color="000000"/>
              <w:right w:val="single" w:sz="4" w:space="0" w:color="000000"/>
            </w:tcBorders>
            <w:shd w:val="clear" w:color="auto" w:fill="D3D3D3"/>
          </w:tcPr>
          <w:p>
            <w:pPr/>
          </w:p>
        </w:tc>
        <w:tc>
          <w:tcPr>
            <w:tcW w:w="131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331,102,223.82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24,715,485.83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52,082,625.22</w:t>
            </w:r>
          </w:p>
        </w:tc>
        <w:tc>
          <w:tcPr>
            <w:tcW w:w="121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4,864,308.41</w:t>
            </w:r>
          </w:p>
        </w:tc>
        <w:tc>
          <w:tcPr>
            <w:tcW w:w="9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933,639.33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297,937,136.69</w:t>
            </w:r>
          </w:p>
        </w:tc>
      </w:tr>
      <w:tr>
        <w:trPr>
          <w:trHeight w:val="402" w:hRule="exact"/>
        </w:trPr>
        <w:tc>
          <w:tcPr>
            <w:tcW w:w="2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14,453,128.45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36,472,052.20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14,453,128.45</w:t>
            </w:r>
          </w:p>
        </w:tc>
        <w:tc>
          <w:tcPr>
            <w:tcW w:w="964" w:type="dxa"/>
            <w:tcBorders>
              <w:top w:val="single" w:sz="4" w:space="0" w:color="000000"/>
              <w:left w:val="single" w:sz="6"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36,472,052.20</w:t>
            </w:r>
          </w:p>
        </w:tc>
      </w:tr>
      <w:tr>
        <w:trPr>
          <w:trHeight w:val="403" w:hRule="exact"/>
        </w:trPr>
        <w:tc>
          <w:tcPr>
            <w:tcW w:w="2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三、长期股权投资减值准备</w:t>
            </w:r>
          </w:p>
        </w:tc>
        <w:tc>
          <w:tcPr>
            <w:tcW w:w="1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2,589,574.47</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6" w:space="0" w:color="000000"/>
            </w:tcBorders>
          </w:tcPr>
          <w:p>
            <w:pPr/>
          </w:p>
        </w:tc>
        <w:tc>
          <w:tcPr>
            <w:tcW w:w="964" w:type="dxa"/>
            <w:tcBorders>
              <w:top w:val="single" w:sz="4" w:space="0" w:color="000000"/>
              <w:left w:val="single" w:sz="6"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2,589,574.47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462"/>
        <w:gridCol w:w="1313"/>
        <w:gridCol w:w="1213"/>
        <w:gridCol w:w="1214"/>
        <w:gridCol w:w="1214"/>
        <w:gridCol w:w="964"/>
        <w:gridCol w:w="1313"/>
      </w:tblGrid>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13,015,998.85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1,795,998.85</w:t>
            </w:r>
          </w:p>
        </w:tc>
        <w:tc>
          <w:tcPr>
            <w:tcW w:w="964" w:type="dxa"/>
            <w:tcBorders>
              <w:top w:val="single" w:sz="4" w:space="0" w:color="000000"/>
              <w:left w:val="single" w:sz="6"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26,220,000.00</w:t>
            </w:r>
          </w:p>
        </w:tc>
      </w:tr>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五、无形资产减值准备</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6" w:space="0" w:color="000000"/>
            </w:tcBorders>
          </w:tcPr>
          <w:p>
            <w:pPr/>
          </w:p>
        </w:tc>
        <w:tc>
          <w:tcPr>
            <w:tcW w:w="964" w:type="dxa"/>
            <w:tcBorders>
              <w:top w:val="single" w:sz="4" w:space="0" w:color="000000"/>
              <w:left w:val="single" w:sz="6"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361,160,925.59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76,187,538.03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52,082,625.22</w:t>
            </w:r>
          </w:p>
        </w:tc>
        <w:tc>
          <w:tcPr>
            <w:tcW w:w="1214"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21,113,435.71</w:t>
            </w:r>
          </w:p>
        </w:tc>
        <w:tc>
          <w:tcPr>
            <w:tcW w:w="96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933,639.33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363,218,763.36</w:t>
            </w:r>
          </w:p>
        </w:tc>
      </w:tr>
    </w:tbl>
    <w:p>
      <w:pPr>
        <w:pStyle w:val="BodyText"/>
        <w:spacing w:line="240" w:lineRule="auto" w:before="51"/>
        <w:ind w:left="154" w:right="0"/>
        <w:jc w:val="left"/>
      </w:pPr>
      <w:r>
        <w:rPr/>
        <w:t>资产减值明细情况的说明：其他减少系本期处置子公司武汉新型墙体导致。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21</w:t>
      </w:r>
      <w:r>
        <w:rPr/>
        <w:t>、</w:t>
      </w:r>
      <w:r>
        <w:rPr>
          <w:spacing w:val="-9"/>
        </w:rPr>
        <w:t> </w:t>
      </w:r>
      <w:r>
        <w:rPr/>
        <w:t>所有权或使用权受限制的资产</w:t>
      </w:r>
      <w:r>
        <w:rPr>
          <w:b w:val="0"/>
          <w:bCs w:val="0"/>
        </w:rPr>
      </w:r>
    </w:p>
    <w:p>
      <w:pPr>
        <w:spacing w:line="240" w:lineRule="auto" w:before="3"/>
        <w:rPr>
          <w:rFonts w:ascii="宋体" w:hAnsi="宋体" w:cs="宋体" w:eastAsia="宋体" w:hint="default"/>
          <w:b/>
          <w:bCs/>
          <w:sz w:val="26"/>
          <w:szCs w:val="26"/>
        </w:rPr>
      </w:pPr>
    </w:p>
    <w:tbl>
      <w:tblPr>
        <w:tblW w:w="0" w:type="auto"/>
        <w:jc w:val="left"/>
        <w:tblInd w:w="137" w:type="dxa"/>
        <w:tblLayout w:type="fixed"/>
        <w:tblCellMar>
          <w:top w:w="0" w:type="dxa"/>
          <w:left w:w="0" w:type="dxa"/>
          <w:bottom w:w="0" w:type="dxa"/>
          <w:right w:w="0" w:type="dxa"/>
        </w:tblCellMar>
        <w:tblLook w:val="01E0"/>
      </w:tblPr>
      <w:tblGrid>
        <w:gridCol w:w="3969"/>
        <w:gridCol w:w="1621"/>
        <w:gridCol w:w="4068"/>
      </w:tblGrid>
      <w:tr>
        <w:trPr>
          <w:trHeight w:val="342" w:hRule="exact"/>
        </w:trPr>
        <w:tc>
          <w:tcPr>
            <w:tcW w:w="3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614" w:val="left" w:leader="none"/>
              </w:tabs>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533"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40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受限制的原因</w:t>
            </w:r>
          </w:p>
        </w:tc>
      </w:tr>
      <w:tr>
        <w:trPr>
          <w:trHeight w:val="347" w:hRule="exact"/>
        </w:trPr>
        <w:tc>
          <w:tcPr>
            <w:tcW w:w="3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用于担保的资产小计：</w:t>
            </w:r>
          </w:p>
        </w:tc>
        <w:tc>
          <w:tcPr>
            <w:tcW w:w="16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6,749,964,377.30</w:t>
            </w:r>
          </w:p>
        </w:tc>
        <w:tc>
          <w:tcPr>
            <w:tcW w:w="4068"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3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土地（湛江）</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323,501,839.10</w:t>
            </w:r>
          </w:p>
        </w:tc>
        <w:tc>
          <w:tcPr>
            <w:tcW w:w="4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作为银行借款的抵押物</w:t>
            </w:r>
          </w:p>
        </w:tc>
      </w:tr>
      <w:tr>
        <w:trPr>
          <w:trHeight w:val="347" w:hRule="exact"/>
        </w:trPr>
        <w:tc>
          <w:tcPr>
            <w:tcW w:w="3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365" w:right="0"/>
              <w:jc w:val="left"/>
              <w:rPr>
                <w:rFonts w:ascii="宋体" w:hAnsi="宋体" w:cs="宋体" w:eastAsia="宋体" w:hint="default"/>
                <w:sz w:val="18"/>
                <w:szCs w:val="18"/>
              </w:rPr>
            </w:pPr>
            <w:r>
              <w:rPr>
                <w:rFonts w:ascii="宋体" w:hAnsi="宋体" w:cs="宋体" w:eastAsia="宋体" w:hint="default"/>
                <w:sz w:val="18"/>
                <w:szCs w:val="18"/>
              </w:rPr>
              <w:t>固定资产（湛江）</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6,096,739,906.27</w:t>
            </w:r>
          </w:p>
        </w:tc>
        <w:tc>
          <w:tcPr>
            <w:tcW w:w="4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作为银行借款的抵押物</w:t>
            </w:r>
          </w:p>
        </w:tc>
      </w:tr>
      <w:tr>
        <w:trPr>
          <w:trHeight w:val="347" w:hRule="exact"/>
        </w:trPr>
        <w:tc>
          <w:tcPr>
            <w:tcW w:w="3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3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329,722,631.93</w:t>
            </w:r>
          </w:p>
        </w:tc>
        <w:tc>
          <w:tcPr>
            <w:tcW w:w="4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作为应付票据的质押物、取得短期借款</w:t>
            </w:r>
          </w:p>
        </w:tc>
      </w:tr>
      <w:tr>
        <w:trPr>
          <w:trHeight w:val="347" w:hRule="exact"/>
        </w:trPr>
        <w:tc>
          <w:tcPr>
            <w:tcW w:w="3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8"/>
              <w:jc w:val="left"/>
              <w:rPr>
                <w:rFonts w:ascii="宋体" w:hAnsi="宋体" w:cs="宋体" w:eastAsia="宋体" w:hint="default"/>
                <w:sz w:val="18"/>
                <w:szCs w:val="18"/>
              </w:rPr>
            </w:pPr>
            <w:r>
              <w:rPr>
                <w:rFonts w:ascii="宋体" w:hAnsi="宋体" w:cs="宋体" w:eastAsia="宋体" w:hint="default"/>
                <w:sz w:val="18"/>
                <w:szCs w:val="18"/>
              </w:rPr>
              <w:t>其他原因造成所有权或使用权受限制的资产小计：</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1,821,196,865.28</w:t>
            </w:r>
          </w:p>
        </w:tc>
        <w:tc>
          <w:tcPr>
            <w:tcW w:w="40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1,821,196,865.28</w:t>
            </w:r>
          </w:p>
        </w:tc>
        <w:tc>
          <w:tcPr>
            <w:tcW w:w="4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银行借款的质押、银行承兑票据和信用证的保证金</w:t>
            </w:r>
          </w:p>
        </w:tc>
      </w:tr>
      <w:tr>
        <w:trPr>
          <w:trHeight w:val="342" w:hRule="exact"/>
        </w:trPr>
        <w:tc>
          <w:tcPr>
            <w:tcW w:w="39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8,571,161,242.58</w:t>
            </w:r>
          </w:p>
        </w:tc>
        <w:tc>
          <w:tcPr>
            <w:tcW w:w="40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22</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398,617,193.53</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3,999,962,588.92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3,893,489,091.48</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5,420,305,455.40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5,925,909,403.68</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2934"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3,057,000,000.00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9,818,885,237.85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12,876,398,495.16</w:t>
            </w:r>
          </w:p>
        </w:tc>
      </w:tr>
    </w:tbl>
    <w:p>
      <w:pPr>
        <w:pStyle w:val="BodyText"/>
        <w:spacing w:line="240" w:lineRule="auto" w:before="51"/>
        <w:ind w:left="154" w:right="0"/>
        <w:jc w:val="left"/>
      </w:pPr>
      <w:r>
        <w:rPr/>
        <w:t>短期借款分类的说明</w:t>
      </w:r>
    </w:p>
    <w:p>
      <w:pPr>
        <w:pStyle w:val="BodyText"/>
        <w:spacing w:line="240" w:lineRule="auto" w:before="116"/>
        <w:ind w:right="0"/>
        <w:jc w:val="left"/>
      </w:pPr>
      <w:r>
        <w:rPr/>
        <w:t>（</w:t>
      </w:r>
      <w:r>
        <w:rPr>
          <w:rFonts w:ascii="Times New Roman" w:hAnsi="Times New Roman" w:cs="Times New Roman" w:eastAsia="Times New Roman" w:hint="default"/>
        </w:rPr>
        <w:t>1</w:t>
      </w:r>
      <w:r>
        <w:rPr/>
        <w:t>）保证借款系本公司作为子公司的担保人，由子公司向金融机构取得的借款。</w:t>
      </w:r>
    </w:p>
    <w:p>
      <w:pPr>
        <w:pStyle w:val="BodyText"/>
        <w:spacing w:line="240" w:lineRule="auto" w:before="62"/>
        <w:ind w:right="0"/>
        <w:jc w:val="left"/>
      </w:pPr>
      <w:r>
        <w:rPr/>
        <w:t>（</w:t>
      </w:r>
      <w:r>
        <w:rPr>
          <w:rFonts w:ascii="Times New Roman" w:hAnsi="Times New Roman" w:cs="Times New Roman" w:eastAsia="Times New Roman" w:hint="default"/>
        </w:rPr>
        <w:t>2</w:t>
      </w:r>
      <w:r>
        <w:rPr/>
        <w:t>）本公司无已到期未偿还的短期借款情况。</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23</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290,403,790.59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1,285,627,762.07</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290,403,790.59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1,285,627,762.07</w:t>
            </w:r>
          </w:p>
        </w:tc>
      </w:tr>
    </w:tbl>
    <w:p>
      <w:pPr>
        <w:pStyle w:val="BodyText"/>
        <w:spacing w:line="240" w:lineRule="auto" w:before="51"/>
        <w:ind w:left="154" w:right="0"/>
        <w:jc w:val="left"/>
      </w:pPr>
      <w:r>
        <w:rPr/>
        <w:t>下一会计期间将到期的金额</w:t>
      </w:r>
      <w:r>
        <w:rPr>
          <w:spacing w:val="-47"/>
        </w:rPr>
        <w:t> </w:t>
      </w:r>
      <w:r>
        <w:rPr>
          <w:rFonts w:ascii="Times New Roman" w:hAnsi="Times New Roman" w:cs="Times New Roman" w:eastAsia="Times New Roman" w:hint="default"/>
        </w:rPr>
        <w:t>290,403,790.59</w:t>
      </w:r>
      <w:r>
        <w:rPr>
          <w:rFonts w:ascii="Times New Roman" w:hAnsi="Times New Roman" w:cs="Times New Roman" w:eastAsia="Times New Roman" w:hint="default"/>
          <w:spacing w:val="-2"/>
        </w:rPr>
        <w:t> </w:t>
      </w:r>
      <w:r>
        <w:rPr/>
        <w:t>元。</w:t>
      </w:r>
    </w:p>
    <w:p>
      <w:pPr>
        <w:spacing w:after="0" w:line="240" w:lineRule="auto"/>
        <w:jc w:val="left"/>
        <w:sectPr>
          <w:pgSz w:w="11910" w:h="16840"/>
          <w:pgMar w:header="877" w:footer="950" w:top="1100" w:bottom="114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24</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2,251,158,621.76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2,937,983,262.67</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240,434,222.13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158,572,722.64</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120,073,847.85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49,693,420.80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83,503,235.40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93,532,318.70</w:t>
            </w: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2,695,169,927.14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3,239,781,724.81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w:t>
      </w:r>
      <w:r>
        <w:rPr>
          <w:spacing w:val="-13"/>
        </w:rPr>
        <w:t> </w:t>
      </w:r>
      <w:r>
        <w:rPr/>
        <w:t>报告期应付账款中无持有公司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）以上表决权股份的股东单位或关联方的款项情况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4424"/>
        <w:gridCol w:w="1486"/>
        <w:gridCol w:w="1784"/>
        <w:gridCol w:w="1963"/>
      </w:tblGrid>
      <w:tr>
        <w:trPr>
          <w:trHeight w:val="342" w:hRule="exact"/>
        </w:trPr>
        <w:tc>
          <w:tcPr>
            <w:tcW w:w="4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14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未偿还的原因</w:t>
            </w:r>
          </w:p>
        </w:tc>
        <w:tc>
          <w:tcPr>
            <w:tcW w:w="19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报表日后是否归还</w:t>
            </w:r>
          </w:p>
        </w:tc>
      </w:tr>
      <w:tr>
        <w:trPr>
          <w:trHeight w:val="347" w:hRule="exact"/>
        </w:trPr>
        <w:tc>
          <w:tcPr>
            <w:tcW w:w="4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VOITH PAPEN FABRICS ASIA</w:t>
            </w:r>
            <w:r>
              <w:rPr>
                <w:rFonts w:ascii="Times New Roman"/>
                <w:spacing w:val="-26"/>
                <w:sz w:val="18"/>
              </w:rPr>
              <w:t> </w:t>
            </w:r>
            <w:r>
              <w:rPr>
                <w:rFonts w:ascii="Times New Roman"/>
                <w:sz w:val="18"/>
              </w:rPr>
              <w:t>PACIFIC.SDN.BHD</w:t>
            </w:r>
          </w:p>
        </w:tc>
        <w:tc>
          <w:tcPr>
            <w:tcW w:w="14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2"/>
                <w:sz w:val="18"/>
              </w:rPr>
              <w:t>116,057,475.18</w:t>
            </w:r>
            <w:r>
              <w:rPr>
                <w:rFonts w:ascii="Times New Roman"/>
                <w:sz w:val="18"/>
              </w:rPr>
            </w:r>
          </w:p>
        </w:tc>
        <w:tc>
          <w:tcPr>
            <w:tcW w:w="17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暂欠</w:t>
            </w:r>
          </w:p>
        </w:tc>
        <w:tc>
          <w:tcPr>
            <w:tcW w:w="196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7" w:hRule="exact"/>
        </w:trPr>
        <w:tc>
          <w:tcPr>
            <w:tcW w:w="4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安德里茨（中国）有限公司</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19,012,083.50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暂欠</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7" w:hRule="exact"/>
        </w:trPr>
        <w:tc>
          <w:tcPr>
            <w:tcW w:w="4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山东诺德英物流有限公司</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10,142,997.00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暂欠</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4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日本伊藤忠公司</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3,232,405.93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暂欠</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7" w:hRule="exact"/>
        </w:trPr>
        <w:tc>
          <w:tcPr>
            <w:tcW w:w="4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斯泰隆丁苯胶乳</w:t>
            </w:r>
            <w:r>
              <w:rPr>
                <w:rFonts w:ascii="Times New Roman" w:hAnsi="Times New Roman" w:cs="Times New Roman" w:eastAsia="Times New Roman" w:hint="default"/>
                <w:sz w:val="18"/>
                <w:szCs w:val="18"/>
              </w:rPr>
              <w:t>(</w:t>
            </w:r>
            <w:r>
              <w:rPr>
                <w:rFonts w:ascii="宋体" w:hAnsi="宋体" w:cs="宋体" w:eastAsia="宋体" w:hint="default"/>
                <w:sz w:val="18"/>
                <w:szCs w:val="18"/>
              </w:rPr>
              <w:t>张家港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2,917,572.65</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暂欠</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4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151,362,534.26</w:t>
            </w:r>
          </w:p>
        </w:tc>
        <w:tc>
          <w:tcPr>
            <w:tcW w:w="1784" w:type="dxa"/>
            <w:tcBorders>
              <w:top w:val="single" w:sz="6" w:space="0" w:color="000000"/>
              <w:left w:val="single" w:sz="6" w:space="0" w:color="000000"/>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w:t>
      </w:r>
      <w:r>
        <w:rPr>
          <w:spacing w:val="-11"/>
        </w:rPr>
        <w:t> </w:t>
      </w:r>
      <w:r>
        <w:rPr/>
        <w:t>应付账款中包括外币余额如下</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992"/>
        <w:gridCol w:w="1802"/>
        <w:gridCol w:w="1099"/>
        <w:gridCol w:w="1612"/>
        <w:gridCol w:w="1508"/>
        <w:gridCol w:w="940"/>
        <w:gridCol w:w="1705"/>
      </w:tblGrid>
      <w:tr>
        <w:trPr>
          <w:trHeight w:val="342" w:hRule="exact"/>
        </w:trPr>
        <w:tc>
          <w:tcPr>
            <w:tcW w:w="99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6"/>
              <w:ind w:left="3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51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15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1" w:hRule="exact"/>
        </w:trPr>
        <w:tc>
          <w:tcPr>
            <w:tcW w:w="992" w:type="dxa"/>
            <w:vMerge/>
            <w:tcBorders>
              <w:left w:val="single" w:sz="6" w:space="0" w:color="000000"/>
              <w:bottom w:val="single" w:sz="6" w:space="0" w:color="000000"/>
              <w:right w:val="single" w:sz="6" w:space="0" w:color="000000"/>
            </w:tcBorders>
            <w:shd w:val="clear" w:color="auto" w:fill="D9D9D9"/>
          </w:tcPr>
          <w:p>
            <w:pPr/>
          </w:p>
        </w:tc>
        <w:tc>
          <w:tcPr>
            <w:tcW w:w="18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33"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6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49"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5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94"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52" w:hRule="exact"/>
        </w:trPr>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8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1,382,095.29</w:t>
            </w:r>
          </w:p>
        </w:tc>
        <w:tc>
          <w:tcPr>
            <w:tcW w:w="109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8.4189</w:t>
            </w:r>
          </w:p>
        </w:tc>
        <w:tc>
          <w:tcPr>
            <w:tcW w:w="161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11,635,722.04</w:t>
            </w:r>
          </w:p>
        </w:tc>
        <w:tc>
          <w:tcPr>
            <w:tcW w:w="150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1,574,136.46</w:t>
            </w:r>
          </w:p>
        </w:tc>
        <w:tc>
          <w:tcPr>
            <w:tcW w:w="9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8.3176</w:t>
            </w:r>
          </w:p>
        </w:tc>
        <w:tc>
          <w:tcPr>
            <w:tcW w:w="170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13,093,037.42</w:t>
            </w:r>
          </w:p>
        </w:tc>
      </w:tr>
      <w:tr>
        <w:trPr>
          <w:trHeight w:val="347" w:hRule="exact"/>
        </w:trPr>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123,474,097.22</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6.0969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752,809,223.34</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95,627,910.37</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6.2855</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601,069,230.63</w:t>
            </w:r>
          </w:p>
        </w:tc>
      </w:tr>
      <w:tr>
        <w:trPr>
          <w:trHeight w:val="348" w:hRule="exact"/>
        </w:trPr>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256,639,724.00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0.057771</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14,826,333.50</w:t>
            </w:r>
          </w:p>
        </w:tc>
        <w:tc>
          <w:tcPr>
            <w:tcW w:w="1508"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英镑</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19,125.00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10.0556</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192,313.35</w:t>
            </w:r>
          </w:p>
        </w:tc>
        <w:tc>
          <w:tcPr>
            <w:tcW w:w="1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19,125.00</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10.1611</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194,331.04</w:t>
            </w:r>
          </w:p>
        </w:tc>
      </w:tr>
      <w:tr>
        <w:trPr>
          <w:trHeight w:val="347" w:hRule="exact"/>
        </w:trPr>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779,463,592.23</w:t>
            </w:r>
          </w:p>
        </w:tc>
        <w:tc>
          <w:tcPr>
            <w:tcW w:w="1508"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614,356,599.09</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25</w:t>
      </w:r>
      <w:r>
        <w:rPr/>
        <w:t>、预收账款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425,728,033.93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340,139,089.13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16,704,227.65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7,696,711.74</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442,432,261.58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347,835,800.87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w:t>
      </w:r>
      <w:r>
        <w:rPr>
          <w:spacing w:val="-13"/>
        </w:rPr>
        <w:t> </w:t>
      </w:r>
      <w:r>
        <w:rPr/>
        <w:t>报告期预收款项中无持有公司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）以上表决权股份的股东单位或关联方的款项情况。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9"/>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785"/>
        <w:gridCol w:w="2746"/>
        <w:gridCol w:w="3126"/>
      </w:tblGrid>
      <w:tr>
        <w:trPr>
          <w:trHeight w:val="335" w:hRule="exact"/>
        </w:trPr>
        <w:tc>
          <w:tcPr>
            <w:tcW w:w="37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27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未结转的原因</w:t>
            </w:r>
          </w:p>
        </w:tc>
      </w:tr>
      <w:tr>
        <w:trPr>
          <w:trHeight w:val="347" w:hRule="exact"/>
        </w:trPr>
        <w:tc>
          <w:tcPr>
            <w:tcW w:w="37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郭冬生</w:t>
            </w:r>
          </w:p>
        </w:tc>
        <w:tc>
          <w:tcPr>
            <w:tcW w:w="27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2,246,605.80</w:t>
            </w:r>
          </w:p>
        </w:tc>
        <w:tc>
          <w:tcPr>
            <w:tcW w:w="312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347" w:hRule="exact"/>
        </w:trPr>
        <w:tc>
          <w:tcPr>
            <w:tcW w:w="37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永一胶粘</w:t>
            </w:r>
            <w:r>
              <w:rPr>
                <w:rFonts w:ascii="Times New Roman" w:hAnsi="Times New Roman" w:cs="Times New Roman" w:eastAsia="Times New Roman" w:hint="default"/>
                <w:sz w:val="18"/>
                <w:szCs w:val="18"/>
              </w:rPr>
              <w:t>(</w:t>
            </w:r>
            <w:r>
              <w:rPr>
                <w:rFonts w:ascii="宋体" w:hAnsi="宋体" w:cs="宋体" w:eastAsia="宋体" w:hint="default"/>
                <w:sz w:val="18"/>
                <w:szCs w:val="18"/>
              </w:rPr>
              <w:t>中山</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1,384,668.41</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347" w:hRule="exact"/>
        </w:trPr>
        <w:tc>
          <w:tcPr>
            <w:tcW w:w="37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湛江市化工服务公司</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1,245,024.80</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347" w:hRule="exact"/>
        </w:trPr>
        <w:tc>
          <w:tcPr>
            <w:tcW w:w="37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山东凯隆纸业科技有限公司</w:t>
            </w:r>
          </w:p>
        </w:tc>
        <w:tc>
          <w:tcPr>
            <w:tcW w:w="274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1,082,000.00</w:t>
            </w:r>
          </w:p>
        </w:tc>
        <w:tc>
          <w:tcPr>
            <w:tcW w:w="3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对方未要求发货</w:t>
            </w:r>
          </w:p>
        </w:tc>
      </w:tr>
      <w:tr>
        <w:trPr>
          <w:trHeight w:val="342" w:hRule="exact"/>
        </w:trPr>
        <w:tc>
          <w:tcPr>
            <w:tcW w:w="37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74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5,958,299.01</w:t>
            </w:r>
          </w:p>
        </w:tc>
        <w:tc>
          <w:tcPr>
            <w:tcW w:w="312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w:t>
      </w:r>
      <w:r>
        <w:rPr>
          <w:spacing w:val="-11"/>
        </w:rPr>
        <w:t> </w:t>
      </w:r>
      <w:r>
        <w:rPr/>
        <w:t>预收账款中包括外币余额如下</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992"/>
        <w:gridCol w:w="1565"/>
        <w:gridCol w:w="1091"/>
        <w:gridCol w:w="1856"/>
        <w:gridCol w:w="1615"/>
        <w:gridCol w:w="833"/>
        <w:gridCol w:w="1705"/>
      </w:tblGrid>
      <w:tr>
        <w:trPr>
          <w:trHeight w:val="342" w:hRule="exact"/>
        </w:trPr>
        <w:tc>
          <w:tcPr>
            <w:tcW w:w="99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6"/>
              <w:ind w:left="23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51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15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992" w:type="dxa"/>
            <w:vMerge/>
            <w:tcBorders>
              <w:left w:val="single" w:sz="6" w:space="0" w:color="000000"/>
              <w:bottom w:val="single" w:sz="6" w:space="0" w:color="000000"/>
              <w:right w:val="single" w:sz="6" w:space="0" w:color="000000"/>
            </w:tcBorders>
            <w:shd w:val="clear" w:color="auto" w:fill="D9D9D9"/>
          </w:tcPr>
          <w:p>
            <w:pPr/>
          </w:p>
        </w:tc>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1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57"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8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70"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61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3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27"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94"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348" w:hRule="exact"/>
        </w:trPr>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56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2,067,646.02</w:t>
            </w:r>
          </w:p>
        </w:tc>
        <w:tc>
          <w:tcPr>
            <w:tcW w:w="10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8.4189</w:t>
            </w:r>
          </w:p>
        </w:tc>
        <w:tc>
          <w:tcPr>
            <w:tcW w:w="18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17,407,305.08</w:t>
            </w:r>
          </w:p>
        </w:tc>
        <w:tc>
          <w:tcPr>
            <w:tcW w:w="1615" w:type="dxa"/>
            <w:tcBorders>
              <w:top w:val="single" w:sz="10" w:space="0" w:color="000000"/>
              <w:left w:val="single" w:sz="6" w:space="0" w:color="000000"/>
              <w:bottom w:val="single" w:sz="6" w:space="0" w:color="000000"/>
              <w:right w:val="single" w:sz="6" w:space="0" w:color="000000"/>
            </w:tcBorders>
          </w:tcPr>
          <w:p>
            <w:pPr/>
          </w:p>
        </w:tc>
        <w:tc>
          <w:tcPr>
            <w:tcW w:w="833" w:type="dxa"/>
            <w:tcBorders>
              <w:top w:val="single" w:sz="10" w:space="0" w:color="000000"/>
              <w:left w:val="single" w:sz="6" w:space="0" w:color="000000"/>
              <w:bottom w:val="single" w:sz="6" w:space="0" w:color="000000"/>
              <w:right w:val="single" w:sz="6" w:space="0" w:color="000000"/>
            </w:tcBorders>
          </w:tcPr>
          <w:p>
            <w:pPr/>
          </w:p>
        </w:tc>
        <w:tc>
          <w:tcPr>
            <w:tcW w:w="1705"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37,181,309.64</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6.0969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226,690,726.74</w:t>
            </w:r>
          </w:p>
        </w:tc>
        <w:tc>
          <w:tcPr>
            <w:tcW w:w="1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61" w:right="0"/>
              <w:jc w:val="left"/>
              <w:rPr>
                <w:rFonts w:ascii="Times New Roman" w:hAnsi="Times New Roman" w:cs="Times New Roman" w:eastAsia="Times New Roman" w:hint="default"/>
                <w:sz w:val="18"/>
                <w:szCs w:val="18"/>
              </w:rPr>
            </w:pPr>
            <w:r>
              <w:rPr>
                <w:rFonts w:ascii="Times New Roman"/>
                <w:sz w:val="18"/>
              </w:rPr>
              <w:t>30,582,379.55</w:t>
            </w:r>
          </w:p>
        </w:tc>
        <w:tc>
          <w:tcPr>
            <w:tcW w:w="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8" w:right="0"/>
              <w:jc w:val="left"/>
              <w:rPr>
                <w:rFonts w:ascii="Times New Roman" w:hAnsi="Times New Roman" w:cs="Times New Roman" w:eastAsia="Times New Roman" w:hint="default"/>
                <w:sz w:val="18"/>
                <w:szCs w:val="18"/>
              </w:rPr>
            </w:pPr>
            <w:r>
              <w:rPr>
                <w:rFonts w:ascii="Times New Roman"/>
                <w:sz w:val="18"/>
              </w:rPr>
              <w:t>6.2855</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192,225,546.66</w:t>
            </w:r>
          </w:p>
        </w:tc>
      </w:tr>
      <w:tr>
        <w:trPr>
          <w:trHeight w:val="347" w:hRule="exact"/>
        </w:trPr>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4,046,425.00</w:t>
            </w:r>
          </w:p>
        </w:tc>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0.057771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233,766.02</w:t>
            </w:r>
          </w:p>
        </w:tc>
        <w:tc>
          <w:tcPr>
            <w:tcW w:w="1615"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9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65" w:type="dxa"/>
            <w:tcBorders>
              <w:top w:val="single" w:sz="6" w:space="0" w:color="000000"/>
              <w:left w:val="single" w:sz="6" w:space="0" w:color="000000"/>
              <w:bottom w:val="single" w:sz="6" w:space="0" w:color="000000"/>
              <w:right w:val="single" w:sz="6" w:space="0" w:color="000000"/>
            </w:tcBorders>
          </w:tcPr>
          <w:p>
            <w:pPr/>
          </w:p>
        </w:tc>
        <w:tc>
          <w:tcPr>
            <w:tcW w:w="1091"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244,331,797.84</w:t>
            </w:r>
          </w:p>
        </w:tc>
        <w:tc>
          <w:tcPr>
            <w:tcW w:w="1615" w:type="dxa"/>
            <w:tcBorders>
              <w:top w:val="single" w:sz="6" w:space="0" w:color="000000"/>
              <w:left w:val="single" w:sz="6" w:space="0" w:color="000000"/>
              <w:bottom w:val="single" w:sz="6" w:space="0" w:color="000000"/>
              <w:right w:val="single" w:sz="6" w:space="0" w:color="000000"/>
            </w:tcBorders>
          </w:tcPr>
          <w:p>
            <w:pPr/>
          </w:p>
        </w:tc>
        <w:tc>
          <w:tcPr>
            <w:tcW w:w="833"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192,225,546.66</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26</w:t>
      </w:r>
      <w:r>
        <w:rPr/>
        <w:t>、应付职工薪酬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113,061,559.95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665,639,708.64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704,993,755.65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73,707,512.94</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31,091,957.62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31,091,957.62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12,309,783.97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154,898,316.00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157,386,831.22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9,821,268.75</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7,814,322.06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35,263,623.74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35,783,572.58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7,294,373.22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3,130,098.40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108,356,774.08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110,111,854.15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1,375,018.33</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35,238.75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3,250,579.30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3,099,138.30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186,679.75</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63,922.14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4,220,696.43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4,283,029.39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1,589.18</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1,266,202.62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3,806,642.45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4,109,236.80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963,608.27</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10,020,193.56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50,251,402.81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55,065,165.93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5,206,430.44</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0"/>
                <w:sz w:val="18"/>
                <w:szCs w:val="18"/>
              </w:rPr>
              <w:t>、</w:t>
            </w:r>
            <w:r>
              <w:rPr>
                <w:rFonts w:ascii="宋体" w:hAnsi="宋体" w:cs="宋体" w:eastAsia="宋体" w:hint="default"/>
                <w:sz w:val="18"/>
                <w:szCs w:val="18"/>
              </w:rPr>
              <w:t>工会经费和职工</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23,648,552.72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12,822,469.94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13,751,093.30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22,719,929.36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36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教育经费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七、辞退福利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3,083.97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83,865,306.12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83,856,314.94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12,075.15</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八、以现金结算的股</w:t>
            </w:r>
            <w:r>
              <w:rPr>
                <w:rFonts w:ascii="宋体" w:hAnsi="宋体" w:cs="宋体" w:eastAsia="宋体" w:hint="default"/>
                <w:sz w:val="18"/>
                <w:szCs w:val="18"/>
              </w:rPr>
              <w:t> 份支付</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18,804,595.54</w:t>
            </w: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18,804,595.54</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177,847,769.71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998,569,161.13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1,046,145,118.66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130,271,812.18</w:t>
            </w:r>
          </w:p>
        </w:tc>
      </w:tr>
    </w:tbl>
    <w:p>
      <w:pPr>
        <w:pStyle w:val="BodyText"/>
        <w:spacing w:line="240" w:lineRule="auto" w:before="51"/>
        <w:ind w:left="154" w:right="0"/>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8" w:lineRule="auto" w:before="103"/>
        <w:ind w:left="154" w:right="0" w:hanging="1"/>
        <w:jc w:val="left"/>
      </w:pPr>
      <w:r>
        <w:rPr/>
        <w:t>工会经费和职工教育经费金额</w:t>
      </w:r>
      <w:r>
        <w:rPr>
          <w:spacing w:val="-47"/>
        </w:rPr>
        <w:t> </w:t>
      </w:r>
      <w:r>
        <w:rPr>
          <w:rFonts w:ascii="Times New Roman" w:hAnsi="Times New Roman" w:cs="Times New Roman" w:eastAsia="Times New Roman" w:hint="default"/>
        </w:rPr>
        <w:t>13,751,093.30</w:t>
      </w:r>
      <w:r>
        <w:rPr>
          <w:rFonts w:ascii="Times New Roman" w:hAnsi="Times New Roman" w:cs="Times New Roman" w:eastAsia="Times New Roman" w:hint="default"/>
          <w:spacing w:val="-2"/>
        </w:rPr>
        <w:t> </w:t>
      </w:r>
      <w:r>
        <w:rPr/>
        <w:t>元，非货币性福利金额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元，因解除劳动关系给予补偿</w:t>
      </w:r>
      <w:r>
        <w:rPr>
          <w:spacing w:val="-47"/>
        </w:rPr>
        <w:t> </w:t>
      </w:r>
      <w:r>
        <w:rPr>
          <w:rFonts w:ascii="Times New Roman" w:hAnsi="Times New Roman" w:cs="Times New Roman" w:eastAsia="Times New Roman" w:hint="default"/>
        </w:rPr>
        <w:t>83,856,314.94</w:t>
      </w:r>
      <w:r>
        <w:rPr>
          <w:rFonts w:ascii="Times New Roman" w:hAnsi="Times New Roman" w:cs="Times New Roman" w:eastAsia="Times New Roman" w:hint="default"/>
          <w:spacing w:val="-2"/>
        </w:rPr>
        <w:t> </w:t>
      </w:r>
      <w:r>
        <w:rPr/>
        <w:t>元。 </w:t>
      </w:r>
      <w:r>
        <w:rPr>
          <w:spacing w:val="-2"/>
        </w:rPr>
        <w:t>应付职工薪酬中无属于拖欠性质的金额，本集团应付职工薪酬除第九项其他属于无明确支付计划的房改专项资金，其他全部</w:t>
      </w:r>
      <w:r>
        <w:rPr>
          <w:spacing w:val="-65"/>
        </w:rPr>
        <w:t> </w:t>
      </w:r>
      <w:r>
        <w:rPr>
          <w:spacing w:val="-65"/>
        </w:rPr>
      </w:r>
      <w:r>
        <w:rPr/>
        <w:t>为短期职工薪酬。</w:t>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27</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99"/>
        <w:gridCol w:w="2801"/>
        <w:gridCol w:w="2657"/>
      </w:tblGrid>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6,620,418.81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39,231,100.57</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596,310.07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962,094.33</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104,402,645.76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42,565,684.15</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1,780,803.13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170,709.08</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1,713,580.49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2,792,836.34</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5,495,793.45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8,114,849.29</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7,824,057.43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8,224,888.15</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教育税附加及其他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446,510.66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2,678,529.97</w:t>
            </w:r>
          </w:p>
        </w:tc>
      </w:tr>
      <w:tr>
        <w:trPr>
          <w:trHeight w:val="402" w:hRule="exact"/>
        </w:trPr>
        <w:tc>
          <w:tcPr>
            <w:tcW w:w="40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1,312,817.07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2,075,721.99</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130,192,936.87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106,816,413.87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28</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111"/>
        <w:gridCol w:w="2789"/>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65,559,777.08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65,900,289.97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中期票据利息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27,455,083.34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67,145,833.34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私募债利息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60,175,000.00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153,189,860.42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133,046,123.31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29</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419,910,089.94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310,080,861.84</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23,967,481.29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58,740,745.82</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16,877,980.44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16,748,468.93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26,081,044.22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50,202,212.39</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486,836,595.89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435,772,288.98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w:t>
      </w:r>
      <w:r>
        <w:rPr>
          <w:spacing w:val="-13"/>
        </w:rPr>
        <w:t> </w:t>
      </w:r>
      <w:r>
        <w:rPr/>
        <w:t>报告期其他应付款中应付持有公司</w:t>
      </w:r>
      <w:r>
        <w:rPr>
          <w:spacing w:val="-59"/>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）以上表决权股份的股东单位或关联方的款项情况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详见附注九、</w:t>
      </w:r>
      <w:r>
        <w:rPr>
          <w:rFonts w:ascii="Times New Roman" w:hAnsi="Times New Roman" w:cs="Times New Roman" w:eastAsia="Times New Roman" w:hint="default"/>
        </w:rPr>
        <w:t>5</w:t>
      </w:r>
      <w:r>
        <w:rPr/>
        <w:t>关联方应收应付款项。</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4025"/>
        <w:gridCol w:w="1737"/>
        <w:gridCol w:w="1932"/>
        <w:gridCol w:w="1963"/>
      </w:tblGrid>
      <w:tr>
        <w:trPr>
          <w:trHeight w:val="342" w:hRule="exact"/>
        </w:trPr>
        <w:tc>
          <w:tcPr>
            <w:tcW w:w="40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17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未偿还的原因</w:t>
            </w:r>
          </w:p>
        </w:tc>
        <w:tc>
          <w:tcPr>
            <w:tcW w:w="19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报表日后是否归还</w:t>
            </w:r>
          </w:p>
        </w:tc>
      </w:tr>
      <w:tr>
        <w:trPr>
          <w:trHeight w:val="347" w:hRule="exact"/>
        </w:trPr>
        <w:tc>
          <w:tcPr>
            <w:tcW w:w="40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国营寿光清水泊农场</w:t>
            </w:r>
          </w:p>
        </w:tc>
        <w:tc>
          <w:tcPr>
            <w:tcW w:w="173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8,800,000.00</w:t>
            </w:r>
          </w:p>
        </w:tc>
        <w:tc>
          <w:tcPr>
            <w:tcW w:w="193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196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7" w:hRule="exact"/>
        </w:trPr>
        <w:tc>
          <w:tcPr>
            <w:tcW w:w="40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中国轻工建设工程有限公司</w:t>
            </w:r>
          </w:p>
        </w:tc>
        <w:tc>
          <w:tcPr>
            <w:tcW w:w="17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2,354,000.00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7" w:hRule="exact"/>
        </w:trPr>
        <w:tc>
          <w:tcPr>
            <w:tcW w:w="40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福建省工业设备安装有限公司三明分公司</w:t>
            </w:r>
          </w:p>
        </w:tc>
        <w:tc>
          <w:tcPr>
            <w:tcW w:w="17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2,280,000.00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40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山东龙泰不锈钢制品有限公司</w:t>
            </w:r>
          </w:p>
        </w:tc>
        <w:tc>
          <w:tcPr>
            <w:tcW w:w="17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1,500,000.00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7" w:hRule="exact"/>
        </w:trPr>
        <w:tc>
          <w:tcPr>
            <w:tcW w:w="40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吉林市江城给水工程有限责任公司</w:t>
            </w:r>
          </w:p>
        </w:tc>
        <w:tc>
          <w:tcPr>
            <w:tcW w:w="17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1,200,000.00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暂欠</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40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3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16,134,000.00</w:t>
            </w:r>
          </w:p>
        </w:tc>
        <w:tc>
          <w:tcPr>
            <w:tcW w:w="1932" w:type="dxa"/>
            <w:tcBorders>
              <w:top w:val="single" w:sz="6" w:space="0" w:color="000000"/>
              <w:left w:val="single" w:sz="6" w:space="0" w:color="000000"/>
              <w:bottom w:val="single" w:sz="6" w:space="0" w:color="000000"/>
              <w:right w:val="single" w:sz="6" w:space="0" w:color="000000"/>
            </w:tcBorders>
          </w:tcPr>
          <w:p>
            <w:pPr/>
          </w:p>
        </w:tc>
        <w:tc>
          <w:tcPr>
            <w:tcW w:w="196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4573"/>
        <w:gridCol w:w="2654"/>
        <w:gridCol w:w="2431"/>
      </w:tblGrid>
      <w:tr>
        <w:trPr>
          <w:trHeight w:val="342" w:hRule="exact"/>
        </w:trPr>
        <w:tc>
          <w:tcPr>
            <w:tcW w:w="4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26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4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47" w:hRule="exact"/>
        </w:trPr>
        <w:tc>
          <w:tcPr>
            <w:tcW w:w="4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南昌经济技术开发区土地管理办公室</w:t>
            </w:r>
          </w:p>
        </w:tc>
        <w:tc>
          <w:tcPr>
            <w:tcW w:w="265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92,000,000.00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土地款</w:t>
            </w:r>
          </w:p>
        </w:tc>
      </w:tr>
      <w:tr>
        <w:trPr>
          <w:trHeight w:val="347" w:hRule="exact"/>
        </w:trPr>
        <w:tc>
          <w:tcPr>
            <w:tcW w:w="4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辽宁北海实业（集团）有限公司</w:t>
            </w:r>
          </w:p>
        </w:tc>
        <w:tc>
          <w:tcPr>
            <w:tcW w:w="265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21,804,600.00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子公司股东款项</w:t>
            </w:r>
          </w:p>
        </w:tc>
      </w:tr>
      <w:tr>
        <w:trPr>
          <w:trHeight w:val="347" w:hRule="exact"/>
        </w:trPr>
        <w:tc>
          <w:tcPr>
            <w:tcW w:w="4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265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18,668,679.17</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子公司股东款项</w:t>
            </w:r>
          </w:p>
        </w:tc>
      </w:tr>
      <w:tr>
        <w:trPr>
          <w:trHeight w:val="348" w:hRule="exact"/>
        </w:trPr>
        <w:tc>
          <w:tcPr>
            <w:tcW w:w="4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国营寿光清水泊农场</w:t>
            </w:r>
          </w:p>
        </w:tc>
        <w:tc>
          <w:tcPr>
            <w:tcW w:w="265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8,800,000.00</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47" w:hRule="exact"/>
        </w:trPr>
        <w:tc>
          <w:tcPr>
            <w:tcW w:w="4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吉林安装集团股份有限公司吉林市第一分公司</w:t>
            </w:r>
          </w:p>
        </w:tc>
        <w:tc>
          <w:tcPr>
            <w:tcW w:w="265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4,823,879.66</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质保金</w:t>
            </w:r>
          </w:p>
        </w:tc>
      </w:tr>
      <w:tr>
        <w:trPr>
          <w:trHeight w:val="341" w:hRule="exact"/>
        </w:trPr>
        <w:tc>
          <w:tcPr>
            <w:tcW w:w="45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65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146,097,158.83</w:t>
            </w:r>
          </w:p>
        </w:tc>
        <w:tc>
          <w:tcPr>
            <w:tcW w:w="243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30</w:t>
      </w:r>
      <w:r>
        <w:rPr/>
        <w:t>、一年内到期的非流动负债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567"/>
        <w:gridCol w:w="2801"/>
        <w:gridCol w:w="3188"/>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789,115,500.00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1,368,108,800.00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年内到期的应付债券</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498,688,952.66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1,287,804,452.66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1,368,108,800.00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一年内到期的长期借款</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801"/>
        <w:gridCol w:w="3188"/>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801" w:type="dxa"/>
            <w:tcBorders>
              <w:top w:val="single" w:sz="4" w:space="0" w:color="000000"/>
              <w:left w:val="single" w:sz="10"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125,710,000.00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269,313,900.00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290,625,800.00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175,925,600.00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562,640,000.00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343,876,000.00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389,133,000.00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789,115,500.00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1,368,108,800.00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pStyle w:val="BodyText"/>
        <w:spacing w:line="340" w:lineRule="auto" w:before="51"/>
        <w:ind w:right="-18"/>
        <w:jc w:val="left"/>
      </w:pPr>
      <w:r>
        <w:rPr/>
        <w:t>一年内到期的长期借款中属于逾期借款获得展期的金额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5239" w:space="3589"/>
            <w:col w:w="112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中国进出口 银行青岛分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国家开发银 行广东省分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86,406,900.0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国家开发银 行广东省分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182,907,000.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三井住友银 </w:t>
            </w:r>
            <w:r>
              <w:rPr>
                <w:rFonts w:ascii="宋体" w:hAnsi="宋体" w:cs="宋体" w:eastAsia="宋体" w:hint="default"/>
                <w:spacing w:val="-12"/>
                <w:sz w:val="18"/>
                <w:szCs w:val="18"/>
              </w:rPr>
              <w:t>行（中国）有</w:t>
            </w:r>
            <w:r>
              <w:rPr>
                <w:rFonts w:ascii="宋体" w:hAnsi="宋体" w:cs="宋体" w:eastAsia="宋体" w:hint="default"/>
                <w:sz w:val="18"/>
                <w:szCs w:val="18"/>
              </w:rPr>
              <w:t>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243,876,000.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三井银团贷 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146,325,600.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三井住友银 </w:t>
            </w:r>
            <w:r>
              <w:rPr>
                <w:rFonts w:ascii="宋体" w:hAnsi="宋体" w:cs="宋体" w:eastAsia="宋体" w:hint="default"/>
                <w:spacing w:val="-12"/>
                <w:sz w:val="18"/>
                <w:szCs w:val="18"/>
              </w:rPr>
              <w:t>行（中国）有</w:t>
            </w:r>
            <w:r>
              <w:rPr>
                <w:rFonts w:ascii="宋体" w:hAnsi="宋体" w:cs="宋体" w:eastAsia="宋体" w:hint="default"/>
                <w:sz w:val="18"/>
                <w:szCs w:val="18"/>
              </w:rPr>
              <w:t>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402,272,000.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中国进出口</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5" w:right="0"/>
              <w:jc w:val="center"/>
              <w:rPr>
                <w:rFonts w:ascii="Times New Roman" w:hAnsi="Times New Roman" w:cs="Times New Roman" w:eastAsia="Times New Roman" w:hint="default"/>
                <w:sz w:val="18"/>
                <w:szCs w:val="18"/>
              </w:rPr>
            </w:pPr>
            <w:r>
              <w:rPr>
                <w:rFonts w:ascii="Times New Roman"/>
                <w:sz w:val="18"/>
              </w:rPr>
              <w:t>36,000,000.0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2" w:right="0"/>
              <w:jc w:val="center"/>
              <w:rPr>
                <w:rFonts w:ascii="Times New Roman" w:hAnsi="Times New Roman" w:cs="Times New Roman" w:eastAsia="Times New Roman" w:hint="default"/>
                <w:sz w:val="18"/>
                <w:szCs w:val="18"/>
              </w:rPr>
            </w:pPr>
            <w:r>
              <w:rPr>
                <w:rFonts w:ascii="Times New Roman"/>
                <w:sz w:val="18"/>
              </w:rPr>
              <w:t>226,278,000.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银行青岛分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国家开发银 行广东省分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188,565,000.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国家开发银 行广东省分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102,060,800.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中国农业银 行寿光支行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759,515,500.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1,019,175,80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一年内到期的长期借款中无逾期借款情况。</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香港晨 鸣债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491,750,000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3,152,512.2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14,740,042.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3,142,554.8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498,688,952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31</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将于一年内摊销的递延收益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25,246,647.62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17,659,498.56</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3,853,488,888.90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3,878,735,536.52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17,659,498.56</w:t>
            </w:r>
          </w:p>
        </w:tc>
      </w:tr>
    </w:tbl>
    <w:p>
      <w:pPr>
        <w:pStyle w:val="BodyText"/>
        <w:spacing w:line="357" w:lineRule="auto" w:before="51"/>
        <w:ind w:left="513" w:right="7251" w:hanging="360"/>
        <w:jc w:val="left"/>
      </w:pPr>
      <w:r>
        <w:rPr/>
        <w:t>其他流动负债说明 其中，递延收益明细如下：</w:t>
      </w:r>
    </w:p>
    <w:tbl>
      <w:tblPr>
        <w:tblW w:w="0" w:type="auto"/>
        <w:jc w:val="left"/>
        <w:tblInd w:w="146" w:type="dxa"/>
        <w:tblLayout w:type="fixed"/>
        <w:tblCellMar>
          <w:top w:w="0" w:type="dxa"/>
          <w:left w:w="0" w:type="dxa"/>
          <w:bottom w:w="0" w:type="dxa"/>
          <w:right w:w="0" w:type="dxa"/>
        </w:tblCellMar>
        <w:tblLook w:val="01E0"/>
      </w:tblPr>
      <w:tblGrid>
        <w:gridCol w:w="3674"/>
        <w:gridCol w:w="3277"/>
        <w:gridCol w:w="2707"/>
      </w:tblGrid>
      <w:tr>
        <w:trPr>
          <w:trHeight w:val="335"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left="33"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2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7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277" w:type="dxa"/>
            <w:tcBorders>
              <w:top w:val="single" w:sz="10" w:space="0" w:color="000000"/>
              <w:left w:val="single" w:sz="7" w:space="0" w:color="000000"/>
              <w:bottom w:val="single" w:sz="6" w:space="0" w:color="000000"/>
              <w:right w:val="single" w:sz="6" w:space="0" w:color="000000"/>
            </w:tcBorders>
          </w:tcPr>
          <w:p>
            <w:pPr/>
          </w:p>
        </w:tc>
        <w:tc>
          <w:tcPr>
            <w:tcW w:w="2707"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sz w:val="18"/>
                <w:szCs w:val="18"/>
              </w:rPr>
              <w:t>环境保护专项资金补助</w:t>
            </w:r>
          </w:p>
        </w:tc>
        <w:tc>
          <w:tcPr>
            <w:tcW w:w="327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1,693,753.30</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3,129,665.41</w:t>
            </w: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sz w:val="18"/>
                <w:szCs w:val="18"/>
              </w:rPr>
              <w:t>国家科技支撑计划课题经费</w:t>
            </w:r>
          </w:p>
        </w:tc>
        <w:tc>
          <w:tcPr>
            <w:tcW w:w="327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164,700.00</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492,453.30</w:t>
            </w: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sz w:val="18"/>
                <w:szCs w:val="18"/>
              </w:rPr>
              <w:t>松花江环保项目专项经费</w:t>
            </w:r>
          </w:p>
        </w:tc>
        <w:tc>
          <w:tcPr>
            <w:tcW w:w="327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1,030,000.08</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1,030,000.08</w:t>
            </w: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sz w:val="18"/>
                <w:szCs w:val="18"/>
              </w:rPr>
              <w:t>污水处理及节水改造项目</w:t>
            </w:r>
          </w:p>
        </w:tc>
        <w:tc>
          <w:tcPr>
            <w:tcW w:w="327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990,418.60</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990,418.60</w:t>
            </w:r>
          </w:p>
        </w:tc>
      </w:tr>
      <w:tr>
        <w:trPr>
          <w:trHeight w:val="348"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sz w:val="18"/>
                <w:szCs w:val="18"/>
              </w:rPr>
              <w:t>技改项目财政补助</w:t>
            </w:r>
          </w:p>
        </w:tc>
        <w:tc>
          <w:tcPr>
            <w:tcW w:w="327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7,260,000.00</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687,067.67</w:t>
            </w: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sz w:val="18"/>
                <w:szCs w:val="18"/>
              </w:rPr>
              <w:t>湛江林浆纸一体化项目</w:t>
            </w:r>
          </w:p>
        </w:tc>
        <w:tc>
          <w:tcPr>
            <w:tcW w:w="327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13,956,068.49</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11,305,973.76</w:t>
            </w:r>
          </w:p>
        </w:tc>
      </w:tr>
      <w:tr>
        <w:trPr>
          <w:trHeight w:val="341"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7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151,707.15</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23,919.74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674"/>
        <w:gridCol w:w="3276"/>
        <w:gridCol w:w="2707"/>
      </w:tblGrid>
      <w:tr>
        <w:trPr>
          <w:trHeight w:val="343"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25,246,647.62</w:t>
            </w:r>
          </w:p>
        </w:tc>
        <w:tc>
          <w:tcPr>
            <w:tcW w:w="2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654" w:right="0"/>
              <w:jc w:val="left"/>
              <w:rPr>
                <w:rFonts w:ascii="Times New Roman" w:hAnsi="Times New Roman" w:cs="Times New Roman" w:eastAsia="Times New Roman" w:hint="default"/>
                <w:sz w:val="18"/>
                <w:szCs w:val="18"/>
              </w:rPr>
            </w:pPr>
            <w:r>
              <w:rPr>
                <w:rFonts w:ascii="Times New Roman"/>
                <w:sz w:val="18"/>
              </w:rPr>
              <w:t>17,659,498.56</w:t>
            </w:r>
          </w:p>
        </w:tc>
      </w:tr>
    </w:tbl>
    <w:p>
      <w:pPr>
        <w:pStyle w:val="BodyText"/>
        <w:spacing w:line="240" w:lineRule="auto" w:before="15"/>
        <w:ind w:left="514" w:right="0"/>
        <w:jc w:val="left"/>
      </w:pPr>
      <w:r>
        <w:rPr/>
        <w:t>短期融资券明细如下：</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674"/>
        <w:gridCol w:w="2888"/>
        <w:gridCol w:w="3096"/>
      </w:tblGrid>
      <w:tr>
        <w:trPr>
          <w:trHeight w:val="342"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558"/>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8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0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2888" w:type="dxa"/>
            <w:tcBorders>
              <w:top w:val="single" w:sz="9" w:space="0" w:color="000000"/>
              <w:left w:val="single" w:sz="7" w:space="0" w:color="000000"/>
              <w:bottom w:val="single" w:sz="6" w:space="0" w:color="000000"/>
              <w:right w:val="single" w:sz="6" w:space="0" w:color="000000"/>
            </w:tcBorders>
          </w:tcPr>
          <w:p>
            <w:pPr/>
          </w:p>
        </w:tc>
        <w:tc>
          <w:tcPr>
            <w:tcW w:w="3096" w:type="dxa"/>
            <w:tcBorders>
              <w:top w:val="single" w:sz="9" w:space="0" w:color="000000"/>
              <w:left w:val="single" w:sz="6" w:space="0" w:color="000000"/>
              <w:bottom w:val="single" w:sz="6" w:space="0" w:color="000000"/>
              <w:right w:val="single" w:sz="6" w:space="0" w:color="000000"/>
            </w:tcBorders>
          </w:tcPr>
          <w:p>
            <w:pP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短期融资券</w:t>
            </w:r>
            <w:r>
              <w:rPr>
                <w:rFonts w:ascii="Times New Roman" w:hAnsi="Times New Roman" w:cs="Times New Roman" w:eastAsia="Times New Roman" w:hint="default"/>
                <w:sz w:val="18"/>
                <w:szCs w:val="18"/>
              </w:rPr>
              <w:t>CP001</w:t>
            </w:r>
          </w:p>
        </w:tc>
        <w:tc>
          <w:tcPr>
            <w:tcW w:w="288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1,836,733,333.34</w:t>
            </w:r>
          </w:p>
        </w:tc>
        <w:tc>
          <w:tcPr>
            <w:tcW w:w="309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短期融资券</w:t>
            </w:r>
            <w:r>
              <w:rPr>
                <w:rFonts w:ascii="Times New Roman" w:hAnsi="Times New Roman" w:cs="Times New Roman" w:eastAsia="Times New Roman" w:hint="default"/>
                <w:sz w:val="18"/>
                <w:szCs w:val="18"/>
              </w:rPr>
              <w:t>CP002</w:t>
            </w:r>
          </w:p>
        </w:tc>
        <w:tc>
          <w:tcPr>
            <w:tcW w:w="288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2,016,755,555.56</w:t>
            </w:r>
          </w:p>
        </w:tc>
        <w:tc>
          <w:tcPr>
            <w:tcW w:w="3096"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575"/>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88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3,853,488,888.90</w:t>
            </w:r>
          </w:p>
        </w:tc>
        <w:tc>
          <w:tcPr>
            <w:tcW w:w="30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32</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4" w:type="dxa"/>
            <w:tcBorders>
              <w:top w:val="single" w:sz="4" w:space="0" w:color="000000"/>
              <w:left w:val="single" w:sz="10"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125,710,000.00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3,053,648,871.96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3,389,029,600.00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470,888,400.00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895,292,000.00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988,444,035.94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891,245,035.94</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减：一年内到期的长期借款（附注七、</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789,115,500.00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1,368,108,800.00</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3,723,865,807.90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3,933,167,835.94</w:t>
            </w:r>
          </w:p>
        </w:tc>
      </w:tr>
    </w:tbl>
    <w:p>
      <w:pPr>
        <w:pStyle w:val="BodyText"/>
        <w:spacing w:line="240" w:lineRule="auto" w:before="51"/>
        <w:ind w:left="154" w:right="0"/>
        <w:jc w:val="left"/>
      </w:pPr>
      <w:r>
        <w:rPr/>
        <w:t>长期借款分类的说明：抵押借款的抵押资产类别以及金额</w:t>
      </w:r>
      <w:r>
        <w:rPr>
          <w:rFonts w:ascii="Times New Roman" w:hAnsi="Times New Roman" w:cs="Times New Roman" w:eastAsia="Times New Roman" w:hint="default"/>
        </w:rPr>
        <w:t>,</w:t>
      </w:r>
      <w:r>
        <w:rPr/>
        <w:t>参见附注七、</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及七、</w:t>
      </w:r>
      <w:r>
        <w:rPr>
          <w:rFonts w:ascii="Times New Roman" w:hAnsi="Times New Roman" w:cs="Times New Roman" w:eastAsia="Times New Roman" w:hint="default"/>
        </w:rPr>
        <w:t>16</w:t>
      </w:r>
      <w:r>
        <w:rPr/>
        <w:t>。</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交通银行潍 坊寿光支行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中国进出口 银行青岛分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121,938,000.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国家开发银 行广东省分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1,016,233,97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国家开发银 行广东省分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1,768,101,00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中国进出口</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3" w:right="0"/>
              <w:jc w:val="center"/>
              <w:rPr>
                <w:rFonts w:ascii="Times New Roman" w:hAnsi="Times New Roman" w:cs="Times New Roman" w:eastAsia="Times New Roman" w:hint="default"/>
                <w:sz w:val="18"/>
                <w:szCs w:val="18"/>
              </w:rPr>
            </w:pPr>
            <w:r>
              <w:rPr>
                <w:rFonts w:ascii="Times New Roman"/>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国家开发银 行广东省分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2,011,360,00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国家开发银 行广东省分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1,087,043,80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三井住友银 </w:t>
            </w:r>
            <w:r>
              <w:rPr>
                <w:rFonts w:ascii="宋体" w:hAnsi="宋体" w:cs="宋体" w:eastAsia="宋体" w:hint="default"/>
                <w:spacing w:val="-12"/>
                <w:sz w:val="18"/>
                <w:szCs w:val="18"/>
              </w:rPr>
              <w:t>行（中国）有</w:t>
            </w:r>
            <w:r>
              <w:rPr>
                <w:rFonts w:ascii="宋体" w:hAnsi="宋体" w:cs="宋体" w:eastAsia="宋体" w:hint="default"/>
                <w:sz w:val="18"/>
                <w:szCs w:val="18"/>
              </w:rPr>
              <w:t>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251,420,000.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三井银团贷 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39,909,633.2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250,852,000.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中国进出口 银行青岛分 行</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3,266,272,97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1.96</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3,700,675,80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0"/>
        <w:ind w:left="154" w:right="0"/>
        <w:jc w:val="left"/>
        <w:rPr>
          <w:rFonts w:ascii="Arial" w:hAnsi="Arial" w:cs="Arial" w:eastAsia="Arial" w:hint="default"/>
        </w:rPr>
      </w:pPr>
      <w:r>
        <w:rPr>
          <w:spacing w:val="-2"/>
        </w:rPr>
        <w:t>长期借款将于报表日后第</w:t>
      </w:r>
      <w:r>
        <w:rPr>
          <w:rFonts w:ascii="Times New Roman" w:hAnsi="Times New Roman" w:cs="Times New Roman" w:eastAsia="Times New Roman" w:hint="default"/>
          <w:spacing w:val="-2"/>
        </w:rPr>
        <w:t>2</w:t>
      </w:r>
      <w:r>
        <w:rPr>
          <w:spacing w:val="-2"/>
        </w:rPr>
        <w:t>年清偿</w:t>
      </w:r>
      <w:r>
        <w:rPr>
          <w:rFonts w:ascii="Times New Roman" w:hAnsi="Times New Roman" w:cs="Times New Roman" w:eastAsia="Times New Roman" w:hint="default"/>
          <w:spacing w:val="-2"/>
        </w:rPr>
        <w:t>898,143,000.00</w:t>
      </w:r>
      <w:r>
        <w:rPr>
          <w:spacing w:val="-2"/>
        </w:rPr>
        <w:t>元（</w:t>
      </w:r>
      <w:r>
        <w:rPr>
          <w:rFonts w:ascii="Arial" w:hAnsi="Arial" w:cs="Arial" w:eastAsia="Arial" w:hint="default"/>
          <w:spacing w:val="-2"/>
        </w:rPr>
        <w:t>2012</w:t>
      </w:r>
      <w:r>
        <w:rPr>
          <w:spacing w:val="-2"/>
        </w:rPr>
        <w:t>年：</w:t>
      </w:r>
      <w:r>
        <w:rPr>
          <w:rFonts w:ascii="Arial" w:hAnsi="Arial" w:cs="Arial" w:eastAsia="Arial" w:hint="default"/>
          <w:spacing w:val="-2"/>
        </w:rPr>
        <w:t>1,001,385,900.00</w:t>
      </w:r>
      <w:r>
        <w:rPr>
          <w:spacing w:val="-2"/>
        </w:rPr>
        <w:t>元），第</w:t>
      </w:r>
      <w:r>
        <w:rPr>
          <w:rFonts w:ascii="Times New Roman" w:hAnsi="Times New Roman" w:cs="Times New Roman" w:eastAsia="Times New Roman" w:hint="default"/>
          <w:spacing w:val="-2"/>
        </w:rPr>
        <w:t>3-5</w:t>
      </w:r>
      <w:r>
        <w:rPr>
          <w:spacing w:val="-2"/>
        </w:rPr>
        <w:t>年清偿</w:t>
      </w:r>
      <w:r>
        <w:rPr>
          <w:rFonts w:ascii="Times New Roman" w:hAnsi="Times New Roman" w:cs="Times New Roman" w:eastAsia="Times New Roman" w:hint="default"/>
          <w:spacing w:val="-2"/>
        </w:rPr>
        <w:t>1,204,701,900.00</w:t>
      </w:r>
      <w:r>
        <w:rPr>
          <w:spacing w:val="-2"/>
        </w:rPr>
        <w:t>元（</w:t>
      </w:r>
      <w:r>
        <w:rPr>
          <w:rFonts w:ascii="Arial" w:hAnsi="Arial" w:cs="Arial" w:eastAsia="Arial" w:hint="default"/>
          <w:spacing w:val="-2"/>
        </w:rPr>
        <w:t>2012</w:t>
      </w:r>
      <w:r>
        <w:rPr>
          <w:rFonts w:ascii="Arial" w:hAnsi="Arial" w:cs="Arial" w:eastAsia="Arial" w:hint="default"/>
        </w:rPr>
      </w:r>
    </w:p>
    <w:p>
      <w:pPr>
        <w:pStyle w:val="BodyText"/>
        <w:spacing w:line="240" w:lineRule="auto" w:before="62"/>
        <w:ind w:right="0"/>
        <w:jc w:val="left"/>
      </w:pPr>
      <w:r>
        <w:rPr/>
        <w:t>年：</w:t>
      </w:r>
      <w:r>
        <w:rPr>
          <w:rFonts w:ascii="Arial" w:hAnsi="Arial" w:cs="Arial" w:eastAsia="Arial" w:hint="default"/>
        </w:rPr>
        <w:t>953,372,100.00</w:t>
      </w:r>
      <w:r>
        <w:rPr/>
        <w:t>元），</w:t>
      </w:r>
      <w:r>
        <w:rPr>
          <w:spacing w:val="-50"/>
        </w:rPr>
        <w:t> </w:t>
      </w:r>
      <w:r>
        <w:rPr>
          <w:rFonts w:ascii="Times New Roman" w:hAnsi="Times New Roman" w:cs="Times New Roman" w:eastAsia="Times New Roman" w:hint="default"/>
        </w:rPr>
        <w:t>5</w:t>
      </w:r>
      <w:r>
        <w:rPr/>
        <w:t>年以后清偿</w:t>
      </w:r>
      <w:r>
        <w:rPr>
          <w:rFonts w:ascii="Times New Roman" w:hAnsi="Times New Roman" w:cs="Times New Roman" w:eastAsia="Times New Roman" w:hint="default"/>
        </w:rPr>
        <w:t>1,621,020,907.90</w:t>
      </w:r>
      <w:r>
        <w:rPr/>
        <w:t>元（</w:t>
      </w:r>
      <w:r>
        <w:rPr>
          <w:rFonts w:ascii="Arial" w:hAnsi="Arial" w:cs="Arial" w:eastAsia="Arial" w:hint="default"/>
        </w:rPr>
        <w:t>2012</w:t>
      </w:r>
      <w:r>
        <w:rPr/>
        <w:t>年：</w:t>
      </w:r>
      <w:r>
        <w:rPr>
          <w:rFonts w:ascii="Arial" w:hAnsi="Arial" w:cs="Arial" w:eastAsia="Arial" w:hint="default"/>
        </w:rPr>
        <w:t>1,978,409,835.94</w:t>
      </w:r>
      <w:r>
        <w:rPr/>
        <w:t>元）。</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33</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1,982,000,0</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59,169,444.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118,669,444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58,838,888.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1,990,203,4</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85.86</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香港晨 鸣债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491,750,000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3,152,512.2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14,740,042.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3,142,554.8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498,688,952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晨鸣债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3,800,000,0</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3,773,400,0</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3,578,333.3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214,700,000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214,700,000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3,578,333.3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3,778,215,1</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26.87</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47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6,300,000,0</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6,247,150,0</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65,900,289.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348,109,487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348,450,000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65,559,777.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6,267,107,5</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65.39</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减：一年内 到期部分年 末余额（附 注七、</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498,688,952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47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5,768,418,6</w:t>
            </w:r>
          </w:p>
          <w:p>
            <w:pPr>
              <w:pStyle w:val="TableParagraph"/>
              <w:spacing w:line="240" w:lineRule="auto" w:before="106"/>
              <w:ind w:left="518" w:right="0"/>
              <w:jc w:val="left"/>
              <w:rPr>
                <w:rFonts w:ascii="Times New Roman" w:hAnsi="Times New Roman" w:cs="Times New Roman" w:eastAsia="Times New Roman" w:hint="default"/>
                <w:sz w:val="18"/>
                <w:szCs w:val="18"/>
              </w:rPr>
            </w:pPr>
            <w:r>
              <w:rPr>
                <w:rFonts w:ascii="Times New Roman"/>
                <w:sz w:val="18"/>
              </w:rPr>
              <w:t>12.73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506" w:lineRule="auto" w:before="35"/>
        <w:ind w:right="7873"/>
        <w:jc w:val="left"/>
        <w:rPr>
          <w:b w:val="0"/>
          <w:bCs w:val="0"/>
        </w:rPr>
      </w:pPr>
      <w:r>
        <w:rPr>
          <w:rFonts w:ascii="Times New Roman" w:hAnsi="Times New Roman" w:cs="Times New Roman" w:eastAsia="Times New Roman" w:hint="default"/>
        </w:rPr>
        <w:t>34</w:t>
      </w:r>
      <w:r>
        <w:rPr/>
        <w:t>、长期应付款</w:t>
      </w:r>
      <w:r>
        <w:rPr>
          <w:spacing w:val="1"/>
          <w:w w:val="99"/>
        </w:rPr>
        <w:t> </w:t>
      </w:r>
      <w:r>
        <w:rPr/>
        <w:t>长期应付款分类列示</w:t>
      </w:r>
      <w:r>
        <w:rPr>
          <w:b w:val="0"/>
          <w:bCs w:val="0"/>
        </w:rPr>
      </w:r>
    </w:p>
    <w:p>
      <w:pPr>
        <w:spacing w:line="240" w:lineRule="auto" w:before="7"/>
        <w:rPr>
          <w:rFonts w:ascii="宋体" w:hAnsi="宋体" w:cs="宋体" w:eastAsia="宋体" w:hint="default"/>
          <w:b/>
          <w:bCs/>
          <w:sz w:val="9"/>
          <w:szCs w:val="9"/>
        </w:rPr>
      </w:pPr>
    </w:p>
    <w:tbl>
      <w:tblPr>
        <w:tblW w:w="0" w:type="auto"/>
        <w:jc w:val="left"/>
        <w:tblInd w:w="137" w:type="dxa"/>
        <w:tblLayout w:type="fixed"/>
        <w:tblCellMar>
          <w:top w:w="0" w:type="dxa"/>
          <w:left w:w="0" w:type="dxa"/>
          <w:bottom w:w="0" w:type="dxa"/>
          <w:right w:w="0" w:type="dxa"/>
        </w:tblCellMar>
        <w:tblLook w:val="01E0"/>
      </w:tblPr>
      <w:tblGrid>
        <w:gridCol w:w="4510"/>
        <w:gridCol w:w="1698"/>
        <w:gridCol w:w="1084"/>
        <w:gridCol w:w="1546"/>
        <w:gridCol w:w="821"/>
      </w:tblGrid>
      <w:tr>
        <w:trPr>
          <w:trHeight w:val="342" w:hRule="exact"/>
        </w:trPr>
        <w:tc>
          <w:tcPr>
            <w:tcW w:w="4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6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0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借款条件</w:t>
            </w:r>
          </w:p>
        </w:tc>
        <w:tc>
          <w:tcPr>
            <w:tcW w:w="1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495"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8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133" w:right="0"/>
              <w:jc w:val="left"/>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4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南昌经济技术开发区投资控股有限公司</w:t>
            </w:r>
          </w:p>
        </w:tc>
        <w:tc>
          <w:tcPr>
            <w:tcW w:w="169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2013.12-2019.1</w:t>
            </w:r>
          </w:p>
        </w:tc>
        <w:tc>
          <w:tcPr>
            <w:tcW w:w="1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担保</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93" w:right="0"/>
              <w:jc w:val="left"/>
              <w:rPr>
                <w:rFonts w:ascii="Times New Roman" w:hAnsi="Times New Roman" w:cs="Times New Roman" w:eastAsia="Times New Roman" w:hint="default"/>
                <w:sz w:val="18"/>
                <w:szCs w:val="18"/>
              </w:rPr>
            </w:pPr>
            <w:r>
              <w:rPr>
                <w:rFonts w:ascii="Times New Roman"/>
                <w:sz w:val="18"/>
              </w:rPr>
              <w:t>60,000,000.00</w:t>
            </w:r>
          </w:p>
        </w:tc>
        <w:tc>
          <w:tcPr>
            <w:tcW w:w="821"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5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98" w:type="dxa"/>
            <w:tcBorders>
              <w:top w:val="single" w:sz="6" w:space="0" w:color="000000"/>
              <w:left w:val="single" w:sz="7" w:space="0" w:color="000000"/>
              <w:bottom w:val="single" w:sz="6" w:space="0" w:color="000000"/>
              <w:right w:val="single" w:sz="6" w:space="0" w:color="000000"/>
            </w:tcBorders>
          </w:tcPr>
          <w:p>
            <w:pPr/>
          </w:p>
        </w:tc>
        <w:tc>
          <w:tcPr>
            <w:tcW w:w="1084"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93" w:right="0"/>
              <w:jc w:val="left"/>
              <w:rPr>
                <w:rFonts w:ascii="Times New Roman" w:hAnsi="Times New Roman" w:cs="Times New Roman" w:eastAsia="Times New Roman" w:hint="default"/>
                <w:sz w:val="18"/>
                <w:szCs w:val="18"/>
              </w:rPr>
            </w:pPr>
            <w:r>
              <w:rPr>
                <w:rFonts w:ascii="Times New Roman"/>
                <w:sz w:val="18"/>
              </w:rPr>
              <w:t>60,000,000.00</w:t>
            </w:r>
          </w:p>
        </w:tc>
        <w:tc>
          <w:tcPr>
            <w:tcW w:w="82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35</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吉林晨鸣环保迁建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641,526,872.70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319,721,311.31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center"/>
              <w:rPr>
                <w:rFonts w:ascii="Times New Roman" w:hAnsi="Times New Roman" w:cs="Times New Roman" w:eastAsia="Times New Roman" w:hint="default"/>
                <w:sz w:val="18"/>
                <w:szCs w:val="18"/>
              </w:rPr>
            </w:pPr>
            <w:r>
              <w:rPr>
                <w:rFonts w:ascii="Times New Roman"/>
                <w:sz w:val="18"/>
              </w:rPr>
              <w:t>971,805,561.39</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武汉晨鸣环保迁建</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314,840,000.00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314,840,000.00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641,526,872.70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964,840,000.00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634,561,311.31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center"/>
              <w:rPr>
                <w:rFonts w:ascii="Times New Roman" w:hAnsi="Times New Roman" w:cs="Times New Roman" w:eastAsia="Times New Roman" w:hint="default"/>
                <w:sz w:val="18"/>
                <w:szCs w:val="18"/>
              </w:rPr>
            </w:pPr>
            <w:r>
              <w:rPr>
                <w:rFonts w:ascii="Times New Roman"/>
                <w:sz w:val="18"/>
              </w:rPr>
              <w:t>971,805,561.39</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186" w:hanging="360"/>
        <w:jc w:val="left"/>
      </w:pPr>
      <w:r>
        <w:rPr/>
        <w:t>专项应付款说明： 本年度，按照与国开吉林有限公司签署搬迁补偿协议，本公司收到搬迁补偿款</w:t>
      </w:r>
      <w:r>
        <w:rPr>
          <w:rFonts w:ascii="Times New Roman" w:hAnsi="Times New Roman" w:cs="Times New Roman" w:eastAsia="Times New Roman" w:hint="default"/>
        </w:rPr>
        <w:t>650,000,000.00</w:t>
      </w:r>
      <w:r>
        <w:rPr/>
        <w:t>元。本年度用搬迁补偿款</w:t>
      </w:r>
    </w:p>
    <w:p>
      <w:pPr>
        <w:pStyle w:val="BodyText"/>
        <w:spacing w:line="214" w:lineRule="exact"/>
        <w:ind w:right="0"/>
        <w:jc w:val="left"/>
      </w:pPr>
      <w:r>
        <w:rPr/>
        <w:t>补偿固定资产清理损失</w:t>
      </w:r>
      <w:r>
        <w:rPr>
          <w:rFonts w:ascii="Times New Roman" w:hAnsi="Times New Roman" w:cs="Times New Roman" w:eastAsia="Times New Roman" w:hint="default"/>
        </w:rPr>
        <w:t>86,945,723.83</w:t>
      </w:r>
      <w:r>
        <w:rPr/>
        <w:t>元，补偿停产损失</w:t>
      </w:r>
      <w:r>
        <w:rPr>
          <w:rFonts w:ascii="Times New Roman" w:hAnsi="Times New Roman" w:cs="Times New Roman" w:eastAsia="Times New Roman" w:hint="default"/>
        </w:rPr>
        <w:t>99,453,494.34</w:t>
      </w:r>
      <w:r>
        <w:rPr/>
        <w:t>元，补偿核销吉林老厂土地价值</w:t>
      </w:r>
      <w:r>
        <w:rPr>
          <w:rFonts w:ascii="Times New Roman" w:hAnsi="Times New Roman" w:cs="Times New Roman" w:eastAsia="Times New Roman" w:hint="default"/>
        </w:rPr>
        <w:t>133,322,093.14</w:t>
      </w:r>
      <w:r>
        <w:rPr/>
        <w:t>元；</w:t>
      </w:r>
    </w:p>
    <w:p>
      <w:pPr>
        <w:pStyle w:val="BodyText"/>
        <w:spacing w:line="240" w:lineRule="auto" w:before="62"/>
        <w:ind w:left="513" w:right="0"/>
        <w:jc w:val="left"/>
      </w:pPr>
      <w:r>
        <w:rPr/>
        <w:t>本年度，根据武汉市政府关于</w:t>
      </w:r>
      <w:r>
        <w:rPr>
          <w:rFonts w:ascii="Times New Roman" w:hAnsi="Times New Roman" w:cs="Times New Roman" w:eastAsia="Times New Roman" w:hint="default"/>
        </w:rPr>
        <w:t>“</w:t>
      </w:r>
      <w:r>
        <w:rPr/>
        <w:t>武汉晨鸣公司关于淘汰落后产能环保迁建</w:t>
      </w:r>
      <w:r>
        <w:rPr>
          <w:rFonts w:ascii="Times New Roman" w:hAnsi="Times New Roman" w:cs="Times New Roman" w:eastAsia="Times New Roman" w:hint="default"/>
        </w:rPr>
        <w:t>”</w:t>
      </w:r>
      <w:r>
        <w:rPr/>
        <w:t>会议精神，本公司收到搬迁补偿款</w:t>
      </w:r>
    </w:p>
    <w:p>
      <w:pPr>
        <w:pStyle w:val="BodyText"/>
        <w:spacing w:line="240" w:lineRule="auto" w:before="62"/>
        <w:ind w:right="0"/>
        <w:jc w:val="left"/>
      </w:pPr>
      <w:r>
        <w:rPr>
          <w:rFonts w:ascii="Times New Roman" w:hAnsi="Times New Roman" w:cs="Times New Roman" w:eastAsia="Times New Roman" w:hint="default"/>
        </w:rPr>
        <w:t>314,840,000.00</w:t>
      </w:r>
      <w:r>
        <w:rPr/>
        <w:t>元。本年度用搬迁补偿款补偿固定资产清理损失</w:t>
      </w:r>
      <w:r>
        <w:rPr>
          <w:rFonts w:ascii="Times New Roman" w:hAnsi="Times New Roman" w:cs="Times New Roman" w:eastAsia="Times New Roman" w:hint="default"/>
        </w:rPr>
        <w:t>121,575,124.36</w:t>
      </w:r>
      <w:r>
        <w:rPr/>
        <w:t>元，补偿停产损失</w:t>
      </w:r>
      <w:r>
        <w:rPr>
          <w:rFonts w:ascii="Times New Roman" w:hAnsi="Times New Roman" w:cs="Times New Roman" w:eastAsia="Times New Roman" w:hint="default"/>
        </w:rPr>
        <w:t>193,264,875.64</w:t>
      </w:r>
      <w:r>
        <w:rPr/>
        <w:t>元。</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36</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468,354,064.53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375,881,264.56</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1,088,060,197.75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2,184,270,106.80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1,489,103,380.29</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年内到期</w:t>
            </w:r>
          </w:p>
        </w:tc>
        <w:tc>
          <w:tcPr>
            <w:tcW w:w="2790"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年内到期</w:t>
            </w:r>
          </w:p>
        </w:tc>
        <w:tc>
          <w:tcPr>
            <w:tcW w:w="2790"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Arial" w:hAnsi="Arial" w:cs="Arial" w:eastAsia="Arial" w:hint="default"/>
                <w:sz w:val="18"/>
                <w:szCs w:val="18"/>
              </w:rPr>
              <w:t>2-5</w:t>
            </w:r>
            <w:r>
              <w:rPr>
                <w:rFonts w:ascii="Arial" w:hAnsi="Arial" w:cs="Arial" w:eastAsia="Arial" w:hint="default"/>
                <w:spacing w:val="-10"/>
                <w:sz w:val="18"/>
                <w:szCs w:val="18"/>
              </w:rPr>
              <w:t> </w:t>
            </w:r>
            <w:r>
              <w:rPr>
                <w:rFonts w:ascii="宋体" w:hAnsi="宋体" w:cs="宋体" w:eastAsia="宋体" w:hint="default"/>
                <w:sz w:val="18"/>
                <w:szCs w:val="18"/>
              </w:rPr>
              <w:t>年内到期</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未摊销发行费</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-22,836,421.96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-15,729,893.20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3,045,517,642.57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2,560,151,371.36</w:t>
            </w:r>
          </w:p>
        </w:tc>
      </w:tr>
    </w:tbl>
    <w:p>
      <w:pPr>
        <w:pStyle w:val="BodyText"/>
        <w:spacing w:line="240" w:lineRule="auto" w:before="51"/>
        <w:ind w:left="154" w:right="0"/>
        <w:jc w:val="left"/>
      </w:pPr>
      <w:r>
        <w:rPr/>
        <w:t>涉及政府补助的负债项目</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669"/>
        <w:gridCol w:w="1418"/>
        <w:gridCol w:w="1246"/>
        <w:gridCol w:w="1445"/>
        <w:gridCol w:w="1159"/>
        <w:gridCol w:w="1181"/>
        <w:gridCol w:w="1564"/>
      </w:tblGrid>
      <w:tr>
        <w:trPr>
          <w:trHeight w:val="714" w:hRule="exact"/>
        </w:trPr>
        <w:tc>
          <w:tcPr>
            <w:tcW w:w="16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8" w:right="77"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4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57" w:right="85"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1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602" w:right="26" w:hanging="56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5"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环境保护专项资金 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63,922,883.01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17,814,600.00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10,207,530.24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-4,491,238.09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67,038,714.68</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669"/>
        <w:gridCol w:w="1418"/>
        <w:gridCol w:w="1246"/>
        <w:gridCol w:w="1445"/>
        <w:gridCol w:w="1159"/>
        <w:gridCol w:w="1181"/>
        <w:gridCol w:w="1576"/>
      </w:tblGrid>
      <w:tr>
        <w:trPr>
          <w:trHeight w:val="71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国家科技支撑计划 课题经费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7,605,425.00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164,700.00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7,440,725.00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松花江环保项目专 项经费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27,790,829.88</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877,750.08</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26,913,079.80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碱回收系统改造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4,883,749.85</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4,883,749.85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污水处理及节水改 造项目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12,899,569.87</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990,418.60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11,909,151.27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技改项目财政补助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1,972,781.97</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1,428,571.44</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100,544,210.53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湛江林浆纸一体化 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273,472,850.82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11,837,241.00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11,663,338.49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273,646,753.33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992,672.72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95,345.03</w:t>
            </w:r>
          </w:p>
        </w:tc>
        <w:tc>
          <w:tcPr>
            <w:tcW w:w="11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1,224,327.69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将于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年内摊销的 递延收益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-17,659,498.56</w:t>
            </w:r>
          </w:p>
        </w:tc>
        <w:tc>
          <w:tcPr>
            <w:tcW w:w="1246"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-25,246,647.62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6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375,881,264.56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129,978,841.00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25,427,653.88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-4,491,238.09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468,354,064.53</w:t>
            </w:r>
          </w:p>
        </w:tc>
        <w:tc>
          <w:tcPr>
            <w:tcW w:w="1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00" w:lineRule="auto" w:before="10"/>
        <w:ind w:right="0"/>
        <w:jc w:val="left"/>
      </w:pPr>
      <w:r>
        <w:rPr>
          <w:spacing w:val="-2"/>
        </w:rPr>
        <w:t>本期收到的递延收益为</w:t>
      </w:r>
      <w:r>
        <w:rPr>
          <w:rFonts w:ascii="Times New Roman" w:hAnsi="Times New Roman" w:cs="Times New Roman" w:eastAsia="Times New Roman" w:hint="default"/>
          <w:spacing w:val="-2"/>
        </w:rPr>
        <w:t>129,978,841.00</w:t>
      </w:r>
      <w:r>
        <w:rPr>
          <w:spacing w:val="-2"/>
        </w:rPr>
        <w:t>元，本期递延收益摊销计入损益的</w:t>
      </w:r>
      <w:r>
        <w:rPr>
          <w:rFonts w:ascii="Times New Roman" w:hAnsi="Times New Roman" w:cs="Times New Roman" w:eastAsia="Times New Roman" w:hint="default"/>
          <w:spacing w:val="-2"/>
        </w:rPr>
        <w:t>25,427,653.88</w:t>
      </w:r>
      <w:r>
        <w:rPr>
          <w:spacing w:val="-2"/>
        </w:rPr>
        <w:t>元，本期因转让延边晨鸣纸业有限公司</w:t>
      </w:r>
      <w:r>
        <w:rPr>
          <w:spacing w:val="-42"/>
        </w:rPr>
        <w:t> </w:t>
      </w:r>
      <w:r>
        <w:rPr>
          <w:spacing w:val="-42"/>
        </w:rPr>
      </w:r>
      <w:r>
        <w:rPr/>
        <w:t>股权而减少的递延收益为</w:t>
      </w:r>
      <w:r>
        <w:rPr>
          <w:rFonts w:ascii="Times New Roman" w:hAnsi="Times New Roman" w:cs="Times New Roman" w:eastAsia="Times New Roman" w:hint="default"/>
        </w:rPr>
        <w:t>4,491,238.09</w:t>
      </w:r>
      <w:r>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37</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270"/>
        <w:jc w:val="right"/>
      </w:pPr>
      <w:r>
        <w:rPr/>
        <w:t>单位：元</w:t>
      </w:r>
    </w:p>
    <w:p>
      <w:pPr>
        <w:spacing w:line="240" w:lineRule="auto" w:before="0"/>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1666"/>
        <w:gridCol w:w="1459"/>
        <w:gridCol w:w="709"/>
        <w:gridCol w:w="466"/>
        <w:gridCol w:w="466"/>
        <w:gridCol w:w="377"/>
        <w:gridCol w:w="1262"/>
        <w:gridCol w:w="1276"/>
        <w:gridCol w:w="1417"/>
        <w:gridCol w:w="695"/>
      </w:tblGrid>
      <w:tr>
        <w:trPr>
          <w:trHeight w:val="330"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3846"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1045"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12"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1599"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3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6"/>
              <w:ind w:left="91" w:right="89"/>
              <w:jc w:val="both"/>
              <w:rPr>
                <w:rFonts w:ascii="宋体" w:hAnsi="宋体" w:cs="宋体" w:eastAsia="宋体" w:hint="default"/>
                <w:sz w:val="18"/>
                <w:szCs w:val="18"/>
              </w:rPr>
            </w:pPr>
            <w:r>
              <w:rPr>
                <w:rFonts w:ascii="宋体" w:hAnsi="宋体" w:cs="宋体" w:eastAsia="宋体" w:hint="default"/>
                <w:sz w:val="18"/>
                <w:szCs w:val="18"/>
              </w:rPr>
              <w:t>公 积 金 转 股</w:t>
            </w:r>
          </w:p>
        </w:tc>
        <w:tc>
          <w:tcPr>
            <w:tcW w:w="12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7"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459" w:type="dxa"/>
            <w:tcBorders>
              <w:top w:val="single" w:sz="6" w:space="0" w:color="000000"/>
              <w:left w:val="single" w:sz="7"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14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9,336,404.00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0.45</w:t>
            </w:r>
          </w:p>
        </w:tc>
        <w:tc>
          <w:tcPr>
            <w:tcW w:w="4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-1,170,185.00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-1,170,185.00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8,166,219.00</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0.41</w:t>
            </w:r>
          </w:p>
        </w:tc>
      </w:tr>
      <w:tr>
        <w:trPr>
          <w:trHeight w:val="348"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4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9,336,404.00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0.45</w:t>
            </w:r>
          </w:p>
        </w:tc>
        <w:tc>
          <w:tcPr>
            <w:tcW w:w="4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-1,170,185.00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-1,170,185.00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8,166,219.00</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0.41</w:t>
            </w:r>
          </w:p>
        </w:tc>
      </w:tr>
      <w:tr>
        <w:trPr>
          <w:trHeight w:val="347"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459" w:type="dxa"/>
            <w:tcBorders>
              <w:top w:val="single" w:sz="6" w:space="0" w:color="000000"/>
              <w:left w:val="single" w:sz="7"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695"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0" w:lineRule="auto" w:before="21"/>
              <w:ind w:left="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人民币普通股（Ａ 股）</w:t>
            </w:r>
          </w:p>
        </w:tc>
        <w:tc>
          <w:tcPr>
            <w:tcW w:w="14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1,103,942,052.00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53.54</w:t>
            </w:r>
          </w:p>
        </w:tc>
        <w:tc>
          <w:tcPr>
            <w:tcW w:w="4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1,170,185.00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1,170,185.00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1,105,112,237.00</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55.94</w:t>
            </w:r>
          </w:p>
        </w:tc>
      </w:tr>
      <w:tr>
        <w:trPr>
          <w:trHeight w:val="659"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（Ｂ股）</w:t>
            </w:r>
          </w:p>
        </w:tc>
        <w:tc>
          <w:tcPr>
            <w:tcW w:w="14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557,497,485.00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27.04</w:t>
            </w:r>
          </w:p>
        </w:tc>
        <w:tc>
          <w:tcPr>
            <w:tcW w:w="4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-86,573,974.00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-86,573,974.00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470,923,511.00</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23.84</w:t>
            </w:r>
          </w:p>
        </w:tc>
      </w:tr>
      <w:tr>
        <w:trPr>
          <w:trHeight w:val="659"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（Ｈ股）</w:t>
            </w:r>
          </w:p>
        </w:tc>
        <w:tc>
          <w:tcPr>
            <w:tcW w:w="14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391,270,000.00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18.97</w:t>
            </w:r>
          </w:p>
        </w:tc>
        <w:tc>
          <w:tcPr>
            <w:tcW w:w="4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391,270,000.00</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19.81</w:t>
            </w:r>
          </w:p>
        </w:tc>
      </w:tr>
      <w:tr>
        <w:trPr>
          <w:trHeight w:val="347"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4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2,052,709,537.00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99.55</w:t>
            </w:r>
          </w:p>
        </w:tc>
        <w:tc>
          <w:tcPr>
            <w:tcW w:w="4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-85,403,789.00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-85,403,789.00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1,967,305,748.00</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99.59</w:t>
            </w:r>
          </w:p>
        </w:tc>
      </w:tr>
      <w:tr>
        <w:trPr>
          <w:trHeight w:val="348" w:hRule="exact"/>
        </w:trPr>
        <w:tc>
          <w:tcPr>
            <w:tcW w:w="16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2,062,045,941.00</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466"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-86,573,974.00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-86,573,974.00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1,975,471,967.00</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0"/>
        <w:ind w:right="0"/>
        <w:jc w:val="left"/>
      </w:pPr>
      <w:r>
        <w:rPr>
          <w:spacing w:val="-2"/>
        </w:rPr>
        <w:t>公司在</w:t>
      </w:r>
      <w:r>
        <w:rPr>
          <w:rFonts w:ascii="Times New Roman" w:hAnsi="Times New Roman" w:cs="Times New Roman" w:eastAsia="Times New Roman" w:hint="default"/>
          <w:spacing w:val="-2"/>
        </w:rPr>
        <w:t>2013</w:t>
      </w:r>
      <w:r>
        <w:rPr>
          <w:spacing w:val="-2"/>
        </w:rPr>
        <w:t>年回购</w:t>
      </w:r>
      <w:r>
        <w:rPr>
          <w:rFonts w:ascii="Times New Roman" w:hAnsi="Times New Roman" w:cs="Times New Roman" w:eastAsia="Times New Roman" w:hint="default"/>
          <w:spacing w:val="-2"/>
        </w:rPr>
        <w:t>86,573,974</w:t>
      </w:r>
      <w:r>
        <w:rPr>
          <w:spacing w:val="-2"/>
        </w:rPr>
        <w:t>股境外上市外资股（</w:t>
      </w:r>
      <w:r>
        <w:rPr>
          <w:rFonts w:ascii="Times New Roman" w:hAnsi="Times New Roman" w:cs="Times New Roman" w:eastAsia="Times New Roman" w:hint="default"/>
          <w:spacing w:val="-2"/>
        </w:rPr>
        <w:t>B</w:t>
      </w:r>
      <w:r>
        <w:rPr>
          <w:spacing w:val="-2"/>
        </w:rPr>
        <w:t>股），变更后的股本人民币</w:t>
      </w:r>
      <w:r>
        <w:rPr>
          <w:rFonts w:ascii="Times New Roman" w:hAnsi="Times New Roman" w:cs="Times New Roman" w:eastAsia="Times New Roman" w:hint="default"/>
          <w:spacing w:val="-2"/>
        </w:rPr>
        <w:t>1,975,471,967</w:t>
      </w:r>
      <w:r>
        <w:rPr>
          <w:spacing w:val="-2"/>
        </w:rPr>
        <w:t>元。该股本已经瑞华会计师事务</w:t>
      </w:r>
      <w:r>
        <w:rPr>
          <w:spacing w:val="-27"/>
        </w:rPr>
        <w:t> </w:t>
      </w:r>
      <w:r>
        <w:rPr>
          <w:spacing w:val="-27"/>
        </w:rPr>
      </w:r>
      <w:r>
        <w:rPr/>
        <w:t>所验证，并出具了编号为瑞华验字【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91110005</w:t>
      </w:r>
      <w:r>
        <w:rPr/>
        <w:t>号的验资报告。</w:t>
      </w:r>
    </w:p>
    <w:p>
      <w:pPr>
        <w:spacing w:after="0" w:line="300" w:lineRule="auto"/>
        <w:jc w:val="left"/>
        <w:sectPr>
          <w:pgSz w:w="11910" w:h="16840"/>
          <w:pgMar w:header="877" w:footer="950" w:top="1100" w:bottom="1140" w:left="980" w:right="86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、库存股</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tbl>
      <w:tblPr>
        <w:tblW w:w="0" w:type="auto"/>
        <w:jc w:val="left"/>
        <w:tblInd w:w="146" w:type="dxa"/>
        <w:tblLayout w:type="fixed"/>
        <w:tblCellMar>
          <w:top w:w="0" w:type="dxa"/>
          <w:left w:w="0" w:type="dxa"/>
          <w:bottom w:w="0" w:type="dxa"/>
          <w:right w:w="0" w:type="dxa"/>
        </w:tblCellMar>
        <w:tblLook w:val="01E0"/>
      </w:tblPr>
      <w:tblGrid>
        <w:gridCol w:w="3376"/>
        <w:gridCol w:w="1513"/>
        <w:gridCol w:w="1321"/>
        <w:gridCol w:w="1655"/>
        <w:gridCol w:w="1793"/>
      </w:tblGrid>
      <w:tr>
        <w:trPr>
          <w:trHeight w:val="343" w:hRule="exact"/>
        </w:trPr>
        <w:tc>
          <w:tcPr>
            <w:tcW w:w="3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5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479"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3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9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45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347" w:hRule="exact"/>
        </w:trPr>
        <w:tc>
          <w:tcPr>
            <w:tcW w:w="3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回购本公司Ｂ股</w:t>
            </w:r>
          </w:p>
        </w:tc>
        <w:tc>
          <w:tcPr>
            <w:tcW w:w="1513" w:type="dxa"/>
            <w:tcBorders>
              <w:top w:val="single" w:sz="10" w:space="0" w:color="000000"/>
              <w:left w:val="single" w:sz="7" w:space="0" w:color="000000"/>
              <w:bottom w:val="single" w:sz="6" w:space="0" w:color="000000"/>
              <w:right w:val="single" w:sz="6" w:space="0" w:color="000000"/>
            </w:tcBorders>
          </w:tcPr>
          <w:p>
            <w:pPr/>
          </w:p>
        </w:tc>
        <w:tc>
          <w:tcPr>
            <w:tcW w:w="13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265,363,183.60</w:t>
            </w:r>
          </w:p>
        </w:tc>
        <w:tc>
          <w:tcPr>
            <w:tcW w:w="165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513" w:right="0"/>
              <w:jc w:val="left"/>
              <w:rPr>
                <w:rFonts w:ascii="Times New Roman" w:hAnsi="Times New Roman" w:cs="Times New Roman" w:eastAsia="Times New Roman" w:hint="default"/>
                <w:sz w:val="18"/>
                <w:szCs w:val="18"/>
              </w:rPr>
            </w:pPr>
            <w:r>
              <w:rPr>
                <w:rFonts w:ascii="Times New Roman"/>
                <w:sz w:val="18"/>
              </w:rPr>
              <w:t>265,363,183.60</w:t>
            </w:r>
          </w:p>
        </w:tc>
        <w:tc>
          <w:tcPr>
            <w:tcW w:w="1793"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3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回购本公司Ｈ股</w:t>
            </w:r>
          </w:p>
        </w:tc>
        <w:tc>
          <w:tcPr>
            <w:tcW w:w="1513" w:type="dxa"/>
            <w:tcBorders>
              <w:top w:val="single" w:sz="6" w:space="0" w:color="000000"/>
              <w:left w:val="single" w:sz="7"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30,954,891.40</w:t>
            </w:r>
          </w:p>
        </w:tc>
        <w:tc>
          <w:tcPr>
            <w:tcW w:w="1655" w:type="dxa"/>
            <w:tcBorders>
              <w:top w:val="single" w:sz="6" w:space="0" w:color="000000"/>
              <w:left w:val="single" w:sz="6" w:space="0" w:color="000000"/>
              <w:bottom w:val="single" w:sz="6" w:space="0" w:color="000000"/>
              <w:right w:val="single" w:sz="6" w:space="0" w:color="000000"/>
            </w:tcBorders>
          </w:tcPr>
          <w:p>
            <w:pP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30,954,891.40</w:t>
            </w:r>
          </w:p>
        </w:tc>
      </w:tr>
      <w:tr>
        <w:trPr>
          <w:trHeight w:val="348" w:hRule="exact"/>
        </w:trPr>
        <w:tc>
          <w:tcPr>
            <w:tcW w:w="33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13" w:type="dxa"/>
            <w:tcBorders>
              <w:top w:val="single" w:sz="6" w:space="0" w:color="000000"/>
              <w:left w:val="single" w:sz="7"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296,318,075.00</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3" w:right="0"/>
              <w:jc w:val="left"/>
              <w:rPr>
                <w:rFonts w:ascii="Times New Roman" w:hAnsi="Times New Roman" w:cs="Times New Roman" w:eastAsia="Times New Roman" w:hint="default"/>
                <w:sz w:val="18"/>
                <w:szCs w:val="18"/>
              </w:rPr>
            </w:pPr>
            <w:r>
              <w:rPr>
                <w:rFonts w:ascii="Times New Roman"/>
                <w:sz w:val="18"/>
              </w:rPr>
              <w:t>265,363,183.60</w:t>
            </w:r>
          </w:p>
        </w:tc>
        <w:tc>
          <w:tcPr>
            <w:tcW w:w="1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30,954,891.40</w:t>
            </w:r>
          </w:p>
        </w:tc>
      </w:tr>
    </w:tbl>
    <w:p>
      <w:pPr>
        <w:pStyle w:val="BodyText"/>
        <w:spacing w:line="300" w:lineRule="auto" w:before="10"/>
        <w:ind w:right="141" w:firstLine="360"/>
        <w:jc w:val="left"/>
      </w:pPr>
      <w:r>
        <w:rPr>
          <w:spacing w:val="-4"/>
        </w:rPr>
        <w:t>经公司</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21</w:t>
      </w:r>
      <w:r>
        <w:rPr>
          <w:spacing w:val="-4"/>
        </w:rPr>
        <w:t>日召开的</w:t>
      </w:r>
      <w:r>
        <w:rPr>
          <w:rFonts w:ascii="Times New Roman" w:hAnsi="Times New Roman" w:cs="Times New Roman" w:eastAsia="Times New Roman" w:hint="default"/>
          <w:spacing w:val="-4"/>
        </w:rPr>
        <w:t>2013</w:t>
      </w:r>
      <w:r>
        <w:rPr>
          <w:spacing w:val="-4"/>
        </w:rPr>
        <w:t>年第一次临时股东大会、</w:t>
      </w:r>
      <w:r>
        <w:rPr>
          <w:rFonts w:ascii="Times New Roman" w:hAnsi="Times New Roman" w:cs="Times New Roman" w:eastAsia="Times New Roman" w:hint="default"/>
          <w:spacing w:val="-4"/>
        </w:rPr>
        <w:t>2013</w:t>
      </w:r>
      <w:r>
        <w:rPr>
          <w:spacing w:val="-4"/>
        </w:rPr>
        <w:t>年第一次境内上市股份（</w:t>
      </w:r>
      <w:r>
        <w:rPr>
          <w:rFonts w:ascii="Times New Roman" w:hAnsi="Times New Roman" w:cs="Times New Roman" w:eastAsia="Times New Roman" w:hint="default"/>
          <w:spacing w:val="-4"/>
        </w:rPr>
        <w:t>A</w:t>
      </w:r>
      <w:r>
        <w:rPr>
          <w:spacing w:val="-4"/>
        </w:rPr>
        <w:t>股、</w:t>
      </w:r>
      <w:r>
        <w:rPr>
          <w:rFonts w:ascii="Times New Roman" w:hAnsi="Times New Roman" w:cs="Times New Roman" w:eastAsia="Times New Roman" w:hint="default"/>
          <w:spacing w:val="-4"/>
        </w:rPr>
        <w:t>B</w:t>
      </w:r>
      <w:r>
        <w:rPr>
          <w:spacing w:val="-4"/>
        </w:rPr>
        <w:t>股）类别股东大会、</w:t>
      </w:r>
      <w:r>
        <w:rPr>
          <w:rFonts w:ascii="Times New Roman" w:hAnsi="Times New Roman" w:cs="Times New Roman" w:eastAsia="Times New Roman" w:hint="default"/>
          <w:spacing w:val="-4"/>
        </w:rPr>
        <w:t>2013</w:t>
      </w:r>
      <w:r>
        <w:rPr>
          <w:rFonts w:ascii="Times New Roman" w:hAnsi="Times New Roman" w:cs="Times New Roman" w:eastAsia="Times New Roman" w:hint="default"/>
        </w:rPr>
        <w:t> </w:t>
      </w:r>
      <w:r>
        <w:rPr>
          <w:spacing w:val="-1"/>
        </w:rPr>
        <w:t>年第一次境外上市股份（</w:t>
      </w:r>
      <w:r>
        <w:rPr>
          <w:rFonts w:ascii="Times New Roman" w:hAnsi="Times New Roman" w:cs="Times New Roman" w:eastAsia="Times New Roman" w:hint="default"/>
          <w:spacing w:val="-1"/>
        </w:rPr>
        <w:t>H</w:t>
      </w:r>
      <w:r>
        <w:rPr>
          <w:spacing w:val="-1"/>
        </w:rPr>
        <w:t>股）类别股东大会决议，公司拟在本次股东大会及类别股东大会通过之日起</w:t>
      </w:r>
      <w:r>
        <w:rPr>
          <w:rFonts w:ascii="Times New Roman" w:hAnsi="Times New Roman" w:cs="Times New Roman" w:eastAsia="Times New Roman" w:hint="default"/>
          <w:spacing w:val="-1"/>
        </w:rPr>
        <w:t>12</w:t>
      </w:r>
      <w:r>
        <w:rPr>
          <w:spacing w:val="-1"/>
        </w:rPr>
        <w:t>个月内回购不超过</w:t>
      </w:r>
      <w:r>
        <w:rPr>
          <w:spacing w:val="-69"/>
        </w:rPr>
        <w:t> </w:t>
      </w:r>
      <w:r>
        <w:rPr>
          <w:rFonts w:ascii="Times New Roman" w:hAnsi="Times New Roman" w:cs="Times New Roman" w:eastAsia="Times New Roman" w:hint="default"/>
          <w:spacing w:val="-1"/>
        </w:rPr>
        <w:t>3,912.7</w:t>
      </w:r>
      <w:r>
        <w:rPr>
          <w:spacing w:val="-1"/>
        </w:rPr>
        <w:t>万股境外上市外资股（</w:t>
      </w:r>
      <w:r>
        <w:rPr>
          <w:rFonts w:ascii="Times New Roman" w:hAnsi="Times New Roman" w:cs="Times New Roman" w:eastAsia="Times New Roman" w:hint="default"/>
          <w:spacing w:val="-1"/>
        </w:rPr>
        <w:t>H</w:t>
      </w:r>
      <w:r>
        <w:rPr>
          <w:spacing w:val="-1"/>
        </w:rPr>
        <w:t>股）股份，回购价格不超过</w:t>
      </w:r>
      <w:r>
        <w:rPr>
          <w:rFonts w:ascii="Times New Roman" w:hAnsi="Times New Roman" w:cs="Times New Roman" w:eastAsia="Times New Roman" w:hint="default"/>
          <w:spacing w:val="-1"/>
        </w:rPr>
        <w:t>4</w:t>
      </w:r>
      <w:r>
        <w:rPr>
          <w:spacing w:val="-1"/>
        </w:rPr>
        <w:t>港元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w:t>
      </w:r>
      <w:r>
        <w:rPr>
          <w:spacing w:val="-1"/>
        </w:rPr>
        <w:t>回购当日的回购价格不能高于之前五个交易日在香港联</w:t>
      </w:r>
      <w:r>
        <w:rPr>
          <w:spacing w:val="-85"/>
        </w:rPr>
        <w:t> </w:t>
      </w:r>
      <w:r>
        <w:rPr>
          <w:spacing w:val="-1"/>
        </w:rPr>
        <w:t>合交易所有限公司的平均收市价</w:t>
      </w:r>
      <w:r>
        <w:rPr>
          <w:rFonts w:ascii="Times New Roman" w:hAnsi="Times New Roman" w:cs="Times New Roman" w:eastAsia="Times New Roman" w:hint="default"/>
          <w:spacing w:val="-1"/>
        </w:rPr>
        <w:t>5%</w:t>
      </w:r>
      <w:r>
        <w:rPr>
          <w:spacing w:val="-1"/>
        </w:rPr>
        <w:t>或以上</w:t>
      </w:r>
      <w:r>
        <w:rPr>
          <w:rFonts w:ascii="Times New Roman" w:hAnsi="Times New Roman" w:cs="Times New Roman" w:eastAsia="Times New Roman" w:hint="default"/>
          <w:spacing w:val="-1"/>
        </w:rPr>
        <w:t>),</w:t>
      </w:r>
      <w:r>
        <w:rPr>
          <w:spacing w:val="-1"/>
        </w:rPr>
        <w:t>回购所用资金金额不超过</w:t>
      </w:r>
      <w:r>
        <w:rPr>
          <w:rFonts w:ascii="Times New Roman" w:hAnsi="Times New Roman" w:cs="Times New Roman" w:eastAsia="Times New Roman" w:hint="default"/>
          <w:spacing w:val="-1"/>
        </w:rPr>
        <w:t>1.6</w:t>
      </w:r>
      <w:r>
        <w:rPr>
          <w:spacing w:val="-1"/>
        </w:rPr>
        <w:t>亿元港币（按</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21</w:t>
      </w:r>
      <w:r>
        <w:rPr>
          <w:spacing w:val="-1"/>
        </w:rPr>
        <w:t>日港币对人民币汇率中间</w:t>
      </w:r>
      <w:r>
        <w:rPr>
          <w:spacing w:val="-55"/>
        </w:rPr>
        <w:t> </w:t>
      </w:r>
      <w:r>
        <w:rPr/>
        <w:t>价</w:t>
      </w:r>
      <w:r>
        <w:rPr>
          <w:rFonts w:ascii="Times New Roman" w:hAnsi="Times New Roman" w:cs="Times New Roman" w:eastAsia="Times New Roman" w:hint="default"/>
        </w:rPr>
        <w:t>1</w:t>
      </w:r>
      <w:r>
        <w:rPr/>
        <w:t>港币</w:t>
      </w:r>
      <w:r>
        <w:rPr>
          <w:rFonts w:ascii="Times New Roman" w:hAnsi="Times New Roman" w:cs="Times New Roman" w:eastAsia="Times New Roman" w:hint="default"/>
        </w:rPr>
        <w:t>=0.79532</w:t>
      </w:r>
      <w:r>
        <w:rPr/>
        <w:t>人民币换算，折合约</w:t>
      </w:r>
      <w:r>
        <w:rPr>
          <w:rFonts w:ascii="Times New Roman" w:hAnsi="Times New Roman" w:cs="Times New Roman" w:eastAsia="Times New Roman" w:hint="default"/>
        </w:rPr>
        <w:t>1.27</w:t>
      </w:r>
      <w:r>
        <w:rPr/>
        <w:t>亿元人民币），截止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日，公司回购</w:t>
      </w:r>
      <w:r>
        <w:rPr>
          <w:rFonts w:ascii="Times New Roman" w:hAnsi="Times New Roman" w:cs="Times New Roman" w:eastAsia="Times New Roman" w:hint="default"/>
        </w:rPr>
        <w:t>H</w:t>
      </w:r>
      <w:r>
        <w:rPr/>
        <w:t>股</w:t>
      </w:r>
      <w:r>
        <w:rPr>
          <w:rFonts w:ascii="Times New Roman" w:hAnsi="Times New Roman" w:cs="Times New Roman" w:eastAsia="Times New Roman" w:hint="default"/>
        </w:rPr>
        <w:t>1,148.45</w:t>
      </w:r>
      <w:r>
        <w:rPr/>
        <w:t>万股，支付港币 </w:t>
      </w:r>
      <w:r>
        <w:rPr>
          <w:rFonts w:ascii="Times New Roman" w:hAnsi="Times New Roman" w:cs="Times New Roman" w:eastAsia="Times New Roman" w:hint="default"/>
        </w:rPr>
        <w:t>39,371,292.62</w:t>
      </w:r>
      <w:r>
        <w:rPr/>
        <w:t>元（含印花税、佣金）折合人民币</w:t>
      </w:r>
      <w:r>
        <w:rPr>
          <w:rFonts w:ascii="Times New Roman" w:hAnsi="Times New Roman" w:cs="Times New Roman" w:eastAsia="Times New Roman" w:hint="default"/>
        </w:rPr>
        <w:t>30,954,891.40</w:t>
      </w:r>
      <w:r>
        <w:rPr/>
        <w:t>元。</w:t>
      </w:r>
    </w:p>
    <w:p>
      <w:pPr>
        <w:pStyle w:val="BodyText"/>
        <w:spacing w:line="240" w:lineRule="auto" w:before="13"/>
        <w:ind w:left="513" w:right="0"/>
        <w:jc w:val="left"/>
      </w:pPr>
      <w:r>
        <w:rPr/>
        <w:t>在上述回购期限届满或回购方案实施完毕后，公司将依法注销回购的</w:t>
      </w:r>
      <w:r>
        <w:rPr>
          <w:rFonts w:ascii="Times New Roman" w:hAnsi="Times New Roman" w:cs="Times New Roman" w:eastAsia="Times New Roman" w:hint="default"/>
        </w:rPr>
        <w:t>H</w:t>
      </w:r>
      <w:r>
        <w:rPr/>
        <w:t>股股份，并相应减少注册资本。</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39</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57"/>
        <w:gridCol w:w="1992"/>
        <w:gridCol w:w="1440"/>
        <w:gridCol w:w="1674"/>
        <w:gridCol w:w="1594"/>
      </w:tblGrid>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5,713,148,731.33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178,789,209.60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5,534,359,521.73</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其中：投资者投入的资本</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3,373,256,665.49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178,789,209.60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3,194,467,455.89</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可转换公司债券行使转换权</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2,018,215,301.98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2,018,215,301.98</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321,676,763.86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321,676,763.86</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701,744,268.20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31,421,760.99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670,322,507.21</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其中：原制度资本公积转入</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701,744,268.20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31,421,760.99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670,322,507.21</w:t>
            </w:r>
          </w:p>
        </w:tc>
      </w:tr>
      <w:tr>
        <w:trPr>
          <w:trHeight w:val="402" w:hRule="exact"/>
        </w:trPr>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6,414,892,999.53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210,210,970.59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6,204,682,028.94</w:t>
            </w:r>
          </w:p>
        </w:tc>
      </w:tr>
    </w:tbl>
    <w:p>
      <w:pPr>
        <w:pStyle w:val="BodyText"/>
        <w:spacing w:line="300" w:lineRule="auto" w:before="10"/>
        <w:ind w:right="150" w:firstLine="360"/>
        <w:jc w:val="both"/>
      </w:pPr>
      <w:r>
        <w:rPr/>
        <w:t>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日召开的第六届董事会第九次临时会议审议通过了《关于出售延边晨鸣纸业有限公司股权及购买资产 </w:t>
      </w:r>
      <w:r>
        <w:rPr>
          <w:spacing w:val="-2"/>
        </w:rPr>
        <w:t>的议案》</w:t>
      </w:r>
      <w:r>
        <w:rPr>
          <w:rFonts w:ascii="Times New Roman" w:hAnsi="Times New Roman" w:cs="Times New Roman" w:eastAsia="Times New Roman" w:hint="default"/>
          <w:spacing w:val="-2"/>
        </w:rPr>
        <w:t>,</w:t>
      </w:r>
      <w:r>
        <w:rPr>
          <w:spacing w:val="-2"/>
        </w:rPr>
        <w:t>公司将持有的延边晨鸣</w:t>
      </w:r>
      <w:r>
        <w:rPr>
          <w:rFonts w:ascii="Times New Roman" w:hAnsi="Times New Roman" w:cs="Times New Roman" w:eastAsia="Times New Roman" w:hint="default"/>
          <w:spacing w:val="-2"/>
        </w:rPr>
        <w:t>49%</w:t>
      </w:r>
      <w:r>
        <w:rPr>
          <w:spacing w:val="-2"/>
        </w:rPr>
        <w:t>和</w:t>
      </w:r>
      <w:r>
        <w:rPr>
          <w:rFonts w:ascii="Times New Roman" w:hAnsi="Times New Roman" w:cs="Times New Roman" w:eastAsia="Times New Roman" w:hint="default"/>
          <w:spacing w:val="-2"/>
        </w:rPr>
        <w:t>51%</w:t>
      </w:r>
      <w:r>
        <w:rPr>
          <w:spacing w:val="-2"/>
        </w:rPr>
        <w:t>的股权，分别以人民币</w:t>
      </w:r>
      <w:r>
        <w:rPr>
          <w:rFonts w:ascii="Times New Roman" w:hAnsi="Times New Roman" w:cs="Times New Roman" w:eastAsia="Times New Roman" w:hint="default"/>
          <w:spacing w:val="-2"/>
        </w:rPr>
        <w:t>5400</w:t>
      </w:r>
      <w:r>
        <w:rPr>
          <w:spacing w:val="-2"/>
        </w:rPr>
        <w:t>万元和</w:t>
      </w:r>
      <w:r>
        <w:rPr>
          <w:rFonts w:ascii="Times New Roman" w:hAnsi="Times New Roman" w:cs="Times New Roman" w:eastAsia="Times New Roman" w:hint="default"/>
          <w:spacing w:val="-2"/>
        </w:rPr>
        <w:t>5600</w:t>
      </w:r>
      <w:r>
        <w:rPr>
          <w:spacing w:val="-2"/>
        </w:rPr>
        <w:t>万元的价格转让给延边石岘白麓纸业股份</w:t>
      </w:r>
      <w:r>
        <w:rPr>
          <w:spacing w:val="-36"/>
        </w:rPr>
        <w:t> </w:t>
      </w:r>
      <w:r>
        <w:rPr>
          <w:spacing w:val="-1"/>
        </w:rPr>
        <w:t>有限公司和延边国有资产投资管理有限公司。本公司享有的由原制度资本公积转入的</w:t>
      </w:r>
      <w:r>
        <w:rPr>
          <w:rFonts w:ascii="Times New Roman" w:hAnsi="Times New Roman" w:cs="Times New Roman" w:eastAsia="Times New Roman" w:hint="default"/>
          <w:spacing w:val="-1"/>
        </w:rPr>
        <w:t>31,421,760.99</w:t>
      </w:r>
      <w:r>
        <w:rPr>
          <w:spacing w:val="-1"/>
        </w:rPr>
        <w:t>元转为当期投资收益；公</w:t>
      </w:r>
      <w:r>
        <w:rPr>
          <w:spacing w:val="-68"/>
        </w:rPr>
        <w:t> </w:t>
      </w:r>
      <w:r>
        <w:rPr>
          <w:spacing w:val="-68"/>
        </w:rPr>
      </w:r>
      <w:r>
        <w:rPr>
          <w:spacing w:val="-2"/>
        </w:rPr>
        <w:t>司回购</w:t>
      </w:r>
      <w:r>
        <w:rPr>
          <w:rFonts w:ascii="Times New Roman" w:hAnsi="Times New Roman" w:cs="Times New Roman" w:eastAsia="Times New Roman" w:hint="default"/>
          <w:spacing w:val="-2"/>
        </w:rPr>
        <w:t>86,573,974</w:t>
      </w:r>
      <w:r>
        <w:rPr>
          <w:spacing w:val="-2"/>
        </w:rPr>
        <w:t>股境外上市外资股（</w:t>
      </w:r>
      <w:r>
        <w:rPr>
          <w:rFonts w:ascii="Times New Roman" w:hAnsi="Times New Roman" w:cs="Times New Roman" w:eastAsia="Times New Roman" w:hint="default"/>
          <w:spacing w:val="-2"/>
        </w:rPr>
        <w:t>B</w:t>
      </w:r>
      <w:r>
        <w:rPr>
          <w:spacing w:val="-2"/>
        </w:rPr>
        <w:t>股），支付港币折合人民币</w:t>
      </w:r>
      <w:r>
        <w:rPr>
          <w:rFonts w:ascii="Times New Roman" w:hAnsi="Times New Roman" w:cs="Times New Roman" w:eastAsia="Times New Roman" w:hint="default"/>
          <w:spacing w:val="-2"/>
        </w:rPr>
        <w:t>265,363,183.60</w:t>
      </w:r>
      <w:r>
        <w:rPr>
          <w:spacing w:val="-2"/>
        </w:rPr>
        <w:t>元，冲减资本公积</w:t>
      </w:r>
      <w:r>
        <w:rPr>
          <w:rFonts w:ascii="Times New Roman" w:hAnsi="Times New Roman" w:cs="Times New Roman" w:eastAsia="Times New Roman" w:hint="default"/>
          <w:spacing w:val="-2"/>
        </w:rPr>
        <w:t>-</w:t>
      </w:r>
      <w:r>
        <w:rPr>
          <w:spacing w:val="-2"/>
        </w:rPr>
        <w:t>股本溢价</w:t>
      </w:r>
      <w:r>
        <w:rPr>
          <w:rFonts w:ascii="Times New Roman" w:hAnsi="Times New Roman" w:cs="Times New Roman" w:eastAsia="Times New Roman" w:hint="default"/>
          <w:spacing w:val="-2"/>
        </w:rPr>
        <w:t>178,789,209.60</w:t>
      </w:r>
      <w:r>
        <w:rPr>
          <w:rFonts w:ascii="Times New Roman" w:hAnsi="Times New Roman" w:cs="Times New Roman" w:eastAsia="Times New Roman" w:hint="default"/>
          <w:spacing w:val="16"/>
        </w:rPr>
        <w:t> </w:t>
      </w:r>
      <w:r>
        <w:rPr/>
        <w:t>元。</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40</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2"/>
        <w:gridCol w:w="1872"/>
        <w:gridCol w:w="1994"/>
        <w:gridCol w:w="1726"/>
        <w:gridCol w:w="1594"/>
      </w:tblGrid>
      <w:tr>
        <w:trPr>
          <w:trHeight w:val="401"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1,132,116,106.40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1,132,116,106.40</w:t>
            </w:r>
          </w:p>
        </w:tc>
      </w:tr>
      <w:tr>
        <w:trPr>
          <w:trHeight w:val="402" w:hRule="exact"/>
        </w:trPr>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1,132,116,106.40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1,132,116,106.40</w:t>
            </w:r>
          </w:p>
        </w:tc>
      </w:tr>
    </w:tbl>
    <w:p>
      <w:pPr>
        <w:pStyle w:val="BodyText"/>
        <w:spacing w:line="300" w:lineRule="auto" w:before="10"/>
        <w:ind w:right="0" w:firstLine="360"/>
        <w:jc w:val="left"/>
      </w:pPr>
      <w:r>
        <w:rPr>
          <w:spacing w:val="-1"/>
        </w:rPr>
        <w:t>根据公司法、章程的规定，本公司按净利润的</w:t>
      </w:r>
      <w:r>
        <w:rPr>
          <w:rFonts w:ascii="Times New Roman" w:hAnsi="Times New Roman" w:cs="Times New Roman" w:eastAsia="Times New Roman" w:hint="default"/>
          <w:spacing w:val="-1"/>
        </w:rPr>
        <w:t>10%</w:t>
      </w:r>
      <w:r>
        <w:rPr>
          <w:spacing w:val="-1"/>
        </w:rPr>
        <w:t>提取法定盈余公积金。法定盈余公积累计额为本公司注册资本</w:t>
      </w:r>
      <w:r>
        <w:rPr>
          <w:rFonts w:ascii="Times New Roman" w:hAnsi="Times New Roman" w:cs="Times New Roman" w:eastAsia="Times New Roman" w:hint="default"/>
          <w:spacing w:val="-1"/>
        </w:rPr>
        <w:t>50%</w:t>
      </w:r>
      <w:r>
        <w:rPr>
          <w:spacing w:val="-1"/>
        </w:rPr>
        <w:t>以</w:t>
      </w:r>
      <w:r>
        <w:rPr/>
        <w:t> 上的，可不再提取。</w:t>
      </w:r>
    </w:p>
    <w:p>
      <w:pPr>
        <w:spacing w:after="0" w:line="300" w:lineRule="auto"/>
        <w:jc w:val="left"/>
        <w:sectPr>
          <w:pgSz w:w="11910" w:h="16840"/>
          <w:pgMar w:header="877" w:footer="950" w:top="1100" w:bottom="1140" w:left="980" w:right="980"/>
        </w:sectPr>
      </w:pPr>
    </w:p>
    <w:p>
      <w:pPr>
        <w:spacing w:line="240" w:lineRule="auto" w:before="12"/>
        <w:rPr>
          <w:rFonts w:ascii="宋体" w:hAnsi="宋体" w:cs="宋体" w:eastAsia="宋体" w:hint="default"/>
          <w:sz w:val="21"/>
          <w:szCs w:val="21"/>
        </w:rPr>
      </w:pPr>
    </w:p>
    <w:p>
      <w:pPr>
        <w:pStyle w:val="BodyText"/>
        <w:spacing w:line="316" w:lineRule="auto" w:before="44"/>
        <w:ind w:right="0" w:firstLine="360"/>
        <w:jc w:val="left"/>
      </w:pPr>
      <w:r>
        <w:rPr>
          <w:spacing w:val="-2"/>
        </w:rPr>
        <w:t>本公司在提取法定盈余公积金后，可提取任意盈余公积金。经批准，任意盈余公积金可用于弥补以前年度亏损或增加股</w:t>
      </w:r>
      <w:r>
        <w:rPr/>
        <w:t> 本。</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41</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4,149,511,927.88</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4,149,511,927.88</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710,655,331.72</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118,528,318.02</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0"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4,741,638,941.58</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514" w:right="0"/>
        <w:jc w:val="left"/>
      </w:pPr>
      <w:r>
        <w:rPr/>
        <w:t>（</w:t>
      </w:r>
      <w:r>
        <w:rPr>
          <w:rFonts w:ascii="Times New Roman" w:hAnsi="Times New Roman" w:cs="Times New Roman" w:eastAsia="Times New Roman" w:hint="default"/>
        </w:rPr>
        <w:t>1</w:t>
      </w:r>
      <w:r>
        <w:rPr/>
        <w:t>）调整年初未分配利润明细：</w:t>
      </w:r>
    </w:p>
    <w:p>
      <w:pPr>
        <w:pStyle w:val="BodyText"/>
        <w:spacing w:line="240" w:lineRule="auto" w:before="102"/>
        <w:ind w:left="513"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4" w:right="0"/>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4" w:right="0"/>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514" w:right="0"/>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4" w:right="0"/>
        <w:jc w:val="left"/>
      </w:pPr>
      <w:r>
        <w:rPr>
          <w:rFonts w:ascii="Times New Roman" w:hAnsi="Times New Roman" w:cs="Times New Roman" w:eastAsia="Times New Roman" w:hint="default"/>
        </w:rPr>
        <w:t>5)</w:t>
      </w:r>
      <w:r>
        <w:rPr/>
        <w:t>、其他调整合计影响年初未分配利润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00" w:lineRule="auto" w:before="101"/>
        <w:ind w:left="154" w:right="147" w:firstLine="359"/>
        <w:jc w:val="both"/>
      </w:pPr>
      <w:r>
        <w:rPr>
          <w:spacing w:val="-2"/>
        </w:rPr>
        <w:t>（2）根据</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日经本公司</w:t>
      </w:r>
      <w:r>
        <w:rPr>
          <w:rFonts w:ascii="Times New Roman" w:hAnsi="Times New Roman" w:cs="Times New Roman" w:eastAsia="Times New Roman" w:hint="default"/>
          <w:spacing w:val="-2"/>
        </w:rPr>
        <w:t>2013</w:t>
      </w:r>
      <w:r>
        <w:rPr>
          <w:spacing w:val="-2"/>
        </w:rPr>
        <w:t>年度股东大会批准的《公司</w:t>
      </w:r>
      <w:r>
        <w:rPr>
          <w:rFonts w:ascii="Times New Roman" w:hAnsi="Times New Roman" w:cs="Times New Roman" w:eastAsia="Times New Roman" w:hint="default"/>
          <w:spacing w:val="-2"/>
        </w:rPr>
        <w:t>2012</w:t>
      </w:r>
      <w:r>
        <w:rPr>
          <w:spacing w:val="-2"/>
        </w:rPr>
        <w:t>年度利润分配方案》，本公司向全体股东派发现</w:t>
      </w:r>
      <w:r>
        <w:rPr/>
        <w:t> 金股利，每股人民币</w:t>
      </w:r>
      <w:r>
        <w:rPr>
          <w:rFonts w:ascii="Times New Roman" w:hAnsi="Times New Roman" w:cs="Times New Roman" w:eastAsia="Times New Roman" w:hint="default"/>
        </w:rPr>
        <w:t>0.06</w:t>
      </w:r>
      <w:r>
        <w:rPr/>
        <w:t>元（</w:t>
      </w:r>
      <w:r>
        <w:rPr>
          <w:rFonts w:ascii="Times New Roman" w:hAnsi="Times New Roman" w:cs="Times New Roman" w:eastAsia="Times New Roman" w:hint="default"/>
        </w:rPr>
        <w:t>2012</w:t>
      </w:r>
      <w:r>
        <w:rPr/>
        <w:t>年人民币</w:t>
      </w:r>
      <w:r>
        <w:rPr>
          <w:rFonts w:ascii="Times New Roman" w:hAnsi="Times New Roman" w:cs="Times New Roman" w:eastAsia="Times New Roman" w:hint="default"/>
        </w:rPr>
        <w:t>0.15</w:t>
      </w:r>
      <w:r>
        <w:rPr/>
        <w:t>元），因公司回购</w:t>
      </w:r>
      <w:r>
        <w:rPr>
          <w:rFonts w:ascii="Times New Roman" w:hAnsi="Times New Roman" w:cs="Times New Roman" w:eastAsia="Times New Roman" w:hint="default"/>
        </w:rPr>
        <w:t>B</w:t>
      </w:r>
      <w:r>
        <w:rPr/>
        <w:t>股，按照分红登记日股份数</w:t>
      </w:r>
      <w:r>
        <w:rPr>
          <w:rFonts w:ascii="Times New Roman" w:hAnsi="Times New Roman" w:cs="Times New Roman" w:eastAsia="Times New Roman" w:hint="default"/>
        </w:rPr>
        <w:t>1,975,471,967</w:t>
      </w:r>
      <w:r>
        <w:rPr/>
        <w:t>股计算，共计</w:t>
      </w:r>
      <w:r>
        <w:rPr>
          <w:spacing w:val="3"/>
        </w:rPr>
        <w:t> </w:t>
      </w:r>
      <w:r>
        <w:rPr>
          <w:spacing w:val="3"/>
        </w:rPr>
      </w:r>
      <w:r>
        <w:rPr>
          <w:rFonts w:ascii="Times New Roman" w:hAnsi="Times New Roman" w:cs="Times New Roman" w:eastAsia="Times New Roman" w:hint="default"/>
        </w:rPr>
        <w:t>118,528,318.02</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309,306,892.20</w:t>
      </w:r>
      <w:r>
        <w:rPr/>
        <w:t>元）。</w:t>
      </w:r>
    </w:p>
    <w:p>
      <w:pPr>
        <w:pStyle w:val="BodyText"/>
        <w:spacing w:line="240" w:lineRule="auto" w:before="13"/>
        <w:ind w:left="514" w:right="0"/>
        <w:jc w:val="left"/>
      </w:pPr>
      <w:r>
        <w:rPr/>
        <w:t>根据中国税法规定，本集团向非中国居民企业股东分配时代扣</w:t>
      </w:r>
      <w:r>
        <w:rPr>
          <w:rFonts w:ascii="Times New Roman" w:hAnsi="Times New Roman" w:cs="Times New Roman" w:eastAsia="Times New Roman" w:hint="default"/>
        </w:rPr>
        <w:t>10%</w:t>
      </w:r>
      <w:r>
        <w:rPr/>
        <w:t>所得税。</w:t>
      </w:r>
    </w:p>
    <w:p>
      <w:pPr>
        <w:pStyle w:val="BodyText"/>
        <w:spacing w:line="300" w:lineRule="auto" w:before="62"/>
        <w:ind w:left="514" w:right="1085"/>
        <w:jc w:val="left"/>
      </w:pPr>
      <w:r>
        <w:rPr/>
        <w:t>（</w:t>
      </w:r>
      <w:r>
        <w:rPr>
          <w:rFonts w:ascii="Times New Roman" w:hAnsi="Times New Roman" w:cs="Times New Roman" w:eastAsia="Times New Roman" w:hint="default"/>
        </w:rPr>
        <w:t>3</w:t>
      </w:r>
      <w:r>
        <w:rPr/>
        <w:t>）子公司报告期内提取盈余公积的情况 本公司之子公司于</w:t>
      </w:r>
      <w:r>
        <w:rPr>
          <w:rFonts w:ascii="Times New Roman" w:hAnsi="Times New Roman" w:cs="Times New Roman" w:eastAsia="Times New Roman" w:hint="default"/>
        </w:rPr>
        <w:t>2013</w:t>
      </w:r>
      <w:r>
        <w:rPr/>
        <w:t>年度提取盈余公积</w:t>
      </w:r>
      <w:r>
        <w:rPr>
          <w:rFonts w:ascii="Times New Roman" w:hAnsi="Times New Roman" w:cs="Times New Roman" w:eastAsia="Times New Roman" w:hint="default"/>
        </w:rPr>
        <w:t>45,584</w:t>
      </w:r>
      <w:r>
        <w:rPr/>
        <w:t>，</w:t>
      </w:r>
      <w:r>
        <w:rPr>
          <w:rFonts w:ascii="Times New Roman" w:hAnsi="Times New Roman" w:cs="Times New Roman" w:eastAsia="Times New Roman" w:hint="default"/>
        </w:rPr>
        <w:t>915.52</w:t>
      </w:r>
      <w:r>
        <w:rPr/>
        <w:t>元，其中归属于母公司的金额为</w:t>
      </w:r>
      <w:r>
        <w:rPr>
          <w:rFonts w:ascii="Times New Roman" w:hAnsi="Times New Roman" w:cs="Times New Roman" w:eastAsia="Times New Roman" w:hint="default"/>
        </w:rPr>
        <w:t>45,584,915.52</w:t>
      </w:r>
      <w:r>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42</w:t>
      </w:r>
      <w:r>
        <w:rPr/>
        <w:t>、营业收入、营业成本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20,152,795,532.07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19,418,385,445.41</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236,094,535.34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343,293,784.64</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16,651,886,019.64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16,693,768,322.36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一、机制纸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18,244,191,565.62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15,088,624,360.62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18,148,184,354.47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15,448,210,584.92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二、电力及热力</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1,519,119,225.58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1,128,949,590.22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800,330,990.18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603,017,916.41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三、建筑材料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241,343,187.87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204,068,954.93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344,778,147.53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301,384,927.59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四、造纸化工用品</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63,109,642.95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47,193,191.78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五、酒店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36,324,584.14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8,589,278.93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48,334,822.55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12,493,732.14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111,816,968.86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62,297,587.77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13,647,487.73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10,492,427.23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20,152,795,532.07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16,492,529,772.47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19,418,385,445.41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16,422,792,780.07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轻涂纸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959,374,495.99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797,143,663.55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1,170,332,533.70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1,039,609,451.91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双胶纸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2,573,322,197.99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2,101,348,540.72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2,893,040,859.96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2,486,129,792.61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书写纸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307,750,040.04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249,202,911.49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278,621,119.55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265,618,292.24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铜版纸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4,504,344,844.03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3,863,437,378.40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4,039,555,866.49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3,763,791,638.91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新闻纸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1,501,678,237.85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1,103,153,831.64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1,774,456,795.28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1,253,184,006.48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箱板纸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812,352,574.23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815,342,139.62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527,059,863.45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513,468,478.94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白卡纸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2,161,704,531.76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1,738,047,195.43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2,009,960,531.99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1,646,210,297.10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静电纸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1,906,857,070.30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1,496,527,676.12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1,590,707,172.04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1,225,698,307.75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其他机制纸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3,516,807,573.43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2,924,421,023.65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3,864,449,612.01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3,254,500,318.98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1,519,119,225.58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1,128,949,590.22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800,330,990.18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603,017,916.41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241,343,187.87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204,068,954.93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344,778,147.53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301,384,927.59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造纸化工用品</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63,109,642.95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47,193,191.78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酒店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36,324,584.14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8,589,278.93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48,334,822.55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12,493,732.14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111,816,968.86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62,297,587.77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13,647,487.73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10,492,427.23</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20,152,795,532.07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16,492,529,772.47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19,418,385,445.41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16,422,792,780.07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17,419,575,119.36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14,112,022,512.66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16,652,392,812.02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13,832,363,392.83</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2,733,220,412.71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2,380,507,259.81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2,765,992,633.39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2,590,429,387.24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20,152,795,532.07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16,492,529,772.47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19,418,385,445.41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16,422,792,780.07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）公司来自前五名客户的营业收入情况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8" w:right="0"/>
              <w:jc w:val="left"/>
              <w:rPr>
                <w:rFonts w:ascii="宋体" w:hAnsi="宋体" w:cs="宋体" w:eastAsia="宋体" w:hint="default"/>
                <w:sz w:val="18"/>
                <w:szCs w:val="18"/>
              </w:rPr>
            </w:pPr>
            <w:r>
              <w:rPr>
                <w:rFonts w:ascii="宋体" w:hAnsi="宋体" w:cs="宋体" w:eastAsia="宋体" w:hint="default"/>
                <w:sz w:val="18"/>
                <w:szCs w:val="18"/>
              </w:rPr>
              <w:t>占同期营业收入的比例（</w:t>
            </w:r>
            <w:r>
              <w:rPr>
                <w:rFonts w:ascii="Arial" w:hAnsi="Arial" w:cs="Arial" w:eastAsia="Arial" w:hint="default"/>
                <w:sz w:val="18"/>
                <w:szCs w:val="18"/>
              </w:rPr>
              <w:t>%</w:t>
            </w:r>
            <w:r>
              <w:rPr>
                <w:rFonts w:ascii="宋体" w:hAnsi="宋体" w:cs="宋体" w:eastAsia="宋体" w:hint="default"/>
                <w:sz w:val="18"/>
                <w:szCs w:val="18"/>
              </w:rPr>
              <w:t>）</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1,159,451,679.05</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809,133,619.82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43</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82"/>
        <w:gridCol w:w="1992"/>
        <w:gridCol w:w="1861"/>
        <w:gridCol w:w="2921"/>
      </w:tblGrid>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15,368,137.34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12,913,487.64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计缴营业税</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38,246,715.31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36,055,424.89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24,829,356.69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24,692,978.62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4,748,112.49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4,169,692.98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2,468,807.39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811,004.25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r>
        <w:trPr>
          <w:trHeight w:val="402"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171,081.76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47,402.56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85,832,210.98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78,689,990.94</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116,750,755.01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106,775,704.85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18,004,121.19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21,819,218.81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6,365,282.20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6,794,411.68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29,520,578.69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27,239,405.77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6,965,244.83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6,406,566.86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771,135,730.03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708,273,839.04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24,267,204.90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25,234,845.39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8,946,309.54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6,865,846.36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65,119,426.31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75,188,472.21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7,840,514.22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11,896,779.46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74,229,868.59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147,994,155.61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1,129,145,035.51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1,144,489,246.04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45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工资及附加费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185,735,210.11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191,908,796.59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36,143,571.41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22,478,619.26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10,261,700.98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20,136,048.25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17,221,874.87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14,829,959.11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56,957,280.03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60,751,168.63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24,375,706.65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28,983,197.70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21,996,694.34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34,413,765.89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30,699,445.68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23,835,110.94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379,261,152.54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293,698,298.28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75,806,245.69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36,156,445.61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停工损失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65,937,178.56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74,297,144.39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83,865,306.31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210,443,188.83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308,758,348.10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1,198,704,556.00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1,110,246,902.75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46</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1,370,531,985.38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1,434,634,633.92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211,164,138.80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167,001,504.37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128,341,431.11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212,844,904.48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-164,346,803.25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-11,933,355.58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63,924,562.74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49,905,145.55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930,604,174.96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1,092,760,015.04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按公允价值计量的生物资产</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6" w:right="0"/>
              <w:jc w:val="left"/>
              <w:rPr>
                <w:rFonts w:ascii="Times New Roman" w:hAnsi="Times New Roman" w:cs="Times New Roman" w:eastAsia="Times New Roman" w:hint="default"/>
                <w:sz w:val="18"/>
                <w:szCs w:val="18"/>
              </w:rPr>
            </w:pPr>
            <w:r>
              <w:rPr>
                <w:rFonts w:ascii="Times New Roman"/>
                <w:sz w:val="18"/>
              </w:rPr>
              <w:t>11,221,828.76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47,822,076.87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6" w:right="0"/>
              <w:jc w:val="left"/>
              <w:rPr>
                <w:rFonts w:ascii="Times New Roman" w:hAnsi="Times New Roman" w:cs="Times New Roman" w:eastAsia="Times New Roman" w:hint="default"/>
                <w:sz w:val="18"/>
                <w:szCs w:val="18"/>
              </w:rPr>
            </w:pPr>
            <w:r>
              <w:rPr>
                <w:rFonts w:ascii="Times New Roman"/>
                <w:sz w:val="18"/>
              </w:rPr>
              <w:t>11,221,828.76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47,822,076.87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48</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3"/>
        <w:gridCol w:w="2801"/>
        <w:gridCol w:w="2922"/>
      </w:tblGrid>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208,888.59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-637,227.71</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23,497,069.99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-34,887,733.04</w:t>
            </w:r>
          </w:p>
        </w:tc>
      </w:tr>
      <w:tr>
        <w:trPr>
          <w:trHeight w:val="402" w:hRule="exact"/>
        </w:trPr>
        <w:tc>
          <w:tcPr>
            <w:tcW w:w="38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23,705,958.58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-35,524,960.75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993"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-19,385,301.17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被投资单位收益变化</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-47,492.37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4,396.33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被投资单位收益变化</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上海安舟新能源有限公司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571,186.50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18,743,677.13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被投资单位收益变化</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-314,805.54</w:t>
            </w:r>
          </w:p>
        </w:tc>
        <w:tc>
          <w:tcPr>
            <w:tcW w:w="172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对被投资单位核算方法变化</w:t>
            </w:r>
          </w:p>
        </w:tc>
      </w:tr>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208,888.59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-637,227.71</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49</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7"/>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-27,367,139.39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44,611,035.76</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36,472,052.20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14,419,123.18</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三、固定资产减值损失</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11,220,000.00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24,104,912.81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70,250,158.94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50</w:t>
      </w:r>
      <w:r>
        <w:rPr/>
        <w:t>、营业外收入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7"/>
        <w:gridCol w:w="2172"/>
        <w:gridCol w:w="2160"/>
        <w:gridCol w:w="2548"/>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185" w:right="0"/>
              <w:jc w:val="left"/>
              <w:rPr>
                <w:rFonts w:ascii="Times New Roman" w:hAnsi="Times New Roman" w:cs="Times New Roman" w:eastAsia="Times New Roman" w:hint="default"/>
                <w:sz w:val="18"/>
                <w:szCs w:val="18"/>
              </w:rPr>
            </w:pPr>
            <w:r>
              <w:rPr>
                <w:rFonts w:ascii="Times New Roman"/>
                <w:sz w:val="18"/>
              </w:rPr>
              <w:t>6,695,769.19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0" w:right="0"/>
              <w:jc w:val="left"/>
              <w:rPr>
                <w:rFonts w:ascii="Times New Roman" w:hAnsi="Times New Roman" w:cs="Times New Roman" w:eastAsia="Times New Roman" w:hint="default"/>
                <w:sz w:val="18"/>
                <w:szCs w:val="18"/>
              </w:rPr>
            </w:pPr>
            <w:r>
              <w:rPr>
                <w:rFonts w:ascii="Times New Roman"/>
                <w:sz w:val="18"/>
              </w:rPr>
              <w:t>30,576,886.51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9" w:right="0"/>
              <w:jc w:val="left"/>
              <w:rPr>
                <w:rFonts w:ascii="Times New Roman" w:hAnsi="Times New Roman" w:cs="Times New Roman" w:eastAsia="Times New Roman" w:hint="default"/>
                <w:sz w:val="18"/>
                <w:szCs w:val="18"/>
              </w:rPr>
            </w:pPr>
            <w:r>
              <w:rPr>
                <w:rFonts w:ascii="Times New Roman"/>
                <w:sz w:val="18"/>
              </w:rPr>
              <w:t>6,695,769.19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00"/>
        <w:gridCol w:w="2160"/>
        <w:gridCol w:w="2160"/>
        <w:gridCol w:w="2548"/>
      </w:tblGrid>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16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6,695,769.19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30,576,886.51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6,695,769.19</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16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268,577.19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11,256,702.04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268,577.19</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6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190,712,413.64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258,711,984.00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174,947,619.19</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武汉搬迁收入款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193,264,875.64</w:t>
            </w:r>
          </w:p>
        </w:tc>
        <w:tc>
          <w:tcPr>
            <w:tcW w:w="216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193,264,875.64</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吉林专项应付款</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99,453,494.34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95,977,067.70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99,453,494.34</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2,408,368.37</w:t>
            </w:r>
          </w:p>
        </w:tc>
        <w:tc>
          <w:tcPr>
            <w:tcW w:w="216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2,408,368.37</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11,241,687.62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25,005,706.31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11,241,687.62</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504,045,185.99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421,528,346.56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488,280,391.54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w:t>
      </w:r>
      <w:r>
        <w:rPr>
          <w:spacing w:val="-3"/>
        </w:rPr>
        <w:t> </w:t>
      </w:r>
      <w:r>
        <w:rPr/>
        <w:t>政府补助明细</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4672"/>
        <w:gridCol w:w="2374"/>
        <w:gridCol w:w="2612"/>
      </w:tblGrid>
      <w:tr>
        <w:trPr>
          <w:trHeight w:val="343" w:hRule="exact"/>
        </w:trPr>
        <w:tc>
          <w:tcPr>
            <w:tcW w:w="4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397" w:val="left" w:leader="none"/>
              </w:tabs>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3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729"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6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7" w:hRule="exact"/>
        </w:trPr>
        <w:tc>
          <w:tcPr>
            <w:tcW w:w="4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递延收益摊销</w:t>
            </w:r>
          </w:p>
        </w:tc>
        <w:tc>
          <w:tcPr>
            <w:tcW w:w="237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25,427,653.88</w:t>
            </w:r>
          </w:p>
        </w:tc>
        <w:tc>
          <w:tcPr>
            <w:tcW w:w="261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19,148,832.88</w:t>
            </w:r>
          </w:p>
        </w:tc>
      </w:tr>
      <w:tr>
        <w:trPr>
          <w:trHeight w:val="347" w:hRule="exact"/>
        </w:trPr>
        <w:tc>
          <w:tcPr>
            <w:tcW w:w="4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补贴收入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149,519,965.31</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216,008,688.69</w:t>
            </w:r>
          </w:p>
        </w:tc>
      </w:tr>
      <w:tr>
        <w:trPr>
          <w:trHeight w:val="347" w:hRule="exact"/>
        </w:trPr>
        <w:tc>
          <w:tcPr>
            <w:tcW w:w="4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增值税退税</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15,764,794.45</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23,554,462.43</w:t>
            </w:r>
          </w:p>
        </w:tc>
      </w:tr>
      <w:tr>
        <w:trPr>
          <w:trHeight w:val="342" w:hRule="exact"/>
        </w:trPr>
        <w:tc>
          <w:tcPr>
            <w:tcW w:w="46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397"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190,712,413.64</w:t>
            </w:r>
          </w:p>
        </w:tc>
        <w:tc>
          <w:tcPr>
            <w:tcW w:w="2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258,711,984.00</w:t>
            </w:r>
          </w:p>
        </w:tc>
      </w:tr>
    </w:tbl>
    <w:p>
      <w:pPr>
        <w:spacing w:line="240" w:lineRule="auto" w:before="8"/>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51</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7"/>
        <w:gridCol w:w="2033"/>
        <w:gridCol w:w="1914"/>
        <w:gridCol w:w="1914"/>
      </w:tblGrid>
      <w:tr>
        <w:trPr>
          <w:trHeight w:val="161"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82" w:right="49"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36,560,317.17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4,484,098.29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36,560,317.17</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36,560,317.17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4,484,098.29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36,560,317.17</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033" w:type="dxa"/>
            <w:tcBorders>
              <w:top w:val="single" w:sz="4" w:space="0" w:color="000000"/>
              <w:left w:val="single" w:sz="10"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10,315,257.61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1,934,144.14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6,640,682.20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1,934,144.14</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41,294,461.31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21,440,038.10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41,294,461.31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52</w:t>
      </w:r>
      <w:r>
        <w:rPr/>
        <w:t>、所得税费用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1"/>
        <w:gridCol w:w="2536"/>
        <w:gridCol w:w="2389"/>
      </w:tblGrid>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324,213,944.11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156,822,377.11</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-148,275,512.20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-219,648,615.62</w:t>
            </w:r>
          </w:p>
        </w:tc>
      </w:tr>
      <w:tr>
        <w:trPr>
          <w:trHeight w:val="402" w:hRule="exact"/>
        </w:trPr>
        <w:tc>
          <w:tcPr>
            <w:tcW w:w="4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175,938,431.91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-62,826,238.51</w:t>
            </w:r>
          </w:p>
        </w:tc>
      </w:tr>
    </w:tbl>
    <w:p>
      <w:pPr>
        <w:spacing w:line="240" w:lineRule="auto" w:before="2"/>
        <w:rPr>
          <w:rFonts w:ascii="宋体" w:hAnsi="宋体" w:cs="宋体" w:eastAsia="宋体" w:hint="default"/>
          <w:sz w:val="8"/>
          <w:szCs w:val="8"/>
        </w:rPr>
      </w:pPr>
    </w:p>
    <w:p>
      <w:pPr>
        <w:pStyle w:val="BodyText"/>
        <w:spacing w:line="240" w:lineRule="auto" w:before="44"/>
        <w:ind w:left="694" w:right="0"/>
        <w:jc w:val="left"/>
      </w:pPr>
      <w:r>
        <w:rPr/>
        <w:t>所得税费用与利润总额的关系列示</w:t>
      </w:r>
    </w:p>
    <w:p>
      <w:pPr>
        <w:spacing w:after="0" w:line="240" w:lineRule="auto"/>
        <w:jc w:val="left"/>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5405"/>
        <w:gridCol w:w="2054"/>
        <w:gridCol w:w="2222"/>
      </w:tblGrid>
      <w:tr>
        <w:trPr>
          <w:trHeight w:val="490" w:hRule="exact"/>
        </w:trPr>
        <w:tc>
          <w:tcPr>
            <w:tcW w:w="54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578"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2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656"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90" w:hRule="exact"/>
        </w:trPr>
        <w:tc>
          <w:tcPr>
            <w:tcW w:w="54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11" w:right="0"/>
              <w:jc w:val="left"/>
              <w:rPr>
                <w:rFonts w:ascii="宋体" w:hAnsi="宋体" w:cs="宋体" w:eastAsia="宋体" w:hint="default"/>
                <w:sz w:val="18"/>
                <w:szCs w:val="18"/>
              </w:rPr>
            </w:pPr>
            <w:r>
              <w:rPr>
                <w:rFonts w:ascii="宋体" w:hAnsi="宋体" w:cs="宋体" w:eastAsia="宋体" w:hint="default"/>
                <w:sz w:val="18"/>
                <w:szCs w:val="18"/>
              </w:rPr>
              <w:t>税前利润</w:t>
            </w:r>
          </w:p>
        </w:tc>
        <w:tc>
          <w:tcPr>
            <w:tcW w:w="2054"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866,291,669.53</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spacing w:val="-1"/>
                <w:sz w:val="18"/>
              </w:rPr>
              <w:t>-16,139,981.44</w:t>
            </w:r>
          </w:p>
        </w:tc>
      </w:tr>
      <w:tr>
        <w:trPr>
          <w:trHeight w:val="402" w:hRule="exact"/>
        </w:trPr>
        <w:tc>
          <w:tcPr>
            <w:tcW w:w="54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按法定税率计算的所得税</w:t>
            </w:r>
          </w:p>
        </w:tc>
        <w:tc>
          <w:tcPr>
            <w:tcW w:w="2054"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216,572,917.38</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-4,034,995.36</w:t>
            </w:r>
          </w:p>
        </w:tc>
      </w:tr>
      <w:tr>
        <w:trPr>
          <w:trHeight w:val="402" w:hRule="exact"/>
        </w:trPr>
        <w:tc>
          <w:tcPr>
            <w:tcW w:w="54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加：不得扣除的成本、费用和损失的影响</w:t>
            </w:r>
          </w:p>
        </w:tc>
        <w:tc>
          <w:tcPr>
            <w:tcW w:w="2054"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42,318,807.13</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43,947,272.95</w:t>
            </w:r>
          </w:p>
        </w:tc>
      </w:tr>
      <w:tr>
        <w:trPr>
          <w:trHeight w:val="402" w:hRule="exact"/>
        </w:trPr>
        <w:tc>
          <w:tcPr>
            <w:tcW w:w="54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减：税收减免影响</w:t>
            </w:r>
          </w:p>
        </w:tc>
        <w:tc>
          <w:tcPr>
            <w:tcW w:w="2054"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115,277,133.60</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59,472,189.81</w:t>
            </w:r>
          </w:p>
        </w:tc>
      </w:tr>
      <w:tr>
        <w:trPr>
          <w:trHeight w:val="402" w:hRule="exact"/>
        </w:trPr>
        <w:tc>
          <w:tcPr>
            <w:tcW w:w="54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1"/>
                <w:sz w:val="18"/>
                <w:szCs w:val="18"/>
              </w:rPr>
              <w:t>减：利用以前年度未确认可抵扣亏损和可抵扣暂时性差异的纳税影响</w:t>
            </w:r>
          </w:p>
        </w:tc>
        <w:tc>
          <w:tcPr>
            <w:tcW w:w="2054"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24,000,975.01</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60,826,791.73</w:t>
            </w:r>
          </w:p>
        </w:tc>
      </w:tr>
      <w:tr>
        <w:trPr>
          <w:trHeight w:val="402" w:hRule="exact"/>
        </w:trPr>
        <w:tc>
          <w:tcPr>
            <w:tcW w:w="54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加：当期未确认可抵扣亏损和可抵扣暂时性差异的影响</w:t>
            </w:r>
          </w:p>
        </w:tc>
        <w:tc>
          <w:tcPr>
            <w:tcW w:w="2054"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56,324,816.01</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17,560,465.44</w:t>
            </w:r>
          </w:p>
        </w:tc>
      </w:tr>
      <w:tr>
        <w:trPr>
          <w:trHeight w:val="490" w:hRule="exact"/>
        </w:trPr>
        <w:tc>
          <w:tcPr>
            <w:tcW w:w="54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054" w:type="dxa"/>
            <w:tcBorders>
              <w:top w:val="single" w:sz="4" w:space="0" w:color="000000"/>
              <w:left w:val="single" w:sz="13" w:space="0" w:color="CCCCCC"/>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175,938,431.91</w:t>
            </w:r>
          </w:p>
        </w:tc>
        <w:tc>
          <w:tcPr>
            <w:tcW w:w="2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-62,826,238.51</w:t>
            </w:r>
          </w:p>
        </w:tc>
      </w:tr>
    </w:tbl>
    <w:p>
      <w:pPr>
        <w:spacing w:line="240" w:lineRule="auto" w:before="2"/>
        <w:rPr>
          <w:rFonts w:ascii="宋体" w:hAnsi="宋体" w:cs="宋体" w:eastAsia="宋体" w:hint="default"/>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53</w:t>
      </w:r>
      <w:r>
        <w:rPr/>
        <w:t>、基本每股收益和稀释每股收益的计算过程</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firstLine="360"/>
        <w:jc w:val="left"/>
      </w:pPr>
      <w:r>
        <w:rPr>
          <w:spacing w:val="-4"/>
        </w:rPr>
        <w:t>基本每股收益按照归属于本公司普通股股东的当期净利润，除以发行在外普通股的加权平均数计算。新发行普通股股数，</w:t>
      </w:r>
      <w:r>
        <w:rPr/>
        <w:t> 根据发行合同的具体条款，从应收对价之日（一般为股票发行日）起计算确定。</w:t>
      </w:r>
    </w:p>
    <w:p>
      <w:pPr>
        <w:pStyle w:val="BodyText"/>
        <w:spacing w:line="300" w:lineRule="auto" w:before="18"/>
        <w:ind w:right="181" w:firstLine="360"/>
        <w:jc w:val="left"/>
      </w:pPr>
      <w:r>
        <w:rPr/>
        <w:t>稀释每股收益的分子以归属于本公司普通股股东的当期净利润，调整下述因素后确定：（</w:t>
      </w:r>
      <w:r>
        <w:rPr>
          <w:rFonts w:ascii="Times New Roman" w:hAnsi="Times New Roman" w:cs="Times New Roman" w:eastAsia="Times New Roman" w:hint="default"/>
        </w:rPr>
        <w:t>1</w:t>
      </w:r>
      <w:r>
        <w:rPr/>
        <w:t>）当期已确认为费用的稀释 性潜在普通股的利息；（</w:t>
      </w:r>
      <w:r>
        <w:rPr>
          <w:rFonts w:ascii="Times New Roman" w:hAnsi="Times New Roman" w:cs="Times New Roman" w:eastAsia="Times New Roman" w:hint="default"/>
        </w:rPr>
        <w:t>2</w:t>
      </w:r>
      <w:r>
        <w:rPr/>
        <w:t>）稀释性潜在普通股转换时将产生的收益或费用；以及（</w:t>
      </w:r>
      <w:r>
        <w:rPr>
          <w:rFonts w:ascii="Times New Roman" w:hAnsi="Times New Roman" w:cs="Times New Roman" w:eastAsia="Times New Roman" w:hint="default"/>
        </w:rPr>
        <w:t>3</w:t>
      </w:r>
      <w:r>
        <w:rPr/>
        <w:t>）上述调整相关的所得税影响。</w:t>
      </w:r>
    </w:p>
    <w:p>
      <w:pPr>
        <w:pStyle w:val="BodyText"/>
        <w:spacing w:line="300" w:lineRule="auto" w:before="13"/>
        <w:ind w:right="90" w:firstLine="360"/>
        <w:jc w:val="left"/>
      </w:pPr>
      <w:r>
        <w:rPr>
          <w:spacing w:val="-2"/>
        </w:rPr>
        <w:t>稀释每股收益的分母等于下列两项之和：（</w:t>
      </w:r>
      <w:r>
        <w:rPr>
          <w:rFonts w:ascii="Times New Roman" w:hAnsi="Times New Roman" w:cs="Times New Roman" w:eastAsia="Times New Roman" w:hint="default"/>
          <w:spacing w:val="-2"/>
        </w:rPr>
        <w:t>1</w:t>
      </w:r>
      <w:r>
        <w:rPr>
          <w:spacing w:val="-2"/>
        </w:rPr>
        <w:t>）基本每股收益中母公司已发行普通股的加权平均数；及（</w:t>
      </w:r>
      <w:r>
        <w:rPr>
          <w:rFonts w:ascii="Times New Roman" w:hAnsi="Times New Roman" w:cs="Times New Roman" w:eastAsia="Times New Roman" w:hint="default"/>
          <w:spacing w:val="-2"/>
        </w:rPr>
        <w:t>2</w:t>
      </w:r>
      <w:r>
        <w:rPr>
          <w:spacing w:val="-2"/>
        </w:rPr>
        <w:t>）假定稀释性</w:t>
      </w:r>
      <w:r>
        <w:rPr/>
        <w:t> 潜在普通股转换为普通股而增加的普通股的加权平均数。</w:t>
      </w:r>
    </w:p>
    <w:p>
      <w:pPr>
        <w:pStyle w:val="BodyText"/>
        <w:spacing w:line="316" w:lineRule="auto" w:before="31"/>
        <w:ind w:right="90" w:firstLine="360"/>
        <w:jc w:val="left"/>
      </w:pPr>
      <w:r>
        <w:rPr/>
        <w:t>在计算稀释性潜在普通股转换为已发行普通股而增加的普通股股数的加权平均数时，以前期间发行的稀释性潜在普通</w:t>
      </w:r>
      <w:r>
        <w:rPr>
          <w:spacing w:val="2"/>
        </w:rPr>
        <w:t> </w:t>
      </w:r>
      <w:r>
        <w:rPr/>
        <w:t>股，假设在当年年初转换；当年发行的稀释性潜在普通股，假设在发行日转换。</w:t>
      </w:r>
    </w:p>
    <w:p>
      <w:pPr>
        <w:pStyle w:val="BodyText"/>
        <w:spacing w:line="240" w:lineRule="auto" w:before="18"/>
        <w:ind w:left="633" w:right="90"/>
        <w:jc w:val="left"/>
      </w:pPr>
      <w:r>
        <w:rPr/>
        <w:t>（</w:t>
      </w:r>
      <w:r>
        <w:rPr>
          <w:rFonts w:ascii="Times New Roman" w:hAnsi="Times New Roman" w:cs="Times New Roman" w:eastAsia="Times New Roman" w:hint="default"/>
        </w:rPr>
        <w:t>1</w:t>
      </w:r>
      <w:r>
        <w:rPr/>
        <w:t>）各期基本每股收益和稀释每股收益金额列示</w:t>
      </w:r>
    </w:p>
    <w:p>
      <w:pPr>
        <w:spacing w:line="240" w:lineRule="auto" w:before="6"/>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533"/>
        <w:gridCol w:w="1635"/>
        <w:gridCol w:w="1484"/>
        <w:gridCol w:w="1486"/>
        <w:gridCol w:w="1519"/>
      </w:tblGrid>
      <w:tr>
        <w:trPr>
          <w:trHeight w:val="343" w:hRule="exact"/>
        </w:trPr>
        <w:tc>
          <w:tcPr>
            <w:tcW w:w="353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311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00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1" w:hRule="exact"/>
        </w:trPr>
        <w:tc>
          <w:tcPr>
            <w:tcW w:w="3533" w:type="dxa"/>
            <w:vMerge/>
            <w:tcBorders>
              <w:left w:val="single" w:sz="6" w:space="0" w:color="000000"/>
              <w:bottom w:val="single" w:sz="6" w:space="0" w:color="000000"/>
              <w:right w:val="single" w:sz="6" w:space="0" w:color="000000"/>
            </w:tcBorders>
            <w:shd w:val="clear" w:color="auto" w:fill="D9D9D9"/>
          </w:tcPr>
          <w:p>
            <w:pPr/>
          </w:p>
        </w:tc>
        <w:tc>
          <w:tcPr>
            <w:tcW w:w="16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4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4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42" w:hRule="exact"/>
        </w:trPr>
        <w:tc>
          <w:tcPr>
            <w:tcW w:w="35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635"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0.35</w:t>
            </w:r>
          </w:p>
        </w:tc>
        <w:tc>
          <w:tcPr>
            <w:tcW w:w="14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0.35</w:t>
            </w:r>
          </w:p>
        </w:tc>
        <w:tc>
          <w:tcPr>
            <w:tcW w:w="14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0.11</w:t>
            </w:r>
          </w:p>
        </w:tc>
        <w:tc>
          <w:tcPr>
            <w:tcW w:w="151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0.11</w:t>
            </w:r>
          </w:p>
        </w:tc>
      </w:tr>
      <w:tr>
        <w:trPr>
          <w:trHeight w:val="660" w:hRule="exact"/>
        </w:trPr>
        <w:tc>
          <w:tcPr>
            <w:tcW w:w="35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扣除非经常性损益后归属于公司普通股股东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的净利润</w:t>
            </w:r>
          </w:p>
        </w:tc>
        <w:tc>
          <w:tcPr>
            <w:tcW w:w="163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0.20</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0.20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-0.08</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-0.08</w:t>
            </w:r>
          </w:p>
        </w:tc>
      </w:tr>
    </w:tbl>
    <w:p>
      <w:pPr>
        <w:pStyle w:val="BodyText"/>
        <w:spacing w:line="240" w:lineRule="auto" w:before="10"/>
        <w:ind w:left="514" w:right="90"/>
        <w:jc w:val="left"/>
      </w:pPr>
      <w:r>
        <w:rPr/>
        <w:t>（</w:t>
      </w:r>
      <w:r>
        <w:rPr>
          <w:rFonts w:ascii="Times New Roman" w:hAnsi="Times New Roman" w:cs="Times New Roman" w:eastAsia="Times New Roman" w:hint="default"/>
        </w:rPr>
        <w:t>2</w:t>
      </w:r>
      <w:r>
        <w:rPr/>
        <w:t>）每股收益和稀释每股收益的计算过程</w:t>
      </w:r>
    </w:p>
    <w:p>
      <w:pPr>
        <w:pStyle w:val="BodyText"/>
        <w:spacing w:line="240" w:lineRule="auto" w:before="62"/>
        <w:ind w:left="513" w:right="90"/>
        <w:jc w:val="left"/>
      </w:pPr>
      <w:r>
        <w:rPr/>
        <w:t>①</w:t>
      </w:r>
      <w:r>
        <w:rPr>
          <w:spacing w:val="-19"/>
        </w:rPr>
        <w:t> </w:t>
      </w:r>
      <w:r>
        <w:rPr/>
        <w:t>计算基本每股收益时，归属于普通股股东的当期净利润为：</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636"/>
        <w:gridCol w:w="2571"/>
        <w:gridCol w:w="2450"/>
      </w:tblGrid>
      <w:tr>
        <w:trPr>
          <w:trHeight w:val="342" w:hRule="exact"/>
        </w:trPr>
        <w:tc>
          <w:tcPr>
            <w:tcW w:w="4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5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828"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4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767"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7" w:hRule="exact"/>
        </w:trPr>
        <w:tc>
          <w:tcPr>
            <w:tcW w:w="4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2571"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710,655,331.72</w:t>
            </w:r>
          </w:p>
        </w:tc>
        <w:tc>
          <w:tcPr>
            <w:tcW w:w="245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221,034,822.54</w:t>
            </w:r>
          </w:p>
        </w:tc>
      </w:tr>
      <w:tr>
        <w:trPr>
          <w:trHeight w:val="347" w:hRule="exact"/>
        </w:trPr>
        <w:tc>
          <w:tcPr>
            <w:tcW w:w="4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57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710,655,331.72</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221,034,822.54</w:t>
            </w:r>
          </w:p>
        </w:tc>
      </w:tr>
      <w:tr>
        <w:trPr>
          <w:trHeight w:val="347" w:hRule="exact"/>
        </w:trPr>
        <w:tc>
          <w:tcPr>
            <w:tcW w:w="4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08"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571" w:type="dxa"/>
            <w:tcBorders>
              <w:top w:val="single" w:sz="6" w:space="0" w:color="000000"/>
              <w:left w:val="single" w:sz="7" w:space="0" w:color="000000"/>
              <w:bottom w:val="single" w:sz="6" w:space="0" w:color="000000"/>
              <w:right w:val="single" w:sz="6" w:space="0" w:color="000000"/>
            </w:tcBorders>
          </w:tcPr>
          <w:p>
            <w:pPr/>
          </w:p>
        </w:tc>
        <w:tc>
          <w:tcPr>
            <w:tcW w:w="245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57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406,170,148.25</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-159,777,900.37</w:t>
            </w:r>
          </w:p>
        </w:tc>
      </w:tr>
      <w:tr>
        <w:trPr>
          <w:trHeight w:val="347" w:hRule="exact"/>
        </w:trPr>
        <w:tc>
          <w:tcPr>
            <w:tcW w:w="4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57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406,170,148.25</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-159,777,900.37</w:t>
            </w:r>
          </w:p>
        </w:tc>
      </w:tr>
      <w:tr>
        <w:trPr>
          <w:trHeight w:val="342" w:hRule="exact"/>
        </w:trPr>
        <w:tc>
          <w:tcPr>
            <w:tcW w:w="46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08"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571" w:type="dxa"/>
            <w:tcBorders>
              <w:top w:val="single" w:sz="6" w:space="0" w:color="000000"/>
              <w:left w:val="single" w:sz="7" w:space="0" w:color="000000"/>
              <w:bottom w:val="single" w:sz="6" w:space="0" w:color="000000"/>
              <w:right w:val="single" w:sz="6" w:space="0" w:color="000000"/>
            </w:tcBorders>
          </w:tcPr>
          <w:p>
            <w:pPr/>
          </w:p>
        </w:tc>
        <w:tc>
          <w:tcPr>
            <w:tcW w:w="245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5"/>
        <w:ind w:left="514" w:right="90"/>
        <w:jc w:val="left"/>
      </w:pPr>
      <w:r>
        <w:rPr/>
        <w:t>②计算基本每股收益时，分母为发行在外普通股加权平均数，计算过程如下：</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754"/>
        <w:gridCol w:w="2542"/>
        <w:gridCol w:w="2362"/>
      </w:tblGrid>
      <w:tr>
        <w:trPr>
          <w:trHeight w:val="342" w:hRule="exact"/>
        </w:trPr>
        <w:tc>
          <w:tcPr>
            <w:tcW w:w="47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5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814"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3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723"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7" w:hRule="exact"/>
        </w:trPr>
        <w:tc>
          <w:tcPr>
            <w:tcW w:w="47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254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2,062,045,941</w:t>
            </w:r>
          </w:p>
        </w:tc>
        <w:tc>
          <w:tcPr>
            <w:tcW w:w="236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left="1308" w:right="0"/>
              <w:jc w:val="left"/>
              <w:rPr>
                <w:rFonts w:ascii="Times New Roman" w:hAnsi="Times New Roman" w:cs="Times New Roman" w:eastAsia="Times New Roman" w:hint="default"/>
                <w:sz w:val="18"/>
                <w:szCs w:val="18"/>
              </w:rPr>
            </w:pPr>
            <w:r>
              <w:rPr>
                <w:rFonts w:ascii="Times New Roman"/>
                <w:sz w:val="18"/>
              </w:rPr>
              <w:t>2,062,045,941</w:t>
            </w:r>
          </w:p>
        </w:tc>
      </w:tr>
      <w:tr>
        <w:trPr>
          <w:trHeight w:val="347" w:hRule="exact"/>
        </w:trPr>
        <w:tc>
          <w:tcPr>
            <w:tcW w:w="47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2542" w:type="dxa"/>
            <w:tcBorders>
              <w:top w:val="single" w:sz="6" w:space="0" w:color="000000"/>
              <w:left w:val="single" w:sz="6" w:space="0" w:color="000000"/>
              <w:bottom w:val="single" w:sz="6" w:space="0" w:color="000000"/>
              <w:right w:val="single" w:sz="6" w:space="0" w:color="000000"/>
            </w:tcBorders>
          </w:tcPr>
          <w:p>
            <w:pPr/>
          </w:p>
        </w:tc>
        <w:tc>
          <w:tcPr>
            <w:tcW w:w="236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47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2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52,130,683</w:t>
            </w:r>
          </w:p>
        </w:tc>
        <w:tc>
          <w:tcPr>
            <w:tcW w:w="236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50" w:top="1100" w:bottom="1140" w:left="980" w:right="94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4754"/>
        <w:gridCol w:w="2542"/>
        <w:gridCol w:w="2362"/>
      </w:tblGrid>
      <w:tr>
        <w:trPr>
          <w:trHeight w:val="343" w:hRule="exact"/>
        </w:trPr>
        <w:tc>
          <w:tcPr>
            <w:tcW w:w="47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89" w:right="0"/>
              <w:jc w:val="left"/>
              <w:rPr>
                <w:rFonts w:ascii="Times New Roman" w:hAnsi="Times New Roman" w:cs="Times New Roman" w:eastAsia="Times New Roman" w:hint="default"/>
                <w:sz w:val="18"/>
                <w:szCs w:val="18"/>
              </w:rPr>
            </w:pPr>
            <w:r>
              <w:rPr>
                <w:rFonts w:ascii="Times New Roman"/>
                <w:sz w:val="18"/>
              </w:rPr>
              <w:t>2,009,915,258</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308" w:right="0"/>
              <w:jc w:val="left"/>
              <w:rPr>
                <w:rFonts w:ascii="Times New Roman" w:hAnsi="Times New Roman" w:cs="Times New Roman" w:eastAsia="Times New Roman" w:hint="default"/>
                <w:sz w:val="18"/>
                <w:szCs w:val="18"/>
              </w:rPr>
            </w:pPr>
            <w:r>
              <w:rPr>
                <w:rFonts w:ascii="Times New Roman"/>
                <w:sz w:val="18"/>
              </w:rPr>
              <w:t>2,062,045,941</w:t>
            </w:r>
          </w:p>
        </w:tc>
      </w:tr>
    </w:tbl>
    <w:p>
      <w:pPr>
        <w:spacing w:line="240" w:lineRule="auto" w:before="7"/>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54</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24"/>
        <w:gridCol w:w="2540"/>
        <w:gridCol w:w="2392"/>
      </w:tblGrid>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25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16,004,868.55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2,517,765.07</w:t>
            </w: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540" w:type="dxa"/>
            <w:tcBorders>
              <w:top w:val="single" w:sz="4" w:space="0" w:color="000000"/>
              <w:left w:val="single" w:sz="10"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5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16,004,868.55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2,517,765.07</w:t>
            </w: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40" w:type="dxa"/>
            <w:tcBorders>
              <w:top w:val="single" w:sz="4" w:space="0" w:color="000000"/>
              <w:left w:val="single" w:sz="10"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减：由其他计入其他综合收益产生的所得税影响</w:t>
            </w:r>
          </w:p>
        </w:tc>
        <w:tc>
          <w:tcPr>
            <w:tcW w:w="2540" w:type="dxa"/>
            <w:tcBorders>
              <w:top w:val="single" w:sz="4" w:space="0" w:color="000000"/>
              <w:left w:val="single" w:sz="10"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9" w:right="0"/>
              <w:jc w:val="left"/>
              <w:rPr>
                <w:rFonts w:ascii="宋体" w:hAnsi="宋体" w:cs="宋体" w:eastAsia="宋体" w:hint="default"/>
                <w:sz w:val="18"/>
                <w:szCs w:val="18"/>
              </w:rPr>
            </w:pPr>
            <w:r>
              <w:rPr>
                <w:rFonts w:ascii="宋体" w:hAnsi="宋体" w:cs="宋体" w:eastAsia="宋体" w:hint="default"/>
                <w:spacing w:val="-12"/>
                <w:sz w:val="18"/>
                <w:szCs w:val="18"/>
              </w:rPr>
              <w:t>前期其他计入其他综合收益当期转入损益的净额</w:t>
            </w:r>
            <w:r>
              <w:rPr>
                <w:rFonts w:ascii="宋体" w:hAnsi="宋体" w:cs="宋体" w:eastAsia="宋体" w:hint="default"/>
                <w:sz w:val="18"/>
                <w:szCs w:val="18"/>
              </w:rPr>
            </w:r>
          </w:p>
        </w:tc>
        <w:tc>
          <w:tcPr>
            <w:tcW w:w="25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31,421,760.99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267,566.25</w:t>
            </w: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5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-31,421,760.99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-267,566.25</w:t>
            </w:r>
          </w:p>
        </w:tc>
      </w:tr>
      <w:tr>
        <w:trPr>
          <w:trHeight w:val="402" w:hRule="exact"/>
        </w:trPr>
        <w:tc>
          <w:tcPr>
            <w:tcW w:w="4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-15,416,892.44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2,250,198.82</w:t>
            </w:r>
          </w:p>
        </w:tc>
      </w:tr>
    </w:tbl>
    <w:p>
      <w:pPr>
        <w:pStyle w:val="BodyText"/>
        <w:spacing w:line="240" w:lineRule="auto" w:before="10"/>
        <w:ind w:left="636" w:right="0"/>
        <w:jc w:val="left"/>
      </w:pPr>
      <w:r>
        <w:rPr/>
        <w:t>其他综合收益项目变动情况</w:t>
      </w:r>
    </w:p>
    <w:p>
      <w:pPr>
        <w:spacing w:line="240" w:lineRule="auto" w:before="6"/>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6020"/>
        <w:gridCol w:w="1764"/>
        <w:gridCol w:w="1873"/>
      </w:tblGrid>
      <w:tr>
        <w:trPr>
          <w:trHeight w:val="347" w:hRule="exact"/>
        </w:trPr>
        <w:tc>
          <w:tcPr>
            <w:tcW w:w="60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tabs>
                <w:tab w:pos="397" w:val="left" w:leader="none"/>
              </w:tabs>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6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87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3" w:hRule="exact"/>
        </w:trPr>
        <w:tc>
          <w:tcPr>
            <w:tcW w:w="60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6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702,673,473.24</w:t>
            </w:r>
          </w:p>
        </w:tc>
        <w:tc>
          <w:tcPr>
            <w:tcW w:w="187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700,423,274.42</w:t>
            </w:r>
          </w:p>
        </w:tc>
      </w:tr>
      <w:tr>
        <w:trPr>
          <w:trHeight w:val="351" w:hRule="exact"/>
        </w:trPr>
        <w:tc>
          <w:tcPr>
            <w:tcW w:w="60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145" w:right="0"/>
              <w:jc w:val="left"/>
              <w:rPr>
                <w:rFonts w:ascii="宋体" w:hAnsi="宋体" w:cs="宋体" w:eastAsia="宋体" w:hint="default"/>
                <w:sz w:val="18"/>
                <w:szCs w:val="18"/>
              </w:rPr>
            </w:pPr>
            <w:r>
              <w:rPr>
                <w:rFonts w:ascii="宋体" w:hAnsi="宋体" w:cs="宋体" w:eastAsia="宋体" w:hint="default"/>
                <w:sz w:val="18"/>
                <w:szCs w:val="18"/>
              </w:rPr>
              <w:t>其中：资本公积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原制度转入</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701,744,268.20</w:t>
            </w:r>
          </w:p>
        </w:tc>
        <w:tc>
          <w:tcPr>
            <w:tcW w:w="18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702,011,834.45</w:t>
            </w:r>
          </w:p>
        </w:tc>
      </w:tr>
      <w:tr>
        <w:trPr>
          <w:trHeight w:val="352" w:hRule="exact"/>
        </w:trPr>
        <w:tc>
          <w:tcPr>
            <w:tcW w:w="60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650"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929,205.04</w:t>
            </w:r>
          </w:p>
        </w:tc>
        <w:tc>
          <w:tcPr>
            <w:tcW w:w="18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-1,588,560.03</w:t>
            </w:r>
          </w:p>
        </w:tc>
      </w:tr>
      <w:tr>
        <w:trPr>
          <w:trHeight w:val="353" w:hRule="exact"/>
        </w:trPr>
        <w:tc>
          <w:tcPr>
            <w:tcW w:w="60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加：本期变动</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-15,416,892.44</w:t>
            </w:r>
          </w:p>
        </w:tc>
        <w:tc>
          <w:tcPr>
            <w:tcW w:w="18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2,250,198.82</w:t>
            </w:r>
          </w:p>
        </w:tc>
      </w:tr>
      <w:tr>
        <w:trPr>
          <w:trHeight w:val="351" w:hRule="exact"/>
        </w:trPr>
        <w:tc>
          <w:tcPr>
            <w:tcW w:w="60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145" w:right="0"/>
              <w:jc w:val="left"/>
              <w:rPr>
                <w:rFonts w:ascii="宋体" w:hAnsi="宋体" w:cs="宋体" w:eastAsia="宋体" w:hint="default"/>
                <w:sz w:val="18"/>
                <w:szCs w:val="18"/>
              </w:rPr>
            </w:pPr>
            <w:r>
              <w:rPr>
                <w:rFonts w:ascii="宋体" w:hAnsi="宋体" w:cs="宋体" w:eastAsia="宋体" w:hint="default"/>
                <w:sz w:val="18"/>
                <w:szCs w:val="18"/>
              </w:rPr>
              <w:t>其中：资本公积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原制度转入</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-31,421,760.99</w:t>
            </w:r>
          </w:p>
        </w:tc>
        <w:tc>
          <w:tcPr>
            <w:tcW w:w="18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-267,566.25</w:t>
            </w:r>
          </w:p>
        </w:tc>
      </w:tr>
      <w:tr>
        <w:trPr>
          <w:trHeight w:val="352" w:hRule="exact"/>
        </w:trPr>
        <w:tc>
          <w:tcPr>
            <w:tcW w:w="60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650"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16,004,868.55</w:t>
            </w:r>
          </w:p>
        </w:tc>
        <w:tc>
          <w:tcPr>
            <w:tcW w:w="18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2,517,765.07</w:t>
            </w:r>
          </w:p>
        </w:tc>
      </w:tr>
      <w:tr>
        <w:trPr>
          <w:trHeight w:val="353" w:hRule="exact"/>
        </w:trPr>
        <w:tc>
          <w:tcPr>
            <w:tcW w:w="60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687,256,580.80</w:t>
            </w:r>
          </w:p>
        </w:tc>
        <w:tc>
          <w:tcPr>
            <w:tcW w:w="18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702,673,473.24</w:t>
            </w:r>
          </w:p>
        </w:tc>
      </w:tr>
      <w:tr>
        <w:trPr>
          <w:trHeight w:val="351" w:hRule="exact"/>
        </w:trPr>
        <w:tc>
          <w:tcPr>
            <w:tcW w:w="60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145" w:right="0"/>
              <w:jc w:val="left"/>
              <w:rPr>
                <w:rFonts w:ascii="宋体" w:hAnsi="宋体" w:cs="宋体" w:eastAsia="宋体" w:hint="default"/>
                <w:sz w:val="18"/>
                <w:szCs w:val="18"/>
              </w:rPr>
            </w:pPr>
            <w:r>
              <w:rPr>
                <w:rFonts w:ascii="宋体" w:hAnsi="宋体" w:cs="宋体" w:eastAsia="宋体" w:hint="default"/>
                <w:sz w:val="18"/>
                <w:szCs w:val="18"/>
              </w:rPr>
              <w:t>其中：资本公积</w:t>
            </w:r>
            <w:r>
              <w:rPr>
                <w:rFonts w:ascii="Times New Roman" w:hAnsi="Times New Roman" w:cs="Times New Roman" w:eastAsia="Times New Roman" w:hint="default"/>
                <w:sz w:val="18"/>
                <w:szCs w:val="18"/>
              </w:rPr>
              <w:t>-</w:t>
            </w:r>
            <w:r>
              <w:rPr>
                <w:rFonts w:ascii="宋体" w:hAnsi="宋体" w:cs="宋体" w:eastAsia="宋体" w:hint="default"/>
                <w:sz w:val="18"/>
                <w:szCs w:val="18"/>
              </w:rPr>
              <w:t>原制度转入</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670,322,507.21</w:t>
            </w:r>
          </w:p>
        </w:tc>
        <w:tc>
          <w:tcPr>
            <w:tcW w:w="18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701,744,268.20</w:t>
            </w:r>
          </w:p>
        </w:tc>
      </w:tr>
      <w:tr>
        <w:trPr>
          <w:trHeight w:val="346" w:hRule="exact"/>
        </w:trPr>
        <w:tc>
          <w:tcPr>
            <w:tcW w:w="60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650"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7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16,934,073.59</w:t>
            </w:r>
          </w:p>
        </w:tc>
        <w:tc>
          <w:tcPr>
            <w:tcW w:w="18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929,205.04</w:t>
            </w:r>
          </w:p>
        </w:tc>
      </w:tr>
    </w:tbl>
    <w:p>
      <w:pPr>
        <w:spacing w:line="240" w:lineRule="auto" w:before="8"/>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55</w:t>
      </w:r>
      <w:r>
        <w:rPr/>
        <w:t>、</w:t>
      </w:r>
      <w:r>
        <w:rPr>
          <w:spacing w:val="-9"/>
        </w:rPr>
        <w:t> </w:t>
      </w:r>
      <w:r>
        <w:rPr/>
        <w:t>本集团税前利润扣除项目明细</w:t>
      </w:r>
      <w:r>
        <w:rPr>
          <w:b w:val="0"/>
          <w:bCs w:val="0"/>
        </w:rPr>
      </w:r>
    </w:p>
    <w:p>
      <w:pPr>
        <w:spacing w:line="240" w:lineRule="auto" w:before="11"/>
        <w:rPr>
          <w:rFonts w:ascii="宋体" w:hAnsi="宋体" w:cs="宋体" w:eastAsia="宋体" w:hint="default"/>
          <w:b/>
          <w:bCs/>
          <w:sz w:val="26"/>
          <w:szCs w:val="26"/>
        </w:rPr>
      </w:pPr>
    </w:p>
    <w:tbl>
      <w:tblPr>
        <w:tblW w:w="0" w:type="auto"/>
        <w:jc w:val="left"/>
        <w:tblInd w:w="144" w:type="dxa"/>
        <w:tblLayout w:type="fixed"/>
        <w:tblCellMar>
          <w:top w:w="0" w:type="dxa"/>
          <w:left w:w="0" w:type="dxa"/>
          <w:bottom w:w="0" w:type="dxa"/>
          <w:right w:w="0" w:type="dxa"/>
        </w:tblCellMar>
        <w:tblLook w:val="01E0"/>
      </w:tblPr>
      <w:tblGrid>
        <w:gridCol w:w="2880"/>
        <w:gridCol w:w="3199"/>
        <w:gridCol w:w="3578"/>
      </w:tblGrid>
      <w:tr>
        <w:trPr>
          <w:trHeight w:val="338"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tabs>
                <w:tab w:pos="470" w:val="left" w:leader="none"/>
              </w:tabs>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19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5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材料费用</w:t>
            </w:r>
          </w:p>
        </w:tc>
        <w:tc>
          <w:tcPr>
            <w:tcW w:w="319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13,094,823,156.46</w:t>
            </w:r>
          </w:p>
        </w:tc>
        <w:tc>
          <w:tcPr>
            <w:tcW w:w="35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13,630,113,683.36</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969,927,481.47</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1,010,862,815.62</w:t>
            </w:r>
          </w:p>
        </w:tc>
      </w:tr>
      <w:tr>
        <w:trPr>
          <w:trHeight w:val="35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1,322,959,919.80</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1,471,443,592.08</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2,012,679,649.75</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1,965,334,285.64</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其他生产支出</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758,129,910.44</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459,284,268.99</w:t>
            </w:r>
          </w:p>
        </w:tc>
      </w:tr>
      <w:tr>
        <w:trPr>
          <w:trHeight w:val="35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存货余额的变动</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-540,994,617.31</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-1,053,743,319.49</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财务费用净支出</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930,604,174.96</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1,092,760,015.04</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30,699,445.68</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23,835,110.94</w:t>
            </w:r>
          </w:p>
        </w:tc>
      </w:tr>
      <w:tr>
        <w:trPr>
          <w:trHeight w:val="35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161,638,456.67</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171,304,772.47</w:t>
            </w:r>
          </w:p>
        </w:tc>
      </w:tr>
      <w:tr>
        <w:trPr>
          <w:trHeight w:val="35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24,104,912.81</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70,250,158.94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b/>
          <w:bCs/>
          <w:sz w:val="24"/>
          <w:szCs w:val="24"/>
        </w:rPr>
      </w:pPr>
    </w:p>
    <w:tbl>
      <w:tblPr>
        <w:tblW w:w="0" w:type="auto"/>
        <w:jc w:val="left"/>
        <w:tblInd w:w="144" w:type="dxa"/>
        <w:tblLayout w:type="fixed"/>
        <w:tblCellMar>
          <w:top w:w="0" w:type="dxa"/>
          <w:left w:w="0" w:type="dxa"/>
          <w:bottom w:w="0" w:type="dxa"/>
          <w:right w:w="0" w:type="dxa"/>
        </w:tblCellMar>
        <w:tblLook w:val="01E0"/>
      </w:tblPr>
      <w:tblGrid>
        <w:gridCol w:w="2880"/>
        <w:gridCol w:w="3199"/>
        <w:gridCol w:w="3578"/>
      </w:tblGrid>
      <w:tr>
        <w:trPr>
          <w:trHeight w:val="352"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36,560,317.17</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4,484,098.29</w:t>
            </w:r>
          </w:p>
        </w:tc>
      </w:tr>
      <w:tr>
        <w:trPr>
          <w:trHeight w:val="35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债务减免损失</w:t>
            </w:r>
          </w:p>
        </w:tc>
        <w:tc>
          <w:tcPr>
            <w:tcW w:w="3199" w:type="dxa"/>
            <w:tcBorders>
              <w:top w:val="single" w:sz="8" w:space="0" w:color="000000"/>
              <w:left w:val="single" w:sz="8" w:space="0" w:color="000000"/>
              <w:bottom w:val="single" w:sz="8" w:space="0" w:color="000000"/>
              <w:right w:val="single" w:sz="8" w:space="0" w:color="000000"/>
            </w:tcBorders>
          </w:tcPr>
          <w:p>
            <w:pP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10,315,257.61</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停工损失</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65,937,178.56</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74,297,144.39</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773,000,263.65</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762,494,590.62</w:t>
            </w:r>
          </w:p>
        </w:tc>
      </w:tr>
      <w:tr>
        <w:trPr>
          <w:trHeight w:val="35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87,116,120.65</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111,439,584.31</w:t>
            </w:r>
          </w:p>
        </w:tc>
      </w:tr>
      <w:tr>
        <w:trPr>
          <w:trHeight w:val="352"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334,385,000.45</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407,168,615.36</w:t>
            </w:r>
          </w:p>
        </w:tc>
      </w:tr>
      <w:tr>
        <w:trPr>
          <w:trHeight w:val="35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20,061,571,371.21</w:t>
            </w:r>
          </w:p>
        </w:tc>
        <w:tc>
          <w:tcPr>
            <w:tcW w:w="35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20,211,644,674.17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56</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财政扶持金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149,519,965.31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211,164,138.80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违约金及罚款收入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1,319,963.69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60,985,992.30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422,990,060.10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773,000,263.65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87,116,120.65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16,064,169.16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43,339,796.08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13,856,616.40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24,375,706.65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19,774,877.15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25,589,983.20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5,472,804.41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63,924,562.74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装卸费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24,267,204.90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支付其他费用及往来款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106,136,781.55</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1,202,918,886.54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收到专项资金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129,978,841.00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收拆迁补偿款项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964,840,000.00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983,926.53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淘汰落后产能政府补助资金</w:t>
            </w:r>
          </w:p>
        </w:tc>
        <w:tc>
          <w:tcPr>
            <w:tcW w:w="3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收到上期股权转让款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271,850,000.00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1,367,652,767.53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3,180,221.51</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3,180,221.51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3,784,800,000.00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1,486,500,000.00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限制性银行存款增加</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291,470,312.13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南昌经济技术开发区投资控股有限公司借款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5,622,770,312.13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偿还中期票据</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265,363,183.60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30,954,891.40</w:t>
            </w:r>
          </w:p>
        </w:tc>
      </w:tr>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1,396,318,075.00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57</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690,353,237.62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46,686,257.07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19,539,893.55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69,456,190.75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1,324,698,175.84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1,473,181,848.12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31,794,800.76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38,461,236.57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8,604,638.05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14,644,085.34</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29,864,547.98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-26,092,788.22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-11,221,828.76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-47,822,076.87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1,238,839,467.15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1,229,226,170.56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-23,705,958.58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35,524,960.75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-148,275,512.20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-219,648,615.62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664,719,899.68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1,216,128,795.92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-801,235,384.48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-1,006,510,462.52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-1,777,633,893.33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-703,983,647.43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消耗性生物资产减少</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-123,725,282.37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-162,385,476.43</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3D3D3"/>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1,122,616,800.91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1,956,866,477.99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726,532,928.96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2,343,550,185.45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2,343,550,185.45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2,317,048,619.53</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-1,617,017,256.49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26,501,565.92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52"/>
        <w:gridCol w:w="2340"/>
        <w:gridCol w:w="2553"/>
      </w:tblGrid>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w:t>
            </w:r>
          </w:p>
        </w:tc>
        <w:tc>
          <w:tcPr>
            <w:tcW w:w="2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3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370" w:right="0"/>
              <w:jc w:val="left"/>
              <w:rPr>
                <w:rFonts w:ascii="Times New Roman" w:hAnsi="Times New Roman" w:cs="Times New Roman" w:eastAsia="Times New Roman" w:hint="default"/>
                <w:sz w:val="18"/>
                <w:szCs w:val="18"/>
              </w:rPr>
            </w:pPr>
            <w:r>
              <w:rPr>
                <w:rFonts w:ascii="Times New Roman"/>
                <w:sz w:val="18"/>
              </w:rPr>
              <w:t>2,730,000.00</w:t>
            </w:r>
          </w:p>
        </w:tc>
        <w:tc>
          <w:tcPr>
            <w:tcW w:w="25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657"/>
        <w:gridCol w:w="2352"/>
        <w:gridCol w:w="2548"/>
      </w:tblGrid>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2,730,000.00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131,555,073.05</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3"/>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3,713,926.53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79,951,123.62</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-983,926.53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51,603,949.43</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5,138,368.37</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257,951,123.62</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34,032,326.98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257,951,123.62</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10,434,536.39</w:t>
            </w: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39,328,495.00</w:t>
            </w: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476,016,016.71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396,850,000.00</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426,016,016.71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3"/>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91,385,533.31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10,771,766.96</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357,810,704.91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114,228,233.04</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529,193,978.65</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432,005,299.29</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1,030,203,096.69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563,633,079.26</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463,360,654.34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875,610,612.06</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960,176,200.96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991,181,707.26</w:t>
            </w:r>
          </w:p>
        </w:tc>
      </w:tr>
      <w:tr>
        <w:trPr>
          <w:trHeight w:val="402" w:hRule="exact"/>
        </w:trPr>
        <w:tc>
          <w:tcPr>
            <w:tcW w:w="4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4,193,571.42</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16,056,684.77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726,532,928.96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2,343,550,185.45</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1,333,503.27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1,398,324.17</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725,199,425.69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2,342,151,861.28</w:t>
            </w:r>
          </w:p>
        </w:tc>
      </w:tr>
      <w:tr>
        <w:trPr>
          <w:trHeight w:val="401"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726,532,928.96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2,343,550,185.45</w:t>
            </w:r>
          </w:p>
        </w:tc>
      </w:tr>
    </w:tbl>
    <w:p>
      <w:pPr>
        <w:pStyle w:val="BodyText"/>
        <w:spacing w:line="240" w:lineRule="auto" w:before="52"/>
        <w:ind w:left="154" w:right="0"/>
        <w:jc w:val="left"/>
      </w:pPr>
      <w:r>
        <w:rPr/>
        <w:t>现金流量表补充资料的说明：现金和现金等价物不含本集团使用受限制的现金和现金等价物。</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w:t>
      </w:r>
      <w:r>
        <w:rPr>
          <w:spacing w:val="-5"/>
        </w:rPr>
        <w:t> </w:t>
      </w:r>
      <w:r>
        <w:rPr/>
        <w:t>分部报告</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49" w:firstLine="360"/>
        <w:jc w:val="both"/>
      </w:pPr>
      <w:r>
        <w:rPr/>
        <w:t>本公司</w:t>
      </w:r>
      <w:r>
        <w:rPr>
          <w:rFonts w:ascii="Times New Roman" w:hAnsi="Times New Roman" w:cs="Times New Roman" w:eastAsia="Times New Roman" w:hint="default"/>
        </w:rPr>
        <w:t>2010</w:t>
      </w:r>
      <w:r>
        <w:rPr/>
        <w:t>年按《企业会计准则解释第</w:t>
      </w:r>
      <w:r>
        <w:rPr>
          <w:rFonts w:ascii="Times New Roman" w:hAnsi="Times New Roman" w:cs="Times New Roman" w:eastAsia="Times New Roman" w:hint="default"/>
        </w:rPr>
        <w:t>3</w:t>
      </w:r>
      <w:r>
        <w:rPr/>
        <w:t>号》的规定确定报告分部并披露分部信息，不再执行《企业会计准则第</w:t>
      </w:r>
      <w:r>
        <w:rPr>
          <w:rFonts w:ascii="Times New Roman" w:hAnsi="Times New Roman" w:cs="Times New Roman" w:eastAsia="Times New Roman" w:hint="default"/>
        </w:rPr>
        <w:t>35</w:t>
      </w:r>
      <w:r>
        <w:rPr/>
        <w:t>号</w:t>
      </w:r>
      <w:r>
        <w:rPr>
          <w:rFonts w:ascii="Times New Roman" w:hAnsi="Times New Roman" w:cs="Times New Roman" w:eastAsia="Times New Roman" w:hint="default"/>
        </w:rPr>
        <w:t>- </w:t>
      </w:r>
      <w:r>
        <w:rPr/>
        <w:t>分部报告》关于确定地区分部和业务分部以及按照主要报告形式、次要报告形式披露分部信息的规定。</w:t>
      </w:r>
    </w:p>
    <w:p>
      <w:pPr>
        <w:pStyle w:val="BodyText"/>
        <w:spacing w:line="309" w:lineRule="auto" w:before="31"/>
        <w:ind w:right="148" w:firstLine="360"/>
        <w:jc w:val="both"/>
      </w:pPr>
      <w:r>
        <w:rPr/>
        <w:t>根据本公司的内部组织结构、管理要求及内部报告制度，本公司的经营业务划分为</w:t>
      </w:r>
      <w:r>
        <w:rPr>
          <w:rFonts w:ascii="Times New Roman" w:hAnsi="Times New Roman" w:cs="Times New Roman" w:eastAsia="Times New Roman" w:hint="default"/>
        </w:rPr>
        <w:t>4</w:t>
      </w:r>
      <w:r>
        <w:rPr/>
        <w:t>个报告分部，这些报告分部是以主 </w:t>
      </w:r>
      <w:r>
        <w:rPr>
          <w:spacing w:val="-2"/>
        </w:rPr>
        <w:t>要产品类型为基础确定的。集团的管理层定期评价这些报告分部的经营成果，以决定向其分配资源及评价其业绩。本公司各</w:t>
      </w:r>
      <w:r>
        <w:rPr>
          <w:spacing w:val="-66"/>
        </w:rPr>
        <w:t> </w:t>
      </w:r>
      <w:r>
        <w:rPr>
          <w:spacing w:val="-66"/>
        </w:rPr>
      </w:r>
      <w:r>
        <w:rPr/>
        <w:t>个报告分部提供的主要产品及劳务分别为机制纸、建筑材料、电及汽及其他。</w:t>
      </w:r>
    </w:p>
    <w:p>
      <w:pPr>
        <w:pStyle w:val="BodyText"/>
        <w:spacing w:line="316" w:lineRule="auto" w:before="24"/>
        <w:ind w:right="150" w:firstLine="360"/>
        <w:jc w:val="both"/>
      </w:pPr>
      <w:r>
        <w:rPr>
          <w:spacing w:val="-2"/>
        </w:rPr>
        <w:t>分部报告信息根据各分部向管理层报告时采用的会计政策及计量标准披露，这些计量基础与编制财务报表时的会计与计</w:t>
      </w:r>
      <w:r>
        <w:rPr/>
        <w:t> 量基础保持一致。</w:t>
      </w:r>
    </w:p>
    <w:p>
      <w:pPr>
        <w:pStyle w:val="BodyText"/>
        <w:spacing w:line="240" w:lineRule="auto" w:before="18"/>
        <w:ind w:left="513" w:right="0"/>
        <w:jc w:val="left"/>
      </w:pPr>
      <w:r>
        <w:rPr>
          <w:rFonts w:ascii="Times New Roman" w:hAnsi="Times New Roman" w:cs="Times New Roman" w:eastAsia="Times New Roman" w:hint="default"/>
        </w:rPr>
        <w:t>1</w:t>
      </w:r>
      <w:r>
        <w:rPr/>
        <w:t>、分部收益</w:t>
      </w:r>
    </w:p>
    <w:p>
      <w:pPr>
        <w:spacing w:after="0" w:line="240" w:lineRule="auto"/>
        <w:jc w:val="left"/>
        <w:sectPr>
          <w:pgSz w:w="11910" w:h="16840"/>
          <w:pgMar w:header="877" w:footer="950" w:top="1100" w:bottom="1140" w:left="980" w:right="980"/>
        </w:sectPr>
      </w:pPr>
    </w:p>
    <w:p>
      <w:pPr>
        <w:spacing w:line="240" w:lineRule="auto" w:before="12"/>
        <w:rPr>
          <w:rFonts w:ascii="宋体" w:hAnsi="宋体" w:cs="宋体" w:eastAsia="宋体" w:hint="default"/>
          <w:sz w:val="21"/>
          <w:szCs w:val="21"/>
        </w:rPr>
      </w:pPr>
    </w:p>
    <w:p>
      <w:pPr>
        <w:pStyle w:val="BodyText"/>
        <w:spacing w:line="240" w:lineRule="auto" w:before="44"/>
        <w:ind w:left="0" w:right="150"/>
        <w:jc w:val="right"/>
      </w:pPr>
      <w:r>
        <w:rPr/>
        <w:t>金额单位：万元</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931"/>
        <w:gridCol w:w="1336"/>
        <w:gridCol w:w="1339"/>
        <w:gridCol w:w="1337"/>
        <w:gridCol w:w="1190"/>
        <w:gridCol w:w="1188"/>
        <w:gridCol w:w="1337"/>
      </w:tblGrid>
      <w:tr>
        <w:trPr>
          <w:trHeight w:val="347" w:hRule="exact"/>
        </w:trPr>
        <w:tc>
          <w:tcPr>
            <w:tcW w:w="1931"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75"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机制纸</w:t>
            </w:r>
          </w:p>
        </w:tc>
        <w:tc>
          <w:tcPr>
            <w:tcW w:w="2527"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建筑材料</w:t>
            </w:r>
          </w:p>
        </w:tc>
        <w:tc>
          <w:tcPr>
            <w:tcW w:w="2525"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电及汽</w:t>
            </w:r>
          </w:p>
        </w:tc>
      </w:tr>
      <w:tr>
        <w:trPr>
          <w:trHeight w:val="352" w:hRule="exact"/>
        </w:trPr>
        <w:tc>
          <w:tcPr>
            <w:tcW w:w="1931" w:type="dxa"/>
            <w:vMerge/>
            <w:tcBorders>
              <w:left w:val="single" w:sz="8" w:space="0" w:color="000000"/>
              <w:bottom w:val="single" w:sz="8" w:space="0" w:color="000000"/>
              <w:right w:val="single" w:sz="8" w:space="0" w:color="000000"/>
            </w:tcBorders>
            <w:shd w:val="clear" w:color="auto" w:fill="D9D9D9"/>
          </w:tcPr>
          <w:p>
            <w:pPr/>
          </w:p>
        </w:tc>
        <w:tc>
          <w:tcPr>
            <w:tcW w:w="13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本年</w:t>
            </w:r>
          </w:p>
        </w:tc>
        <w:tc>
          <w:tcPr>
            <w:tcW w:w="133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3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19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18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3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52" w:hRule="exact"/>
        </w:trPr>
        <w:tc>
          <w:tcPr>
            <w:tcW w:w="193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33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1,824,419.16</w:t>
            </w:r>
          </w:p>
        </w:tc>
        <w:tc>
          <w:tcPr>
            <w:tcW w:w="133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1,814,818.44</w:t>
            </w:r>
          </w:p>
        </w:tc>
        <w:tc>
          <w:tcPr>
            <w:tcW w:w="133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24,134.32</w:t>
            </w:r>
          </w:p>
        </w:tc>
        <w:tc>
          <w:tcPr>
            <w:tcW w:w="119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34,477.81</w:t>
            </w:r>
          </w:p>
        </w:tc>
        <w:tc>
          <w:tcPr>
            <w:tcW w:w="118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left="356" w:right="0"/>
              <w:jc w:val="left"/>
              <w:rPr>
                <w:rFonts w:ascii="Times New Roman" w:hAnsi="Times New Roman" w:cs="Times New Roman" w:eastAsia="Times New Roman" w:hint="default"/>
                <w:sz w:val="18"/>
                <w:szCs w:val="18"/>
              </w:rPr>
            </w:pPr>
            <w:r>
              <w:rPr>
                <w:rFonts w:ascii="Times New Roman"/>
                <w:sz w:val="18"/>
              </w:rPr>
              <w:t>151,911.92</w:t>
            </w:r>
          </w:p>
        </w:tc>
        <w:tc>
          <w:tcPr>
            <w:tcW w:w="133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80,033.10</w:t>
            </w:r>
          </w:p>
        </w:tc>
      </w:tr>
      <w:tr>
        <w:trPr>
          <w:trHeight w:val="352" w:hRule="exact"/>
        </w:trPr>
        <w:tc>
          <w:tcPr>
            <w:tcW w:w="193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36" w:type="dxa"/>
            <w:tcBorders>
              <w:top w:val="single" w:sz="8" w:space="0" w:color="000000"/>
              <w:left w:val="single" w:sz="8" w:space="0" w:color="000000"/>
              <w:bottom w:val="single" w:sz="8" w:space="0" w:color="000000"/>
              <w:right w:val="single" w:sz="8" w:space="0" w:color="000000"/>
            </w:tcBorders>
          </w:tcPr>
          <w:p>
            <w:pPr/>
          </w:p>
        </w:tc>
        <w:tc>
          <w:tcPr>
            <w:tcW w:w="1339" w:type="dxa"/>
            <w:tcBorders>
              <w:top w:val="single" w:sz="8" w:space="0" w:color="000000"/>
              <w:left w:val="single" w:sz="8" w:space="0" w:color="000000"/>
              <w:bottom w:val="single" w:sz="8" w:space="0" w:color="000000"/>
              <w:right w:val="single" w:sz="8" w:space="0" w:color="000000"/>
            </w:tcBorders>
          </w:tcPr>
          <w:p>
            <w:pP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6,851.53</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6,512.70</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356" w:right="0"/>
              <w:jc w:val="left"/>
              <w:rPr>
                <w:rFonts w:ascii="Times New Roman" w:hAnsi="Times New Roman" w:cs="Times New Roman" w:eastAsia="Times New Roman" w:hint="default"/>
                <w:sz w:val="18"/>
                <w:szCs w:val="18"/>
              </w:rPr>
            </w:pPr>
            <w:r>
              <w:rPr>
                <w:rFonts w:ascii="Times New Roman"/>
                <w:sz w:val="18"/>
              </w:rPr>
              <w:t>107,399.99</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70,568.56</w:t>
            </w:r>
          </w:p>
        </w:tc>
      </w:tr>
      <w:tr>
        <w:trPr>
          <w:trHeight w:val="353" w:hRule="exact"/>
        </w:trPr>
        <w:tc>
          <w:tcPr>
            <w:tcW w:w="193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分部营业收入合计</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1,824,419.16</w:t>
            </w:r>
          </w:p>
        </w:tc>
        <w:tc>
          <w:tcPr>
            <w:tcW w:w="13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1,814,818.44</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30,985.85</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40,990.51</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356" w:right="0"/>
              <w:jc w:val="left"/>
              <w:rPr>
                <w:rFonts w:ascii="Times New Roman" w:hAnsi="Times New Roman" w:cs="Times New Roman" w:eastAsia="Times New Roman" w:hint="default"/>
                <w:sz w:val="18"/>
                <w:szCs w:val="18"/>
              </w:rPr>
            </w:pPr>
            <w:r>
              <w:rPr>
                <w:rFonts w:ascii="Times New Roman"/>
                <w:sz w:val="18"/>
              </w:rPr>
              <w:t>259,311.91</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150,601.66</w:t>
            </w:r>
          </w:p>
        </w:tc>
      </w:tr>
      <w:tr>
        <w:trPr>
          <w:trHeight w:val="352" w:hRule="exact"/>
        </w:trPr>
        <w:tc>
          <w:tcPr>
            <w:tcW w:w="193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1,608,663.81</w:t>
            </w:r>
          </w:p>
        </w:tc>
        <w:tc>
          <w:tcPr>
            <w:tcW w:w="13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1,668,138.63</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28,058.28</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40,129.05</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356" w:right="0"/>
              <w:jc w:val="left"/>
              <w:rPr>
                <w:rFonts w:ascii="Times New Roman" w:hAnsi="Times New Roman" w:cs="Times New Roman" w:eastAsia="Times New Roman" w:hint="default"/>
                <w:sz w:val="18"/>
                <w:szCs w:val="18"/>
              </w:rPr>
            </w:pPr>
            <w:r>
              <w:rPr>
                <w:rFonts w:ascii="Times New Roman"/>
                <w:sz w:val="18"/>
              </w:rPr>
              <w:t>221,873.75</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132,503.75</w:t>
            </w:r>
          </w:p>
        </w:tc>
      </w:tr>
      <w:tr>
        <w:trPr>
          <w:trHeight w:val="353" w:hRule="exact"/>
        </w:trPr>
        <w:tc>
          <w:tcPr>
            <w:tcW w:w="193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分部营业利润</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215,755.35</w:t>
            </w:r>
          </w:p>
        </w:tc>
        <w:tc>
          <w:tcPr>
            <w:tcW w:w="13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146,679.81</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2,927.57</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861.46</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446" w:right="0"/>
              <w:jc w:val="left"/>
              <w:rPr>
                <w:rFonts w:ascii="Times New Roman" w:hAnsi="Times New Roman" w:cs="Times New Roman" w:eastAsia="Times New Roman" w:hint="default"/>
                <w:sz w:val="18"/>
                <w:szCs w:val="18"/>
              </w:rPr>
            </w:pPr>
            <w:r>
              <w:rPr>
                <w:rFonts w:ascii="Times New Roman"/>
                <w:sz w:val="18"/>
              </w:rPr>
              <w:t>37,438.16</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18,097.91</w:t>
            </w:r>
          </w:p>
        </w:tc>
      </w:tr>
    </w:tbl>
    <w:p>
      <w:pPr>
        <w:pStyle w:val="BodyText"/>
        <w:spacing w:line="240" w:lineRule="auto" w:before="10"/>
        <w:ind w:left="15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pStyle w:val="BodyText"/>
        <w:spacing w:line="240" w:lineRule="auto" w:before="62"/>
        <w:ind w:left="0" w:right="150"/>
        <w:jc w:val="right"/>
      </w:pPr>
      <w:r>
        <w:rPr/>
        <w:t>金额单位：万元</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882"/>
        <w:gridCol w:w="1324"/>
        <w:gridCol w:w="1178"/>
        <w:gridCol w:w="1324"/>
        <w:gridCol w:w="1126"/>
        <w:gridCol w:w="1370"/>
        <w:gridCol w:w="1454"/>
      </w:tblGrid>
      <w:tr>
        <w:trPr>
          <w:trHeight w:val="347" w:hRule="exact"/>
        </w:trPr>
        <w:tc>
          <w:tcPr>
            <w:tcW w:w="1882"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02"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449"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584" w:right="0"/>
              <w:jc w:val="left"/>
              <w:rPr>
                <w:rFonts w:ascii="宋体" w:hAnsi="宋体" w:cs="宋体" w:eastAsia="宋体" w:hint="default"/>
                <w:sz w:val="18"/>
                <w:szCs w:val="18"/>
              </w:rPr>
            </w:pPr>
            <w:r>
              <w:rPr>
                <w:rFonts w:ascii="宋体" w:hAnsi="宋体" w:cs="宋体" w:eastAsia="宋体" w:hint="default"/>
                <w:sz w:val="18"/>
                <w:szCs w:val="18"/>
              </w:rPr>
              <w:t>分部间相互抵减</w:t>
            </w:r>
          </w:p>
        </w:tc>
        <w:tc>
          <w:tcPr>
            <w:tcW w:w="2825"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882" w:type="dxa"/>
            <w:vMerge/>
            <w:tcBorders>
              <w:left w:val="single" w:sz="8" w:space="0" w:color="000000"/>
              <w:bottom w:val="single" w:sz="8" w:space="0" w:color="000000"/>
              <w:right w:val="single" w:sz="8" w:space="0" w:color="000000"/>
            </w:tcBorders>
            <w:shd w:val="clear" w:color="auto" w:fill="D9D9D9"/>
          </w:tcPr>
          <w:p>
            <w:pPr/>
          </w:p>
        </w:tc>
        <w:tc>
          <w:tcPr>
            <w:tcW w:w="13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本年</w:t>
            </w:r>
          </w:p>
        </w:tc>
        <w:tc>
          <w:tcPr>
            <w:tcW w:w="11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3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本年</w:t>
            </w:r>
          </w:p>
        </w:tc>
        <w:tc>
          <w:tcPr>
            <w:tcW w:w="112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37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45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52"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32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38,423.61</w:t>
            </w:r>
          </w:p>
        </w:tc>
        <w:tc>
          <w:tcPr>
            <w:tcW w:w="117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46,838.57</w:t>
            </w:r>
          </w:p>
        </w:tc>
        <w:tc>
          <w:tcPr>
            <w:tcW w:w="1324" w:type="dxa"/>
            <w:tcBorders>
              <w:top w:val="single" w:sz="12" w:space="0" w:color="000000"/>
              <w:left w:val="single" w:sz="8" w:space="0" w:color="000000"/>
              <w:bottom w:val="single" w:sz="8" w:space="0" w:color="000000"/>
              <w:right w:val="single" w:sz="8" w:space="0" w:color="000000"/>
            </w:tcBorders>
          </w:tcPr>
          <w:p>
            <w:pPr/>
          </w:p>
        </w:tc>
        <w:tc>
          <w:tcPr>
            <w:tcW w:w="1126" w:type="dxa"/>
            <w:tcBorders>
              <w:top w:val="single" w:sz="12" w:space="0" w:color="000000"/>
              <w:left w:val="single" w:sz="8" w:space="0" w:color="000000"/>
              <w:bottom w:val="single" w:sz="8" w:space="0" w:color="000000"/>
              <w:right w:val="single" w:sz="8" w:space="0" w:color="000000"/>
            </w:tcBorders>
          </w:tcPr>
          <w:p>
            <w:pPr/>
          </w:p>
        </w:tc>
        <w:tc>
          <w:tcPr>
            <w:tcW w:w="137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2,038,889.01</w:t>
            </w:r>
          </w:p>
        </w:tc>
        <w:tc>
          <w:tcPr>
            <w:tcW w:w="14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1,976,167.92</w:t>
            </w:r>
          </w:p>
        </w:tc>
      </w:tr>
      <w:tr>
        <w:trPr>
          <w:trHeight w:val="352"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2,309,112.70</w:t>
            </w:r>
          </w:p>
        </w:tc>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169,880.38</w:t>
            </w:r>
          </w:p>
        </w:tc>
        <w:tc>
          <w:tcPr>
            <w:tcW w:w="1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2,423,364.22</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246,961.64</w:t>
            </w:r>
          </w:p>
        </w:tc>
        <w:tc>
          <w:tcPr>
            <w:tcW w:w="137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分部营业收入合计</w:t>
            </w:r>
          </w:p>
        </w:tc>
        <w:tc>
          <w:tcPr>
            <w:tcW w:w="1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2,347,536.31</w:t>
            </w:r>
          </w:p>
        </w:tc>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216,718.95</w:t>
            </w:r>
          </w:p>
        </w:tc>
        <w:tc>
          <w:tcPr>
            <w:tcW w:w="1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2,423,364.22</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246,961.64</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2,038,889.01</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1,976,167.92</w:t>
            </w:r>
          </w:p>
        </w:tc>
      </w:tr>
      <w:tr>
        <w:trPr>
          <w:trHeight w:val="352"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2,337,860.97</w:t>
            </w:r>
          </w:p>
        </w:tc>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209,867.01</w:t>
            </w:r>
          </w:p>
        </w:tc>
        <w:tc>
          <w:tcPr>
            <w:tcW w:w="1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2,423,364.22</w:t>
            </w:r>
          </w:p>
        </w:tc>
        <w:tc>
          <w:tcPr>
            <w:tcW w:w="11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246,961.64</w:t>
            </w: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1,773,092.59</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1,803,676.80</w:t>
            </w:r>
          </w:p>
        </w:tc>
      </w:tr>
      <w:tr>
        <w:trPr>
          <w:trHeight w:val="352"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分部营业利润</w:t>
            </w:r>
          </w:p>
        </w:tc>
        <w:tc>
          <w:tcPr>
            <w:tcW w:w="1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9,675.34</w:t>
            </w:r>
          </w:p>
        </w:tc>
        <w:tc>
          <w:tcPr>
            <w:tcW w:w="11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6,851.94</w:t>
            </w:r>
          </w:p>
        </w:tc>
        <w:tc>
          <w:tcPr>
            <w:tcW w:w="1324" w:type="dxa"/>
            <w:tcBorders>
              <w:top w:val="single" w:sz="8" w:space="0" w:color="000000"/>
              <w:left w:val="single" w:sz="8" w:space="0" w:color="000000"/>
              <w:bottom w:val="single" w:sz="8" w:space="0" w:color="000000"/>
              <w:right w:val="single" w:sz="8" w:space="0" w:color="000000"/>
            </w:tcBorders>
          </w:tcPr>
          <w:p>
            <w:pPr/>
          </w:p>
        </w:tc>
        <w:tc>
          <w:tcPr>
            <w:tcW w:w="1126" w:type="dxa"/>
            <w:tcBorders>
              <w:top w:val="single" w:sz="8" w:space="0" w:color="000000"/>
              <w:left w:val="single" w:sz="8" w:space="0" w:color="000000"/>
              <w:bottom w:val="single" w:sz="8" w:space="0" w:color="000000"/>
              <w:right w:val="single" w:sz="8" w:space="0" w:color="000000"/>
            </w:tcBorders>
          </w:tcPr>
          <w:p>
            <w:pP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265,796.42</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172,491.12</w:t>
            </w:r>
          </w:p>
        </w:tc>
      </w:tr>
      <w:tr>
        <w:trPr>
          <w:trHeight w:val="353"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调节项目</w:t>
            </w:r>
          </w:p>
        </w:tc>
        <w:tc>
          <w:tcPr>
            <w:tcW w:w="1324" w:type="dxa"/>
            <w:tcBorders>
              <w:top w:val="single" w:sz="8" w:space="0" w:color="000000"/>
              <w:left w:val="single" w:sz="8" w:space="0" w:color="000000"/>
              <w:bottom w:val="single" w:sz="8" w:space="0" w:color="000000"/>
              <w:right w:val="single" w:sz="8" w:space="0" w:color="000000"/>
            </w:tcBorders>
          </w:tcPr>
          <w:p>
            <w:pPr/>
          </w:p>
        </w:tc>
        <w:tc>
          <w:tcPr>
            <w:tcW w:w="1178" w:type="dxa"/>
            <w:tcBorders>
              <w:top w:val="single" w:sz="8" w:space="0" w:color="000000"/>
              <w:left w:val="single" w:sz="8" w:space="0" w:color="000000"/>
              <w:bottom w:val="single" w:sz="8" w:space="0" w:color="000000"/>
              <w:right w:val="single" w:sz="8" w:space="0" w:color="000000"/>
            </w:tcBorders>
          </w:tcPr>
          <w:p>
            <w:pPr/>
          </w:p>
        </w:tc>
        <w:tc>
          <w:tcPr>
            <w:tcW w:w="1324" w:type="dxa"/>
            <w:tcBorders>
              <w:top w:val="single" w:sz="8" w:space="0" w:color="000000"/>
              <w:left w:val="single" w:sz="8" w:space="0" w:color="000000"/>
              <w:bottom w:val="single" w:sz="8" w:space="0" w:color="000000"/>
              <w:right w:val="single" w:sz="8" w:space="0" w:color="000000"/>
            </w:tcBorders>
          </w:tcPr>
          <w:p>
            <w:pPr/>
          </w:p>
        </w:tc>
        <w:tc>
          <w:tcPr>
            <w:tcW w:w="1126" w:type="dxa"/>
            <w:tcBorders>
              <w:top w:val="single" w:sz="8" w:space="0" w:color="000000"/>
              <w:left w:val="single" w:sz="8" w:space="0" w:color="000000"/>
              <w:bottom w:val="single" w:sz="8" w:space="0" w:color="000000"/>
              <w:right w:val="single" w:sz="8" w:space="0" w:color="000000"/>
            </w:tcBorders>
          </w:tcPr>
          <w:p>
            <w:pPr/>
          </w:p>
        </w:tc>
        <w:tc>
          <w:tcPr>
            <w:tcW w:w="1370" w:type="dxa"/>
            <w:tcBorders>
              <w:top w:val="single" w:sz="8" w:space="0" w:color="000000"/>
              <w:left w:val="single" w:sz="8" w:space="0" w:color="000000"/>
              <w:bottom w:val="single" w:sz="8" w:space="0" w:color="000000"/>
              <w:right w:val="single" w:sz="8" w:space="0" w:color="000000"/>
            </w:tcBorders>
          </w:tcPr>
          <w:p>
            <w:pPr/>
          </w:p>
        </w:tc>
        <w:tc>
          <w:tcPr>
            <w:tcW w:w="1454"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24" w:type="dxa"/>
            <w:tcBorders>
              <w:top w:val="single" w:sz="8" w:space="0" w:color="000000"/>
              <w:left w:val="single" w:sz="8" w:space="0" w:color="000000"/>
              <w:bottom w:val="single" w:sz="8" w:space="0" w:color="000000"/>
              <w:right w:val="single" w:sz="8" w:space="0" w:color="000000"/>
            </w:tcBorders>
          </w:tcPr>
          <w:p>
            <w:pPr/>
          </w:p>
        </w:tc>
        <w:tc>
          <w:tcPr>
            <w:tcW w:w="1178" w:type="dxa"/>
            <w:tcBorders>
              <w:top w:val="single" w:sz="8" w:space="0" w:color="000000"/>
              <w:left w:val="single" w:sz="8" w:space="0" w:color="000000"/>
              <w:bottom w:val="single" w:sz="8" w:space="0" w:color="000000"/>
              <w:right w:val="single" w:sz="8" w:space="0" w:color="000000"/>
            </w:tcBorders>
          </w:tcPr>
          <w:p>
            <w:pPr/>
          </w:p>
        </w:tc>
        <w:tc>
          <w:tcPr>
            <w:tcW w:w="1324" w:type="dxa"/>
            <w:tcBorders>
              <w:top w:val="single" w:sz="8" w:space="0" w:color="000000"/>
              <w:left w:val="single" w:sz="8" w:space="0" w:color="000000"/>
              <w:bottom w:val="single" w:sz="8" w:space="0" w:color="000000"/>
              <w:right w:val="single" w:sz="8" w:space="0" w:color="000000"/>
            </w:tcBorders>
          </w:tcPr>
          <w:p>
            <w:pPr/>
          </w:p>
        </w:tc>
        <w:tc>
          <w:tcPr>
            <w:tcW w:w="1126" w:type="dxa"/>
            <w:tcBorders>
              <w:top w:val="single" w:sz="8" w:space="0" w:color="000000"/>
              <w:left w:val="single" w:sz="8" w:space="0" w:color="000000"/>
              <w:bottom w:val="single" w:sz="8" w:space="0" w:color="000000"/>
              <w:right w:val="single" w:sz="8" w:space="0" w:color="000000"/>
            </w:tcBorders>
          </w:tcPr>
          <w:p>
            <w:pP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58,440.97</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53,155.86</w:t>
            </w:r>
          </w:p>
        </w:tc>
      </w:tr>
      <w:tr>
        <w:trPr>
          <w:trHeight w:val="352"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24" w:type="dxa"/>
            <w:tcBorders>
              <w:top w:val="single" w:sz="8" w:space="0" w:color="000000"/>
              <w:left w:val="single" w:sz="8" w:space="0" w:color="000000"/>
              <w:bottom w:val="single" w:sz="8" w:space="0" w:color="000000"/>
              <w:right w:val="single" w:sz="8" w:space="0" w:color="000000"/>
            </w:tcBorders>
          </w:tcPr>
          <w:p>
            <w:pPr/>
          </w:p>
        </w:tc>
        <w:tc>
          <w:tcPr>
            <w:tcW w:w="1178" w:type="dxa"/>
            <w:tcBorders>
              <w:top w:val="single" w:sz="8" w:space="0" w:color="000000"/>
              <w:left w:val="single" w:sz="8" w:space="0" w:color="000000"/>
              <w:bottom w:val="single" w:sz="8" w:space="0" w:color="000000"/>
              <w:right w:val="single" w:sz="8" w:space="0" w:color="000000"/>
            </w:tcBorders>
          </w:tcPr>
          <w:p>
            <w:pPr/>
          </w:p>
        </w:tc>
        <w:tc>
          <w:tcPr>
            <w:tcW w:w="1324" w:type="dxa"/>
            <w:tcBorders>
              <w:top w:val="single" w:sz="8" w:space="0" w:color="000000"/>
              <w:left w:val="single" w:sz="8" w:space="0" w:color="000000"/>
              <w:bottom w:val="single" w:sz="8" w:space="0" w:color="000000"/>
              <w:right w:val="single" w:sz="8" w:space="0" w:color="000000"/>
            </w:tcBorders>
          </w:tcPr>
          <w:p>
            <w:pPr/>
          </w:p>
        </w:tc>
        <w:tc>
          <w:tcPr>
            <w:tcW w:w="1126" w:type="dxa"/>
            <w:tcBorders>
              <w:top w:val="single" w:sz="8" w:space="0" w:color="000000"/>
              <w:left w:val="single" w:sz="8" w:space="0" w:color="000000"/>
              <w:bottom w:val="single" w:sz="8" w:space="0" w:color="000000"/>
              <w:right w:val="single" w:sz="8" w:space="0" w:color="000000"/>
            </w:tcBorders>
          </w:tcPr>
          <w:p>
            <w:pP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124,219.06</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122,178.97</w:t>
            </w:r>
          </w:p>
        </w:tc>
      </w:tr>
      <w:tr>
        <w:trPr>
          <w:trHeight w:val="353"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24" w:type="dxa"/>
            <w:tcBorders>
              <w:top w:val="single" w:sz="8" w:space="0" w:color="000000"/>
              <w:left w:val="single" w:sz="8" w:space="0" w:color="000000"/>
              <w:bottom w:val="single" w:sz="8" w:space="0" w:color="000000"/>
              <w:right w:val="single" w:sz="8" w:space="0" w:color="000000"/>
            </w:tcBorders>
          </w:tcPr>
          <w:p>
            <w:pPr/>
          </w:p>
        </w:tc>
        <w:tc>
          <w:tcPr>
            <w:tcW w:w="1178" w:type="dxa"/>
            <w:tcBorders>
              <w:top w:val="single" w:sz="8" w:space="0" w:color="000000"/>
              <w:left w:val="single" w:sz="8" w:space="0" w:color="000000"/>
              <w:bottom w:val="single" w:sz="8" w:space="0" w:color="000000"/>
              <w:right w:val="single" w:sz="8" w:space="0" w:color="000000"/>
            </w:tcBorders>
          </w:tcPr>
          <w:p>
            <w:pPr/>
          </w:p>
        </w:tc>
        <w:tc>
          <w:tcPr>
            <w:tcW w:w="1324" w:type="dxa"/>
            <w:tcBorders>
              <w:top w:val="single" w:sz="8" w:space="0" w:color="000000"/>
              <w:left w:val="single" w:sz="8" w:space="0" w:color="000000"/>
              <w:bottom w:val="single" w:sz="8" w:space="0" w:color="000000"/>
              <w:right w:val="single" w:sz="8" w:space="0" w:color="000000"/>
            </w:tcBorders>
          </w:tcPr>
          <w:p>
            <w:pPr/>
          </w:p>
        </w:tc>
        <w:tc>
          <w:tcPr>
            <w:tcW w:w="1126" w:type="dxa"/>
            <w:tcBorders>
              <w:top w:val="single" w:sz="8" w:space="0" w:color="000000"/>
              <w:left w:val="single" w:sz="8" w:space="0" w:color="000000"/>
              <w:bottom w:val="single" w:sz="8" w:space="0" w:color="000000"/>
              <w:right w:val="single" w:sz="8" w:space="0" w:color="000000"/>
            </w:tcBorders>
          </w:tcPr>
          <w:p>
            <w:pP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-1,122.18</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-4,782.21</w:t>
            </w:r>
          </w:p>
        </w:tc>
      </w:tr>
      <w:tr>
        <w:trPr>
          <w:trHeight w:val="352"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24" w:type="dxa"/>
            <w:tcBorders>
              <w:top w:val="single" w:sz="8" w:space="0" w:color="000000"/>
              <w:left w:val="single" w:sz="8" w:space="0" w:color="000000"/>
              <w:bottom w:val="single" w:sz="8" w:space="0" w:color="000000"/>
              <w:right w:val="single" w:sz="8" w:space="0" w:color="000000"/>
            </w:tcBorders>
          </w:tcPr>
          <w:p>
            <w:pPr/>
          </w:p>
        </w:tc>
        <w:tc>
          <w:tcPr>
            <w:tcW w:w="1178" w:type="dxa"/>
            <w:tcBorders>
              <w:top w:val="single" w:sz="8" w:space="0" w:color="000000"/>
              <w:left w:val="single" w:sz="8" w:space="0" w:color="000000"/>
              <w:bottom w:val="single" w:sz="8" w:space="0" w:color="000000"/>
              <w:right w:val="single" w:sz="8" w:space="0" w:color="000000"/>
            </w:tcBorders>
          </w:tcPr>
          <w:p>
            <w:pPr/>
          </w:p>
        </w:tc>
        <w:tc>
          <w:tcPr>
            <w:tcW w:w="1324" w:type="dxa"/>
            <w:tcBorders>
              <w:top w:val="single" w:sz="8" w:space="0" w:color="000000"/>
              <w:left w:val="single" w:sz="8" w:space="0" w:color="000000"/>
              <w:bottom w:val="single" w:sz="8" w:space="0" w:color="000000"/>
              <w:right w:val="single" w:sz="8" w:space="0" w:color="000000"/>
            </w:tcBorders>
          </w:tcPr>
          <w:p>
            <w:pPr/>
          </w:p>
        </w:tc>
        <w:tc>
          <w:tcPr>
            <w:tcW w:w="1126" w:type="dxa"/>
            <w:tcBorders>
              <w:top w:val="single" w:sz="8" w:space="0" w:color="000000"/>
              <w:left w:val="single" w:sz="8" w:space="0" w:color="000000"/>
              <w:bottom w:val="single" w:sz="8" w:space="0" w:color="000000"/>
              <w:right w:val="single" w:sz="8" w:space="0" w:color="000000"/>
            </w:tcBorders>
          </w:tcPr>
          <w:p>
            <w:pP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-2,847.78</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3,552.50</w:t>
            </w:r>
          </w:p>
        </w:tc>
      </w:tr>
      <w:tr>
        <w:trPr>
          <w:trHeight w:val="352"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24" w:type="dxa"/>
            <w:tcBorders>
              <w:top w:val="single" w:sz="8" w:space="0" w:color="000000"/>
              <w:left w:val="single" w:sz="8" w:space="0" w:color="000000"/>
              <w:bottom w:val="single" w:sz="8" w:space="0" w:color="000000"/>
              <w:right w:val="single" w:sz="8" w:space="0" w:color="000000"/>
            </w:tcBorders>
          </w:tcPr>
          <w:p>
            <w:pPr/>
          </w:p>
        </w:tc>
        <w:tc>
          <w:tcPr>
            <w:tcW w:w="1178" w:type="dxa"/>
            <w:tcBorders>
              <w:top w:val="single" w:sz="8" w:space="0" w:color="000000"/>
              <w:left w:val="single" w:sz="8" w:space="0" w:color="000000"/>
              <w:bottom w:val="single" w:sz="8" w:space="0" w:color="000000"/>
              <w:right w:val="single" w:sz="8" w:space="0" w:color="000000"/>
            </w:tcBorders>
          </w:tcPr>
          <w:p>
            <w:pPr/>
          </w:p>
        </w:tc>
        <w:tc>
          <w:tcPr>
            <w:tcW w:w="1324" w:type="dxa"/>
            <w:tcBorders>
              <w:top w:val="single" w:sz="8" w:space="0" w:color="000000"/>
              <w:left w:val="single" w:sz="8" w:space="0" w:color="000000"/>
              <w:bottom w:val="single" w:sz="8" w:space="0" w:color="000000"/>
              <w:right w:val="single" w:sz="8" w:space="0" w:color="000000"/>
            </w:tcBorders>
          </w:tcPr>
          <w:p>
            <w:pPr/>
          </w:p>
        </w:tc>
        <w:tc>
          <w:tcPr>
            <w:tcW w:w="1126" w:type="dxa"/>
            <w:tcBorders>
              <w:top w:val="single" w:sz="8" w:space="0" w:color="000000"/>
              <w:left w:val="single" w:sz="8" w:space="0" w:color="000000"/>
              <w:bottom w:val="single" w:sz="8" w:space="0" w:color="000000"/>
              <w:right w:val="single" w:sz="8" w:space="0" w:color="000000"/>
            </w:tcBorders>
          </w:tcPr>
          <w:p>
            <w:pP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87,106.35</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-1,614.00</w:t>
            </w:r>
          </w:p>
        </w:tc>
      </w:tr>
      <w:tr>
        <w:trPr>
          <w:trHeight w:val="353"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324" w:type="dxa"/>
            <w:tcBorders>
              <w:top w:val="single" w:sz="8" w:space="0" w:color="000000"/>
              <w:left w:val="single" w:sz="8" w:space="0" w:color="000000"/>
              <w:bottom w:val="single" w:sz="8" w:space="0" w:color="000000"/>
              <w:right w:val="single" w:sz="8" w:space="0" w:color="000000"/>
            </w:tcBorders>
          </w:tcPr>
          <w:p>
            <w:pPr/>
          </w:p>
        </w:tc>
        <w:tc>
          <w:tcPr>
            <w:tcW w:w="1178" w:type="dxa"/>
            <w:tcBorders>
              <w:top w:val="single" w:sz="8" w:space="0" w:color="000000"/>
              <w:left w:val="single" w:sz="8" w:space="0" w:color="000000"/>
              <w:bottom w:val="single" w:sz="8" w:space="0" w:color="000000"/>
              <w:right w:val="single" w:sz="8" w:space="0" w:color="000000"/>
            </w:tcBorders>
          </w:tcPr>
          <w:p>
            <w:pPr/>
          </w:p>
        </w:tc>
        <w:tc>
          <w:tcPr>
            <w:tcW w:w="1324" w:type="dxa"/>
            <w:tcBorders>
              <w:top w:val="single" w:sz="8" w:space="0" w:color="000000"/>
              <w:left w:val="single" w:sz="8" w:space="0" w:color="000000"/>
              <w:bottom w:val="single" w:sz="8" w:space="0" w:color="000000"/>
              <w:right w:val="single" w:sz="8" w:space="0" w:color="000000"/>
            </w:tcBorders>
          </w:tcPr>
          <w:p>
            <w:pPr/>
          </w:p>
        </w:tc>
        <w:tc>
          <w:tcPr>
            <w:tcW w:w="1126" w:type="dxa"/>
            <w:tcBorders>
              <w:top w:val="single" w:sz="8" w:space="0" w:color="000000"/>
              <w:left w:val="single" w:sz="8" w:space="0" w:color="000000"/>
              <w:bottom w:val="single" w:sz="8" w:space="0" w:color="000000"/>
              <w:right w:val="single" w:sz="8" w:space="0" w:color="000000"/>
            </w:tcBorders>
          </w:tcPr>
          <w:p>
            <w:pP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17,593.84</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-6,282.62</w:t>
            </w:r>
          </w:p>
        </w:tc>
      </w:tr>
      <w:tr>
        <w:trPr>
          <w:trHeight w:val="353" w:hRule="exact"/>
        </w:trPr>
        <w:tc>
          <w:tcPr>
            <w:tcW w:w="18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24" w:type="dxa"/>
            <w:tcBorders>
              <w:top w:val="single" w:sz="8" w:space="0" w:color="000000"/>
              <w:left w:val="single" w:sz="8" w:space="0" w:color="000000"/>
              <w:bottom w:val="single" w:sz="8" w:space="0" w:color="000000"/>
              <w:right w:val="single" w:sz="8" w:space="0" w:color="000000"/>
            </w:tcBorders>
          </w:tcPr>
          <w:p>
            <w:pPr/>
          </w:p>
        </w:tc>
        <w:tc>
          <w:tcPr>
            <w:tcW w:w="1178" w:type="dxa"/>
            <w:tcBorders>
              <w:top w:val="single" w:sz="8" w:space="0" w:color="000000"/>
              <w:left w:val="single" w:sz="8" w:space="0" w:color="000000"/>
              <w:bottom w:val="single" w:sz="8" w:space="0" w:color="000000"/>
              <w:right w:val="single" w:sz="8" w:space="0" w:color="000000"/>
            </w:tcBorders>
          </w:tcPr>
          <w:p>
            <w:pPr/>
          </w:p>
        </w:tc>
        <w:tc>
          <w:tcPr>
            <w:tcW w:w="1324" w:type="dxa"/>
            <w:tcBorders>
              <w:top w:val="single" w:sz="8" w:space="0" w:color="000000"/>
              <w:left w:val="single" w:sz="8" w:space="0" w:color="000000"/>
              <w:bottom w:val="single" w:sz="8" w:space="0" w:color="000000"/>
              <w:right w:val="single" w:sz="8" w:space="0" w:color="000000"/>
            </w:tcBorders>
          </w:tcPr>
          <w:p>
            <w:pPr/>
          </w:p>
        </w:tc>
        <w:tc>
          <w:tcPr>
            <w:tcW w:w="1126" w:type="dxa"/>
            <w:tcBorders>
              <w:top w:val="single" w:sz="8" w:space="0" w:color="000000"/>
              <w:left w:val="single" w:sz="8" w:space="0" w:color="000000"/>
              <w:bottom w:val="single" w:sz="8" w:space="0" w:color="000000"/>
              <w:right w:val="single" w:sz="8" w:space="0" w:color="000000"/>
            </w:tcBorders>
          </w:tcPr>
          <w:p>
            <w:pPr/>
          </w:p>
        </w:tc>
        <w:tc>
          <w:tcPr>
            <w:tcW w:w="13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69,512.51</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4,668.62</w:t>
            </w:r>
          </w:p>
        </w:tc>
      </w:tr>
    </w:tbl>
    <w:p>
      <w:pPr>
        <w:pStyle w:val="BodyText"/>
        <w:spacing w:line="240" w:lineRule="auto" w:before="10"/>
        <w:ind w:left="514" w:right="0"/>
        <w:jc w:val="left"/>
      </w:pPr>
      <w:r>
        <w:rPr>
          <w:rFonts w:ascii="Times New Roman" w:hAnsi="Times New Roman" w:cs="Times New Roman" w:eastAsia="Times New Roman" w:hint="default"/>
        </w:rPr>
        <w:t>2</w:t>
      </w:r>
      <w:r>
        <w:rPr/>
        <w:t>、分部资产与负债</w:t>
      </w:r>
    </w:p>
    <w:p>
      <w:pPr>
        <w:pStyle w:val="BodyText"/>
        <w:spacing w:line="240" w:lineRule="auto" w:before="62"/>
        <w:ind w:left="0" w:right="149"/>
        <w:jc w:val="right"/>
      </w:pPr>
      <w:r>
        <w:rPr>
          <w:spacing w:val="-1"/>
        </w:rPr>
        <w:t>金额单位：万元</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486"/>
        <w:gridCol w:w="1338"/>
        <w:gridCol w:w="1339"/>
        <w:gridCol w:w="1188"/>
        <w:gridCol w:w="1337"/>
        <w:gridCol w:w="1486"/>
        <w:gridCol w:w="1484"/>
      </w:tblGrid>
      <w:tr>
        <w:trPr>
          <w:trHeight w:val="347" w:hRule="exact"/>
        </w:trPr>
        <w:tc>
          <w:tcPr>
            <w:tcW w:w="1486"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77"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机制纸</w:t>
            </w:r>
          </w:p>
        </w:tc>
        <w:tc>
          <w:tcPr>
            <w:tcW w:w="2525"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建筑材料</w:t>
            </w:r>
          </w:p>
        </w:tc>
        <w:tc>
          <w:tcPr>
            <w:tcW w:w="2970"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电及汽</w:t>
            </w:r>
          </w:p>
        </w:tc>
      </w:tr>
      <w:tr>
        <w:trPr>
          <w:trHeight w:val="352" w:hRule="exact"/>
        </w:trPr>
        <w:tc>
          <w:tcPr>
            <w:tcW w:w="1486" w:type="dxa"/>
            <w:vMerge/>
            <w:tcBorders>
              <w:left w:val="single" w:sz="8" w:space="0" w:color="000000"/>
              <w:bottom w:val="single" w:sz="8" w:space="0" w:color="000000"/>
              <w:right w:val="single" w:sz="8" w:space="0" w:color="000000"/>
            </w:tcBorders>
            <w:shd w:val="clear" w:color="auto" w:fill="D9D9D9"/>
          </w:tcPr>
          <w:p>
            <w:pPr/>
          </w:p>
        </w:tc>
        <w:tc>
          <w:tcPr>
            <w:tcW w:w="13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w:t>
            </w:r>
          </w:p>
        </w:tc>
        <w:tc>
          <w:tcPr>
            <w:tcW w:w="133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18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3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4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4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w:t>
            </w:r>
          </w:p>
        </w:tc>
      </w:tr>
      <w:tr>
        <w:trPr>
          <w:trHeight w:val="352" w:hRule="exact"/>
        </w:trPr>
        <w:tc>
          <w:tcPr>
            <w:tcW w:w="14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分部资产</w:t>
            </w:r>
          </w:p>
        </w:tc>
        <w:tc>
          <w:tcPr>
            <w:tcW w:w="1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4,426,572.67</w:t>
            </w:r>
          </w:p>
        </w:tc>
        <w:tc>
          <w:tcPr>
            <w:tcW w:w="13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4,441,797.61</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18,639.91</w:t>
            </w:r>
          </w:p>
        </w:tc>
        <w:tc>
          <w:tcPr>
            <w:tcW w:w="133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23,011.10</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282,990.91</w:t>
            </w:r>
          </w:p>
        </w:tc>
        <w:tc>
          <w:tcPr>
            <w:tcW w:w="14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252,032.41</w:t>
            </w:r>
          </w:p>
        </w:tc>
      </w:tr>
      <w:tr>
        <w:trPr>
          <w:trHeight w:val="353" w:hRule="exact"/>
        </w:trPr>
        <w:tc>
          <w:tcPr>
            <w:tcW w:w="14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分部负债</w:t>
            </w:r>
          </w:p>
        </w:tc>
        <w:tc>
          <w:tcPr>
            <w:tcW w:w="1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3,266,397.02</w:t>
            </w:r>
          </w:p>
        </w:tc>
        <w:tc>
          <w:tcPr>
            <w:tcW w:w="13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3,298,322.54</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9,459.70</w:t>
            </w:r>
          </w:p>
        </w:tc>
        <w:tc>
          <w:tcPr>
            <w:tcW w:w="13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11,974.84</w:t>
            </w:r>
          </w:p>
        </w:tc>
        <w:tc>
          <w:tcPr>
            <w:tcW w:w="14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14,285.74</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21,122.71</w:t>
            </w:r>
          </w:p>
        </w:tc>
      </w:tr>
    </w:tbl>
    <w:p>
      <w:pPr>
        <w:pStyle w:val="BodyText"/>
        <w:spacing w:line="240" w:lineRule="auto" w:before="10"/>
        <w:ind w:left="227"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pStyle w:val="BodyText"/>
        <w:spacing w:line="240" w:lineRule="auto" w:before="62"/>
        <w:ind w:left="0" w:right="150"/>
        <w:jc w:val="right"/>
      </w:pPr>
      <w:r>
        <w:rPr>
          <w:spacing w:val="-1"/>
        </w:rPr>
        <w:t>金额单位：万元</w:t>
      </w:r>
    </w:p>
    <w:p>
      <w:pPr>
        <w:spacing w:line="240" w:lineRule="auto" w:before="6"/>
        <w:rPr>
          <w:rFonts w:ascii="宋体" w:hAnsi="宋体" w:cs="宋体" w:eastAsia="宋体"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1483"/>
        <w:gridCol w:w="1336"/>
        <w:gridCol w:w="1188"/>
        <w:gridCol w:w="1202"/>
        <w:gridCol w:w="1336"/>
        <w:gridCol w:w="1483"/>
        <w:gridCol w:w="1630"/>
      </w:tblGrid>
      <w:tr>
        <w:trPr>
          <w:trHeight w:val="347" w:hRule="exact"/>
        </w:trPr>
        <w:tc>
          <w:tcPr>
            <w:tcW w:w="1483"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538"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628" w:right="0"/>
              <w:jc w:val="left"/>
              <w:rPr>
                <w:rFonts w:ascii="宋体" w:hAnsi="宋体" w:cs="宋体" w:eastAsia="宋体" w:hint="default"/>
                <w:sz w:val="18"/>
                <w:szCs w:val="18"/>
              </w:rPr>
            </w:pPr>
            <w:r>
              <w:rPr>
                <w:rFonts w:ascii="宋体" w:hAnsi="宋体" w:cs="宋体" w:eastAsia="宋体" w:hint="default"/>
                <w:sz w:val="18"/>
                <w:szCs w:val="18"/>
              </w:rPr>
              <w:t>分部间相互抵减</w:t>
            </w:r>
          </w:p>
        </w:tc>
        <w:tc>
          <w:tcPr>
            <w:tcW w:w="3113"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483" w:type="dxa"/>
            <w:vMerge/>
            <w:tcBorders>
              <w:left w:val="single" w:sz="8" w:space="0" w:color="000000"/>
              <w:bottom w:val="single" w:sz="8" w:space="0" w:color="000000"/>
              <w:right w:val="single" w:sz="8" w:space="0" w:color="000000"/>
            </w:tcBorders>
            <w:shd w:val="clear" w:color="auto" w:fill="D9D9D9"/>
          </w:tcPr>
          <w:p>
            <w:pPr/>
          </w:p>
        </w:tc>
        <w:tc>
          <w:tcPr>
            <w:tcW w:w="13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18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403" w:right="0"/>
              <w:jc w:val="left"/>
              <w:rPr>
                <w:rFonts w:ascii="宋体" w:hAnsi="宋体" w:cs="宋体" w:eastAsia="宋体" w:hint="default"/>
                <w:sz w:val="18"/>
                <w:szCs w:val="18"/>
              </w:rPr>
            </w:pPr>
            <w:r>
              <w:rPr>
                <w:rFonts w:ascii="宋体" w:hAnsi="宋体" w:cs="宋体" w:eastAsia="宋体" w:hint="default"/>
                <w:sz w:val="18"/>
                <w:szCs w:val="18"/>
              </w:rPr>
              <w:t>上年</w:t>
            </w:r>
          </w:p>
        </w:tc>
        <w:tc>
          <w:tcPr>
            <w:tcW w:w="12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w:t>
            </w:r>
          </w:p>
        </w:tc>
        <w:tc>
          <w:tcPr>
            <w:tcW w:w="13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上年</w:t>
            </w:r>
          </w:p>
        </w:tc>
        <w:tc>
          <w:tcPr>
            <w:tcW w:w="14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550" w:right="0"/>
              <w:jc w:val="left"/>
              <w:rPr>
                <w:rFonts w:ascii="宋体" w:hAnsi="宋体" w:cs="宋体" w:eastAsia="宋体" w:hint="default"/>
                <w:sz w:val="18"/>
                <w:szCs w:val="18"/>
              </w:rPr>
            </w:pPr>
            <w:r>
              <w:rPr>
                <w:rFonts w:ascii="宋体" w:hAnsi="宋体" w:cs="宋体" w:eastAsia="宋体" w:hint="default"/>
                <w:sz w:val="18"/>
                <w:szCs w:val="18"/>
              </w:rPr>
              <w:t>本年</w:t>
            </w:r>
          </w:p>
        </w:tc>
        <w:tc>
          <w:tcPr>
            <w:tcW w:w="163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上年</w:t>
            </w:r>
          </w:p>
        </w:tc>
      </w:tr>
      <w:tr>
        <w:trPr>
          <w:trHeight w:val="352" w:hRule="exact"/>
        </w:trPr>
        <w:tc>
          <w:tcPr>
            <w:tcW w:w="14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分部资产</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95,985.48</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356" w:right="0"/>
              <w:jc w:val="left"/>
              <w:rPr>
                <w:rFonts w:ascii="Times New Roman" w:hAnsi="Times New Roman" w:cs="Times New Roman" w:eastAsia="Times New Roman" w:hint="default"/>
                <w:sz w:val="18"/>
                <w:szCs w:val="18"/>
              </w:rPr>
            </w:pPr>
            <w:r>
              <w:rPr>
                <w:rFonts w:ascii="Times New Roman"/>
                <w:sz w:val="18"/>
              </w:rPr>
              <w:t>114,936.41</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72,000.61</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59,235.34</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517" w:right="0"/>
              <w:jc w:val="left"/>
              <w:rPr>
                <w:rFonts w:ascii="Times New Roman" w:hAnsi="Times New Roman" w:cs="Times New Roman" w:eastAsia="Times New Roman" w:hint="default"/>
                <w:sz w:val="18"/>
                <w:szCs w:val="18"/>
              </w:rPr>
            </w:pPr>
            <w:r>
              <w:rPr>
                <w:rFonts w:ascii="Times New Roman"/>
                <w:sz w:val="18"/>
              </w:rPr>
              <w:t>4,752,188.36</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664" w:right="0"/>
              <w:jc w:val="left"/>
              <w:rPr>
                <w:rFonts w:ascii="Times New Roman" w:hAnsi="Times New Roman" w:cs="Times New Roman" w:eastAsia="Times New Roman" w:hint="default"/>
                <w:sz w:val="18"/>
                <w:szCs w:val="18"/>
              </w:rPr>
            </w:pPr>
            <w:r>
              <w:rPr>
                <w:rFonts w:ascii="Times New Roman"/>
                <w:sz w:val="18"/>
              </w:rPr>
              <w:t>4,772,542.19</w:t>
            </w:r>
          </w:p>
        </w:tc>
      </w:tr>
      <w:tr>
        <w:trPr>
          <w:trHeight w:val="353" w:hRule="exact"/>
        </w:trPr>
        <w:tc>
          <w:tcPr>
            <w:tcW w:w="148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分部负债</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70,211.15</w:t>
            </w:r>
          </w:p>
        </w:tc>
        <w:tc>
          <w:tcPr>
            <w:tcW w:w="11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446" w:right="0"/>
              <w:jc w:val="left"/>
              <w:rPr>
                <w:rFonts w:ascii="Times New Roman" w:hAnsi="Times New Roman" w:cs="Times New Roman" w:eastAsia="Times New Roman" w:hint="default"/>
                <w:sz w:val="18"/>
                <w:szCs w:val="18"/>
              </w:rPr>
            </w:pPr>
            <w:r>
              <w:rPr>
                <w:rFonts w:ascii="Times New Roman"/>
                <w:sz w:val="18"/>
              </w:rPr>
              <w:t>65,815.65</w:t>
            </w:r>
          </w:p>
        </w:tc>
        <w:tc>
          <w:tcPr>
            <w:tcW w:w="12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72,000.61</w:t>
            </w:r>
          </w:p>
        </w:tc>
        <w:tc>
          <w:tcPr>
            <w:tcW w:w="13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59,235.34</w:t>
            </w:r>
          </w:p>
        </w:tc>
        <w:tc>
          <w:tcPr>
            <w:tcW w:w="14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517" w:right="0"/>
              <w:jc w:val="left"/>
              <w:rPr>
                <w:rFonts w:ascii="Times New Roman" w:hAnsi="Times New Roman" w:cs="Times New Roman" w:eastAsia="Times New Roman" w:hint="default"/>
                <w:sz w:val="18"/>
                <w:szCs w:val="18"/>
              </w:rPr>
            </w:pPr>
            <w:r>
              <w:rPr>
                <w:rFonts w:ascii="Times New Roman"/>
                <w:sz w:val="18"/>
              </w:rPr>
              <w:t>3,288,353.00</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664" w:right="0"/>
              <w:jc w:val="left"/>
              <w:rPr>
                <w:rFonts w:ascii="Times New Roman" w:hAnsi="Times New Roman" w:cs="Times New Roman" w:eastAsia="Times New Roman" w:hint="default"/>
                <w:sz w:val="18"/>
                <w:szCs w:val="18"/>
              </w:rPr>
            </w:pPr>
            <w:r>
              <w:rPr>
                <w:rFonts w:ascii="Times New Roman"/>
                <w:sz w:val="18"/>
              </w:rPr>
              <w:t>3,338,000.40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626"/>
        <w:gridCol w:w="900"/>
        <w:gridCol w:w="1084"/>
        <w:gridCol w:w="870"/>
        <w:gridCol w:w="870"/>
        <w:gridCol w:w="870"/>
        <w:gridCol w:w="870"/>
        <w:gridCol w:w="860"/>
      </w:tblGrid>
      <w:tr>
        <w:trPr>
          <w:trHeight w:val="357"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626"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6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53" w:right="84"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10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6"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626"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寿光晨鸣 控股有限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寿光市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对造纸，电 </w:t>
            </w:r>
            <w:r>
              <w:rPr>
                <w:rFonts w:ascii="宋体" w:hAnsi="宋体" w:cs="宋体" w:eastAsia="宋体" w:hint="default"/>
                <w:spacing w:val="-9"/>
                <w:sz w:val="18"/>
                <w:szCs w:val="18"/>
              </w:rPr>
              <w:t>力，热力，林</w:t>
            </w:r>
            <w:r>
              <w:rPr>
                <w:rFonts w:ascii="宋体" w:hAnsi="宋体" w:cs="宋体" w:eastAsia="宋体" w:hint="default"/>
                <w:sz w:val="18"/>
                <w:szCs w:val="18"/>
              </w:rPr>
              <w:t> 业项目投资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168,542.00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寿光晨鸣 控股有限 公司</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78348518-</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w:t>
            </w:r>
          </w:p>
        </w:tc>
      </w:tr>
    </w:tbl>
    <w:p>
      <w:pPr>
        <w:spacing w:line="240" w:lineRule="auto" w:before="2"/>
        <w:rPr>
          <w:rFonts w:ascii="宋体" w:hAnsi="宋体" w:cs="宋体" w:eastAsia="宋体" w:hint="default"/>
          <w:b/>
          <w:bCs/>
          <w:sz w:val="19"/>
          <w:szCs w:val="19"/>
        </w:rPr>
      </w:pPr>
    </w:p>
    <w:p>
      <w:pPr>
        <w:spacing w:line="547" w:lineRule="auto" w:before="35"/>
        <w:ind w:left="154" w:right="26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 本企业的子公司、本企业的合营和联营企业情况</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详见附注六、</w:t>
      </w:r>
      <w:r>
        <w:rPr>
          <w:rFonts w:ascii="Times New Roman" w:hAnsi="Times New Roman" w:cs="Times New Roman" w:eastAsia="Times New Roman" w:hint="default"/>
          <w:sz w:val="18"/>
          <w:szCs w:val="18"/>
        </w:rPr>
        <w:t>1</w:t>
      </w:r>
      <w:r>
        <w:rPr>
          <w:rFonts w:ascii="宋体" w:hAnsi="宋体" w:cs="宋体" w:eastAsia="宋体" w:hint="default"/>
          <w:sz w:val="18"/>
          <w:szCs w:val="18"/>
        </w:rPr>
        <w:t>、子公司情况；详见附注七、8、联营企业情况和附注七</w:t>
      </w:r>
      <w:r>
        <w:rPr>
          <w:rFonts w:ascii="Times New Roman" w:hAnsi="Times New Roman" w:cs="Times New Roman" w:eastAsia="Times New Roman" w:hint="default"/>
          <w:sz w:val="18"/>
          <w:szCs w:val="18"/>
        </w:rPr>
        <w:t>9</w:t>
      </w:r>
      <w:r>
        <w:rPr>
          <w:rFonts w:ascii="宋体" w:hAnsi="宋体" w:cs="宋体" w:eastAsia="宋体" w:hint="default"/>
          <w:sz w:val="18"/>
          <w:szCs w:val="18"/>
        </w:rPr>
        <w:t>、长期股权投资。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12"/>
        <w:rPr>
          <w:rFonts w:ascii="宋体" w:hAnsi="宋体" w:cs="宋体" w:eastAsia="宋体" w:hint="default"/>
          <w:b/>
          <w:bCs/>
          <w:sz w:val="2"/>
          <w:szCs w:val="2"/>
        </w:rPr>
      </w:pPr>
    </w:p>
    <w:tbl>
      <w:tblPr>
        <w:tblW w:w="0" w:type="auto"/>
        <w:jc w:val="left"/>
        <w:tblInd w:w="121" w:type="dxa"/>
        <w:tblLayout w:type="fixed"/>
        <w:tblCellMar>
          <w:top w:w="0" w:type="dxa"/>
          <w:left w:w="0" w:type="dxa"/>
          <w:bottom w:w="0" w:type="dxa"/>
          <w:right w:w="0" w:type="dxa"/>
        </w:tblCellMar>
        <w:tblLook w:val="01E0"/>
      </w:tblPr>
      <w:tblGrid>
        <w:gridCol w:w="3229"/>
        <w:gridCol w:w="3233"/>
        <w:gridCol w:w="3232"/>
      </w:tblGrid>
      <w:tr>
        <w:trPr>
          <w:trHeight w:val="401" w:hRule="exact"/>
        </w:trPr>
        <w:tc>
          <w:tcPr>
            <w:tcW w:w="32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78"/>
              <w:jc w:val="right"/>
              <w:rPr>
                <w:rFonts w:ascii="宋体" w:hAnsi="宋体" w:cs="宋体" w:eastAsia="宋体" w:hint="default"/>
                <w:sz w:val="18"/>
                <w:szCs w:val="18"/>
              </w:rPr>
            </w:pPr>
            <w:r>
              <w:rPr>
                <w:rFonts w:ascii="宋体" w:hAnsi="宋体" w:cs="宋体" w:eastAsia="宋体" w:hint="default"/>
                <w:sz w:val="18"/>
                <w:szCs w:val="18"/>
              </w:rPr>
              <w:t>其他关联方名称</w:t>
            </w:r>
          </w:p>
        </w:tc>
        <w:tc>
          <w:tcPr>
            <w:tcW w:w="3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2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4"/>
              <w:jc w:val="right"/>
              <w:rPr>
                <w:rFonts w:ascii="宋体" w:hAnsi="宋体" w:cs="宋体" w:eastAsia="宋体" w:hint="default"/>
                <w:sz w:val="18"/>
                <w:szCs w:val="18"/>
              </w:rPr>
            </w:pPr>
            <w:r>
              <w:rPr>
                <w:rFonts w:ascii="宋体" w:hAnsi="宋体" w:cs="宋体" w:eastAsia="宋体" w:hint="default"/>
                <w:sz w:val="18"/>
                <w:szCs w:val="18"/>
              </w:rPr>
              <w:t>寿光市恒泰企业投资限公司</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公司高级管理人员投资之公司</w:t>
            </w:r>
          </w:p>
        </w:tc>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56251690-6</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出售商品、提供劳务情况表</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371"/>
        <w:gridCol w:w="996"/>
        <w:gridCol w:w="1740"/>
        <w:gridCol w:w="1356"/>
        <w:gridCol w:w="1014"/>
        <w:gridCol w:w="1278"/>
        <w:gridCol w:w="927"/>
      </w:tblGrid>
      <w:tr>
        <w:trPr>
          <w:trHeight w:val="402" w:hRule="exact"/>
        </w:trPr>
        <w:tc>
          <w:tcPr>
            <w:tcW w:w="23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9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03" w:right="41"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7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05" w:right="53" w:hanging="450"/>
              <w:jc w:val="left"/>
              <w:rPr>
                <w:rFonts w:ascii="宋体" w:hAnsi="宋体" w:cs="宋体" w:eastAsia="宋体" w:hint="default"/>
                <w:sz w:val="18"/>
                <w:szCs w:val="18"/>
              </w:rPr>
            </w:pPr>
            <w:r>
              <w:rPr>
                <w:rFonts w:ascii="宋体" w:hAnsi="宋体" w:cs="宋体" w:eastAsia="宋体" w:hint="default"/>
                <w:sz w:val="18"/>
                <w:szCs w:val="18"/>
              </w:rPr>
              <w:t>关联交易定价方式及 决策程序</w:t>
            </w:r>
          </w:p>
        </w:tc>
        <w:tc>
          <w:tcPr>
            <w:tcW w:w="23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0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2371" w:type="dxa"/>
            <w:vMerge/>
            <w:tcBorders>
              <w:left w:val="single" w:sz="4" w:space="0" w:color="000000"/>
              <w:bottom w:val="single" w:sz="4" w:space="0" w:color="000000"/>
              <w:right w:val="single" w:sz="4" w:space="0" w:color="000000"/>
            </w:tcBorders>
            <w:shd w:val="clear" w:color="auto" w:fill="D3D3D3"/>
          </w:tcPr>
          <w:p>
            <w:pPr/>
          </w:p>
        </w:tc>
        <w:tc>
          <w:tcPr>
            <w:tcW w:w="996" w:type="dxa"/>
            <w:vMerge/>
            <w:tcBorders>
              <w:left w:val="single" w:sz="4" w:space="0" w:color="000000"/>
              <w:bottom w:val="single" w:sz="4" w:space="0" w:color="000000"/>
              <w:right w:val="single" w:sz="4" w:space="0" w:color="000000"/>
            </w:tcBorders>
            <w:shd w:val="clear" w:color="auto" w:fill="D3D3D3"/>
          </w:tcPr>
          <w:p>
            <w:pPr/>
          </w:p>
        </w:tc>
        <w:tc>
          <w:tcPr>
            <w:tcW w:w="1740" w:type="dxa"/>
            <w:vMerge/>
            <w:tcBorders>
              <w:left w:val="single" w:sz="4" w:space="0" w:color="000000"/>
              <w:bottom w:val="single" w:sz="4" w:space="0" w:color="000000"/>
              <w:right w:val="single" w:sz="4" w:space="0" w:color="000000"/>
            </w:tcBorders>
            <w:shd w:val="clear" w:color="auto" w:fill="D3D3D3"/>
          </w:tcPr>
          <w:p>
            <w:pPr/>
          </w:p>
        </w:tc>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49"/>
              <w:jc w:val="center"/>
              <w:rPr>
                <w:rFonts w:ascii="宋体" w:hAnsi="宋体" w:cs="宋体" w:eastAsia="宋体" w:hint="default"/>
                <w:sz w:val="18"/>
                <w:szCs w:val="18"/>
              </w:rPr>
            </w:pPr>
            <w:r>
              <w:rPr>
                <w:rFonts w:ascii="宋体" w:hAnsi="宋体" w:cs="宋体" w:eastAsia="宋体" w:hint="default"/>
                <w:sz w:val="18"/>
                <w:szCs w:val="18"/>
              </w:rPr>
              <w:t>占同类交易 金额的比例</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 w:right="15" w:firstLine="74"/>
              <w:jc w:val="both"/>
              <w:rPr>
                <w:rFonts w:ascii="宋体" w:hAnsi="宋体" w:cs="宋体" w:eastAsia="宋体"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销售纸张</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市场价格董事会授权</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21,522,366.71</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0.14%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78,374,277.12</w:t>
            </w:r>
          </w:p>
        </w:tc>
        <w:tc>
          <w:tcPr>
            <w:tcW w:w="927"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0"/>
              <w:ind w:left="530" w:right="0"/>
              <w:jc w:val="lef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销售纸张</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市场价格董事会授权</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8,429.40</w:t>
            </w:r>
          </w:p>
        </w:tc>
        <w:tc>
          <w:tcPr>
            <w:tcW w:w="1014"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18,484.62</w:t>
            </w:r>
          </w:p>
        </w:tc>
        <w:tc>
          <w:tcPr>
            <w:tcW w:w="9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0"/>
        <w:gridCol w:w="2700"/>
        <w:gridCol w:w="1260"/>
        <w:gridCol w:w="1620"/>
        <w:gridCol w:w="1620"/>
        <w:gridCol w:w="1106"/>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1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7" w:right="97"/>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晨鸣（香港）有限公司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60"/>
        <w:gridCol w:w="2700"/>
        <w:gridCol w:w="1260"/>
        <w:gridCol w:w="1620"/>
        <w:gridCol w:w="1620"/>
        <w:gridCol w:w="1106"/>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146,325,600.00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48,775,200.00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399,996,000.00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413,883,518.50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73,162,800.00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54,826,000.00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51,823,650.00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湛江晨鸣浆纸 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广东慧锐投资有限公司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960"/>
        <w:gridCol w:w="1578"/>
        <w:gridCol w:w="2059"/>
        <w:gridCol w:w="2059"/>
        <w:gridCol w:w="1025"/>
      </w:tblGrid>
      <w:tr>
        <w:trPr>
          <w:trHeight w:val="402" w:hRule="exact"/>
        </w:trPr>
        <w:tc>
          <w:tcPr>
            <w:tcW w:w="2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2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2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0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20"/>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6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1" w:right="0"/>
              <w:jc w:val="left"/>
              <w:rPr>
                <w:rFonts w:ascii="Times New Roman" w:hAnsi="Times New Roman" w:cs="Times New Roman" w:eastAsia="Times New Roman" w:hint="default"/>
                <w:sz w:val="18"/>
                <w:szCs w:val="18"/>
              </w:rPr>
            </w:pPr>
            <w:r>
              <w:rPr>
                <w:rFonts w:ascii="Times New Roman"/>
                <w:sz w:val="18"/>
              </w:rPr>
              <w:t>200,000,000.00</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72"/>
              <w:jc w:val="right"/>
              <w:rPr>
                <w:rFonts w:ascii="宋体" w:hAnsi="宋体" w:cs="宋体" w:eastAsia="宋体" w:hint="default"/>
                <w:sz w:val="18"/>
                <w:szCs w:val="18"/>
              </w:rPr>
            </w:pPr>
            <w:r>
              <w:rPr>
                <w:rFonts w:ascii="宋体" w:hAnsi="宋体" w:cs="宋体" w:eastAsia="宋体" w:hint="default"/>
                <w:sz w:val="18"/>
                <w:szCs w:val="18"/>
              </w:rPr>
              <w:t>委托贷款</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w:t>
      </w:r>
      <w:r>
        <w:rPr>
          <w:spacing w:val="-8"/>
        </w:rPr>
        <w:t> </w:t>
      </w:r>
      <w:r>
        <w:rPr/>
        <w:t>关键管理人员报酬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①关键管理人员报酬分布区间</w:t>
      </w:r>
    </w:p>
    <w:p>
      <w:pPr>
        <w:spacing w:line="240" w:lineRule="auto" w:before="6"/>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4777"/>
        <w:gridCol w:w="2447"/>
        <w:gridCol w:w="2434"/>
      </w:tblGrid>
      <w:tr>
        <w:trPr>
          <w:trHeight w:val="342"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4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24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20"/>
              <w:ind w:left="13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2,555.00</w:t>
            </w:r>
            <w:r>
              <w:rPr>
                <w:rFonts w:ascii="宋体" w:hAnsi="宋体" w:cs="宋体" w:eastAsia="宋体" w:hint="default"/>
                <w:sz w:val="18"/>
                <w:szCs w:val="18"/>
              </w:rPr>
              <w:t>万元</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2,115.87</w:t>
            </w:r>
            <w:r>
              <w:rPr>
                <w:rFonts w:ascii="宋体" w:hAnsi="宋体" w:cs="宋体" w:eastAsia="宋体" w:hint="default"/>
                <w:sz w:val="18"/>
                <w:szCs w:val="18"/>
              </w:rPr>
              <w:t>万元</w:t>
            </w:r>
          </w:p>
        </w:tc>
      </w:tr>
      <w:tr>
        <w:trPr>
          <w:trHeight w:val="348"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其中：（各金额区间人数）</w:t>
            </w:r>
          </w:p>
        </w:tc>
        <w:tc>
          <w:tcPr>
            <w:tcW w:w="2447" w:type="dxa"/>
            <w:tcBorders>
              <w:top w:val="single" w:sz="6" w:space="0" w:color="000000"/>
              <w:left w:val="single" w:sz="7"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2447" w:type="dxa"/>
            <w:tcBorders>
              <w:top w:val="single" w:sz="6" w:space="0" w:color="000000"/>
              <w:left w:val="single" w:sz="7"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9"/>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88"/>
              <w:jc w:val="center"/>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4777"/>
        <w:gridCol w:w="2447"/>
        <w:gridCol w:w="2434"/>
      </w:tblGrid>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88"/>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88"/>
              <w:jc w:val="center"/>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88"/>
              <w:jc w:val="center"/>
              <w:rPr>
                <w:rFonts w:ascii="Times New Roman" w:hAnsi="Times New Roman" w:cs="Times New Roman" w:eastAsia="Times New Roman" w:hint="default"/>
                <w:sz w:val="18"/>
                <w:szCs w:val="18"/>
              </w:rPr>
            </w:pPr>
            <w:r>
              <w:rPr>
                <w:rFonts w:ascii="Times New Roman"/>
                <w:sz w:val="18"/>
              </w:rPr>
              <w:t>8</w:t>
            </w:r>
          </w:p>
        </w:tc>
      </w:tr>
      <w:tr>
        <w:trPr>
          <w:trHeight w:val="343" w:hRule="exact"/>
        </w:trPr>
        <w:tc>
          <w:tcPr>
            <w:tcW w:w="47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万元以下</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r>
    </w:tbl>
    <w:p>
      <w:pPr>
        <w:pStyle w:val="BodyText"/>
        <w:spacing w:line="240" w:lineRule="auto" w:before="75"/>
        <w:ind w:left="604" w:right="0"/>
        <w:jc w:val="left"/>
      </w:pPr>
      <w:r>
        <w:rPr/>
        <w:t>②关键管理人员报酬明细</w:t>
      </w:r>
    </w:p>
    <w:p>
      <w:pPr>
        <w:spacing w:line="240" w:lineRule="auto" w:before="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3720"/>
        <w:gridCol w:w="1451"/>
        <w:gridCol w:w="1334"/>
        <w:gridCol w:w="1879"/>
        <w:gridCol w:w="1273"/>
      </w:tblGrid>
      <w:tr>
        <w:trPr>
          <w:trHeight w:val="347" w:hRule="exact"/>
        </w:trPr>
        <w:tc>
          <w:tcPr>
            <w:tcW w:w="372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4664" w:type="dxa"/>
            <w:gridSpan w:val="3"/>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27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3720" w:type="dxa"/>
            <w:vMerge/>
            <w:tcBorders>
              <w:left w:val="single" w:sz="6" w:space="0" w:color="000000"/>
              <w:bottom w:val="single" w:sz="6" w:space="0" w:color="000000"/>
              <w:right w:val="single" w:sz="6" w:space="0" w:color="000000"/>
            </w:tcBorders>
            <w:shd w:val="clear" w:color="auto" w:fill="CCCCCC"/>
          </w:tcPr>
          <w:p>
            <w:pPr/>
          </w:p>
        </w:tc>
        <w:tc>
          <w:tcPr>
            <w:tcW w:w="145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年薪</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00"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87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73" w:type="dxa"/>
            <w:vMerge/>
            <w:tcBorders>
              <w:left w:val="single" w:sz="6" w:space="0" w:color="000000"/>
              <w:bottom w:val="single" w:sz="6" w:space="0" w:color="000000"/>
              <w:right w:val="single" w:sz="6" w:space="0" w:color="000000"/>
            </w:tcBorders>
            <w:shd w:val="clear" w:color="auto" w:fill="CCCCCC"/>
          </w:tcPr>
          <w:p>
            <w:pP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张志远（注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王爱国（注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张宏（注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潘爱玲（注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王玉玫（注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2.08</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2.08</w:t>
            </w: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王翔飞（注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5.21</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5.21</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041" w:right="0"/>
              <w:jc w:val="left"/>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27.29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27.29</w:t>
            </w:r>
          </w:p>
        </w:tc>
      </w:tr>
      <w:tr>
        <w:trPr>
          <w:trHeight w:val="347" w:hRule="exact"/>
        </w:trPr>
        <w:tc>
          <w:tcPr>
            <w:tcW w:w="372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崔友平（注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王效群（注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52"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王凤荣（注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2.08</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2.08</w:t>
            </w:r>
          </w:p>
        </w:tc>
      </w:tr>
      <w:tr>
        <w:trPr>
          <w:trHeight w:val="341"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1221" w:right="0"/>
              <w:jc w:val="left"/>
              <w:rPr>
                <w:rFonts w:ascii="宋体" w:hAnsi="宋体" w:cs="宋体" w:eastAsia="宋体" w:hint="default"/>
                <w:sz w:val="18"/>
                <w:szCs w:val="18"/>
              </w:rPr>
            </w:pPr>
            <w:r>
              <w:rPr>
                <w:rFonts w:ascii="宋体" w:hAnsi="宋体" w:cs="宋体" w:eastAsia="宋体" w:hint="default"/>
                <w:sz w:val="18"/>
                <w:szCs w:val="18"/>
              </w:rPr>
              <w:t>非执行董事小计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12.08</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12.08</w:t>
            </w: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陈洪国（注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495.21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尹同远（注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295.21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300.00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李峰（注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81.47</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86.26</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耿光林（注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274.85</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279.64</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侯焕才（注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98.78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103.57</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周少华（注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104.16</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109.83</w:t>
            </w: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谭道诚（注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15.42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20.21</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1,365.28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24.26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9.97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1,399.51</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高俊杰（注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34.49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39.28</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王菊（注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14.84</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18.68</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杨洪芹（注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14.19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17.62</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尹启祥（注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郭光耀（注</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监事合计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68.52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8.44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3.62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80.58</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951" w:right="0"/>
              <w:jc w:val="left"/>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1,006.80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8.64</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1,035.54</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2,479.79</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52.93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22.28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2,555.00</w:t>
            </w:r>
          </w:p>
        </w:tc>
      </w:tr>
      <w:tr>
        <w:trPr>
          <w:trHeight w:val="347" w:hRule="exact"/>
        </w:trPr>
        <w:tc>
          <w:tcPr>
            <w:tcW w:w="965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续</w:t>
            </w:r>
          </w:p>
        </w:tc>
      </w:tr>
      <w:tr>
        <w:trPr>
          <w:trHeight w:val="347" w:hRule="exact"/>
        </w:trPr>
        <w:tc>
          <w:tcPr>
            <w:tcW w:w="372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关键管理人员</w:t>
            </w:r>
          </w:p>
        </w:tc>
        <w:tc>
          <w:tcPr>
            <w:tcW w:w="4664" w:type="dxa"/>
            <w:gridSpan w:val="3"/>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上年数</w:t>
            </w:r>
          </w:p>
        </w:tc>
        <w:tc>
          <w:tcPr>
            <w:tcW w:w="1273"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7" w:hRule="exact"/>
        </w:trPr>
        <w:tc>
          <w:tcPr>
            <w:tcW w:w="3720" w:type="dxa"/>
            <w:vMerge/>
            <w:tcBorders>
              <w:left w:val="single" w:sz="6" w:space="0" w:color="000000"/>
              <w:bottom w:val="single" w:sz="6" w:space="0" w:color="000000"/>
              <w:right w:val="single" w:sz="6" w:space="0" w:color="000000"/>
            </w:tcBorders>
            <w:shd w:val="clear" w:color="auto" w:fill="CCCCCC"/>
          </w:tcPr>
          <w:p>
            <w:pPr/>
          </w:p>
        </w:tc>
        <w:tc>
          <w:tcPr>
            <w:tcW w:w="145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年薪</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00"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187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73" w:type="dxa"/>
            <w:vMerge/>
            <w:tcBorders>
              <w:left w:val="single" w:sz="6" w:space="0" w:color="000000"/>
              <w:bottom w:val="single" w:sz="6" w:space="0" w:color="000000"/>
              <w:right w:val="single" w:sz="6" w:space="0" w:color="000000"/>
            </w:tcBorders>
            <w:shd w:val="clear" w:color="auto" w:fill="CCCCCC"/>
          </w:tcPr>
          <w:p>
            <w:pP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张志远</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王爱国</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张宏</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3720"/>
        <w:gridCol w:w="1451"/>
        <w:gridCol w:w="1334"/>
        <w:gridCol w:w="1879"/>
        <w:gridCol w:w="1273"/>
      </w:tblGrid>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潘爱玲</w:t>
            </w:r>
          </w:p>
        </w:tc>
        <w:tc>
          <w:tcPr>
            <w:tcW w:w="1451" w:type="dxa"/>
            <w:tcBorders>
              <w:top w:val="single" w:sz="6" w:space="0" w:color="000000"/>
              <w:left w:val="single" w:sz="6" w:space="0" w:color="000000"/>
              <w:bottom w:val="single" w:sz="6" w:space="0" w:color="000000"/>
              <w:right w:val="single" w:sz="6" w:space="0" w:color="000000"/>
            </w:tcBorders>
          </w:tcPr>
          <w:p>
            <w:pP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王玉玫</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53" w:hRule="exact"/>
        </w:trPr>
        <w:tc>
          <w:tcPr>
            <w:tcW w:w="3720"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王翔飞</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12.50</w:t>
            </w:r>
          </w:p>
        </w:tc>
      </w:tr>
      <w:tr>
        <w:trPr>
          <w:trHeight w:val="341"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1041" w:right="0"/>
              <w:jc w:val="left"/>
              <w:rPr>
                <w:rFonts w:ascii="宋体" w:hAnsi="宋体" w:cs="宋体" w:eastAsia="宋体" w:hint="default"/>
                <w:sz w:val="18"/>
                <w:szCs w:val="18"/>
              </w:rPr>
            </w:pPr>
            <w:r>
              <w:rPr>
                <w:rFonts w:ascii="宋体" w:hAnsi="宋体" w:cs="宋体" w:eastAsia="宋体" w:hint="default"/>
                <w:sz w:val="18"/>
                <w:szCs w:val="18"/>
              </w:rPr>
              <w:t>独立非执行董事小计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32.50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32.50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崔友平</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王效群</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王凤荣</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1221" w:right="0"/>
              <w:jc w:val="left"/>
              <w:rPr>
                <w:rFonts w:ascii="宋体" w:hAnsi="宋体" w:cs="宋体" w:eastAsia="宋体" w:hint="default"/>
                <w:sz w:val="18"/>
                <w:szCs w:val="18"/>
              </w:rPr>
            </w:pPr>
            <w:r>
              <w:rPr>
                <w:rFonts w:ascii="宋体" w:hAnsi="宋体" w:cs="宋体" w:eastAsia="宋体" w:hint="default"/>
                <w:sz w:val="18"/>
                <w:szCs w:val="18"/>
              </w:rPr>
              <w:t>非执行董事小计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15.00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15.00</w:t>
            </w: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陈洪国</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394.92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399.20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尹同远</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263.92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268.20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李峰</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95.90</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100.18</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耿光林</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117.18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121.46</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侯焕才</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87.51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91.79</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周少华</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119.01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0.65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0.23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119.89</w:t>
            </w: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谭道诚</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55.74</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60.02</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执行董事小计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1,134.18</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18.53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8.03</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1,160.74</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高俊杰</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45.72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王菊</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13.72</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2.98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18.00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杨洪芹</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12.37</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16.55</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尹启祥</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郭光耀</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c>
          <w:tcPr>
            <w:tcW w:w="1334"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2.50</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监事合计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76.81</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8.84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89.55</w:t>
            </w:r>
          </w:p>
        </w:tc>
      </w:tr>
      <w:tr>
        <w:trPr>
          <w:trHeight w:val="347"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951" w:right="0"/>
              <w:jc w:val="left"/>
              <w:rPr>
                <w:rFonts w:ascii="宋体" w:hAnsi="宋体" w:cs="宋体" w:eastAsia="宋体" w:hint="default"/>
                <w:sz w:val="18"/>
                <w:szCs w:val="18"/>
              </w:rPr>
            </w:pPr>
            <w:r>
              <w:rPr>
                <w:rFonts w:ascii="宋体" w:hAnsi="宋体" w:cs="宋体" w:eastAsia="宋体" w:hint="default"/>
                <w:sz w:val="18"/>
                <w:szCs w:val="18"/>
              </w:rPr>
              <w:t>其他高级管理人员小计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781.37</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25.89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10.82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818.08</w:t>
            </w:r>
          </w:p>
        </w:tc>
      </w:tr>
      <w:tr>
        <w:trPr>
          <w:trHeight w:val="348" w:hRule="exact"/>
        </w:trPr>
        <w:tc>
          <w:tcPr>
            <w:tcW w:w="372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2,039.86</w:t>
            </w:r>
          </w:p>
        </w:tc>
        <w:tc>
          <w:tcPr>
            <w:tcW w:w="1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53.26</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22.75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2,115.87</w:t>
            </w:r>
          </w:p>
        </w:tc>
      </w:tr>
    </w:tbl>
    <w:p>
      <w:pPr>
        <w:pStyle w:val="BodyText"/>
        <w:spacing w:line="300" w:lineRule="auto" w:before="10"/>
        <w:ind w:left="874" w:right="3580" w:hanging="360"/>
        <w:jc w:val="left"/>
      </w:pPr>
      <w:r>
        <w:rPr/>
        <w:t>注：</w:t>
      </w:r>
      <w:r>
        <w:rPr>
          <w:rFonts w:ascii="Times New Roman" w:hAnsi="Times New Roman" w:cs="Times New Roman" w:eastAsia="Times New Roman" w:hint="default"/>
        </w:rPr>
        <w:t>(A)</w:t>
      </w:r>
      <w:r>
        <w:rPr/>
        <w:t>年薪参照本集团规定、董事个人表现而定，并经薪酬委员会批准。 (B) “注1”----2013年5月15日退任</w:t>
      </w:r>
    </w:p>
    <w:p>
      <w:pPr>
        <w:pStyle w:val="BodyText"/>
        <w:spacing w:line="240" w:lineRule="auto" w:before="31"/>
        <w:ind w:left="1234" w:right="0"/>
        <w:jc w:val="left"/>
      </w:pPr>
      <w:r>
        <w:rPr/>
        <w:t>“注2”----2013年5月16日获委任</w:t>
      </w:r>
    </w:p>
    <w:p>
      <w:pPr>
        <w:pStyle w:val="BodyText"/>
        <w:spacing w:line="316" w:lineRule="auto" w:before="76"/>
        <w:ind w:right="0" w:firstLine="360"/>
        <w:jc w:val="left"/>
      </w:pPr>
      <w:r>
        <w:rPr>
          <w:spacing w:val="4"/>
        </w:rPr>
        <w:t>③本集团年内前5名最高薪酬委员包括本公司董事3名和其他高级管理人员2名，2名高级管理人员的薪酬区间分别为</w:t>
      </w:r>
      <w:r>
        <w:rPr/>
        <w:t> 320～360万元和160～200万元。</w:t>
      </w:r>
    </w:p>
    <w:p>
      <w:pPr>
        <w:pStyle w:val="BodyText"/>
        <w:spacing w:line="316" w:lineRule="auto" w:before="18"/>
        <w:ind w:right="0" w:firstLine="360"/>
        <w:jc w:val="left"/>
      </w:pPr>
      <w:r>
        <w:rPr/>
        <w:t>本集团2012前5名最高薪酬委员包括本公司董事4名和其他高级管理人员1名，1名高级管理人员的薪酬区间为160～200 万元。</w:t>
      </w:r>
    </w:p>
    <w:p>
      <w:pPr>
        <w:pStyle w:val="BodyText"/>
        <w:spacing w:line="240" w:lineRule="auto" w:before="18"/>
        <w:ind w:left="513" w:right="0"/>
        <w:jc w:val="left"/>
      </w:pPr>
      <w:r>
        <w:rPr>
          <w:rFonts w:ascii="Times New Roman" w:hAnsi="Times New Roman" w:cs="Times New Roman" w:eastAsia="Times New Roman" w:hint="default"/>
        </w:rPr>
        <w:t>A.</w:t>
      </w:r>
      <w:r>
        <w:rPr/>
        <w:t>前</w:t>
      </w:r>
      <w:r>
        <w:rPr>
          <w:rFonts w:ascii="Times New Roman" w:hAnsi="Times New Roman" w:cs="Times New Roman" w:eastAsia="Times New Roman" w:hint="default"/>
        </w:rPr>
        <w:t>5</w:t>
      </w:r>
      <w:r>
        <w:rPr/>
        <w:t>名管理人员报酬</w:t>
      </w:r>
    </w:p>
    <w:p>
      <w:pPr>
        <w:spacing w:line="240" w:lineRule="auto" w:before="6"/>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4777"/>
        <w:gridCol w:w="2447"/>
        <w:gridCol w:w="2434"/>
      </w:tblGrid>
      <w:tr>
        <w:trPr>
          <w:trHeight w:val="342"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7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24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6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上年数</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r>
      <w:tr>
        <w:trPr>
          <w:trHeight w:val="412"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年薪</w:t>
            </w:r>
          </w:p>
        </w:tc>
        <w:tc>
          <w:tcPr>
            <w:tcW w:w="244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8"/>
                <w:szCs w:val="18"/>
              </w:rPr>
            </w:pPr>
            <w:r>
              <w:rPr>
                <w:rFonts w:ascii="Times New Roman"/>
                <w:sz w:val="18"/>
              </w:rPr>
              <w:t>1,581.36</w:t>
            </w:r>
          </w:p>
        </w:tc>
        <w:tc>
          <w:tcPr>
            <w:tcW w:w="24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15"/>
              <w:ind w:right="1"/>
              <w:jc w:val="right"/>
              <w:rPr>
                <w:rFonts w:ascii="Times New Roman" w:hAnsi="Times New Roman" w:cs="Times New Roman" w:eastAsia="Times New Roman" w:hint="default"/>
                <w:sz w:val="18"/>
                <w:szCs w:val="18"/>
              </w:rPr>
            </w:pPr>
            <w:r>
              <w:rPr>
                <w:rFonts w:ascii="Times New Roman"/>
                <w:sz w:val="18"/>
              </w:rPr>
              <w:t>1,080.39</w:t>
            </w:r>
          </w:p>
        </w:tc>
      </w:tr>
      <w:tr>
        <w:trPr>
          <w:trHeight w:val="407"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24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15"/>
              <w:ind w:right="0"/>
              <w:jc w:val="right"/>
              <w:rPr>
                <w:rFonts w:ascii="Times New Roman" w:hAnsi="Times New Roman" w:cs="Times New Roman" w:eastAsia="Times New Roman" w:hint="default"/>
                <w:sz w:val="18"/>
                <w:szCs w:val="18"/>
              </w:rPr>
            </w:pPr>
            <w:r>
              <w:rPr>
                <w:rFonts w:ascii="Times New Roman"/>
                <w:sz w:val="18"/>
              </w:rPr>
              <w:t>4.32</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right"/>
              <w:rPr>
                <w:rFonts w:ascii="Times New Roman" w:hAnsi="Times New Roman" w:cs="Times New Roman" w:eastAsia="Times New Roman" w:hint="default"/>
                <w:sz w:val="18"/>
                <w:szCs w:val="18"/>
              </w:rPr>
            </w:pPr>
            <w:r>
              <w:rPr>
                <w:rFonts w:ascii="Times New Roman"/>
                <w:sz w:val="18"/>
              </w:rPr>
              <w:t>4.13</w:t>
            </w:r>
          </w:p>
        </w:tc>
      </w:tr>
      <w:tr>
        <w:trPr>
          <w:trHeight w:val="406"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24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15"/>
              <w:ind w:right="0"/>
              <w:jc w:val="right"/>
              <w:rPr>
                <w:rFonts w:ascii="Times New Roman" w:hAnsi="Times New Roman" w:cs="Times New Roman" w:eastAsia="Times New Roman" w:hint="default"/>
                <w:sz w:val="18"/>
                <w:szCs w:val="18"/>
              </w:rPr>
            </w:pPr>
            <w:r>
              <w:rPr>
                <w:rFonts w:ascii="Times New Roman"/>
                <w:sz w:val="18"/>
              </w:rPr>
              <w:t>10.05</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right"/>
              <w:rPr>
                <w:rFonts w:ascii="Times New Roman" w:hAnsi="Times New Roman" w:cs="Times New Roman" w:eastAsia="Times New Roman" w:hint="default"/>
                <w:sz w:val="18"/>
                <w:szCs w:val="18"/>
              </w:rPr>
            </w:pPr>
            <w:r>
              <w:rPr>
                <w:rFonts w:ascii="Times New Roman"/>
                <w:sz w:val="18"/>
              </w:rPr>
              <w:t>9.59</w:t>
            </w:r>
          </w:p>
        </w:tc>
      </w:tr>
      <w:tr>
        <w:trPr>
          <w:trHeight w:val="403"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4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1,595.73</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1"/>
              <w:jc w:val="right"/>
              <w:rPr>
                <w:rFonts w:ascii="Times New Roman" w:hAnsi="Times New Roman" w:cs="Times New Roman" w:eastAsia="Times New Roman" w:hint="default"/>
                <w:sz w:val="18"/>
                <w:szCs w:val="18"/>
              </w:rPr>
            </w:pPr>
            <w:r>
              <w:rPr>
                <w:rFonts w:ascii="Times New Roman"/>
                <w:sz w:val="18"/>
              </w:rPr>
              <w:t>1,094.11</w:t>
            </w:r>
          </w:p>
        </w:tc>
      </w:tr>
    </w:tbl>
    <w:p>
      <w:pPr>
        <w:pStyle w:val="BodyText"/>
        <w:spacing w:line="240" w:lineRule="auto" w:before="10"/>
        <w:ind w:left="514" w:right="0"/>
        <w:jc w:val="left"/>
      </w:pPr>
      <w:r>
        <w:rPr>
          <w:rFonts w:ascii="Times New Roman" w:hAnsi="Times New Roman" w:cs="Times New Roman" w:eastAsia="Times New Roman" w:hint="default"/>
        </w:rPr>
        <w:t>B.</w:t>
      </w:r>
      <w:r>
        <w:rPr/>
        <w:t>前</w:t>
      </w:r>
      <w:r>
        <w:rPr>
          <w:rFonts w:ascii="Times New Roman" w:hAnsi="Times New Roman" w:cs="Times New Roman" w:eastAsia="Times New Roman" w:hint="default"/>
        </w:rPr>
        <w:t>5</w:t>
      </w:r>
      <w:r>
        <w:rPr/>
        <w:t>名管理人员报酬分布区间</w:t>
      </w:r>
    </w:p>
    <w:p>
      <w:pPr>
        <w:spacing w:line="240" w:lineRule="auto" w:before="5"/>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4777"/>
        <w:gridCol w:w="2447"/>
        <w:gridCol w:w="2434"/>
      </w:tblGrid>
      <w:tr>
        <w:trPr>
          <w:trHeight w:val="341"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年度报酬区间</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本年数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left="7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上年数</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p>
        </w:tc>
      </w:tr>
      <w:tr>
        <w:trPr>
          <w:trHeight w:val="343"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480</w:t>
            </w:r>
            <w:r>
              <w:rPr>
                <w:rFonts w:ascii="宋体" w:hAnsi="宋体" w:cs="宋体" w:eastAsia="宋体" w:hint="default"/>
                <w:sz w:val="18"/>
                <w:szCs w:val="18"/>
              </w:rPr>
              <w:t>～</w:t>
            </w:r>
            <w:r>
              <w:rPr>
                <w:rFonts w:ascii="Times New Roman" w:hAnsi="Times New Roman" w:cs="Times New Roman" w:eastAsia="Times New Roman" w:hint="default"/>
                <w:sz w:val="18"/>
                <w:szCs w:val="18"/>
              </w:rPr>
              <w:t>520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4777"/>
        <w:gridCol w:w="2447"/>
        <w:gridCol w:w="2434"/>
      </w:tblGrid>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w:t>
            </w: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9" w:right="0"/>
              <w:jc w:val="left"/>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w:t>
            </w:r>
            <w:r>
              <w:rPr>
                <w:rFonts w:ascii="宋体" w:hAnsi="宋体" w:cs="宋体" w:eastAsia="宋体" w:hint="default"/>
                <w:sz w:val="18"/>
                <w:szCs w:val="18"/>
              </w:rPr>
              <w:t>～</w:t>
            </w:r>
            <w:r>
              <w:rPr>
                <w:rFonts w:ascii="Times New Roman" w:hAnsi="Times New Roman" w:cs="Times New Roman" w:eastAsia="Times New Roman" w:hint="default"/>
                <w:sz w:val="18"/>
                <w:szCs w:val="18"/>
              </w:rPr>
              <w:t>360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w:t>
            </w:r>
            <w:r>
              <w:rPr>
                <w:rFonts w:ascii="宋体" w:hAnsi="宋体" w:cs="宋体" w:eastAsia="宋体" w:hint="default"/>
                <w:sz w:val="18"/>
                <w:szCs w:val="18"/>
              </w:rPr>
              <w:t>～</w:t>
            </w:r>
            <w:r>
              <w:rPr>
                <w:rFonts w:ascii="Times New Roman" w:hAnsi="Times New Roman" w:cs="Times New Roman" w:eastAsia="Times New Roman" w:hint="default"/>
                <w:sz w:val="18"/>
                <w:szCs w:val="18"/>
              </w:rPr>
              <w:t>320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240</w:t>
            </w:r>
            <w:r>
              <w:rPr>
                <w:rFonts w:ascii="宋体" w:hAnsi="宋体" w:cs="宋体" w:eastAsia="宋体" w:hint="default"/>
                <w:sz w:val="18"/>
                <w:szCs w:val="18"/>
              </w:rPr>
              <w:t>～</w:t>
            </w:r>
            <w:r>
              <w:rPr>
                <w:rFonts w:ascii="Times New Roman" w:hAnsi="Times New Roman" w:cs="Times New Roman" w:eastAsia="Times New Roman" w:hint="default"/>
                <w:sz w:val="18"/>
                <w:szCs w:val="18"/>
              </w:rPr>
              <w:t>280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9" w:right="0"/>
              <w:jc w:val="left"/>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w:t>
            </w:r>
            <w:r>
              <w:rPr>
                <w:rFonts w:ascii="宋体" w:hAnsi="宋体" w:cs="宋体" w:eastAsia="宋体" w:hint="default"/>
                <w:sz w:val="18"/>
                <w:szCs w:val="18"/>
              </w:rPr>
              <w:t>～</w:t>
            </w: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9" w:right="0"/>
              <w:jc w:val="left"/>
              <w:rPr>
                <w:rFonts w:ascii="Times New Roman" w:hAnsi="Times New Roman" w:cs="Times New Roman" w:eastAsia="Times New Roman" w:hint="default"/>
                <w:sz w:val="18"/>
                <w:szCs w:val="18"/>
              </w:rPr>
            </w:pPr>
            <w:r>
              <w:rPr>
                <w:rFonts w:ascii="Times New Roman"/>
                <w:sz w:val="18"/>
              </w:rPr>
              <w:t>1</w:t>
            </w:r>
          </w:p>
        </w:tc>
      </w:tr>
      <w:tr>
        <w:trPr>
          <w:trHeight w:val="347"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9" w:right="0"/>
              <w:jc w:val="left"/>
              <w:rPr>
                <w:rFonts w:ascii="Times New Roman" w:hAnsi="Times New Roman" w:cs="Times New Roman" w:eastAsia="Times New Roman" w:hint="default"/>
                <w:sz w:val="18"/>
                <w:szCs w:val="18"/>
              </w:rPr>
            </w:pPr>
            <w:r>
              <w:rPr>
                <w:rFonts w:ascii="Times New Roman"/>
                <w:sz w:val="18"/>
              </w:rPr>
              <w:t>1</w:t>
            </w:r>
          </w:p>
        </w:tc>
      </w:tr>
      <w:tr>
        <w:trPr>
          <w:trHeight w:val="343" w:hRule="exact"/>
        </w:trPr>
        <w:tc>
          <w:tcPr>
            <w:tcW w:w="4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120</w:t>
            </w:r>
            <w:r>
              <w:rPr>
                <w:rFonts w:ascii="宋体" w:hAnsi="宋体" w:cs="宋体" w:eastAsia="宋体" w:hint="default"/>
                <w:sz w:val="18"/>
                <w:szCs w:val="18"/>
              </w:rPr>
              <w:t>万元</w:t>
            </w:r>
          </w:p>
        </w:tc>
        <w:tc>
          <w:tcPr>
            <w:tcW w:w="2447" w:type="dxa"/>
            <w:tcBorders>
              <w:top w:val="single" w:sz="6" w:space="0" w:color="000000"/>
              <w:left w:val="single" w:sz="6" w:space="0" w:color="000000"/>
              <w:bottom w:val="single" w:sz="6" w:space="0" w:color="000000"/>
              <w:right w:val="single" w:sz="6" w:space="0" w:color="000000"/>
            </w:tcBorders>
          </w:tcPr>
          <w:p>
            <w:pPr/>
          </w:p>
        </w:tc>
        <w:tc>
          <w:tcPr>
            <w:tcW w:w="24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19"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300" w:lineRule="auto" w:before="75"/>
        <w:ind w:right="0" w:firstLine="450"/>
        <w:jc w:val="left"/>
      </w:pPr>
      <w:r>
        <w:rPr>
          <w:spacing w:val="-2"/>
        </w:rPr>
        <w:t>④年内，本集团并无向本公司董事及前</w:t>
      </w:r>
      <w:r>
        <w:rPr>
          <w:rFonts w:ascii="Times New Roman" w:hAnsi="Times New Roman" w:cs="Times New Roman" w:eastAsia="Times New Roman" w:hint="default"/>
          <w:spacing w:val="-2"/>
        </w:rPr>
        <w:t>5</w:t>
      </w:r>
      <w:r>
        <w:rPr>
          <w:spacing w:val="-2"/>
        </w:rPr>
        <w:t>名最高薪酬个人支付其他任何吸引他们加入本集团之薪金，又或在他们加入本</w:t>
      </w:r>
      <w:r>
        <w:rPr/>
        <w:t> 集团后支付薪金作为激励，亦无因失去职位支付他们补偿金，年内无董事放弃任何薪金。</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w:t>
      </w:r>
      <w:r>
        <w:rPr>
          <w:spacing w:val="-6"/>
        </w:rPr>
        <w:t> </w:t>
      </w:r>
      <w:r>
        <w:rPr/>
        <w:t>本公司与关联方共同投资</w:t>
      </w:r>
      <w:r>
        <w:rPr>
          <w:b w:val="0"/>
          <w:bCs w:val="0"/>
        </w:rPr>
      </w:r>
    </w:p>
    <w:p>
      <w:pPr>
        <w:spacing w:line="240" w:lineRule="auto" w:before="0"/>
        <w:rPr>
          <w:rFonts w:ascii="宋体" w:hAnsi="宋体" w:cs="宋体" w:eastAsia="宋体" w:hint="default"/>
          <w:b/>
          <w:bCs/>
          <w:sz w:val="27"/>
          <w:szCs w:val="27"/>
        </w:rPr>
      </w:pPr>
    </w:p>
    <w:tbl>
      <w:tblPr>
        <w:tblW w:w="0" w:type="auto"/>
        <w:jc w:val="left"/>
        <w:tblInd w:w="137" w:type="dxa"/>
        <w:tblLayout w:type="fixed"/>
        <w:tblCellMar>
          <w:top w:w="0" w:type="dxa"/>
          <w:left w:w="0" w:type="dxa"/>
          <w:bottom w:w="0" w:type="dxa"/>
          <w:right w:w="0" w:type="dxa"/>
        </w:tblCellMar>
        <w:tblLook w:val="01E0"/>
      </w:tblPr>
      <w:tblGrid>
        <w:gridCol w:w="2191"/>
        <w:gridCol w:w="923"/>
        <w:gridCol w:w="2551"/>
        <w:gridCol w:w="1286"/>
        <w:gridCol w:w="880"/>
        <w:gridCol w:w="1826"/>
      </w:tblGrid>
      <w:tr>
        <w:trPr>
          <w:trHeight w:val="329" w:hRule="exact"/>
        </w:trPr>
        <w:tc>
          <w:tcPr>
            <w:tcW w:w="21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投资企业名称</w:t>
            </w:r>
          </w:p>
        </w:tc>
        <w:tc>
          <w:tcPr>
            <w:tcW w:w="9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2"/>
              <w:jc w:val="right"/>
              <w:rPr>
                <w:rFonts w:ascii="宋体" w:hAnsi="宋体" w:cs="宋体" w:eastAsia="宋体" w:hint="default"/>
                <w:sz w:val="18"/>
                <w:szCs w:val="18"/>
              </w:rPr>
            </w:pPr>
            <w:r>
              <w:rPr>
                <w:rFonts w:ascii="宋体" w:hAnsi="宋体" w:cs="宋体" w:eastAsia="宋体" w:hint="default"/>
                <w:sz w:val="18"/>
                <w:szCs w:val="18"/>
              </w:rPr>
              <w:t>本公司出资</w:t>
            </w:r>
          </w:p>
        </w:tc>
        <w:tc>
          <w:tcPr>
            <w:tcW w:w="25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寿光市恒泰企业投资限公司出资</w:t>
            </w:r>
          </w:p>
        </w:tc>
        <w:tc>
          <w:tcPr>
            <w:tcW w:w="12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非关联股东出资</w:t>
            </w:r>
          </w:p>
        </w:tc>
        <w:tc>
          <w:tcPr>
            <w:tcW w:w="8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r>
      <w:tr>
        <w:trPr>
          <w:trHeight w:val="348" w:hRule="exact"/>
        </w:trPr>
        <w:tc>
          <w:tcPr>
            <w:tcW w:w="2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5"/>
              <w:jc w:val="right"/>
              <w:rPr>
                <w:rFonts w:ascii="宋体" w:hAnsi="宋体" w:cs="宋体" w:eastAsia="宋体" w:hint="default"/>
                <w:sz w:val="18"/>
                <w:szCs w:val="18"/>
              </w:rPr>
            </w:pPr>
            <w:r>
              <w:rPr>
                <w:rFonts w:ascii="Times New Roman" w:hAnsi="Times New Roman" w:cs="Times New Roman" w:eastAsia="Times New Roman" w:hint="default"/>
                <w:sz w:val="18"/>
                <w:szCs w:val="18"/>
              </w:rPr>
              <w:t>14,400</w:t>
            </w:r>
            <w:r>
              <w:rPr>
                <w:rFonts w:ascii="宋体" w:hAnsi="宋体" w:cs="宋体" w:eastAsia="宋体" w:hint="default"/>
                <w:sz w:val="18"/>
                <w:szCs w:val="18"/>
              </w:rPr>
              <w:t>万元</w:t>
            </w:r>
          </w:p>
        </w:tc>
        <w:tc>
          <w:tcPr>
            <w:tcW w:w="2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2,400</w:t>
            </w:r>
            <w:r>
              <w:rPr>
                <w:rFonts w:ascii="宋体" w:hAnsi="宋体" w:cs="宋体" w:eastAsia="宋体" w:hint="default"/>
                <w:sz w:val="18"/>
                <w:szCs w:val="18"/>
              </w:rPr>
              <w:t>万元</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7200</w:t>
            </w:r>
            <w:r>
              <w:rPr>
                <w:rFonts w:ascii="宋体" w:hAnsi="宋体" w:cs="宋体" w:eastAsia="宋体" w:hint="default"/>
                <w:sz w:val="18"/>
                <w:szCs w:val="18"/>
              </w:rPr>
              <w:t>万元</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24,000</w:t>
            </w:r>
            <w:r>
              <w:rPr>
                <w:rFonts w:ascii="宋体" w:hAnsi="宋体" w:cs="宋体" w:eastAsia="宋体" w:hint="default"/>
                <w:sz w:val="18"/>
                <w:szCs w:val="18"/>
              </w:rPr>
              <w:t>万元</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菱镁石、滑石加工销售</w:t>
            </w:r>
          </w:p>
        </w:tc>
      </w:tr>
    </w:tbl>
    <w:p>
      <w:pPr>
        <w:pStyle w:val="BodyText"/>
        <w:spacing w:line="316" w:lineRule="auto" w:before="70"/>
        <w:ind w:right="0" w:firstLine="450"/>
        <w:jc w:val="left"/>
      </w:pPr>
      <w:r>
        <w:rPr>
          <w:spacing w:val="-4"/>
        </w:rPr>
        <w:t>截至2013年12月31日，海城海鸣矿业资产总额466,945,780.81元，负债总额226，945,780.81元，净资产240,000,000.00</w:t>
      </w:r>
      <w:r>
        <w:rPr/>
        <w:t> 元，本期营业收入0.00元。</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上市公司应收关联方款项</w:t>
      </w:r>
    </w:p>
    <w:p>
      <w:pPr>
        <w:pStyle w:val="BodyText"/>
        <w:spacing w:line="240" w:lineRule="auto" w:before="116"/>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60"/>
        <w:gridCol w:w="3347"/>
        <w:gridCol w:w="1433"/>
        <w:gridCol w:w="1216"/>
        <w:gridCol w:w="1324"/>
        <w:gridCol w:w="1214"/>
      </w:tblGrid>
      <w:tr>
        <w:trPr>
          <w:trHeight w:val="402" w:hRule="exact"/>
        </w:trPr>
        <w:tc>
          <w:tcPr>
            <w:tcW w:w="1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3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5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1160" w:type="dxa"/>
            <w:vMerge/>
            <w:tcBorders>
              <w:left w:val="single" w:sz="4" w:space="0" w:color="000000"/>
              <w:bottom w:val="single" w:sz="4" w:space="0" w:color="000000"/>
              <w:right w:val="single" w:sz="4" w:space="0" w:color="000000"/>
            </w:tcBorders>
            <w:shd w:val="clear" w:color="auto" w:fill="D3D3D3"/>
          </w:tcPr>
          <w:p>
            <w:pPr/>
          </w:p>
        </w:tc>
        <w:tc>
          <w:tcPr>
            <w:tcW w:w="3347" w:type="dxa"/>
            <w:vMerge/>
            <w:tcBorders>
              <w:left w:val="single" w:sz="4" w:space="0" w:color="000000"/>
              <w:bottom w:val="single" w:sz="4" w:space="0" w:color="000000"/>
              <w:right w:val="single" w:sz="4" w:space="0" w:color="000000"/>
            </w:tcBorders>
            <w:shd w:val="clear" w:color="auto" w:fill="D3D3D3"/>
          </w:tcPr>
          <w:p>
            <w:pPr/>
          </w:p>
        </w:tc>
        <w:tc>
          <w:tcPr>
            <w:tcW w:w="1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安徽时代物资股份有限公司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16,580,021.04</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829,001.05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15,739,073.73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786,953.69</w:t>
            </w:r>
          </w:p>
        </w:tc>
      </w:tr>
      <w:tr>
        <w:trPr>
          <w:trHeight w:val="40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1433"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21,627.00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1,081.35</w:t>
            </w:r>
          </w:p>
        </w:tc>
      </w:tr>
      <w:tr>
        <w:trPr>
          <w:trHeight w:val="402"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551,964,609.01</w:t>
            </w:r>
          </w:p>
        </w:tc>
        <w:tc>
          <w:tcPr>
            <w:tcW w:w="121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1,290,901.12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1,290,901.12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1,290,901.12</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1,290,901.12</w:t>
            </w:r>
          </w:p>
        </w:tc>
      </w:tr>
    </w:tbl>
    <w:p>
      <w:pPr>
        <w:pStyle w:val="BodyText"/>
        <w:spacing w:line="240" w:lineRule="auto" w:before="51"/>
        <w:ind w:left="154" w:right="0"/>
        <w:jc w:val="left"/>
      </w:pPr>
      <w:r>
        <w:rPr/>
        <w:t>上市公司应付关联方款项</w:t>
      </w:r>
    </w:p>
    <w:p>
      <w:pPr>
        <w:pStyle w:val="BodyText"/>
        <w:spacing w:line="240" w:lineRule="auto" w:before="116"/>
        <w:ind w:left="0" w:right="149"/>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766"/>
        <w:gridCol w:w="4450"/>
        <w:gridCol w:w="2026"/>
        <w:gridCol w:w="1441"/>
      </w:tblGrid>
      <w:tr>
        <w:trPr>
          <w:trHeight w:val="401" w:hRule="exact"/>
        </w:trPr>
        <w:tc>
          <w:tcPr>
            <w:tcW w:w="17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176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5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寿光市恒泰企业投资有限公司</w:t>
            </w:r>
          </w:p>
        </w:tc>
        <w:tc>
          <w:tcPr>
            <w:tcW w:w="202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left="957" w:right="0"/>
              <w:jc w:val="left"/>
              <w:rPr>
                <w:rFonts w:ascii="Times New Roman" w:hAnsi="Times New Roman" w:cs="Times New Roman" w:eastAsia="Times New Roman" w:hint="default"/>
                <w:sz w:val="18"/>
                <w:szCs w:val="18"/>
              </w:rPr>
            </w:pPr>
            <w:r>
              <w:rPr>
                <w:rFonts w:ascii="Times New Roman"/>
                <w:sz w:val="18"/>
              </w:rPr>
              <w:t>18,668,679.17</w:t>
            </w:r>
          </w:p>
        </w:tc>
        <w:tc>
          <w:tcPr>
            <w:tcW w:w="1441" w:type="dxa"/>
            <w:tcBorders>
              <w:top w:val="single" w:sz="5"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十、或有事项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54" w:right="0"/>
        <w:jc w:val="left"/>
      </w:pPr>
      <w:r>
        <w:rPr/>
        <w:t>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日，本集团无需要披露的重大或有事项。</w:t>
      </w:r>
    </w:p>
    <w:p>
      <w:pPr>
        <w:spacing w:after="0" w:line="240" w:lineRule="auto"/>
        <w:jc w:val="left"/>
        <w:sectPr>
          <w:pgSz w:w="11910" w:h="16840"/>
          <w:pgMar w:header="877" w:footer="950" w:top="1100" w:bottom="1140" w:left="980" w:right="98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r>
        <w:rPr/>
        <w:t>十一、承诺事项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692" w:right="0"/>
        <w:jc w:val="left"/>
      </w:pPr>
      <w:r>
        <w:rPr/>
        <w:t>（</w:t>
      </w:r>
      <w:r>
        <w:rPr>
          <w:rFonts w:ascii="Times New Roman" w:hAnsi="Times New Roman" w:cs="Times New Roman" w:eastAsia="Times New Roman" w:hint="default"/>
        </w:rPr>
        <w:t>1</w:t>
      </w:r>
      <w:r>
        <w:rPr/>
        <w:t>）资本承诺</w:t>
      </w:r>
    </w:p>
    <w:p>
      <w:pPr>
        <w:pStyle w:val="BodyText"/>
        <w:spacing w:line="240" w:lineRule="auto" w:before="62"/>
        <w:ind w:left="6396" w:right="0"/>
        <w:jc w:val="left"/>
      </w:pPr>
      <w:r>
        <w:rPr/>
        <w:t>人民币元</w:t>
      </w: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477"/>
        <w:gridCol w:w="2488"/>
        <w:gridCol w:w="2693"/>
      </w:tblGrid>
      <w:tr>
        <w:trPr>
          <w:trHeight w:val="342"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已签约但尚未于财务报表中确认的</w:t>
            </w:r>
          </w:p>
        </w:tc>
        <w:tc>
          <w:tcPr>
            <w:tcW w:w="2488"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购建长期资产承诺</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2,437,963,978.39</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3,492,740,126.70</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慧锐</w:t>
            </w:r>
            <w:r>
              <w:rPr>
                <w:rFonts w:ascii="Times New Roman" w:hAnsi="Times New Roman" w:cs="Times New Roman" w:eastAsia="Times New Roman" w:hint="default"/>
                <w:sz w:val="18"/>
                <w:szCs w:val="18"/>
              </w:rPr>
              <w:t>BT</w:t>
            </w:r>
            <w:r>
              <w:rPr>
                <w:rFonts w:ascii="宋体" w:hAnsi="宋体" w:cs="宋体" w:eastAsia="宋体" w:hint="default"/>
                <w:sz w:val="18"/>
                <w:szCs w:val="18"/>
              </w:rPr>
              <w:t>项目</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3,637,017,103.35</w:t>
            </w: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对外投资承诺</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6,028,000.00</w:t>
            </w: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6,081,009,081.74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3,492,740,126.70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pStyle w:val="BodyText"/>
        <w:spacing w:line="300" w:lineRule="auto" w:before="16"/>
        <w:ind w:left="513" w:right="-19" w:firstLine="122"/>
        <w:jc w:val="left"/>
      </w:pPr>
      <w:r>
        <w:rPr/>
        <w:t>（</w:t>
      </w:r>
      <w:r>
        <w:rPr>
          <w:rFonts w:ascii="Times New Roman" w:hAnsi="Times New Roman" w:cs="Times New Roman" w:eastAsia="Times New Roman" w:hint="default"/>
        </w:rPr>
        <w:t>2</w:t>
      </w:r>
      <w:r>
        <w:rPr/>
        <w:t>）经营租赁承诺 至资产负债表日止，本公司对外签订的不可撤销的经营租赁合约情况如下：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left="513" w:right="0"/>
        <w:jc w:val="left"/>
      </w:pPr>
      <w:r>
        <w:rPr/>
        <w:t>人民币元</w:t>
      </w:r>
    </w:p>
    <w:p>
      <w:pPr>
        <w:spacing w:after="0" w:line="240" w:lineRule="auto"/>
        <w:jc w:val="left"/>
        <w:sectPr>
          <w:type w:val="continuous"/>
          <w:pgSz w:w="11910" w:h="16840"/>
          <w:pgMar w:top="1600" w:bottom="280" w:left="980" w:right="980"/>
          <w:cols w:num="2" w:equalWidth="0">
            <w:col w:w="6455" w:space="1894"/>
            <w:col w:w="1601"/>
          </w:cols>
        </w:sectPr>
      </w:pPr>
    </w:p>
    <w:p>
      <w:pPr>
        <w:spacing w:line="240" w:lineRule="auto" w:before="6"/>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4477"/>
        <w:gridCol w:w="2488"/>
        <w:gridCol w:w="2693"/>
      </w:tblGrid>
      <w:tr>
        <w:trPr>
          <w:trHeight w:val="342"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488" w:type="dxa"/>
            <w:tcBorders>
              <w:top w:val="single" w:sz="9" w:space="0" w:color="000000"/>
              <w:left w:val="single" w:sz="6" w:space="0" w:color="000000"/>
              <w:bottom w:val="single" w:sz="6" w:space="0" w:color="000000"/>
              <w:right w:val="single" w:sz="6" w:space="0" w:color="000000"/>
            </w:tcBorders>
          </w:tcPr>
          <w:p>
            <w:pPr/>
          </w:p>
        </w:tc>
        <w:tc>
          <w:tcPr>
            <w:tcW w:w="2693" w:type="dxa"/>
            <w:tcBorders>
              <w:top w:val="single" w:sz="9" w:space="0" w:color="000000"/>
              <w:left w:val="single" w:sz="6" w:space="0" w:color="000000"/>
              <w:bottom w:val="single" w:sz="6" w:space="0" w:color="000000"/>
              <w:right w:val="single" w:sz="6" w:space="0" w:color="000000"/>
            </w:tcBorders>
          </w:tcPr>
          <w:p>
            <w:pP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21,250,728.73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25,750,281.07</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13,786,011.70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14,197,441.54</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13,814,410.50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13,894,570.34</w:t>
            </w:r>
          </w:p>
        </w:tc>
      </w:tr>
      <w:tr>
        <w:trPr>
          <w:trHeight w:val="348"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572,915,704.51</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592,968,638.50</w:t>
            </w:r>
          </w:p>
        </w:tc>
      </w:tr>
      <w:tr>
        <w:trPr>
          <w:trHeight w:val="342"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621,766,855.44</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646,810,931.45</w:t>
            </w:r>
          </w:p>
        </w:tc>
      </w:tr>
    </w:tbl>
    <w:p>
      <w:pPr>
        <w:spacing w:line="240" w:lineRule="auto" w:before="7"/>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日，本集团无需要披露的重大承诺事项。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十二、其他重要事项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43"/>
        <w:gridCol w:w="1532"/>
        <w:gridCol w:w="1516"/>
        <w:gridCol w:w="1517"/>
        <w:gridCol w:w="1527"/>
        <w:gridCol w:w="1522"/>
      </w:tblGrid>
      <w:tr>
        <w:trPr>
          <w:trHeight w:val="162" w:hRule="exact"/>
        </w:trPr>
        <w:tc>
          <w:tcPr>
            <w:tcW w:w="19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70" w:right="3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06" w:right="28"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6"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0" w:hRule="exact"/>
        </w:trPr>
        <w:tc>
          <w:tcPr>
            <w:tcW w:w="19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6"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1,169,269,054.15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11,221,828.76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189,043,642.16</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1,317,141,123.77</w:t>
            </w:r>
          </w:p>
        </w:tc>
      </w:tr>
      <w:tr>
        <w:trPr>
          <w:trHeight w:val="402"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1,169,269,054.15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11,221,828.76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189,043,642.16</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1,317,141,123.77</w:t>
            </w:r>
          </w:p>
        </w:tc>
      </w:tr>
      <w:tr>
        <w:trPr>
          <w:trHeight w:val="402" w:hRule="exact"/>
        </w:trPr>
        <w:tc>
          <w:tcPr>
            <w:tcW w:w="1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90"/>
        <w:jc w:val="left"/>
        <w:rPr>
          <w:b w:val="0"/>
          <w:bCs w:val="0"/>
        </w:rPr>
      </w:pPr>
      <w:r>
        <w:rPr>
          <w:rFonts w:ascii="Times New Roman" w:hAnsi="Times New Roman" w:cs="Times New Roman" w:eastAsia="Times New Roman" w:hint="default"/>
        </w:rPr>
        <w:t>2</w:t>
      </w:r>
      <w:r>
        <w:rPr/>
        <w:t>、外币金融资产和外币金融负债</w:t>
      </w:r>
      <w:r>
        <w:rPr>
          <w:b w:val="0"/>
          <w:bCs w:val="0"/>
        </w:rPr>
      </w:r>
    </w:p>
    <w:p>
      <w:pPr>
        <w:spacing w:line="240" w:lineRule="auto" w:before="9"/>
        <w:rPr>
          <w:rFonts w:ascii="宋体" w:hAnsi="宋体" w:cs="宋体" w:eastAsia="宋体" w:hint="default"/>
          <w:b/>
          <w:bCs/>
          <w:sz w:val="25"/>
          <w:szCs w:val="25"/>
        </w:rPr>
      </w:pPr>
    </w:p>
    <w:tbl>
      <w:tblPr>
        <w:tblW w:w="0" w:type="auto"/>
        <w:jc w:val="left"/>
        <w:tblInd w:w="144" w:type="dxa"/>
        <w:tblLayout w:type="fixed"/>
        <w:tblCellMar>
          <w:top w:w="0" w:type="dxa"/>
          <w:left w:w="0" w:type="dxa"/>
          <w:bottom w:w="0" w:type="dxa"/>
          <w:right w:w="0" w:type="dxa"/>
        </w:tblCellMar>
        <w:tblLook w:val="01E0"/>
      </w:tblPr>
      <w:tblGrid>
        <w:gridCol w:w="2494"/>
        <w:gridCol w:w="1484"/>
        <w:gridCol w:w="1486"/>
        <w:gridCol w:w="1482"/>
        <w:gridCol w:w="1044"/>
        <w:gridCol w:w="1668"/>
      </w:tblGrid>
      <w:tr>
        <w:trPr>
          <w:trHeight w:val="669" w:hRule="exact"/>
        </w:trPr>
        <w:tc>
          <w:tcPr>
            <w:tcW w:w="24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4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年初金额</w:t>
            </w:r>
          </w:p>
        </w:tc>
        <w:tc>
          <w:tcPr>
            <w:tcW w:w="14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1"/>
              <w:ind w:left="552" w:right="6" w:hanging="534"/>
              <w:jc w:val="left"/>
              <w:rPr>
                <w:rFonts w:ascii="宋体" w:hAnsi="宋体" w:cs="宋体" w:eastAsia="宋体" w:hint="default"/>
                <w:sz w:val="18"/>
                <w:szCs w:val="18"/>
              </w:rPr>
            </w:pPr>
            <w:r>
              <w:rPr>
                <w:rFonts w:ascii="宋体" w:hAnsi="宋体" w:cs="宋体" w:eastAsia="宋体" w:hint="default"/>
                <w:sz w:val="18"/>
                <w:szCs w:val="18"/>
              </w:rPr>
              <w:t>本年公允价值变动 损益</w:t>
            </w:r>
          </w:p>
        </w:tc>
        <w:tc>
          <w:tcPr>
            <w:tcW w:w="14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1"/>
              <w:ind w:left="136" w:right="149" w:hanging="86"/>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04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1"/>
              <w:ind w:left="314" w:right="72" w:hanging="264"/>
              <w:jc w:val="left"/>
              <w:rPr>
                <w:rFonts w:ascii="宋体" w:hAnsi="宋体" w:cs="宋体" w:eastAsia="宋体" w:hint="default"/>
                <w:sz w:val="18"/>
                <w:szCs w:val="18"/>
              </w:rPr>
            </w:pPr>
            <w:r>
              <w:rPr>
                <w:rFonts w:ascii="宋体" w:hAnsi="宋体" w:cs="宋体" w:eastAsia="宋体" w:hint="default"/>
                <w:sz w:val="18"/>
                <w:szCs w:val="18"/>
              </w:rPr>
              <w:t>本年计提的 减值</w:t>
            </w:r>
          </w:p>
        </w:tc>
        <w:tc>
          <w:tcPr>
            <w:tcW w:w="16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469" w:right="0"/>
              <w:jc w:val="left"/>
              <w:rPr>
                <w:rFonts w:ascii="宋体" w:hAnsi="宋体" w:cs="宋体" w:eastAsia="宋体" w:hint="default"/>
                <w:sz w:val="18"/>
                <w:szCs w:val="18"/>
              </w:rPr>
            </w:pPr>
            <w:r>
              <w:rPr>
                <w:rFonts w:ascii="宋体" w:hAnsi="宋体" w:cs="宋体" w:eastAsia="宋体" w:hint="default"/>
                <w:sz w:val="18"/>
                <w:szCs w:val="18"/>
              </w:rPr>
              <w:t>年末金额</w:t>
            </w:r>
          </w:p>
        </w:tc>
      </w:tr>
      <w:tr>
        <w:trPr>
          <w:trHeight w:val="348" w:hRule="exact"/>
        </w:trPr>
        <w:tc>
          <w:tcPr>
            <w:tcW w:w="24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484" w:type="dxa"/>
            <w:tcBorders>
              <w:top w:val="single" w:sz="8" w:space="0" w:color="000000"/>
              <w:left w:val="single" w:sz="8" w:space="0" w:color="000000"/>
              <w:bottom w:val="single" w:sz="8" w:space="0" w:color="000000"/>
              <w:right w:val="single" w:sz="8" w:space="0" w:color="000000"/>
            </w:tcBorders>
          </w:tcPr>
          <w:p>
            <w:pPr/>
          </w:p>
        </w:tc>
        <w:tc>
          <w:tcPr>
            <w:tcW w:w="1486" w:type="dxa"/>
            <w:tcBorders>
              <w:top w:val="single" w:sz="11" w:space="0" w:color="000000"/>
              <w:left w:val="single" w:sz="8" w:space="0" w:color="000000"/>
              <w:bottom w:val="single" w:sz="8" w:space="0" w:color="000000"/>
              <w:right w:val="single" w:sz="8" w:space="0" w:color="000000"/>
            </w:tcBorders>
          </w:tcPr>
          <w:p>
            <w:pPr/>
          </w:p>
        </w:tc>
        <w:tc>
          <w:tcPr>
            <w:tcW w:w="1482"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11" w:space="0" w:color="000000"/>
              <w:left w:val="single" w:sz="8" w:space="0" w:color="000000"/>
              <w:bottom w:val="single" w:sz="8" w:space="0" w:color="000000"/>
              <w:right w:val="single" w:sz="8" w:space="0" w:color="000000"/>
            </w:tcBorders>
          </w:tcPr>
          <w:p>
            <w:pPr/>
          </w:p>
        </w:tc>
        <w:tc>
          <w:tcPr>
            <w:tcW w:w="1668"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24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314,173,046.44</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2"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146,678,873.68</w:t>
            </w:r>
          </w:p>
        </w:tc>
      </w:tr>
      <w:tr>
        <w:trPr>
          <w:trHeight w:val="352" w:hRule="exact"/>
        </w:trPr>
        <w:tc>
          <w:tcPr>
            <w:tcW w:w="24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302,171,666.34</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2"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428,930,649.39</w:t>
            </w:r>
          </w:p>
        </w:tc>
      </w:tr>
      <w:tr>
        <w:trPr>
          <w:trHeight w:val="353" w:hRule="exact"/>
        </w:trPr>
        <w:tc>
          <w:tcPr>
            <w:tcW w:w="24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315,038,730.07</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2"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368,818,253.24</w:t>
            </w:r>
          </w:p>
        </w:tc>
      </w:tr>
      <w:tr>
        <w:trPr>
          <w:trHeight w:val="352" w:hRule="exact"/>
        </w:trPr>
        <w:tc>
          <w:tcPr>
            <w:tcW w:w="24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96"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931,383,442.85</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2"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944,427,776.31</w:t>
            </w:r>
          </w:p>
        </w:tc>
      </w:tr>
      <w:tr>
        <w:trPr>
          <w:trHeight w:val="353" w:hRule="exact"/>
        </w:trPr>
        <w:tc>
          <w:tcPr>
            <w:tcW w:w="24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6,195,056,274.80</w:t>
            </w:r>
          </w:p>
        </w:tc>
        <w:tc>
          <w:tcPr>
            <w:tcW w:w="1486" w:type="dxa"/>
            <w:tcBorders>
              <w:top w:val="single" w:sz="8" w:space="0" w:color="000000"/>
              <w:left w:val="single" w:sz="8" w:space="0" w:color="000000"/>
              <w:bottom w:val="single" w:sz="8" w:space="0" w:color="000000"/>
              <w:right w:val="single" w:sz="8" w:space="0" w:color="000000"/>
            </w:tcBorders>
          </w:tcPr>
          <w:p>
            <w:pPr/>
          </w:p>
        </w:tc>
        <w:tc>
          <w:tcPr>
            <w:tcW w:w="1482" w:type="dxa"/>
            <w:tcBorders>
              <w:top w:val="single" w:sz="8" w:space="0" w:color="000000"/>
              <w:left w:val="single" w:sz="8" w:space="0" w:color="000000"/>
              <w:bottom w:val="single" w:sz="8" w:space="0" w:color="000000"/>
              <w:right w:val="single" w:sz="8" w:space="0" w:color="000000"/>
            </w:tcBorders>
          </w:tcPr>
          <w:p>
            <w:pPr/>
          </w:p>
        </w:tc>
        <w:tc>
          <w:tcPr>
            <w:tcW w:w="1044" w:type="dxa"/>
            <w:tcBorders>
              <w:top w:val="single" w:sz="8" w:space="0" w:color="000000"/>
              <w:left w:val="single" w:sz="8" w:space="0" w:color="000000"/>
              <w:bottom w:val="single" w:sz="8" w:space="0" w:color="000000"/>
              <w:right w:val="single" w:sz="8" w:space="0" w:color="000000"/>
            </w:tcBorders>
          </w:tcPr>
          <w:p>
            <w:pPr/>
          </w:p>
        </w:tc>
        <w:tc>
          <w:tcPr>
            <w:tcW w:w="1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7,883,240,255.94</w:t>
            </w:r>
          </w:p>
        </w:tc>
      </w:tr>
    </w:tbl>
    <w:p>
      <w:pPr>
        <w:spacing w:line="240" w:lineRule="auto" w:before="2"/>
        <w:rPr>
          <w:rFonts w:ascii="宋体" w:hAnsi="宋体" w:cs="宋体" w:eastAsia="宋体" w:hint="default"/>
          <w:b/>
          <w:bCs/>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3</w:t>
      </w:r>
      <w:r>
        <w:rPr/>
        <w:t>、净流动资产</w:t>
      </w:r>
      <w:r>
        <w:rPr>
          <w:rFonts w:ascii="Times New Roman" w:hAnsi="Times New Roman" w:cs="Times New Roman" w:eastAsia="Times New Roman" w:hint="default"/>
        </w:rPr>
        <w:t>/</w:t>
      </w:r>
      <w:r>
        <w:rPr/>
        <w:t>负债、总资产减流动负债</w:t>
      </w:r>
      <w:r>
        <w:rPr>
          <w:b w:val="0"/>
          <w:bCs w:val="0"/>
        </w:rPr>
      </w:r>
    </w:p>
    <w:p>
      <w:pPr>
        <w:spacing w:line="240" w:lineRule="auto" w:before="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4477"/>
        <w:gridCol w:w="2488"/>
        <w:gridCol w:w="2693"/>
      </w:tblGrid>
      <w:tr>
        <w:trPr>
          <w:trHeight w:val="342"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6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7"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w:t>
            </w:r>
            <w:r>
              <w:rPr>
                <w:rFonts w:ascii="Times New Roman" w:hAnsi="Times New Roman" w:cs="Times New Roman" w:eastAsia="Times New Roman" w:hint="default"/>
                <w:sz w:val="18"/>
                <w:szCs w:val="18"/>
              </w:rPr>
              <w:t>)</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(2,405,853,307.73)</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(940,549,623.28)</w:t>
            </w:r>
          </w:p>
        </w:tc>
      </w:tr>
      <w:tr>
        <w:trPr>
          <w:trHeight w:val="342" w:hRule="exact"/>
        </w:trPr>
        <w:tc>
          <w:tcPr>
            <w:tcW w:w="44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总资产减流动负债</w:t>
            </w:r>
          </w:p>
        </w:tc>
        <w:tc>
          <w:tcPr>
            <w:tcW w:w="2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28,207,961,157.48</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27,736,527,250.05</w:t>
            </w:r>
          </w:p>
        </w:tc>
      </w:tr>
    </w:tbl>
    <w:p>
      <w:pPr>
        <w:spacing w:line="240" w:lineRule="auto" w:before="8"/>
        <w:rPr>
          <w:rFonts w:ascii="宋体" w:hAnsi="宋体" w:cs="宋体" w:eastAsia="宋体" w:hint="default"/>
          <w:b/>
          <w:bCs/>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98" w:firstLine="360"/>
        <w:jc w:val="left"/>
      </w:pPr>
      <w:r>
        <w:rPr/>
        <w:t>（</w:t>
      </w:r>
      <w:r>
        <w:rPr>
          <w:rFonts w:ascii="Times New Roman" w:hAnsi="Times New Roman" w:cs="Times New Roman" w:eastAsia="Times New Roman" w:hint="default"/>
        </w:rPr>
        <w:t>1</w:t>
      </w:r>
      <w:r>
        <w:rPr/>
        <w:t>）集团控股子公司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日广东慧锐投资有限公司与湛江市代建项目管理局签署重要合同：《湛江市海东新区 岸线和滩涂综合治理工程</w:t>
      </w:r>
      <w:r>
        <w:rPr>
          <w:rFonts w:ascii="Times New Roman" w:hAnsi="Times New Roman" w:cs="Times New Roman" w:eastAsia="Times New Roman" w:hint="default"/>
        </w:rPr>
        <w:t>BT</w:t>
      </w:r>
      <w:r>
        <w:rPr/>
        <w:t>建设项目</w:t>
      </w:r>
      <w:r>
        <w:rPr>
          <w:rFonts w:ascii="Times New Roman" w:hAnsi="Times New Roman" w:cs="Times New Roman" w:eastAsia="Times New Roman" w:hint="default"/>
        </w:rPr>
        <w:t>——</w:t>
      </w:r>
      <w:r>
        <w:rPr/>
        <w:t>投资建设</w:t>
      </w:r>
      <w:r>
        <w:rPr>
          <w:rFonts w:ascii="Times New Roman" w:hAnsi="Times New Roman" w:cs="Times New Roman" w:eastAsia="Times New Roman" w:hint="default"/>
        </w:rPr>
        <w:t>-</w:t>
      </w:r>
      <w:r>
        <w:rPr/>
        <w:t>移交回购（</w:t>
      </w:r>
      <w:r>
        <w:rPr>
          <w:rFonts w:ascii="Times New Roman" w:hAnsi="Times New Roman" w:cs="Times New Roman" w:eastAsia="Times New Roman" w:hint="default"/>
        </w:rPr>
        <w:t>BT</w:t>
      </w:r>
      <w:r>
        <w:rPr/>
        <w:t>）》合同，该项目投资约</w:t>
      </w:r>
      <w:r>
        <w:rPr>
          <w:rFonts w:ascii="Times New Roman" w:hAnsi="Times New Roman" w:cs="Times New Roman" w:eastAsia="Times New Roman" w:hint="default"/>
        </w:rPr>
        <w:t>46.07</w:t>
      </w:r>
      <w:r>
        <w:rPr/>
        <w:t>亿元。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日完 成工程的准备工作并正式开工，该项目工期约</w:t>
      </w:r>
      <w:r>
        <w:rPr>
          <w:rFonts w:ascii="Times New Roman" w:hAnsi="Times New Roman" w:cs="Times New Roman" w:eastAsia="Times New Roman" w:hint="default"/>
        </w:rPr>
        <w:t>17</w:t>
      </w:r>
      <w:r>
        <w:rPr/>
        <w:t>个月。</w:t>
      </w:r>
    </w:p>
    <w:p>
      <w:pPr>
        <w:pStyle w:val="BodyText"/>
        <w:spacing w:line="300" w:lineRule="auto" w:before="13"/>
        <w:ind w:right="244" w:firstLine="360"/>
        <w:jc w:val="both"/>
      </w:pPr>
      <w:r>
        <w:rPr/>
        <w:t>（</w:t>
      </w:r>
      <w:r>
        <w:rPr>
          <w:rFonts w:ascii="Times New Roman" w:hAnsi="Times New Roman" w:cs="Times New Roman" w:eastAsia="Times New Roman" w:hint="default"/>
        </w:rPr>
        <w:t>2</w:t>
      </w:r>
      <w:r>
        <w:rPr/>
        <w:t>）公司第一大股东晨鸣控股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日通过约定回购式证券交易向广发证券股份有限公司售出公司股份</w:t>
      </w:r>
      <w:r>
        <w:rPr>
          <w:rFonts w:ascii="Times New Roman" w:hAnsi="Times New Roman" w:cs="Times New Roman" w:eastAsia="Times New Roman" w:hint="default"/>
        </w:rPr>
        <w:t>8,660</w:t>
      </w:r>
      <w:r>
        <w:rPr/>
        <w:t>万 股，占公司总股本的</w:t>
      </w:r>
      <w:r>
        <w:rPr>
          <w:rFonts w:ascii="Times New Roman" w:hAnsi="Times New Roman" w:cs="Times New Roman" w:eastAsia="Times New Roman" w:hint="default"/>
        </w:rPr>
        <w:t>4.2%</w:t>
      </w:r>
      <w:r>
        <w:rPr/>
        <w:t>，购回期限不超过</w:t>
      </w:r>
      <w:r>
        <w:rPr>
          <w:rFonts w:ascii="Times New Roman" w:hAnsi="Times New Roman" w:cs="Times New Roman" w:eastAsia="Times New Roman" w:hint="default"/>
        </w:rPr>
        <w:t>365</w:t>
      </w:r>
      <w:r>
        <w:rPr/>
        <w:t>天。</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日，寿光晨鸣控股有限公司购回通过约定购回式证券交易 售出的</w:t>
      </w:r>
      <w:r>
        <w:rPr>
          <w:rFonts w:ascii="Times New Roman" w:hAnsi="Times New Roman" w:cs="Times New Roman" w:eastAsia="Times New Roman" w:hint="default"/>
        </w:rPr>
        <w:t>8,660</w:t>
      </w:r>
      <w:r>
        <w:rPr>
          <w:rFonts w:ascii="Times New Roman" w:hAnsi="Times New Roman" w:cs="Times New Roman" w:eastAsia="Times New Roman" w:hint="default"/>
          <w:spacing w:val="-2"/>
        </w:rPr>
        <w:t> </w:t>
      </w:r>
      <w:r>
        <w:rPr/>
        <w:t>万股，本次交易前后持股情况如下：</w:t>
      </w:r>
    </w:p>
    <w:tbl>
      <w:tblPr>
        <w:tblW w:w="0" w:type="auto"/>
        <w:jc w:val="left"/>
        <w:tblInd w:w="146" w:type="dxa"/>
        <w:tblLayout w:type="fixed"/>
        <w:tblCellMar>
          <w:top w:w="0" w:type="dxa"/>
          <w:left w:w="0" w:type="dxa"/>
          <w:bottom w:w="0" w:type="dxa"/>
          <w:right w:w="0" w:type="dxa"/>
        </w:tblCellMar>
        <w:tblLook w:val="01E0"/>
      </w:tblPr>
      <w:tblGrid>
        <w:gridCol w:w="2890"/>
        <w:gridCol w:w="3459"/>
        <w:gridCol w:w="3308"/>
      </w:tblGrid>
      <w:tr>
        <w:trPr>
          <w:trHeight w:val="342" w:hRule="exact"/>
        </w:trPr>
        <w:tc>
          <w:tcPr>
            <w:tcW w:w="28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4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交易前</w:t>
            </w:r>
          </w:p>
        </w:tc>
        <w:tc>
          <w:tcPr>
            <w:tcW w:w="33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交易后</w:t>
            </w:r>
          </w:p>
        </w:tc>
      </w:tr>
      <w:tr>
        <w:trPr>
          <w:trHeight w:val="348" w:hRule="exact"/>
        </w:trPr>
        <w:tc>
          <w:tcPr>
            <w:tcW w:w="28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持有公司公司股份数量</w:t>
            </w:r>
          </w:p>
        </w:tc>
        <w:tc>
          <w:tcPr>
            <w:tcW w:w="3459"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206,403,657.00</w:t>
            </w:r>
          </w:p>
        </w:tc>
        <w:tc>
          <w:tcPr>
            <w:tcW w:w="330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pacing w:val="-1"/>
                <w:sz w:val="18"/>
              </w:rPr>
              <w:t>293,003,657.00</w:t>
            </w:r>
          </w:p>
        </w:tc>
      </w:tr>
      <w:tr>
        <w:trPr>
          <w:trHeight w:val="347" w:hRule="exact"/>
        </w:trPr>
        <w:tc>
          <w:tcPr>
            <w:tcW w:w="28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公司总股本</w:t>
            </w:r>
          </w:p>
        </w:tc>
        <w:tc>
          <w:tcPr>
            <w:tcW w:w="34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1,975,471,967.00</w:t>
            </w:r>
          </w:p>
        </w:tc>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1,975,471,967.00</w:t>
            </w:r>
          </w:p>
        </w:tc>
      </w:tr>
      <w:tr>
        <w:trPr>
          <w:trHeight w:val="347" w:hRule="exact"/>
        </w:trPr>
        <w:tc>
          <w:tcPr>
            <w:tcW w:w="28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占公司总股本的比例</w:t>
            </w:r>
          </w:p>
        </w:tc>
        <w:tc>
          <w:tcPr>
            <w:tcW w:w="3459"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10.45%</w:t>
            </w:r>
          </w:p>
        </w:tc>
        <w:tc>
          <w:tcPr>
            <w:tcW w:w="3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14.83%</w:t>
            </w:r>
          </w:p>
        </w:tc>
      </w:tr>
    </w:tbl>
    <w:p>
      <w:pPr>
        <w:spacing w:line="240" w:lineRule="auto" w:before="10"/>
        <w:rPr>
          <w:rFonts w:ascii="宋体" w:hAnsi="宋体" w:cs="宋体" w:eastAsia="宋体" w:hint="default"/>
          <w:sz w:val="18"/>
          <w:szCs w:val="18"/>
        </w:rPr>
      </w:pPr>
    </w:p>
    <w:p>
      <w:pPr>
        <w:pStyle w:val="Heading2"/>
        <w:spacing w:line="240" w:lineRule="auto" w:before="26"/>
        <w:ind w:right="90"/>
        <w:jc w:val="left"/>
        <w:rPr>
          <w:b w:val="0"/>
          <w:bCs w:val="0"/>
        </w:rPr>
      </w:pPr>
      <w:r>
        <w:rPr/>
        <w:t>十三、</w:t>
      </w:r>
      <w:r>
        <w:rPr>
          <w:spacing w:val="-1"/>
        </w:rPr>
        <w:t> </w:t>
      </w:r>
      <w:r>
        <w:rPr/>
        <w:t>财务风险管理及金融工具</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90" w:firstLine="360"/>
        <w:jc w:val="left"/>
      </w:pPr>
      <w:r>
        <w:rPr>
          <w:spacing w:val="-1"/>
        </w:rPr>
        <w:t>本集团的经营活动会面临各种金融风险：市场风险</w:t>
      </w:r>
      <w:r>
        <w:rPr>
          <w:rFonts w:ascii="Times New Roman" w:hAnsi="Times New Roman" w:cs="Times New Roman" w:eastAsia="Times New Roman" w:hint="default"/>
          <w:spacing w:val="-1"/>
        </w:rPr>
        <w:t>(</w:t>
      </w:r>
      <w:r>
        <w:rPr>
          <w:spacing w:val="-1"/>
        </w:rPr>
        <w:t>主要为外汇风险和利率风险</w:t>
      </w:r>
      <w:r>
        <w:rPr>
          <w:rFonts w:ascii="Times New Roman" w:hAnsi="Times New Roman" w:cs="Times New Roman" w:eastAsia="Times New Roman" w:hint="default"/>
          <w:spacing w:val="-1"/>
        </w:rPr>
        <w:t>)</w:t>
      </w:r>
      <w:r>
        <w:rPr>
          <w:spacing w:val="-1"/>
        </w:rPr>
        <w:t>、信用风险及流动风险。本集团的整体</w:t>
      </w:r>
      <w:r>
        <w:rPr/>
        <w:t> 风险管理计划针对金融市场的不可预见性，力求减少对本集团财务业绩的潜在不利影响。</w:t>
      </w:r>
    </w:p>
    <w:p>
      <w:pPr>
        <w:pStyle w:val="BodyText"/>
        <w:spacing w:line="240" w:lineRule="auto" w:before="31"/>
        <w:ind w:left="513" w:right="90"/>
        <w:jc w:val="left"/>
      </w:pPr>
      <w:r>
        <w:rPr>
          <w:rFonts w:ascii="Times New Roman" w:hAnsi="Times New Roman" w:cs="Times New Roman" w:eastAsia="Times New Roman" w:hint="default"/>
        </w:rPr>
        <w:t>1</w:t>
      </w:r>
      <w:r>
        <w:rPr/>
        <w:t>、市场风险</w:t>
      </w:r>
    </w:p>
    <w:p>
      <w:pPr>
        <w:pStyle w:val="BodyText"/>
        <w:spacing w:line="300" w:lineRule="auto" w:before="62"/>
        <w:ind w:left="513" w:right="90"/>
        <w:jc w:val="left"/>
      </w:pPr>
      <w:r>
        <w:rPr/>
        <w:t>（</w:t>
      </w:r>
      <w:r>
        <w:rPr>
          <w:rFonts w:ascii="Times New Roman" w:hAnsi="Times New Roman" w:cs="Times New Roman" w:eastAsia="Times New Roman" w:hint="default"/>
        </w:rPr>
        <w:t>1</w:t>
      </w:r>
      <w:r>
        <w:rPr/>
        <w:t>）</w:t>
      </w:r>
      <w:r>
        <w:rPr>
          <w:spacing w:val="-17"/>
        </w:rPr>
        <w:t> </w:t>
      </w:r>
      <w:r>
        <w:rPr/>
        <w:t>外汇风险</w:t>
      </w:r>
      <w:r>
        <w:rPr/>
        <w:t> </w:t>
      </w:r>
      <w:r>
        <w:rPr>
          <w:spacing w:val="-1"/>
        </w:rPr>
        <w:t>本集团的主要经营位于中国境内，主要业务以人民币结算。本集团的外汇风险来自于使用外币</w:t>
      </w:r>
      <w:r>
        <w:rPr>
          <w:rFonts w:ascii="Times New Roman" w:hAnsi="Times New Roman" w:cs="Times New Roman" w:eastAsia="Times New Roman" w:hint="default"/>
          <w:spacing w:val="-1"/>
        </w:rPr>
        <w:t>(</w:t>
      </w:r>
      <w:r>
        <w:rPr>
          <w:spacing w:val="-1"/>
        </w:rPr>
        <w:t>主要源于美元</w:t>
      </w:r>
      <w:r>
        <w:rPr>
          <w:rFonts w:ascii="Times New Roman" w:hAnsi="Times New Roman" w:cs="Times New Roman" w:eastAsia="Times New Roman" w:hint="default"/>
          <w:spacing w:val="-1"/>
        </w:rPr>
        <w:t>)</w:t>
      </w:r>
      <w:r>
        <w:rPr>
          <w:spacing w:val="-1"/>
        </w:rPr>
        <w:t>进行的筹</w:t>
      </w:r>
    </w:p>
    <w:p>
      <w:pPr>
        <w:pStyle w:val="BodyText"/>
        <w:spacing w:line="316" w:lineRule="auto" w:before="13"/>
        <w:ind w:right="90"/>
        <w:jc w:val="left"/>
      </w:pPr>
      <w:r>
        <w:rPr>
          <w:spacing w:val="-4"/>
        </w:rPr>
        <w:t>资活动及商业交易。本集团总部财务部门负责监控集团外币交易和外币资产及负债的规模，以最大程度降低面临的外汇风险；</w:t>
      </w:r>
      <w:r>
        <w:rPr>
          <w:spacing w:val="-44"/>
        </w:rPr>
        <w:t> </w:t>
      </w:r>
      <w:r>
        <w:rPr>
          <w:spacing w:val="-44"/>
        </w:rPr>
      </w:r>
      <w:r>
        <w:rPr/>
        <w:t>为此，本集团可能会以签署远期外汇合约方式来达到规避外汇风险的目的。</w:t>
      </w:r>
      <w:r>
        <w:rPr>
          <w:rFonts w:ascii="Times New Roman" w:hAnsi="Times New Roman" w:cs="Times New Roman" w:eastAsia="Times New Roman" w:hint="default"/>
        </w:rPr>
        <w:t>2013</w:t>
      </w:r>
      <w:r>
        <w:rPr/>
        <w:t>年度，本集团未签署任何远期外汇合约。</w:t>
      </w:r>
    </w:p>
    <w:p>
      <w:pPr>
        <w:pStyle w:val="BodyText"/>
        <w:spacing w:line="248" w:lineRule="exact"/>
        <w:ind w:left="513" w:right="9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26"/>
        </w:rPr>
        <w:t> </w:t>
      </w:r>
      <w:r>
        <w:rPr/>
        <w:t>日，本集团持有的外币金融资产和外币金融负债折算成人民币的金额列示如下：</w:t>
      </w:r>
    </w:p>
    <w:p>
      <w:pPr>
        <w:pStyle w:val="BodyText"/>
        <w:spacing w:line="240" w:lineRule="auto" w:before="62"/>
        <w:ind w:left="7767" w:right="190"/>
        <w:jc w:val="righ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0"/>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2062"/>
        <w:gridCol w:w="1794"/>
        <w:gridCol w:w="1688"/>
        <w:gridCol w:w="1267"/>
        <w:gridCol w:w="1122"/>
        <w:gridCol w:w="1724"/>
      </w:tblGrid>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9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529"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6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76"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26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英镑项目</w:t>
            </w:r>
          </w:p>
        </w:tc>
        <w:tc>
          <w:tcPr>
            <w:tcW w:w="112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港币</w:t>
            </w:r>
          </w:p>
        </w:tc>
        <w:tc>
          <w:tcPr>
            <w:tcW w:w="17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日元</w:t>
            </w:r>
          </w:p>
        </w:tc>
      </w:tr>
    </w:tbl>
    <w:p>
      <w:pPr>
        <w:spacing w:after="0" w:line="240" w:lineRule="auto"/>
        <w:jc w:val="center"/>
        <w:rPr>
          <w:rFonts w:ascii="宋体" w:hAnsi="宋体" w:cs="宋体" w:eastAsia="宋体" w:hint="default"/>
          <w:sz w:val="18"/>
          <w:szCs w:val="18"/>
        </w:rPr>
        <w:sectPr>
          <w:pgSz w:w="11910" w:h="16840"/>
          <w:pgMar w:header="877" w:footer="950" w:top="1100" w:bottom="1140" w:left="980" w:right="94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2062"/>
        <w:gridCol w:w="1794"/>
        <w:gridCol w:w="1688"/>
        <w:gridCol w:w="1267"/>
        <w:gridCol w:w="1122"/>
        <w:gridCol w:w="1724"/>
      </w:tblGrid>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104,615,939.01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13,247,929.28</w:t>
            </w:r>
          </w:p>
        </w:tc>
        <w:tc>
          <w:tcPr>
            <w:tcW w:w="1267"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12,772.47</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28,802,232.92</w:t>
            </w: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404,705,934.51</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5,070,461.60</w:t>
            </w:r>
          </w:p>
        </w:tc>
        <w:tc>
          <w:tcPr>
            <w:tcW w:w="1267"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19,154,253.28</w:t>
            </w:r>
          </w:p>
        </w:tc>
      </w:tr>
      <w:tr>
        <w:trPr>
          <w:trHeight w:val="348"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5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178,501,771.24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189,776,693.87</w:t>
            </w:r>
          </w:p>
        </w:tc>
        <w:tc>
          <w:tcPr>
            <w:tcW w:w="1267"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539,788.13</w:t>
            </w: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687,823,644.76</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208,095,084.75</w:t>
            </w:r>
          </w:p>
        </w:tc>
        <w:tc>
          <w:tcPr>
            <w:tcW w:w="1267"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12,772.47</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48,496,274.33</w:t>
            </w: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w:t>
            </w:r>
          </w:p>
        </w:tc>
        <w:tc>
          <w:tcPr>
            <w:tcW w:w="1794"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3,841,095,426.52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248,718,551.35</w:t>
            </w:r>
          </w:p>
        </w:tc>
        <w:tc>
          <w:tcPr>
            <w:tcW w:w="1267"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111,382,488.00</w:t>
            </w: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752,809,223.34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11,635,722.04</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192,313.35</w:t>
            </w:r>
          </w:p>
        </w:tc>
        <w:tc>
          <w:tcPr>
            <w:tcW w:w="112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14,826,333.50</w:t>
            </w: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226,690,726.74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17,407,305.08</w:t>
            </w:r>
          </w:p>
        </w:tc>
        <w:tc>
          <w:tcPr>
            <w:tcW w:w="1267"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233,766.02</w:t>
            </w:r>
          </w:p>
        </w:tc>
      </w:tr>
      <w:tr>
        <w:trPr>
          <w:trHeight w:val="348"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3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573,108,600.00</w:t>
            </w:r>
          </w:p>
        </w:tc>
        <w:tc>
          <w:tcPr>
            <w:tcW w:w="1688"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2,085,139,800.00</w:t>
            </w:r>
          </w:p>
        </w:tc>
        <w:tc>
          <w:tcPr>
            <w:tcW w:w="1688"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7,478,843,776.60</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277,761,578.47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192,313.35</w:t>
            </w:r>
          </w:p>
        </w:tc>
        <w:tc>
          <w:tcPr>
            <w:tcW w:w="1122"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126,442,587.52</w:t>
            </w:r>
          </w:p>
        </w:tc>
      </w:tr>
    </w:tbl>
    <w:p>
      <w:pPr>
        <w:pStyle w:val="BodyText"/>
        <w:tabs>
          <w:tab w:pos="8533" w:val="left" w:leader="none"/>
        </w:tabs>
        <w:spacing w:line="240" w:lineRule="auto" w:before="10"/>
        <w:ind w:left="319" w:right="90"/>
        <w:jc w:val="left"/>
      </w:pPr>
      <w:r>
        <w:rPr/>
        <w:t>续</w:t>
        <w:tab/>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2080"/>
        <w:gridCol w:w="2046"/>
        <w:gridCol w:w="1472"/>
        <w:gridCol w:w="1283"/>
        <w:gridCol w:w="1145"/>
        <w:gridCol w:w="1632"/>
      </w:tblGrid>
      <w:tr>
        <w:trPr>
          <w:trHeight w:val="335"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4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655"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4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368"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2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英镑项目</w:t>
            </w:r>
          </w:p>
        </w:tc>
        <w:tc>
          <w:tcPr>
            <w:tcW w:w="114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38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63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627" w:right="0"/>
              <w:jc w:val="left"/>
              <w:rPr>
                <w:rFonts w:ascii="宋体" w:hAnsi="宋体" w:cs="宋体" w:eastAsia="宋体" w:hint="default"/>
                <w:sz w:val="18"/>
                <w:szCs w:val="18"/>
              </w:rPr>
            </w:pPr>
            <w:r>
              <w:rPr>
                <w:rFonts w:ascii="宋体" w:hAnsi="宋体" w:cs="宋体" w:eastAsia="宋体" w:hint="default"/>
                <w:sz w:val="18"/>
                <w:szCs w:val="18"/>
              </w:rPr>
              <w:t>日元</w:t>
            </w:r>
          </w:p>
        </w:tc>
      </w:tr>
      <w:tr>
        <w:trPr>
          <w:trHeight w:val="347"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w:t>
            </w:r>
          </w:p>
        </w:tc>
        <w:tc>
          <w:tcPr>
            <w:tcW w:w="2046" w:type="dxa"/>
            <w:tcBorders>
              <w:top w:val="single" w:sz="10" w:space="0" w:color="000000"/>
              <w:left w:val="single" w:sz="6" w:space="0" w:color="000000"/>
              <w:bottom w:val="single" w:sz="6" w:space="0" w:color="000000"/>
              <w:right w:val="single" w:sz="6" w:space="0" w:color="000000"/>
            </w:tcBorders>
          </w:tcPr>
          <w:p>
            <w:pPr/>
          </w:p>
        </w:tc>
        <w:tc>
          <w:tcPr>
            <w:tcW w:w="1472" w:type="dxa"/>
            <w:tcBorders>
              <w:top w:val="single" w:sz="10" w:space="0" w:color="000000"/>
              <w:left w:val="single" w:sz="6" w:space="0" w:color="000000"/>
              <w:bottom w:val="single" w:sz="6" w:space="0" w:color="000000"/>
              <w:right w:val="single" w:sz="6" w:space="0" w:color="000000"/>
            </w:tcBorders>
          </w:tcPr>
          <w:p>
            <w:pPr/>
          </w:p>
        </w:tc>
        <w:tc>
          <w:tcPr>
            <w:tcW w:w="1283" w:type="dxa"/>
            <w:tcBorders>
              <w:top w:val="single" w:sz="10" w:space="0" w:color="000000"/>
              <w:left w:val="single" w:sz="6" w:space="0" w:color="000000"/>
              <w:bottom w:val="single" w:sz="6" w:space="0" w:color="000000"/>
              <w:right w:val="single" w:sz="6" w:space="0" w:color="000000"/>
            </w:tcBorders>
          </w:tcPr>
          <w:p>
            <w:pPr/>
          </w:p>
        </w:tc>
        <w:tc>
          <w:tcPr>
            <w:tcW w:w="1145" w:type="dxa"/>
            <w:tcBorders>
              <w:top w:val="single" w:sz="10" w:space="0" w:color="000000"/>
              <w:left w:val="single" w:sz="6" w:space="0" w:color="000000"/>
              <w:bottom w:val="single" w:sz="6" w:space="0" w:color="000000"/>
              <w:right w:val="single" w:sz="6" w:space="0" w:color="000000"/>
            </w:tcBorders>
          </w:tcPr>
          <w:p>
            <w:pPr/>
          </w:p>
        </w:tc>
        <w:tc>
          <w:tcPr>
            <w:tcW w:w="1632"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307,044,780.19</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674,668.15</w:t>
            </w:r>
          </w:p>
        </w:tc>
        <w:tc>
          <w:tcPr>
            <w:tcW w:w="1283"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6" w:right="0"/>
              <w:jc w:val="left"/>
              <w:rPr>
                <w:rFonts w:ascii="Times New Roman" w:hAnsi="Times New Roman" w:cs="Times New Roman" w:eastAsia="Times New Roman" w:hint="default"/>
                <w:sz w:val="18"/>
                <w:szCs w:val="18"/>
              </w:rPr>
            </w:pPr>
            <w:r>
              <w:rPr>
                <w:rFonts w:ascii="Times New Roman"/>
                <w:sz w:val="18"/>
              </w:rPr>
              <w:t>177,396.54</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8" w:right="0"/>
              <w:jc w:val="left"/>
              <w:rPr>
                <w:rFonts w:ascii="Times New Roman" w:hAnsi="Times New Roman" w:cs="Times New Roman" w:eastAsia="Times New Roman" w:hint="default"/>
                <w:sz w:val="18"/>
                <w:szCs w:val="18"/>
              </w:rPr>
            </w:pPr>
            <w:r>
              <w:rPr>
                <w:rFonts w:ascii="Times New Roman"/>
                <w:sz w:val="18"/>
              </w:rPr>
              <w:t>6,276,201.56</w:t>
            </w:r>
          </w:p>
        </w:tc>
      </w:tr>
      <w:tr>
        <w:trPr>
          <w:trHeight w:val="347"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294,683,799.78</w:t>
            </w:r>
          </w:p>
        </w:tc>
        <w:tc>
          <w:tcPr>
            <w:tcW w:w="147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68" w:right="0"/>
              <w:jc w:val="left"/>
              <w:rPr>
                <w:rFonts w:ascii="Times New Roman" w:hAnsi="Times New Roman" w:cs="Times New Roman" w:eastAsia="Times New Roman" w:hint="default"/>
                <w:sz w:val="18"/>
                <w:szCs w:val="18"/>
              </w:rPr>
            </w:pPr>
            <w:r>
              <w:rPr>
                <w:rFonts w:ascii="Times New Roman"/>
                <w:sz w:val="18"/>
              </w:rPr>
              <w:t>7,487,866.56</w:t>
            </w:r>
          </w:p>
        </w:tc>
      </w:tr>
      <w:tr>
        <w:trPr>
          <w:trHeight w:val="347"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5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267,749,941.56</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47,288,788.51</w:t>
            </w:r>
          </w:p>
        </w:tc>
        <w:tc>
          <w:tcPr>
            <w:tcW w:w="1283"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869,478,521.53</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47,963,456.66</w:t>
            </w:r>
          </w:p>
        </w:tc>
        <w:tc>
          <w:tcPr>
            <w:tcW w:w="1283"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6" w:right="0"/>
              <w:jc w:val="left"/>
              <w:rPr>
                <w:rFonts w:ascii="Times New Roman" w:hAnsi="Times New Roman" w:cs="Times New Roman" w:eastAsia="Times New Roman" w:hint="default"/>
                <w:sz w:val="18"/>
                <w:szCs w:val="18"/>
              </w:rPr>
            </w:pPr>
            <w:r>
              <w:rPr>
                <w:rFonts w:ascii="Times New Roman"/>
                <w:sz w:val="18"/>
              </w:rPr>
              <w:t>177,396.54</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78" w:right="0"/>
              <w:jc w:val="left"/>
              <w:rPr>
                <w:rFonts w:ascii="Times New Roman" w:hAnsi="Times New Roman" w:cs="Times New Roman" w:eastAsia="Times New Roman" w:hint="default"/>
                <w:sz w:val="18"/>
                <w:szCs w:val="18"/>
              </w:rPr>
            </w:pPr>
            <w:r>
              <w:rPr>
                <w:rFonts w:ascii="Times New Roman"/>
                <w:sz w:val="18"/>
              </w:rPr>
              <w:t>13,764,068.12</w:t>
            </w:r>
          </w:p>
        </w:tc>
      </w:tr>
      <w:tr>
        <w:trPr>
          <w:trHeight w:val="348"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w:t>
            </w:r>
          </w:p>
        </w:tc>
        <w:tc>
          <w:tcPr>
            <w:tcW w:w="2046"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1,867,902,093.11</w:t>
            </w:r>
          </w:p>
        </w:tc>
        <w:tc>
          <w:tcPr>
            <w:tcW w:w="147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601,069,230.63</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13,093,037.42</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194,331.04</w:t>
            </w:r>
          </w:p>
        </w:tc>
        <w:tc>
          <w:tcPr>
            <w:tcW w:w="1145"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192,225,546.66</w:t>
            </w:r>
          </w:p>
        </w:tc>
        <w:tc>
          <w:tcPr>
            <w:tcW w:w="147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4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1,006,248,000.00</w:t>
            </w:r>
          </w:p>
        </w:tc>
        <w:tc>
          <w:tcPr>
            <w:tcW w:w="147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6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2,514,324,035.94</w:t>
            </w:r>
          </w:p>
        </w:tc>
        <w:tc>
          <w:tcPr>
            <w:tcW w:w="147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145"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6,181,768,906.34</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13,093,037.42</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194,331.04</w:t>
            </w:r>
          </w:p>
        </w:tc>
        <w:tc>
          <w:tcPr>
            <w:tcW w:w="1145"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10"/>
        <w:ind w:right="86" w:firstLine="270"/>
        <w:jc w:val="left"/>
        <w:rPr>
          <w:rFonts w:ascii="Times New Roman" w:hAnsi="Times New Roman" w:cs="Times New Roman" w:eastAsia="Times New Roman" w:hint="default"/>
        </w:rPr>
      </w:pP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日，对于本集团各类美元、欧元、英镑、港币、日元金融资产和金融负债，如果人民币对美元、欧元、 </w:t>
      </w:r>
      <w:r>
        <w:rPr>
          <w:spacing w:val="-4"/>
        </w:rPr>
        <w:t>英镑升值或贬值</w:t>
      </w:r>
      <w:r>
        <w:rPr>
          <w:rFonts w:ascii="Times New Roman" w:hAnsi="Times New Roman" w:cs="Times New Roman" w:eastAsia="Times New Roman" w:hint="default"/>
          <w:spacing w:val="-4"/>
        </w:rPr>
        <w:t>5%</w:t>
      </w:r>
      <w:r>
        <w:rPr>
          <w:spacing w:val="-4"/>
        </w:rPr>
        <w:t>，其它因素保持不变，则本集团将增加或减少利润约</w:t>
      </w:r>
      <w:r>
        <w:rPr>
          <w:rFonts w:ascii="Times New Roman" w:hAnsi="Times New Roman" w:cs="Times New Roman" w:eastAsia="Times New Roman" w:hint="default"/>
          <w:spacing w:val="-4"/>
        </w:rPr>
        <w:t>346,940,623.98</w:t>
      </w:r>
      <w:r>
        <w:rPr>
          <w:spacing w:val="-4"/>
        </w:rPr>
        <w:t>元</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31 </w:t>
      </w:r>
      <w:r>
        <w:rPr>
          <w:spacing w:val="-6"/>
        </w:rPr>
        <w:t>日：约</w:t>
      </w:r>
      <w:r>
        <w:rPr>
          <w:rFonts w:ascii="Times New Roman" w:hAnsi="Times New Roman" w:cs="Times New Roman" w:eastAsia="Times New Roman" w:hint="default"/>
          <w:spacing w:val="-6"/>
        </w:rPr>
        <w:t>263,183,641.60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元</w:t>
      </w:r>
      <w:r>
        <w:rPr>
          <w:rFonts w:ascii="Times New Roman" w:hAnsi="Times New Roman" w:cs="Times New Roman" w:eastAsia="Times New Roman" w:hint="default"/>
        </w:rPr>
        <w:t>)</w:t>
      </w:r>
    </w:p>
    <w:p>
      <w:pPr>
        <w:pStyle w:val="BodyText"/>
        <w:spacing w:line="300" w:lineRule="auto" w:before="13"/>
        <w:ind w:left="424" w:right="180" w:firstLine="81"/>
        <w:jc w:val="left"/>
      </w:pPr>
      <w:r>
        <w:rPr>
          <w:rFonts w:ascii="Times New Roman" w:hAnsi="Times New Roman" w:cs="Times New Roman" w:eastAsia="Times New Roman" w:hint="default"/>
        </w:rPr>
        <w:t>(2)</w:t>
      </w:r>
      <w:r>
        <w:rPr/>
        <w:t>利率风险 本集团的利率风险产生于银行借款及应付债券等带息债务。浮动利率的金融负债使本集团面临现金流量利率风险，固定</w:t>
      </w:r>
    </w:p>
    <w:p>
      <w:pPr>
        <w:pStyle w:val="BodyText"/>
        <w:spacing w:line="316" w:lineRule="auto" w:before="31"/>
        <w:ind w:left="154" w:right="90"/>
        <w:jc w:val="left"/>
      </w:pPr>
      <w:r>
        <w:rPr/>
        <w:t>利率的金融负债使本集团面临公允价值利率风险。本集团根据当时的市场环境来决定固定利率及浮动利率合同的相对比例。 </w:t>
      </w:r>
      <w:r>
        <w:rPr>
          <w:spacing w:val="2"/>
        </w:rPr>
        <w:t>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日，本集团的带息债务主要为以人民币和美元计价的浮动利率借款合同，金额合计为</w:t>
      </w:r>
      <w:r>
        <w:rPr>
          <w:rFonts w:ascii="Times New Roman" w:hAnsi="Times New Roman" w:cs="Times New Roman" w:eastAsia="Times New Roman" w:hint="default"/>
          <w:spacing w:val="2"/>
        </w:rPr>
        <w:t>14,331,866,545.75</w:t>
      </w:r>
      <w:r>
        <w:rPr>
          <w:spacing w:val="2"/>
        </w:rPr>
        <w:t>元</w:t>
      </w:r>
    </w:p>
    <w:p>
      <w:pPr>
        <w:pStyle w:val="BodyText"/>
        <w:spacing w:line="300" w:lineRule="auto"/>
        <w:ind w:left="513" w:right="90" w:hanging="36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18,177,675,131.10?)</w:t>
      </w:r>
      <w:r>
        <w:rPr/>
        <w:t>，及以人民币计价的固定利率合同，金额为</w:t>
      </w:r>
      <w:r>
        <w:rPr>
          <w:rFonts w:ascii="Times New Roman" w:hAnsi="Times New Roman" w:cs="Times New Roman" w:eastAsia="Times New Roman" w:hint="default"/>
        </w:rPr>
        <w:t>127</w:t>
      </w:r>
      <w:r>
        <w:rPr/>
        <w:t>亿元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85</w:t>
      </w:r>
      <w:r>
        <w:rPr/>
        <w:t>亿元</w:t>
      </w:r>
      <w:r>
        <w:rPr>
          <w:rFonts w:ascii="Times New Roman" w:hAnsi="Times New Roman" w:cs="Times New Roman" w:eastAsia="Times New Roman" w:hint="default"/>
        </w:rPr>
        <w:t>)</w:t>
      </w:r>
      <w:r>
        <w:rPr/>
        <w:t>。 </w:t>
      </w:r>
      <w:r>
        <w:rPr>
          <w:spacing w:val="-2"/>
        </w:rPr>
        <w:t>本集团总部财务部门持续监控集团利率水平。利率上升会增加新增带息债务的成本以及本集团尚未付清的以浮动利率计</w:t>
      </w:r>
    </w:p>
    <w:p>
      <w:pPr>
        <w:pStyle w:val="BodyText"/>
        <w:spacing w:line="316" w:lineRule="auto" w:before="31"/>
        <w:ind w:right="90"/>
        <w:jc w:val="left"/>
      </w:pPr>
      <w:r>
        <w:rPr>
          <w:spacing w:val="-2"/>
        </w:rPr>
        <w:t>息的带息债务的利息支出，并对本集团的财务业绩产生重大的不利影响，管理层会依据最新的市场状况及时做出调整。本公</w:t>
      </w:r>
      <w:r>
        <w:rPr>
          <w:spacing w:val="-66"/>
        </w:rPr>
        <w:t> </w:t>
      </w:r>
      <w:r>
        <w:rPr>
          <w:spacing w:val="-66"/>
        </w:rPr>
      </w:r>
      <w:r>
        <w:rPr/>
        <w:t>司董事认为未来利率变化不会对本集团的经营业绩造成重大不利影响。</w:t>
      </w:r>
    </w:p>
    <w:p>
      <w:pPr>
        <w:pStyle w:val="BodyText"/>
        <w:spacing w:line="300" w:lineRule="auto" w:before="18"/>
        <w:ind w:left="154" w:right="177" w:firstLine="360"/>
        <w:jc w:val="left"/>
      </w:pPr>
      <w:r>
        <w:rPr>
          <w:spacing w:val="-1"/>
        </w:rPr>
        <w:t>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日，如果带息债务计算的借款利率上升或下跌</w:t>
      </w:r>
      <w:r>
        <w:rPr>
          <w:rFonts w:ascii="Times New Roman" w:hAnsi="Times New Roman" w:cs="Times New Roman" w:eastAsia="Times New Roman" w:hint="default"/>
          <w:spacing w:val="-1"/>
        </w:rPr>
        <w:t>10%</w:t>
      </w:r>
      <w:r>
        <w:rPr>
          <w:spacing w:val="-1"/>
        </w:rPr>
        <w:t>，而其他因素保持不变，则本年度利润将减少或增加</w:t>
      </w:r>
      <w:r>
        <w:rPr/>
        <w:t> 约人民币</w:t>
      </w:r>
      <w:r>
        <w:rPr>
          <w:rFonts w:ascii="Times New Roman" w:hAnsi="Times New Roman" w:cs="Times New Roman" w:eastAsia="Times New Roman" w:hint="default"/>
        </w:rPr>
        <w:t>69,367,358.72</w:t>
      </w:r>
      <w:r>
        <w:rPr/>
        <w:t>元</w:t>
      </w:r>
      <w:r>
        <w:rPr>
          <w:rFonts w:ascii="Times New Roman" w:hAnsi="Times New Roman" w:cs="Times New Roman" w:eastAsia="Times New Roman" w:hint="default"/>
        </w:rPr>
        <w:t>(2012</w:t>
      </w:r>
      <w:r>
        <w:rPr/>
        <w:t>年度：人民币</w:t>
      </w:r>
      <w:r>
        <w:rPr>
          <w:rFonts w:ascii="Times New Roman" w:hAnsi="Times New Roman" w:cs="Times New Roman" w:eastAsia="Times New Roman" w:hint="default"/>
        </w:rPr>
        <w:t>100,696,983.81</w:t>
      </w:r>
      <w:r>
        <w:rPr/>
        <w:t>元</w:t>
      </w:r>
      <w:r>
        <w:rPr>
          <w:rFonts w:ascii="Times New Roman" w:hAnsi="Times New Roman" w:cs="Times New Roman" w:eastAsia="Times New Roman" w:hint="default"/>
        </w:rPr>
        <w:t>)</w:t>
      </w:r>
      <w:r>
        <w:rPr/>
        <w:t>，主要由于利息支出的增加和减少。</w:t>
      </w:r>
    </w:p>
    <w:p>
      <w:pPr>
        <w:pStyle w:val="BodyText"/>
        <w:spacing w:line="300" w:lineRule="auto" w:before="13"/>
        <w:ind w:left="513" w:right="90" w:hanging="9"/>
        <w:jc w:val="left"/>
      </w:pPr>
      <w:r>
        <w:rPr>
          <w:rFonts w:ascii="Times New Roman" w:hAnsi="Times New Roman" w:cs="Times New Roman" w:eastAsia="Times New Roman" w:hint="default"/>
        </w:rPr>
        <w:t>2</w:t>
      </w:r>
      <w:r>
        <w:rPr/>
        <w:t>、信用风险 </w:t>
      </w:r>
      <w:r>
        <w:rPr>
          <w:spacing w:val="-2"/>
        </w:rPr>
        <w:t>本集团对信用风险按组合分类进行管理。信用风险主要产生于银行存款、应收账款、其他应收款和应收票据等。本集团</w:t>
      </w:r>
    </w:p>
    <w:p>
      <w:pPr>
        <w:spacing w:after="0" w:line="300"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12" w:lineRule="auto" w:before="44"/>
        <w:ind w:right="90"/>
        <w:jc w:val="left"/>
      </w:pPr>
      <w:r>
        <w:rPr>
          <w:spacing w:val="-4"/>
        </w:rPr>
        <w:t>银行存款主要存放于国有银行和其它大中型上市银行，应收票据全部为银行承兑汇票，本集团认为其不存在重大的信用风险，</w:t>
      </w:r>
      <w:r>
        <w:rPr>
          <w:spacing w:val="-44"/>
        </w:rPr>
        <w:t> </w:t>
      </w:r>
      <w:r>
        <w:rPr>
          <w:spacing w:val="-44"/>
        </w:rPr>
      </w:r>
      <w:r>
        <w:rPr>
          <w:spacing w:val="-2"/>
        </w:rPr>
        <w:t>不会产生因对方单位违约而导致的任何重大损失。销售通过预收和赊销两种方式结合进行结算，赊销客户执行严格的信用批</w:t>
      </w:r>
      <w:r>
        <w:rPr>
          <w:spacing w:val="-64"/>
        </w:rPr>
        <w:t> </w:t>
      </w:r>
      <w:r>
        <w:rPr>
          <w:spacing w:val="-64"/>
        </w:rPr>
      </w:r>
      <w:r>
        <w:rPr/>
        <w:t>准制度，设立专职部门定期审核每个贸易客户信用状况，合理控制每个贸易客户的信用额度及账期</w:t>
      </w:r>
      <w:r>
        <w:rPr>
          <w:rFonts w:ascii="Times New Roman" w:hAnsi="Times New Roman" w:cs="Times New Roman" w:eastAsia="Times New Roman" w:hint="default"/>
        </w:rPr>
        <w:t>;</w:t>
      </w:r>
      <w:r>
        <w:rPr/>
        <w:t>及时追讨过期欠款</w:t>
      </w:r>
      <w:r>
        <w:rPr>
          <w:rFonts w:ascii="Times New Roman" w:hAnsi="Times New Roman" w:cs="Times New Roman" w:eastAsia="Times New Roman" w:hint="default"/>
        </w:rPr>
        <w:t>;</w:t>
      </w:r>
      <w:r>
        <w:rPr/>
        <w:t>期末 逐一审核应收款项可收回金额并据此足额计提坏账准备，因而贸易客户不存在重大的信用风险。</w:t>
      </w:r>
    </w:p>
    <w:p>
      <w:pPr>
        <w:pStyle w:val="BodyText"/>
        <w:spacing w:line="240" w:lineRule="auto" w:before="22"/>
        <w:ind w:left="513" w:right="90"/>
        <w:jc w:val="left"/>
      </w:pPr>
      <w:r>
        <w:rPr/>
        <w:t>本集团管理层不认为会因以上各方的不履约行为而造成任何重大损失。</w:t>
      </w:r>
    </w:p>
    <w:p>
      <w:pPr>
        <w:pStyle w:val="BodyText"/>
        <w:spacing w:line="300" w:lineRule="auto" w:before="76"/>
        <w:ind w:left="591" w:right="193" w:hanging="87"/>
        <w:jc w:val="left"/>
      </w:pPr>
      <w:r>
        <w:rPr>
          <w:rFonts w:ascii="Times New Roman" w:hAnsi="Times New Roman" w:cs="Times New Roman" w:eastAsia="Times New Roman" w:hint="default"/>
        </w:rPr>
        <w:t>3</w:t>
      </w:r>
      <w:r>
        <w:rPr/>
        <w:t>、流动性风险 本集团内各子公司负责其自身的现金流量预测。总部财务部门在汇总各子公司现金流量预测的基础上，在集团层面持</w:t>
      </w:r>
    </w:p>
    <w:p>
      <w:pPr>
        <w:pStyle w:val="BodyText"/>
        <w:spacing w:line="316" w:lineRule="auto" w:before="31"/>
        <w:ind w:right="90"/>
        <w:jc w:val="left"/>
      </w:pPr>
      <w:r>
        <w:rPr>
          <w:spacing w:val="-2"/>
        </w:rPr>
        <w:t>续监控短期和长期的资金需求，以确保维持充裕的现金储备；同时持续监控是否符合借款协议的规定，从主要金融机构获得</w:t>
      </w:r>
      <w:r>
        <w:rPr>
          <w:spacing w:val="-66"/>
        </w:rPr>
        <w:t> </w:t>
      </w:r>
      <w:r>
        <w:rPr>
          <w:spacing w:val="-66"/>
        </w:rPr>
      </w:r>
      <w:r>
        <w:rPr/>
        <w:t>提供足够备用资金的承诺，以满足短期和长期的资金需求。</w:t>
      </w:r>
    </w:p>
    <w:p>
      <w:pPr>
        <w:pStyle w:val="BodyText"/>
        <w:spacing w:line="240" w:lineRule="auto" w:before="18"/>
        <w:ind w:left="513" w:right="90"/>
        <w:jc w:val="left"/>
        <w:rPr>
          <w:rFonts w:ascii="Times New Roman" w:hAnsi="Times New Roman" w:cs="Times New Roman" w:eastAsia="Times New Roman" w:hint="default"/>
        </w:rPr>
      </w:pPr>
      <w:r>
        <w:rPr/>
        <w:t>于资产负债表日，本集团各项金融资产及金融负债合同现金流量按到期日列示如下</w:t>
      </w:r>
      <w:r>
        <w:rPr>
          <w:rFonts w:ascii="Times New Roman" w:hAnsi="Times New Roman" w:cs="Times New Roman" w:eastAsia="Times New Roman" w:hint="default"/>
        </w:rPr>
        <w:t>:</w:t>
      </w:r>
    </w:p>
    <w:p>
      <w:pPr>
        <w:pStyle w:val="BodyText"/>
        <w:spacing w:line="240" w:lineRule="auto" w:before="62"/>
        <w:ind w:left="7767" w:right="190"/>
        <w:jc w:val="righ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p>
    <w:p>
      <w:pPr>
        <w:spacing w:line="240" w:lineRule="auto" w:before="1"/>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1486"/>
        <w:gridCol w:w="1634"/>
        <w:gridCol w:w="1633"/>
        <w:gridCol w:w="1634"/>
        <w:gridCol w:w="1638"/>
        <w:gridCol w:w="1632"/>
      </w:tblGrid>
      <w:tr>
        <w:trPr>
          <w:trHeight w:val="335"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3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63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450"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63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451"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63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634" w:type="dxa"/>
            <w:tcBorders>
              <w:top w:val="single" w:sz="9" w:space="0" w:color="000000"/>
              <w:left w:val="single" w:sz="7" w:space="0" w:color="000000"/>
              <w:bottom w:val="single" w:sz="6" w:space="0" w:color="000000"/>
              <w:right w:val="single" w:sz="6" w:space="0" w:color="000000"/>
            </w:tcBorders>
          </w:tcPr>
          <w:p>
            <w:pPr/>
          </w:p>
        </w:tc>
        <w:tc>
          <w:tcPr>
            <w:tcW w:w="1633" w:type="dxa"/>
            <w:tcBorders>
              <w:top w:val="single" w:sz="9" w:space="0" w:color="000000"/>
              <w:left w:val="single" w:sz="6" w:space="0" w:color="000000"/>
              <w:bottom w:val="single" w:sz="6" w:space="0" w:color="000000"/>
              <w:right w:val="single" w:sz="6" w:space="0" w:color="000000"/>
            </w:tcBorders>
          </w:tcPr>
          <w:p>
            <w:pPr/>
          </w:p>
        </w:tc>
        <w:tc>
          <w:tcPr>
            <w:tcW w:w="1634" w:type="dxa"/>
            <w:tcBorders>
              <w:top w:val="single" w:sz="9" w:space="0" w:color="000000"/>
              <w:left w:val="single" w:sz="6" w:space="0" w:color="000000"/>
              <w:bottom w:val="single" w:sz="6" w:space="0" w:color="000000"/>
              <w:right w:val="single" w:sz="6" w:space="0" w:color="000000"/>
            </w:tcBorders>
          </w:tcPr>
          <w:p>
            <w:pPr/>
          </w:p>
        </w:tc>
        <w:tc>
          <w:tcPr>
            <w:tcW w:w="1638" w:type="dxa"/>
            <w:tcBorders>
              <w:top w:val="single" w:sz="9" w:space="0" w:color="000000"/>
              <w:left w:val="single" w:sz="6" w:space="0" w:color="000000"/>
              <w:bottom w:val="single" w:sz="6" w:space="0" w:color="000000"/>
              <w:right w:val="single" w:sz="6" w:space="0" w:color="000000"/>
            </w:tcBorders>
          </w:tcPr>
          <w:p>
            <w:pPr/>
          </w:p>
        </w:tc>
        <w:tc>
          <w:tcPr>
            <w:tcW w:w="1632" w:type="dxa"/>
            <w:tcBorders>
              <w:top w:val="single" w:sz="9" w:space="0" w:color="000000"/>
              <w:left w:val="single" w:sz="6" w:space="0" w:color="000000"/>
              <w:bottom w:val="single" w:sz="6" w:space="0" w:color="000000"/>
              <w:right w:val="single" w:sz="6" w:space="0" w:color="000000"/>
            </w:tcBorders>
          </w:tcPr>
          <w:p>
            <w:pP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2,547,729,794.24</w:t>
            </w: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2,547,729,794.24</w:t>
            </w:r>
          </w:p>
        </w:tc>
      </w:tr>
      <w:tr>
        <w:trPr>
          <w:trHeight w:val="348"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2,870,443,681.49</w:t>
            </w: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2,870,443,681.49</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3,172,267,013.90</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50,136,238.22</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107,116,385.54</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3,329,519,637.66</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1,200,466,405.38</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100,811,139.72</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101,683,787.31</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1,402,961,332.41</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647,808,677.28</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941,212,653.96</w:t>
            </w:r>
          </w:p>
        </w:tc>
        <w:tc>
          <w:tcPr>
            <w:tcW w:w="1634"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1,589,021,331.24</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10,438,715,572.29</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1,092,160,031.90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208,800,172.85</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11,739,675,777.04</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金融负债</w:t>
            </w:r>
            <w:r>
              <w:rPr>
                <w:rFonts w:ascii="Times New Roman" w:hAnsi="Times New Roman" w:cs="Times New Roman" w:eastAsia="Times New Roman" w:hint="default"/>
                <w:sz w:val="18"/>
                <w:szCs w:val="18"/>
              </w:rPr>
              <w:t>-</w:t>
            </w:r>
          </w:p>
        </w:tc>
        <w:tc>
          <w:tcPr>
            <w:tcW w:w="1634" w:type="dxa"/>
            <w:tcBorders>
              <w:top w:val="single" w:sz="6" w:space="0" w:color="000000"/>
              <w:left w:val="single" w:sz="7"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9,818,885,237.85</w:t>
            </w: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9,818,885,237.85</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290,403,790.59</w:t>
            </w: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290,403,790.59</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2,251,158,621.76</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240,434,222.13</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203,577,083.25</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2,695,169,927.14</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425,728,033.93</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16,704,227.65</w:t>
            </w:r>
          </w:p>
        </w:tc>
        <w:tc>
          <w:tcPr>
            <w:tcW w:w="1634"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442,432,261.58</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419,910,089.94</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23,967,481.29</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42,959,024.66</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486,836,595.89</w:t>
            </w:r>
          </w:p>
        </w:tc>
      </w:tr>
      <w:tr>
        <w:trPr>
          <w:trHeight w:val="659"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一年内到期的非流 </w:t>
            </w:r>
            <w:r>
              <w:rPr>
                <w:rFonts w:ascii="宋体" w:hAnsi="宋体" w:cs="宋体" w:eastAsia="宋体" w:hint="default"/>
                <w:sz w:val="18"/>
                <w:szCs w:val="18"/>
              </w:rPr>
              <w:t>动负债</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1,289,115,500.00</w:t>
            </w: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1,289,115,500.00</w:t>
            </w:r>
          </w:p>
        </w:tc>
      </w:tr>
      <w:tr>
        <w:trPr>
          <w:trHeight w:val="348"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34" w:type="dxa"/>
            <w:tcBorders>
              <w:top w:val="single" w:sz="6" w:space="0" w:color="000000"/>
              <w:left w:val="single" w:sz="7"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898,143,000.00</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1,204,701,900.00</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1,621,020,907.90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3,723,865,807.90</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34" w:type="dxa"/>
            <w:tcBorders>
              <w:top w:val="single" w:sz="6" w:space="0" w:color="000000"/>
              <w:left w:val="single" w:sz="7"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5,800,000,000.00</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5,800,000,000.00</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34" w:type="dxa"/>
            <w:tcBorders>
              <w:top w:val="single" w:sz="6" w:space="0" w:color="000000"/>
              <w:left w:val="single" w:sz="7"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60,000,000.00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1634" w:type="dxa"/>
            <w:tcBorders>
              <w:top w:val="single" w:sz="6" w:space="0" w:color="000000"/>
              <w:left w:val="single" w:sz="7"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1,100,000,000.00</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私募债</w:t>
            </w:r>
          </w:p>
        </w:tc>
        <w:tc>
          <w:tcPr>
            <w:tcW w:w="1634" w:type="dxa"/>
            <w:tcBorders>
              <w:top w:val="single" w:sz="6" w:space="0" w:color="000000"/>
              <w:left w:val="single" w:sz="7" w:space="0" w:color="000000"/>
              <w:bottom w:val="single" w:sz="6" w:space="0" w:color="000000"/>
              <w:right w:val="single" w:sz="6" w:space="0" w:color="000000"/>
            </w:tcBorders>
          </w:tcPr>
          <w:p>
            <w:pP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1,500,000,000.00</w:t>
            </w: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1,500,000,000.00</w:t>
            </w:r>
          </w:p>
        </w:tc>
      </w:tr>
      <w:tr>
        <w:trPr>
          <w:trHeight w:val="347"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短期融资券</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3,800,000,000.00</w:t>
            </w:r>
          </w:p>
        </w:tc>
        <w:tc>
          <w:tcPr>
            <w:tcW w:w="1633" w:type="dxa"/>
            <w:tcBorders>
              <w:top w:val="single" w:sz="6" w:space="0" w:color="000000"/>
              <w:left w:val="single" w:sz="6" w:space="0" w:color="000000"/>
              <w:bottom w:val="single" w:sz="6" w:space="0" w:color="000000"/>
              <w:right w:val="single" w:sz="6" w:space="0" w:color="000000"/>
            </w:tcBorders>
          </w:tcPr>
          <w:p>
            <w:pPr/>
          </w:p>
        </w:tc>
        <w:tc>
          <w:tcPr>
            <w:tcW w:w="1634" w:type="dxa"/>
            <w:tcBorders>
              <w:top w:val="single" w:sz="6" w:space="0" w:color="000000"/>
              <w:left w:val="single" w:sz="6" w:space="0" w:color="000000"/>
              <w:bottom w:val="single" w:sz="6" w:space="0" w:color="000000"/>
              <w:right w:val="single" w:sz="6" w:space="0" w:color="000000"/>
            </w:tcBorders>
          </w:tcPr>
          <w:p>
            <w:pPr/>
          </w:p>
        </w:tc>
        <w:tc>
          <w:tcPr>
            <w:tcW w:w="1638"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3,800,000,000.00</w:t>
            </w:r>
          </w:p>
        </w:tc>
      </w:tr>
      <w:tr>
        <w:trPr>
          <w:trHeight w:val="348" w:hRule="exact"/>
        </w:trPr>
        <w:tc>
          <w:tcPr>
            <w:tcW w:w="148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634"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18,295,201,274.07</w:t>
            </w:r>
          </w:p>
        </w:tc>
        <w:tc>
          <w:tcPr>
            <w:tcW w:w="1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1,179,248,931.07</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9,851,238,007.91</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1,681,020,907.90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31,006,709,120.95</w:t>
            </w:r>
          </w:p>
        </w:tc>
      </w:tr>
    </w:tbl>
    <w:p>
      <w:pPr>
        <w:pStyle w:val="BodyText"/>
        <w:tabs>
          <w:tab w:pos="8298" w:val="left" w:leader="none"/>
        </w:tabs>
        <w:spacing w:line="240" w:lineRule="auto" w:before="10"/>
        <w:ind w:left="514" w:right="90"/>
        <w:jc w:val="left"/>
      </w:pPr>
      <w:r>
        <w:rPr/>
        <w:t>续</w:t>
        <w:tab/>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3"/>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1478"/>
        <w:gridCol w:w="1727"/>
        <w:gridCol w:w="1476"/>
        <w:gridCol w:w="1626"/>
        <w:gridCol w:w="1626"/>
        <w:gridCol w:w="1724"/>
      </w:tblGrid>
      <w:tr>
        <w:trPr>
          <w:trHeight w:val="335" w:hRule="exact"/>
        </w:trPr>
        <w:tc>
          <w:tcPr>
            <w:tcW w:w="14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49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369"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6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445" w:right="0"/>
              <w:jc w:val="left"/>
              <w:rPr>
                <w:rFonts w:ascii="宋体" w:hAnsi="宋体" w:cs="宋体" w:eastAsia="宋体" w:hint="default"/>
                <w:sz w:val="18"/>
                <w:szCs w:val="18"/>
              </w:rPr>
            </w:pPr>
            <w:r>
              <w:rPr>
                <w:rFonts w:ascii="宋体" w:hAnsi="宋体" w:cs="宋体" w:eastAsia="宋体" w:hint="default"/>
                <w:sz w:val="18"/>
                <w:szCs w:val="18"/>
              </w:rPr>
              <w:t>二到五年</w:t>
            </w:r>
          </w:p>
        </w:tc>
        <w:tc>
          <w:tcPr>
            <w:tcW w:w="162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445"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14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72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4,456,217,362.86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4,456,217,362.86</w:t>
            </w:r>
          </w:p>
        </w:tc>
      </w:tr>
      <w:tr>
        <w:trPr>
          <w:trHeight w:val="347" w:hRule="exact"/>
        </w:trPr>
        <w:tc>
          <w:tcPr>
            <w:tcW w:w="14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1,852,478,364.46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1,852,478,364.46</w:t>
            </w:r>
          </w:p>
        </w:tc>
      </w:tr>
      <w:tr>
        <w:trPr>
          <w:trHeight w:val="347" w:hRule="exact"/>
        </w:trPr>
        <w:tc>
          <w:tcPr>
            <w:tcW w:w="14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3,709,154,191.60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65,152,312.73</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94,541,660.32</w:t>
            </w: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3,868,848,164.65</w:t>
            </w:r>
          </w:p>
        </w:tc>
      </w:tr>
      <w:tr>
        <w:trPr>
          <w:trHeight w:val="348" w:hRule="exact"/>
        </w:trPr>
        <w:tc>
          <w:tcPr>
            <w:tcW w:w="147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50" w:right="0"/>
              <w:jc w:val="left"/>
              <w:rPr>
                <w:rFonts w:ascii="Times New Roman" w:hAnsi="Times New Roman" w:cs="Times New Roman" w:eastAsia="Times New Roman" w:hint="default"/>
                <w:sz w:val="18"/>
                <w:szCs w:val="18"/>
              </w:rPr>
            </w:pPr>
            <w:r>
              <w:rPr>
                <w:rFonts w:ascii="Times New Roman"/>
                <w:sz w:val="18"/>
              </w:rPr>
              <w:t>1,145,721,315.64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131,913,116.61</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72,230,020.73</w:t>
            </w: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1,349,864,452.98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4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477"/>
        <w:gridCol w:w="1728"/>
        <w:gridCol w:w="1476"/>
        <w:gridCol w:w="1626"/>
        <w:gridCol w:w="1626"/>
        <w:gridCol w:w="1724"/>
      </w:tblGrid>
      <w:tr>
        <w:trPr>
          <w:trHeight w:val="347"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1,458,377,404.07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177,856,520.57</w:t>
            </w:r>
          </w:p>
        </w:tc>
        <w:tc>
          <w:tcPr>
            <w:tcW w:w="162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1,636,233,924.64</w:t>
            </w:r>
          </w:p>
        </w:tc>
      </w:tr>
      <w:tr>
        <w:trPr>
          <w:trHeight w:val="347"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476"/>
              <w:jc w:val="righ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12,621,948,638.63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374,921,949.91</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166,771,681.05</w:t>
            </w: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13,163,642,269.59</w:t>
            </w:r>
          </w:p>
        </w:tc>
      </w:tr>
      <w:tr>
        <w:trPr>
          <w:trHeight w:val="347"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2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12,876,398,495.16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12,876,398,495.16</w:t>
            </w:r>
          </w:p>
        </w:tc>
      </w:tr>
      <w:tr>
        <w:trPr>
          <w:trHeight w:val="347"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1,285,627,762.07</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1,285,627,762.07</w:t>
            </w:r>
          </w:p>
        </w:tc>
      </w:tr>
      <w:tr>
        <w:trPr>
          <w:trHeight w:val="347"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2,937,983,262.67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158,572,722.64</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143,225,739.50</w:t>
            </w: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3,239,781,724.81</w:t>
            </w:r>
          </w:p>
        </w:tc>
      </w:tr>
      <w:tr>
        <w:trPr>
          <w:trHeight w:val="347"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340,139,089.13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4,460,841.54</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3,235,870.20</w:t>
            </w: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347,835,800.87</w:t>
            </w:r>
          </w:p>
        </w:tc>
      </w:tr>
      <w:tr>
        <w:trPr>
          <w:trHeight w:val="347"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310,080,861.84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58,740,745.82</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66,950,681.32</w:t>
            </w: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435,772,288.98</w:t>
            </w:r>
          </w:p>
        </w:tc>
      </w:tr>
      <w:tr>
        <w:trPr>
          <w:trHeight w:val="659"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一年内到期的非流 </w:t>
            </w:r>
            <w:r>
              <w:rPr>
                <w:rFonts w:ascii="宋体" w:hAnsi="宋体" w:cs="宋体" w:eastAsia="宋体" w:hint="default"/>
                <w:sz w:val="18"/>
                <w:szCs w:val="18"/>
              </w:rPr>
              <w:t>动负债</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1,368,108,800.00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1,368,108,800.00</w:t>
            </w:r>
          </w:p>
        </w:tc>
      </w:tr>
      <w:tr>
        <w:trPr>
          <w:trHeight w:val="348"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2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732,072,000.00</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102,692,035.94</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3,098,403,800.00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3,933,167,835.94</w:t>
            </w:r>
          </w:p>
        </w:tc>
      </w:tr>
      <w:tr>
        <w:trPr>
          <w:trHeight w:val="347"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2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6,300,000,000.00</w:t>
            </w: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6,300,000,000.00</w:t>
            </w:r>
          </w:p>
        </w:tc>
      </w:tr>
      <w:tr>
        <w:trPr>
          <w:trHeight w:val="347"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1,100,000,000.00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1,100,000,000.00</w:t>
            </w:r>
          </w:p>
        </w:tc>
        <w:tc>
          <w:tcPr>
            <w:tcW w:w="16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2,200,000,000.00</w:t>
            </w:r>
          </w:p>
        </w:tc>
      </w:tr>
      <w:tr>
        <w:trPr>
          <w:trHeight w:val="348" w:hRule="exact"/>
        </w:trPr>
        <w:tc>
          <w:tcPr>
            <w:tcW w:w="1477"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476"/>
              <w:jc w:val="righ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20,218,338,270.87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953,846,310.00</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7,716,104,326.96</w:t>
            </w:r>
          </w:p>
        </w:tc>
        <w:tc>
          <w:tcPr>
            <w:tcW w:w="1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3,098,403,800.00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31,986,692,707.83</w:t>
            </w:r>
          </w:p>
        </w:tc>
      </w:tr>
    </w:tbl>
    <w:p>
      <w:pPr>
        <w:pStyle w:val="BodyText"/>
        <w:spacing w:line="240" w:lineRule="auto" w:before="10"/>
        <w:ind w:left="154" w:right="90"/>
        <w:jc w:val="left"/>
      </w:pPr>
      <w:r>
        <w:rPr/>
        <w:t>银行借款及应付债券偿还期分析如下：</w:t>
      </w:r>
    </w:p>
    <w:p>
      <w:pPr>
        <w:spacing w:line="240" w:lineRule="auto" w:before="0"/>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3479"/>
        <w:gridCol w:w="1585"/>
        <w:gridCol w:w="1585"/>
        <w:gridCol w:w="1584"/>
        <w:gridCol w:w="1424"/>
      </w:tblGrid>
      <w:tr>
        <w:trPr>
          <w:trHeight w:val="335" w:hRule="exact"/>
        </w:trPr>
        <w:tc>
          <w:tcPr>
            <w:tcW w:w="3479" w:type="dxa"/>
            <w:vMerge w:val="restart"/>
            <w:tcBorders>
              <w:top w:val="single" w:sz="6" w:space="0" w:color="000000"/>
              <w:left w:val="single" w:sz="6" w:space="0" w:color="000000"/>
              <w:right w:val="single" w:sz="6" w:space="0" w:color="000000"/>
            </w:tcBorders>
            <w:shd w:val="clear" w:color="auto" w:fill="CCCCCC"/>
          </w:tcPr>
          <w:p>
            <w:pPr/>
          </w:p>
        </w:tc>
        <w:tc>
          <w:tcPr>
            <w:tcW w:w="3170"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008"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2" w:hRule="exact"/>
        </w:trPr>
        <w:tc>
          <w:tcPr>
            <w:tcW w:w="3479" w:type="dxa"/>
            <w:vMerge/>
            <w:tcBorders>
              <w:left w:val="single" w:sz="6" w:space="0" w:color="000000"/>
              <w:bottom w:val="single" w:sz="6" w:space="0" w:color="000000"/>
              <w:right w:val="single" w:sz="6" w:space="0" w:color="000000"/>
            </w:tcBorders>
            <w:shd w:val="clear" w:color="auto" w:fill="CCCCCC"/>
          </w:tcPr>
          <w:p>
            <w:pPr/>
          </w:p>
        </w:tc>
        <w:tc>
          <w:tcPr>
            <w:tcW w:w="15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42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345" w:right="0"/>
              <w:jc w:val="left"/>
              <w:rPr>
                <w:rFonts w:ascii="宋体" w:hAnsi="宋体" w:cs="宋体" w:eastAsia="宋体" w:hint="default"/>
                <w:sz w:val="18"/>
                <w:szCs w:val="18"/>
              </w:rPr>
            </w:pPr>
            <w:r>
              <w:rPr>
                <w:rFonts w:ascii="宋体" w:hAnsi="宋体" w:cs="宋体" w:eastAsia="宋体" w:hint="default"/>
                <w:sz w:val="18"/>
                <w:szCs w:val="18"/>
              </w:rPr>
              <w:t>应付债券</w:t>
            </w:r>
          </w:p>
        </w:tc>
      </w:tr>
      <w:tr>
        <w:trPr>
          <w:trHeight w:val="341" w:hRule="exact"/>
        </w:trPr>
        <w:tc>
          <w:tcPr>
            <w:tcW w:w="347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最后一期还款日在五年之内的借款</w:t>
            </w:r>
          </w:p>
        </w:tc>
        <w:tc>
          <w:tcPr>
            <w:tcW w:w="1585"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12,710,845,637.85</w:t>
            </w:r>
          </w:p>
        </w:tc>
        <w:tc>
          <w:tcPr>
            <w:tcW w:w="15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12,700,000,000.00</w:t>
            </w:r>
          </w:p>
        </w:tc>
        <w:tc>
          <w:tcPr>
            <w:tcW w:w="15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15,079,271,331.10</w:t>
            </w:r>
          </w:p>
        </w:tc>
        <w:tc>
          <w:tcPr>
            <w:tcW w:w="142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8,500,000,000.00</w:t>
            </w:r>
          </w:p>
        </w:tc>
      </w:tr>
      <w:tr>
        <w:trPr>
          <w:trHeight w:val="347" w:hRule="exact"/>
        </w:trPr>
        <w:tc>
          <w:tcPr>
            <w:tcW w:w="347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最后一期还款日为五年之后的借款</w:t>
            </w:r>
          </w:p>
        </w:tc>
        <w:tc>
          <w:tcPr>
            <w:tcW w:w="158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1,621,020,907.90</w:t>
            </w:r>
          </w:p>
        </w:tc>
        <w:tc>
          <w:tcPr>
            <w:tcW w:w="1585"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3,098,403,800.00</w:t>
            </w:r>
          </w:p>
        </w:tc>
        <w:tc>
          <w:tcPr>
            <w:tcW w:w="142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47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8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14,331,866,545.75</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12,700,000,000.00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18,177,675,131.10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8,500,000,000.00</w:t>
            </w:r>
          </w:p>
        </w:tc>
      </w:tr>
    </w:tbl>
    <w:p>
      <w:pPr>
        <w:pStyle w:val="BodyText"/>
        <w:spacing w:line="240" w:lineRule="auto" w:before="10"/>
        <w:ind w:left="514" w:right="90"/>
        <w:jc w:val="left"/>
      </w:pPr>
      <w:r>
        <w:rPr>
          <w:rFonts w:ascii="Times New Roman" w:hAnsi="Times New Roman" w:cs="Times New Roman" w:eastAsia="Times New Roman" w:hint="default"/>
        </w:rPr>
        <w:t>4</w:t>
      </w:r>
      <w:r>
        <w:rPr/>
        <w:t>、公允价值</w:t>
      </w:r>
    </w:p>
    <w:p>
      <w:pPr>
        <w:pStyle w:val="BodyText"/>
        <w:spacing w:line="309" w:lineRule="auto" w:before="62"/>
        <w:ind w:left="603" w:right="90"/>
        <w:jc w:val="left"/>
      </w:pPr>
      <w:r>
        <w:rPr/>
        <w:t>（</w:t>
      </w:r>
      <w:r>
        <w:rPr>
          <w:rFonts w:ascii="Times New Roman" w:hAnsi="Times New Roman" w:cs="Times New Roman" w:eastAsia="Times New Roman" w:hint="default"/>
        </w:rPr>
        <w:t>1</w:t>
      </w:r>
      <w:r>
        <w:rPr/>
        <w:t>）不以公允价值计量的金融工具 </w:t>
      </w:r>
      <w:r>
        <w:rPr>
          <w:spacing w:val="-2"/>
        </w:rPr>
        <w:t>不以公允价值计量的金融资产和负债主要包括：应收款项、短期借款、应付款项、长期借款、应付债券和长期应付款。</w:t>
      </w:r>
      <w:r>
        <w:rPr>
          <w:spacing w:val="-70"/>
        </w:rPr>
        <w:t> </w:t>
      </w:r>
      <w:r>
        <w:rPr>
          <w:spacing w:val="-70"/>
        </w:rPr>
      </w:r>
      <w:r>
        <w:rPr/>
        <w:t>除下述金融负债外，其他不以公允价值计量的金融资产和负债的账面价值与公允价值相差很小。</w:t>
      </w:r>
    </w:p>
    <w:p>
      <w:pPr>
        <w:spacing w:line="240" w:lineRule="auto" w:before="1"/>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3139"/>
        <w:gridCol w:w="1688"/>
        <w:gridCol w:w="1465"/>
        <w:gridCol w:w="1783"/>
        <w:gridCol w:w="1584"/>
      </w:tblGrid>
      <w:tr>
        <w:trPr>
          <w:trHeight w:val="334" w:hRule="exact"/>
        </w:trPr>
        <w:tc>
          <w:tcPr>
            <w:tcW w:w="3139" w:type="dxa"/>
            <w:vMerge w:val="restart"/>
            <w:tcBorders>
              <w:top w:val="single" w:sz="6" w:space="0" w:color="000000"/>
              <w:left w:val="single" w:sz="6" w:space="0" w:color="000000"/>
              <w:right w:val="single" w:sz="6" w:space="0" w:color="000000"/>
            </w:tcBorders>
            <w:shd w:val="clear" w:color="auto" w:fill="CCCCCC"/>
          </w:tcPr>
          <w:p>
            <w:pPr/>
          </w:p>
        </w:tc>
        <w:tc>
          <w:tcPr>
            <w:tcW w:w="3152"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367"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52" w:hRule="exact"/>
        </w:trPr>
        <w:tc>
          <w:tcPr>
            <w:tcW w:w="3139" w:type="dxa"/>
            <w:vMerge/>
            <w:tcBorders>
              <w:left w:val="single" w:sz="6" w:space="0" w:color="000000"/>
              <w:bottom w:val="single" w:sz="6" w:space="0" w:color="000000"/>
              <w:right w:val="single" w:sz="6" w:space="0" w:color="000000"/>
            </w:tcBorders>
            <w:shd w:val="clear" w:color="auto" w:fill="CCCCCC"/>
          </w:tcPr>
          <w:p>
            <w:pPr/>
          </w:p>
        </w:tc>
        <w:tc>
          <w:tcPr>
            <w:tcW w:w="1688"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6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17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5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20"/>
              <w:ind w:left="423"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343" w:hRule="exact"/>
        </w:trPr>
        <w:tc>
          <w:tcPr>
            <w:tcW w:w="313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金融负债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应付债券</w:t>
            </w:r>
          </w:p>
        </w:tc>
        <w:tc>
          <w:tcPr>
            <w:tcW w:w="168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12,697,760,032.33</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94" w:right="0"/>
              <w:jc w:val="center"/>
              <w:rPr>
                <w:rFonts w:ascii="Times New Roman" w:hAnsi="Times New Roman" w:cs="Times New Roman" w:eastAsia="Times New Roman" w:hint="default"/>
                <w:sz w:val="18"/>
                <w:szCs w:val="18"/>
              </w:rPr>
            </w:pPr>
            <w:r>
              <w:rPr>
                <w:rFonts w:ascii="Times New Roman"/>
                <w:sz w:val="18"/>
              </w:rPr>
              <w:t>12,700,000,000.00</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505" w:right="0"/>
              <w:jc w:val="left"/>
              <w:rPr>
                <w:rFonts w:ascii="Times New Roman" w:hAnsi="Times New Roman" w:cs="Times New Roman" w:eastAsia="Times New Roman" w:hint="default"/>
                <w:sz w:val="18"/>
                <w:szCs w:val="18"/>
              </w:rPr>
            </w:pPr>
            <w:r>
              <w:rPr>
                <w:rFonts w:ascii="Times New Roman"/>
                <w:sz w:val="18"/>
              </w:rPr>
              <w:t>8,440,533,343.80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305" w:right="0"/>
              <w:jc w:val="left"/>
              <w:rPr>
                <w:rFonts w:ascii="Times New Roman" w:hAnsi="Times New Roman" w:cs="Times New Roman" w:eastAsia="Times New Roman" w:hint="default"/>
                <w:sz w:val="18"/>
                <w:szCs w:val="18"/>
              </w:rPr>
            </w:pPr>
            <w:r>
              <w:rPr>
                <w:rFonts w:ascii="Times New Roman"/>
                <w:sz w:val="18"/>
              </w:rPr>
              <w:t>8,500,000,000.00</w:t>
            </w:r>
          </w:p>
        </w:tc>
      </w:tr>
    </w:tbl>
    <w:p>
      <w:pPr>
        <w:pStyle w:val="BodyText"/>
        <w:spacing w:line="316" w:lineRule="auto" w:before="10"/>
        <w:ind w:left="154" w:right="180" w:firstLine="450"/>
        <w:jc w:val="left"/>
      </w:pPr>
      <w:r>
        <w:rPr/>
        <w:t>长期借款、长期应付款以及应付债券，以合同规定的未来现金流量按照市场上具有可比信用等级并在相同条件下提供 几乎相同现金流量的利率进行折现后的现值确定其公允价值。</w:t>
      </w:r>
    </w:p>
    <w:p>
      <w:pPr>
        <w:pStyle w:val="BodyText"/>
        <w:spacing w:line="240" w:lineRule="auto" w:before="18"/>
        <w:ind w:left="603" w:right="90"/>
        <w:jc w:val="left"/>
      </w:pPr>
      <w:r>
        <w:rPr/>
        <w:t>（</w:t>
      </w:r>
      <w:r>
        <w:rPr>
          <w:rFonts w:ascii="Times New Roman" w:hAnsi="Times New Roman" w:cs="Times New Roman" w:eastAsia="Times New Roman" w:hint="default"/>
        </w:rPr>
        <w:t>2</w:t>
      </w:r>
      <w:r>
        <w:rPr/>
        <w:t>）于</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日，本集团无以公允价值计量的金融工具</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4"/>
          <w:szCs w:val="24"/>
        </w:rPr>
      </w:pPr>
    </w:p>
    <w:p>
      <w:pPr>
        <w:pStyle w:val="Heading2"/>
        <w:spacing w:line="240" w:lineRule="auto"/>
        <w:ind w:right="90"/>
        <w:jc w:val="left"/>
        <w:rPr>
          <w:b w:val="0"/>
          <w:bCs w:val="0"/>
        </w:rPr>
      </w:pP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7767" w:right="19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000"/>
        <w:gridCol w:w="1316"/>
        <w:gridCol w:w="611"/>
        <w:gridCol w:w="1320"/>
        <w:gridCol w:w="649"/>
        <w:gridCol w:w="1184"/>
        <w:gridCol w:w="648"/>
        <w:gridCol w:w="1320"/>
        <w:gridCol w:w="633"/>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9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8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9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7"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37" w:right="0"/>
              <w:jc w:val="left"/>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left"/>
        <w:rPr>
          <w:rFonts w:ascii="宋体" w:hAnsi="宋体" w:cs="宋体" w:eastAsia="宋体" w:hint="default"/>
          <w:sz w:val="18"/>
          <w:szCs w:val="18"/>
        </w:rPr>
        <w:sectPr>
          <w:pgSz w:w="11910" w:h="16840"/>
          <w:pgMar w:header="877" w:footer="950" w:top="1100" w:bottom="1140" w:left="980" w:right="94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995"/>
        <w:gridCol w:w="1322"/>
        <w:gridCol w:w="611"/>
        <w:gridCol w:w="1320"/>
        <w:gridCol w:w="649"/>
        <w:gridCol w:w="1184"/>
        <w:gridCol w:w="648"/>
        <w:gridCol w:w="1320"/>
        <w:gridCol w:w="644"/>
      </w:tblGrid>
      <w:tr>
        <w:trPr>
          <w:trHeight w:val="362" w:hRule="exact"/>
        </w:trPr>
        <w:tc>
          <w:tcPr>
            <w:tcW w:w="19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3" w:right="0"/>
              <w:jc w:val="left"/>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3,810,425,562.91</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99.77%</w:t>
            </w:r>
          </w:p>
        </w:tc>
        <w:tc>
          <w:tcPr>
            <w:tcW w:w="1320"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335,827,030.39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96.73%</w:t>
            </w:r>
          </w:p>
        </w:tc>
        <w:tc>
          <w:tcPr>
            <w:tcW w:w="132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一般组合</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8,776,614.79</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4,547,645.65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51.82%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11,346,123.83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4,675,772.65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41.21%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2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3,819,202,177.70</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4,547,645.65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0.12%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347,173,154.22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4,675,772.65</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1.35%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3,819,202,177.70</w:t>
            </w:r>
          </w:p>
        </w:tc>
        <w:tc>
          <w:tcPr>
            <w:tcW w:w="6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4,547,645.65</w:t>
            </w:r>
          </w:p>
        </w:tc>
        <w:tc>
          <w:tcPr>
            <w:tcW w:w="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347,173,154.22</w:t>
            </w:r>
          </w:p>
        </w:tc>
        <w:tc>
          <w:tcPr>
            <w:tcW w:w="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4,675,772.65</w:t>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21"/>
          <w:szCs w:val="21"/>
        </w:rPr>
      </w:pPr>
    </w:p>
    <w:p>
      <w:pPr>
        <w:pStyle w:val="BodyText"/>
        <w:spacing w:line="240" w:lineRule="auto" w:before="44"/>
        <w:ind w:left="634" w:right="0"/>
        <w:jc w:val="left"/>
      </w:pPr>
      <w:r>
        <w:rPr/>
        <w:t>应收账款按账龄列示</w:t>
      </w:r>
    </w:p>
    <w:p>
      <w:pPr>
        <w:pStyle w:val="BodyText"/>
        <w:spacing w:line="240" w:lineRule="auto" w:before="117"/>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39" w:type="dxa"/>
        <w:tblLayout w:type="fixed"/>
        <w:tblCellMar>
          <w:top w:w="0" w:type="dxa"/>
          <w:left w:w="0" w:type="dxa"/>
          <w:bottom w:w="0" w:type="dxa"/>
          <w:right w:w="0" w:type="dxa"/>
        </w:tblCellMar>
        <w:tblLook w:val="01E0"/>
      </w:tblPr>
      <w:tblGrid>
        <w:gridCol w:w="1428"/>
        <w:gridCol w:w="2402"/>
        <w:gridCol w:w="1878"/>
        <w:gridCol w:w="2156"/>
        <w:gridCol w:w="1793"/>
      </w:tblGrid>
      <w:tr>
        <w:trPr>
          <w:trHeight w:val="342" w:hRule="exact"/>
        </w:trPr>
        <w:tc>
          <w:tcPr>
            <w:tcW w:w="1428"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4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1428" w:type="dxa"/>
            <w:vMerge/>
            <w:tcBorders>
              <w:left w:val="single" w:sz="4" w:space="0" w:color="000000"/>
              <w:bottom w:val="single" w:sz="4" w:space="0" w:color="000000"/>
              <w:right w:val="single" w:sz="4" w:space="0" w:color="000000"/>
            </w:tcBorders>
            <w:shd w:val="clear" w:color="auto" w:fill="CCCCCC"/>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3,814,870,507.13</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99.89%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342,848,452.68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98.75%</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6,969.03</w:t>
            </w:r>
          </w:p>
        </w:tc>
        <w:tc>
          <w:tcPr>
            <w:tcW w:w="1878"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02" w:type="dxa"/>
            <w:tcBorders>
              <w:top w:val="single" w:sz="4" w:space="0" w:color="000000"/>
              <w:left w:val="single" w:sz="4" w:space="0" w:color="000000"/>
              <w:bottom w:val="single" w:sz="4" w:space="0" w:color="000000"/>
              <w:right w:val="single" w:sz="4" w:space="0" w:color="000000"/>
            </w:tcBorders>
          </w:tcPr>
          <w:p>
            <w:pPr/>
          </w:p>
        </w:tc>
        <w:tc>
          <w:tcPr>
            <w:tcW w:w="1878"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42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1"/>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4,324,701.54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0.11%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4,324,701.54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1.25%</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5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3,819,202,177.70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347,173,154.22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50" w:top="1100" w:bottom="1140" w:left="980" w:right="980"/>
        </w:sectPr>
      </w:pPr>
    </w:p>
    <w:p>
      <w:pPr>
        <w:pStyle w:val="BodyText"/>
        <w:spacing w:line="240" w:lineRule="auto" w:before="44"/>
        <w:ind w:left="154" w:right="-20"/>
        <w:jc w:val="left"/>
      </w:pPr>
      <w:r>
        <w:rPr/>
        <w:t>期末单项金额重大并单项计提坏账准备的应收账款</w:t>
      </w:r>
    </w:p>
    <w:p>
      <w:pPr>
        <w:pStyle w:val="BodyText"/>
        <w:spacing w:line="357" w:lineRule="auto" w:before="116"/>
        <w:ind w:right="-19"/>
        <w:jc w:val="left"/>
      </w:pPr>
      <w:r>
        <w:rPr/>
        <w:t>□ 适用 √ 不适用 组合中，采用账龄分析法计提坏账准备的应收账款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078"/>
        <w:gridCol w:w="2020"/>
        <w:gridCol w:w="673"/>
        <w:gridCol w:w="1481"/>
        <w:gridCol w:w="2154"/>
        <w:gridCol w:w="673"/>
        <w:gridCol w:w="1615"/>
      </w:tblGrid>
      <w:tr>
        <w:trPr>
          <w:trHeight w:val="402" w:hRule="exact"/>
        </w:trPr>
        <w:tc>
          <w:tcPr>
            <w:tcW w:w="10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5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4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78" w:type="dxa"/>
            <w:vMerge/>
            <w:tcBorders>
              <w:left w:val="single" w:sz="4" w:space="0" w:color="000000"/>
              <w:right w:val="single" w:sz="4" w:space="0" w:color="000000"/>
            </w:tcBorders>
            <w:shd w:val="clear" w:color="auto" w:fill="D3D3D3"/>
          </w:tcPr>
          <w:p>
            <w:pP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78" w:type="dxa"/>
            <w:vMerge/>
            <w:tcBorders>
              <w:left w:val="single" w:sz="4" w:space="0" w:color="000000"/>
              <w:bottom w:val="single" w:sz="4" w:space="0" w:color="000000"/>
              <w:right w:val="single" w:sz="4" w:space="0" w:color="000000"/>
            </w:tcBorders>
            <w:shd w:val="clear" w:color="auto" w:fill="D3D3D3"/>
          </w:tcPr>
          <w:p>
            <w:pPr/>
          </w:p>
        </w:tc>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6" w:right="0"/>
              <w:jc w:val="left"/>
              <w:rPr>
                <w:rFonts w:ascii="Times New Roman" w:hAnsi="Times New Roman" w:cs="Times New Roman" w:eastAsia="Times New Roman" w:hint="default"/>
                <w:sz w:val="18"/>
                <w:szCs w:val="18"/>
              </w:rPr>
            </w:pPr>
            <w:r>
              <w:rPr>
                <w:rFonts w:ascii="Times New Roman"/>
                <w:sz w:val="18"/>
              </w:rPr>
              <w:t>(%)</w:t>
            </w:r>
          </w:p>
        </w:tc>
        <w:tc>
          <w:tcPr>
            <w:tcW w:w="1481" w:type="dxa"/>
            <w:vMerge/>
            <w:tcBorders>
              <w:left w:val="single" w:sz="4" w:space="0" w:color="000000"/>
              <w:bottom w:val="single" w:sz="4" w:space="0" w:color="000000"/>
              <w:right w:val="single" w:sz="4" w:space="0" w:color="000000"/>
            </w:tcBorders>
            <w:shd w:val="clear" w:color="auto" w:fill="D3D3D3"/>
          </w:tcPr>
          <w:p>
            <w:pP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6" w:right="0"/>
              <w:jc w:val="left"/>
              <w:rPr>
                <w:rFonts w:ascii="Times New Roman" w:hAnsi="Times New Roman" w:cs="Times New Roman" w:eastAsia="Times New Roman" w:hint="default"/>
                <w:sz w:val="18"/>
                <w:szCs w:val="18"/>
              </w:rPr>
            </w:pPr>
            <w:r>
              <w:rPr>
                <w:rFonts w:ascii="Times New Roman"/>
                <w:sz w:val="18"/>
              </w:rPr>
              <w:t>(%)</w:t>
            </w:r>
          </w:p>
        </w:tc>
        <w:tc>
          <w:tcPr>
            <w:tcW w:w="16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4,444,944.22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222,247.21</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7,021,422.29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351,071.11</w:t>
            </w:r>
          </w:p>
        </w:tc>
      </w:tr>
      <w:tr>
        <w:trPr>
          <w:trHeight w:val="402"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年以内小计</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4,444,944.22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50.65%</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222,247.21</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7,021,422.29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351,071.11</w:t>
            </w:r>
          </w:p>
        </w:tc>
      </w:tr>
      <w:tr>
        <w:trPr>
          <w:trHeight w:val="402"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6,969.03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696.90</w:t>
            </w:r>
          </w:p>
        </w:tc>
        <w:tc>
          <w:tcPr>
            <w:tcW w:w="215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4,324,701.54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4,324,701.54</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4,324,701.54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4,324,701.54</w:t>
            </w:r>
          </w:p>
        </w:tc>
      </w:tr>
      <w:tr>
        <w:trPr>
          <w:trHeight w:val="403" w:hRule="exact"/>
        </w:trPr>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8,776,614.79</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4,547,645.65</w:t>
            </w:r>
          </w:p>
        </w:tc>
        <w:tc>
          <w:tcPr>
            <w:tcW w:w="2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11,346,123.83</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4,675,772.65</w:t>
            </w:r>
          </w:p>
        </w:tc>
      </w:tr>
    </w:tbl>
    <w:p>
      <w:pPr>
        <w:pStyle w:val="BodyText"/>
        <w:spacing w:line="240" w:lineRule="auto" w:before="51"/>
        <w:ind w:left="154" w:right="0"/>
        <w:jc w:val="left"/>
      </w:pPr>
      <w:r>
        <w:rPr/>
        <w:t>组合中，采用余额百分比法计提坏账准备的应收账款</w:t>
      </w:r>
    </w:p>
    <w:p>
      <w:pPr>
        <w:pStyle w:val="BodyText"/>
        <w:spacing w:line="360" w:lineRule="auto" w:before="116"/>
        <w:ind w:right="5991"/>
        <w:jc w:val="left"/>
      </w:pPr>
      <w:r>
        <w:rPr/>
        <w:t>□ 适用 √ 不适用 组合中，采用其他方法计提坏账准备的应收账款</w:t>
      </w:r>
    </w:p>
    <w:p>
      <w:pPr>
        <w:pStyle w:val="BodyText"/>
        <w:spacing w:line="240" w:lineRule="auto" w:before="26"/>
        <w:ind w:right="0"/>
        <w:jc w:val="left"/>
      </w:pPr>
      <w:r>
        <w:rPr/>
        <w:t>√ 适用 □ 不适用</w:t>
      </w:r>
    </w:p>
    <w:p>
      <w:pPr>
        <w:spacing w:after="0" w:line="240" w:lineRule="auto"/>
        <w:jc w:val="left"/>
        <w:sectPr>
          <w:type w:val="continuous"/>
          <w:pgSz w:w="11910" w:h="16840"/>
          <w:pgMar w:top="1600" w:bottom="280" w:left="980" w:right="980"/>
        </w:sectPr>
      </w:pPr>
    </w:p>
    <w:p>
      <w:pPr>
        <w:spacing w:line="240" w:lineRule="auto" w:before="13"/>
        <w:rPr>
          <w:rFonts w:ascii="宋体" w:hAnsi="宋体" w:cs="宋体" w:eastAsia="宋体" w:hint="default"/>
          <w:sz w:val="21"/>
          <w:szCs w:val="21"/>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0"/>
        <w:gridCol w:w="3254"/>
        <w:gridCol w:w="3253"/>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3,810,425,562.91</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3,810,425,562.91</w:t>
            </w:r>
          </w:p>
        </w:tc>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期末单项金额虽不重大但单项计提坏账准备的应收账款</w:t>
      </w:r>
    </w:p>
    <w:p>
      <w:pPr>
        <w:pStyle w:val="BodyText"/>
        <w:spacing w:line="240" w:lineRule="auto" w:before="116"/>
        <w:ind w:right="0"/>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20"/>
        <w:gridCol w:w="1620"/>
        <w:gridCol w:w="2526"/>
        <w:gridCol w:w="1918"/>
        <w:gridCol w:w="1884"/>
      </w:tblGrid>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4"/>
                <w:sz w:val="18"/>
                <w:szCs w:val="18"/>
              </w:rPr>
              <w:t>三年以上，预计收回可能性极小</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128,127.00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0" w:right="0"/>
              <w:jc w:val="left"/>
              <w:rPr>
                <w:rFonts w:ascii="Times New Roman" w:hAnsi="Times New Roman" w:cs="Times New Roman" w:eastAsia="Times New Roman" w:hint="default"/>
                <w:sz w:val="18"/>
                <w:szCs w:val="18"/>
              </w:rPr>
            </w:pPr>
            <w:r>
              <w:rPr>
                <w:rFonts w:ascii="Times New Roman"/>
                <w:sz w:val="18"/>
              </w:rPr>
              <w:t>128,127.00</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128,127.00</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w:t>
      </w:r>
      <w:r>
        <w:rPr>
          <w:spacing w:val="-9"/>
        </w:rPr>
        <w:t> </w:t>
      </w:r>
      <w:r>
        <w:rPr/>
        <w:t>报告期无实际核销的应收账款情况。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w:t>
      </w:r>
      <w:r>
        <w:rPr>
          <w:spacing w:val="-12"/>
        </w:rPr>
        <w:t> </w:t>
      </w:r>
      <w:r>
        <w:rPr/>
        <w:t>本报告期应收账款中无持有公司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723"/>
        <w:gridCol w:w="1840"/>
        <w:gridCol w:w="1618"/>
        <w:gridCol w:w="900"/>
        <w:gridCol w:w="2614"/>
      </w:tblGrid>
      <w:tr>
        <w:trPr>
          <w:trHeight w:val="401" w:hRule="exact"/>
        </w:trPr>
        <w:tc>
          <w:tcPr>
            <w:tcW w:w="2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73"/>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65"/>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2,078,754,449.86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54.43%</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5"/>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1,626,851,840.56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5"/>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5"/>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7,931,070.49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65"/>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4,888,202.00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r>
        <w:trPr>
          <w:trHeight w:val="401" w:hRule="exact"/>
        </w:trPr>
        <w:tc>
          <w:tcPr>
            <w:tcW w:w="2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3,810,425,562.91</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308"/>
        <w:gridCol w:w="2462"/>
        <w:gridCol w:w="2461"/>
        <w:gridCol w:w="2462"/>
      </w:tblGrid>
      <w:tr>
        <w:trPr>
          <w:trHeight w:val="402" w:hRule="exact"/>
        </w:trPr>
        <w:tc>
          <w:tcPr>
            <w:tcW w:w="2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2,078,754,449.86</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54.43%</w:t>
            </w:r>
          </w:p>
        </w:tc>
      </w:tr>
      <w:tr>
        <w:trPr>
          <w:trHeight w:val="402"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1,626,851,840.56</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r>
      <w:tr>
        <w:trPr>
          <w:trHeight w:val="402"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湛江美伦浆纸有限公司</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92,000,000.00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w:t>
            </w:r>
          </w:p>
        </w:tc>
      </w:tr>
      <w:tr>
        <w:trPr>
          <w:trHeight w:val="403"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7,931,070.49</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308"/>
        <w:gridCol w:w="2462"/>
        <w:gridCol w:w="2461"/>
        <w:gridCol w:w="2462"/>
      </w:tblGrid>
      <w:tr>
        <w:trPr>
          <w:trHeight w:val="402" w:hRule="exact"/>
        </w:trPr>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4,888,202.00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3,810,425,562.91</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56"/>
        <w:gridCol w:w="1428"/>
        <w:gridCol w:w="522"/>
        <w:gridCol w:w="1281"/>
        <w:gridCol w:w="605"/>
        <w:gridCol w:w="1322"/>
        <w:gridCol w:w="605"/>
        <w:gridCol w:w="1158"/>
        <w:gridCol w:w="593"/>
      </w:tblGrid>
      <w:tr>
        <w:trPr>
          <w:trHeight w:val="402" w:hRule="exact"/>
        </w:trPr>
        <w:tc>
          <w:tcPr>
            <w:tcW w:w="2156" w:type="dxa"/>
            <w:vMerge w:val="restart"/>
            <w:tcBorders>
              <w:top w:val="single" w:sz="4" w:space="0" w:color="000000"/>
              <w:left w:val="single" w:sz="4" w:space="0" w:color="000000"/>
              <w:right w:val="single" w:sz="4" w:space="0" w:color="000000"/>
            </w:tcBorders>
            <w:shd w:val="clear" w:color="auto" w:fill="D3D3D3"/>
          </w:tcPr>
          <w:p>
            <w:pPr/>
          </w:p>
        </w:tc>
        <w:tc>
          <w:tcPr>
            <w:tcW w:w="38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7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56" w:hRule="exact"/>
        </w:trPr>
        <w:tc>
          <w:tcPr>
            <w:tcW w:w="2156" w:type="dxa"/>
            <w:vMerge/>
            <w:tcBorders>
              <w:left w:val="single" w:sz="4" w:space="0" w:color="000000"/>
              <w:bottom w:val="nil" w:sz="6" w:space="0" w:color="auto"/>
              <w:right w:val="single" w:sz="4" w:space="0" w:color="000000"/>
            </w:tcBorders>
            <w:shd w:val="clear" w:color="auto" w:fill="D3D3D3"/>
          </w:tcPr>
          <w:p>
            <w:pPr/>
          </w:p>
        </w:tc>
        <w:tc>
          <w:tcPr>
            <w:tcW w:w="19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1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21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种类</w:t>
            </w:r>
          </w:p>
        </w:tc>
        <w:tc>
          <w:tcPr>
            <w:tcW w:w="1950" w:type="dxa"/>
            <w:gridSpan w:val="2"/>
            <w:vMerge/>
            <w:tcBorders>
              <w:left w:val="single" w:sz="4" w:space="0" w:color="000000"/>
              <w:bottom w:val="single" w:sz="4" w:space="0" w:color="000000"/>
              <w:right w:val="single" w:sz="4" w:space="0" w:color="000000"/>
            </w:tcBorders>
            <w:shd w:val="clear" w:color="auto" w:fill="D3D3D3"/>
          </w:tcPr>
          <w:p>
            <w:pPr/>
          </w:p>
        </w:tc>
        <w:tc>
          <w:tcPr>
            <w:tcW w:w="1886" w:type="dxa"/>
            <w:gridSpan w:val="2"/>
            <w:vMerge/>
            <w:tcBorders>
              <w:left w:val="single" w:sz="4" w:space="0" w:color="000000"/>
              <w:bottom w:val="single" w:sz="4" w:space="0" w:color="000000"/>
              <w:right w:val="single" w:sz="4" w:space="0" w:color="000000"/>
            </w:tcBorders>
            <w:shd w:val="clear" w:color="auto" w:fill="D3D3D3"/>
          </w:tcPr>
          <w:p>
            <w:pPr/>
          </w:p>
        </w:tc>
        <w:tc>
          <w:tcPr>
            <w:tcW w:w="1927" w:type="dxa"/>
            <w:gridSpan w:val="2"/>
            <w:vMerge/>
            <w:tcBorders>
              <w:left w:val="single" w:sz="4" w:space="0" w:color="000000"/>
              <w:bottom w:val="single" w:sz="4" w:space="0" w:color="000000"/>
              <w:right w:val="single" w:sz="4" w:space="0" w:color="000000"/>
            </w:tcBorders>
            <w:shd w:val="clear" w:color="auto" w:fill="D3D3D3"/>
          </w:tcPr>
          <w:p>
            <w:pPr/>
          </w:p>
        </w:tc>
        <w:tc>
          <w:tcPr>
            <w:tcW w:w="1751" w:type="dxa"/>
            <w:gridSpan w:val="2"/>
            <w:vMerge/>
            <w:tcBorders>
              <w:left w:val="single" w:sz="4" w:space="0" w:color="000000"/>
              <w:bottom w:val="single" w:sz="4" w:space="0" w:color="000000"/>
              <w:right w:val="single" w:sz="4" w:space="0" w:color="000000"/>
            </w:tcBorders>
            <w:shd w:val="clear" w:color="auto" w:fill="D3D3D3"/>
          </w:tcPr>
          <w:p>
            <w:pPr/>
          </w:p>
        </w:tc>
      </w:tr>
      <w:tr>
        <w:trPr>
          <w:trHeight w:val="157" w:hRule="exact"/>
        </w:trPr>
        <w:tc>
          <w:tcPr>
            <w:tcW w:w="2156" w:type="dxa"/>
            <w:vMerge/>
            <w:tcBorders>
              <w:left w:val="single" w:sz="4" w:space="0" w:color="000000"/>
              <w:bottom w:val="single" w:sz="7" w:space="0" w:color="FFFFFF"/>
              <w:right w:val="single" w:sz="4" w:space="0" w:color="000000"/>
            </w:tcBorders>
            <w:shd w:val="clear" w:color="auto" w:fill="D3D3D3"/>
          </w:tcPr>
          <w:p>
            <w:pPr/>
          </w:p>
        </w:tc>
        <w:tc>
          <w:tcPr>
            <w:tcW w:w="1428"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5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1" w:right="0"/>
              <w:jc w:val="left"/>
              <w:rPr>
                <w:rFonts w:ascii="Times New Roman" w:hAnsi="Times New Roman" w:cs="Times New Roman" w:eastAsia="Times New Roman" w:hint="default"/>
                <w:sz w:val="18"/>
                <w:szCs w:val="18"/>
              </w:rPr>
            </w:pPr>
            <w:r>
              <w:rPr>
                <w:rFonts w:ascii="Times New Roman"/>
                <w:sz w:val="18"/>
              </w:rPr>
              <w:t>(%)</w:t>
            </w:r>
          </w:p>
        </w:tc>
        <w:tc>
          <w:tcPr>
            <w:tcW w:w="1281" w:type="dxa"/>
            <w:tcBorders>
              <w:top w:val="single" w:sz="4" w:space="0" w:color="000000"/>
              <w:left w:val="single" w:sz="4" w:space="0" w:color="000000"/>
              <w:bottom w:val="nil" w:sz="6" w:space="0" w:color="auto"/>
              <w:right w:val="single" w:sz="4" w:space="0" w:color="000000"/>
            </w:tcBorders>
            <w:shd w:val="clear" w:color="auto" w:fill="D3D3D3"/>
          </w:tcPr>
          <w:p>
            <w:pPr/>
          </w:p>
        </w:tc>
        <w:tc>
          <w:tcPr>
            <w:tcW w:w="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59"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nil" w:sz="6" w:space="0" w:color="auto"/>
              <w:right w:val="single" w:sz="4" w:space="0" w:color="000000"/>
            </w:tcBorders>
            <w:shd w:val="clear" w:color="auto" w:fill="D3D3D3"/>
          </w:tcPr>
          <w:p>
            <w:pPr/>
          </w:p>
        </w:tc>
        <w:tc>
          <w:tcPr>
            <w:tcW w:w="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59" w:right="0"/>
              <w:jc w:val="left"/>
              <w:rPr>
                <w:rFonts w:ascii="Times New Roman" w:hAnsi="Times New Roman" w:cs="Times New Roman" w:eastAsia="Times New Roman" w:hint="default"/>
                <w:sz w:val="18"/>
                <w:szCs w:val="18"/>
              </w:rPr>
            </w:pPr>
            <w:r>
              <w:rPr>
                <w:rFonts w:ascii="Times New Roman"/>
                <w:sz w:val="18"/>
              </w:rPr>
              <w:t>(%)</w:t>
            </w:r>
          </w:p>
        </w:tc>
        <w:tc>
          <w:tcPr>
            <w:tcW w:w="1158" w:type="dxa"/>
            <w:tcBorders>
              <w:top w:val="single" w:sz="4" w:space="0" w:color="000000"/>
              <w:left w:val="single" w:sz="4" w:space="0" w:color="000000"/>
              <w:bottom w:val="nil" w:sz="6" w:space="0" w:color="auto"/>
              <w:right w:val="single" w:sz="4" w:space="0" w:color="000000"/>
            </w:tcBorders>
            <w:shd w:val="clear" w:color="auto" w:fill="D3D3D3"/>
          </w:tcPr>
          <w:p>
            <w:pPr/>
          </w:p>
        </w:tc>
        <w:tc>
          <w:tcPr>
            <w:tcW w:w="5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59" w:right="0"/>
              <w:jc w:val="left"/>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2156" w:type="dxa"/>
            <w:vMerge w:val="restart"/>
            <w:tcBorders>
              <w:top w:val="single" w:sz="7" w:space="0" w:color="FFFFFF"/>
              <w:left w:val="single" w:sz="4" w:space="0" w:color="000000"/>
              <w:right w:val="single" w:sz="4" w:space="0" w:color="000000"/>
            </w:tcBorders>
            <w:shd w:val="clear" w:color="auto" w:fill="D3D3D3"/>
          </w:tcPr>
          <w:p>
            <w:pPr/>
          </w:p>
        </w:tc>
        <w:tc>
          <w:tcPr>
            <w:tcW w:w="1428" w:type="dxa"/>
            <w:tcBorders>
              <w:top w:val="single" w:sz="7" w:space="0" w:color="FFFFFF"/>
              <w:left w:val="single" w:sz="4" w:space="0" w:color="000000"/>
              <w:bottom w:val="nil" w:sz="6" w:space="0" w:color="auto"/>
              <w:right w:val="single" w:sz="4" w:space="0" w:color="000000"/>
            </w:tcBorders>
            <w:shd w:val="clear" w:color="auto" w:fill="D3D3D3"/>
          </w:tcPr>
          <w:p>
            <w:pPr>
              <w:pStyle w:val="TableParagraph"/>
              <w:spacing w:line="240" w:lineRule="auto" w:before="47"/>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522" w:type="dxa"/>
            <w:vMerge/>
            <w:tcBorders>
              <w:left w:val="single" w:sz="4" w:space="0" w:color="000000"/>
              <w:right w:val="single" w:sz="4" w:space="0" w:color="000000"/>
            </w:tcBorders>
            <w:shd w:val="clear" w:color="auto" w:fill="D3D3D3"/>
          </w:tcPr>
          <w:p>
            <w:pPr/>
          </w:p>
        </w:tc>
        <w:tc>
          <w:tcPr>
            <w:tcW w:w="12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05" w:type="dxa"/>
            <w:vMerge/>
            <w:tcBorders>
              <w:left w:val="single" w:sz="4" w:space="0" w:color="000000"/>
              <w:right w:val="single" w:sz="4" w:space="0" w:color="000000"/>
            </w:tcBorders>
            <w:shd w:val="clear" w:color="auto" w:fill="D3D3D3"/>
          </w:tcPr>
          <w:p>
            <w:pPr/>
          </w:p>
        </w:tc>
        <w:tc>
          <w:tcPr>
            <w:tcW w:w="13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05" w:type="dxa"/>
            <w:vMerge/>
            <w:tcBorders>
              <w:left w:val="single" w:sz="4" w:space="0" w:color="000000"/>
              <w:right w:val="single" w:sz="4" w:space="0" w:color="000000"/>
            </w:tcBorders>
            <w:shd w:val="clear" w:color="auto" w:fill="D3D3D3"/>
          </w:tcPr>
          <w:p>
            <w:pPr/>
          </w:p>
        </w:tc>
        <w:tc>
          <w:tcPr>
            <w:tcW w:w="11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593" w:type="dxa"/>
            <w:vMerge/>
            <w:tcBorders>
              <w:left w:val="single" w:sz="4" w:space="0" w:color="000000"/>
              <w:right w:val="single" w:sz="4" w:space="0" w:color="000000"/>
            </w:tcBorders>
            <w:shd w:val="clear" w:color="auto" w:fill="D3D3D3"/>
          </w:tcPr>
          <w:p>
            <w:pPr/>
          </w:p>
        </w:tc>
      </w:tr>
      <w:tr>
        <w:trPr>
          <w:trHeight w:val="162" w:hRule="exact"/>
        </w:trPr>
        <w:tc>
          <w:tcPr>
            <w:tcW w:w="2156" w:type="dxa"/>
            <w:vMerge/>
            <w:tcBorders>
              <w:left w:val="single" w:sz="4" w:space="0" w:color="000000"/>
              <w:bottom w:val="single" w:sz="4" w:space="0" w:color="000000"/>
              <w:right w:val="single" w:sz="4" w:space="0" w:color="000000"/>
            </w:tcBorders>
            <w:shd w:val="clear" w:color="auto" w:fill="D3D3D3"/>
          </w:tcPr>
          <w:p>
            <w:pPr/>
          </w:p>
        </w:tc>
        <w:tc>
          <w:tcPr>
            <w:tcW w:w="1428" w:type="dxa"/>
            <w:tcBorders>
              <w:top w:val="nil" w:sz="6" w:space="0" w:color="auto"/>
              <w:left w:val="single" w:sz="4" w:space="0" w:color="000000"/>
              <w:bottom w:val="single" w:sz="4" w:space="0" w:color="000000"/>
              <w:right w:val="single" w:sz="4" w:space="0" w:color="000000"/>
            </w:tcBorders>
            <w:shd w:val="clear" w:color="auto" w:fill="D3D3D3"/>
          </w:tcPr>
          <w:p>
            <w:pPr/>
          </w:p>
        </w:tc>
        <w:tc>
          <w:tcPr>
            <w:tcW w:w="522" w:type="dxa"/>
            <w:vMerge/>
            <w:tcBorders>
              <w:left w:val="single" w:sz="4" w:space="0" w:color="000000"/>
              <w:bottom w:val="single" w:sz="4" w:space="0" w:color="000000"/>
              <w:right w:val="single" w:sz="4" w:space="0" w:color="000000"/>
            </w:tcBorders>
            <w:shd w:val="clear" w:color="auto" w:fill="D3D3D3"/>
          </w:tcPr>
          <w:p>
            <w:pPr/>
          </w:p>
        </w:tc>
        <w:tc>
          <w:tcPr>
            <w:tcW w:w="1281" w:type="dxa"/>
            <w:tcBorders>
              <w:top w:val="nil" w:sz="6" w:space="0" w:color="auto"/>
              <w:left w:val="single" w:sz="4" w:space="0" w:color="000000"/>
              <w:bottom w:val="single" w:sz="4" w:space="0" w:color="000000"/>
              <w:right w:val="single" w:sz="4" w:space="0" w:color="000000"/>
            </w:tcBorders>
            <w:shd w:val="clear" w:color="auto" w:fill="D3D3D3"/>
          </w:tcPr>
          <w:p>
            <w:pPr/>
          </w:p>
        </w:tc>
        <w:tc>
          <w:tcPr>
            <w:tcW w:w="605" w:type="dxa"/>
            <w:vMerge/>
            <w:tcBorders>
              <w:left w:val="single" w:sz="4" w:space="0" w:color="000000"/>
              <w:bottom w:val="single" w:sz="4" w:space="0" w:color="000000"/>
              <w:right w:val="single" w:sz="4" w:space="0" w:color="000000"/>
            </w:tcBorders>
            <w:shd w:val="clear" w:color="auto" w:fill="D3D3D3"/>
          </w:tcPr>
          <w:p>
            <w:pPr/>
          </w:p>
        </w:tc>
        <w:tc>
          <w:tcPr>
            <w:tcW w:w="1322" w:type="dxa"/>
            <w:tcBorders>
              <w:top w:val="nil" w:sz="6" w:space="0" w:color="auto"/>
              <w:left w:val="single" w:sz="4" w:space="0" w:color="000000"/>
              <w:bottom w:val="single" w:sz="4" w:space="0" w:color="000000"/>
              <w:right w:val="single" w:sz="4" w:space="0" w:color="000000"/>
            </w:tcBorders>
            <w:shd w:val="clear" w:color="auto" w:fill="D3D3D3"/>
          </w:tcPr>
          <w:p>
            <w:pPr/>
          </w:p>
        </w:tc>
        <w:tc>
          <w:tcPr>
            <w:tcW w:w="605" w:type="dxa"/>
            <w:vMerge/>
            <w:tcBorders>
              <w:left w:val="single" w:sz="4" w:space="0" w:color="000000"/>
              <w:bottom w:val="single" w:sz="4" w:space="0" w:color="000000"/>
              <w:right w:val="single" w:sz="4" w:space="0" w:color="000000"/>
            </w:tcBorders>
            <w:shd w:val="clear" w:color="auto" w:fill="D3D3D3"/>
          </w:tcPr>
          <w:p>
            <w:pPr/>
          </w:p>
        </w:tc>
        <w:tc>
          <w:tcPr>
            <w:tcW w:w="1158" w:type="dxa"/>
            <w:tcBorders>
              <w:top w:val="nil" w:sz="6" w:space="0" w:color="auto"/>
              <w:left w:val="single" w:sz="4" w:space="0" w:color="000000"/>
              <w:bottom w:val="single" w:sz="4" w:space="0" w:color="000000"/>
              <w:right w:val="single" w:sz="4" w:space="0" w:color="000000"/>
            </w:tcBorders>
            <w:shd w:val="clear" w:color="auto" w:fill="D3D3D3"/>
          </w:tcPr>
          <w:p>
            <w:pPr/>
          </w:p>
        </w:tc>
        <w:tc>
          <w:tcPr>
            <w:tcW w:w="593"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2"/>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8,918,424.06</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0.08%</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8,918,424.06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8,918,424.06</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8,918,424.06</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6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10,991,002,770.81</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w:t>
            </w:r>
          </w:p>
        </w:tc>
        <w:tc>
          <w:tcPr>
            <w:tcW w:w="1281"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9,181,123,808.55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w:t>
            </w:r>
          </w:p>
        </w:tc>
        <w:tc>
          <w:tcPr>
            <w:tcW w:w="115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一般组合</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89,083,928.68</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28,464,521.53</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70,216,527.05</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18,561,336.28</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26.43%</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11,080,086,699.49</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99.8%</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28,464,521.53</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9,251,340,335.60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99.76%</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18,561,336.28</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52"/>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13,717,509.43</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0.12%</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13,717,509.43</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13,771,354.38</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13,771,354.38</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11,102,722,632.98</w:t>
            </w:r>
          </w:p>
        </w:tc>
        <w:tc>
          <w:tcPr>
            <w:tcW w:w="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51,100,455.02</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9,274,030,114.04</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41,251,114.72</w:t>
            </w:r>
          </w:p>
        </w:tc>
        <w:tc>
          <w:tcPr>
            <w:tcW w:w="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7"/>
          <w:szCs w:val="27"/>
        </w:rPr>
      </w:pPr>
    </w:p>
    <w:p>
      <w:pPr>
        <w:pStyle w:val="BodyText"/>
        <w:spacing w:line="240" w:lineRule="auto" w:before="44"/>
        <w:ind w:left="634" w:right="0"/>
        <w:jc w:val="left"/>
      </w:pPr>
      <w:r>
        <w:rPr/>
        <w:t>其他应收款按账龄列示</w:t>
      </w:r>
    </w:p>
    <w:p>
      <w:pPr>
        <w:pStyle w:val="BodyText"/>
        <w:spacing w:line="240" w:lineRule="auto" w:before="117"/>
        <w:ind w:left="0" w:right="149"/>
        <w:jc w:val="right"/>
      </w:pPr>
      <w:r>
        <w:rPr/>
        <w:t>单位： 元</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1428"/>
        <w:gridCol w:w="2402"/>
        <w:gridCol w:w="1878"/>
        <w:gridCol w:w="2156"/>
        <w:gridCol w:w="1793"/>
      </w:tblGrid>
      <w:tr>
        <w:trPr>
          <w:trHeight w:val="342" w:hRule="exact"/>
        </w:trPr>
        <w:tc>
          <w:tcPr>
            <w:tcW w:w="1428"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4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1428" w:type="dxa"/>
            <w:vMerge/>
            <w:tcBorders>
              <w:left w:val="single" w:sz="4" w:space="0" w:color="000000"/>
              <w:bottom w:val="single" w:sz="4" w:space="0" w:color="000000"/>
              <w:right w:val="single" w:sz="4" w:space="0" w:color="000000"/>
            </w:tcBorders>
            <w:shd w:val="clear" w:color="auto" w:fill="CCCCCC"/>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10,479,494,850.60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94.39%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8,748,242,463.91</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94.33%</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542,640,693.82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476,756,180.58</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5.14%</w:t>
            </w:r>
          </w:p>
        </w:tc>
      </w:tr>
      <w:tr>
        <w:trPr>
          <w:trHeight w:val="342"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38,955,846.94</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0.35%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12,693,819.63</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0.14%</w:t>
            </w:r>
          </w:p>
        </w:tc>
      </w:tr>
      <w:tr>
        <w:trPr>
          <w:trHeight w:val="342" w:hRule="exact"/>
        </w:trPr>
        <w:tc>
          <w:tcPr>
            <w:tcW w:w="1428" w:type="dxa"/>
            <w:tcBorders>
              <w:top w:val="single" w:sz="4" w:space="0" w:color="000000"/>
              <w:left w:val="single" w:sz="4" w:space="0" w:color="000000"/>
              <w:bottom w:val="single" w:sz="8" w:space="0" w:color="CCCCCC"/>
              <w:right w:val="single" w:sz="4" w:space="0" w:color="000000"/>
            </w:tcBorders>
          </w:tcPr>
          <w:p>
            <w:pPr>
              <w:pStyle w:val="TableParagraph"/>
              <w:spacing w:line="240" w:lineRule="auto" w:before="21"/>
              <w:ind w:left="3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41,631,241.62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0.37%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36,337,649.92</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0.39%</w:t>
            </w:r>
          </w:p>
        </w:tc>
      </w:tr>
      <w:tr>
        <w:trPr>
          <w:trHeight w:val="343" w:hRule="exact"/>
        </w:trPr>
        <w:tc>
          <w:tcPr>
            <w:tcW w:w="14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1"/>
              <w:ind w:left="45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11,102,722,632.98</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9,274,030,114.04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5"/>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50" w:top="1100" w:bottom="1140" w:left="980" w:right="980"/>
        </w:sectPr>
      </w:pPr>
    </w:p>
    <w:p>
      <w:pPr>
        <w:pStyle w:val="BodyText"/>
        <w:spacing w:line="240" w:lineRule="auto" w:before="44"/>
        <w:ind w:left="154" w:right="-20"/>
        <w:jc w:val="left"/>
      </w:pPr>
      <w:r>
        <w:rPr/>
        <w:t>期末单项金额重大并单项计提坏账准备的其他应收款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80"/>
        <w:gridCol w:w="1127"/>
        <w:gridCol w:w="1127"/>
        <w:gridCol w:w="1446"/>
        <w:gridCol w:w="4503"/>
      </w:tblGrid>
      <w:tr>
        <w:trPr>
          <w:trHeight w:val="402" w:hRule="exact"/>
        </w:trPr>
        <w:tc>
          <w:tcPr>
            <w:tcW w:w="1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8,918,424.06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8,918,424.06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主要是账龄三年以上的往来款，预计收回可能性小</w:t>
            </w:r>
          </w:p>
        </w:tc>
      </w:tr>
    </w:tbl>
    <w:p>
      <w:pPr>
        <w:spacing w:after="0" w:line="240" w:lineRule="auto"/>
        <w:jc w:val="left"/>
        <w:rPr>
          <w:rFonts w:ascii="宋体" w:hAnsi="宋体" w:cs="宋体" w:eastAsia="宋体" w:hint="default"/>
          <w:sz w:val="18"/>
          <w:szCs w:val="18"/>
        </w:rPr>
        <w:sectPr>
          <w:type w:val="continuous"/>
          <w:pgSz w:w="11910" w:h="16840"/>
          <w:pgMar w:top="1600" w:bottom="2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480"/>
        <w:gridCol w:w="1127"/>
        <w:gridCol w:w="1127"/>
        <w:gridCol w:w="1446"/>
        <w:gridCol w:w="4503"/>
      </w:tblGrid>
      <w:tr>
        <w:trPr>
          <w:trHeight w:val="402" w:hRule="exact"/>
        </w:trPr>
        <w:tc>
          <w:tcPr>
            <w:tcW w:w="1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8,918,424.06</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8,918,424.06</w:t>
            </w:r>
          </w:p>
        </w:tc>
        <w:tc>
          <w:tcPr>
            <w:tcW w:w="14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50" w:top="1100" w:bottom="1140" w:left="980" w:right="980"/>
        </w:sectPr>
      </w:pPr>
    </w:p>
    <w:p>
      <w:pPr>
        <w:pStyle w:val="BodyText"/>
        <w:spacing w:line="240" w:lineRule="auto" w:before="51"/>
        <w:ind w:left="154" w:right="-20"/>
        <w:jc w:val="left"/>
      </w:pPr>
      <w:r>
        <w:rPr/>
        <w:t>组合中，采用账龄分析法计提坏账准备的其他应收款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282"/>
        <w:gridCol w:w="1817"/>
        <w:gridCol w:w="673"/>
        <w:gridCol w:w="1615"/>
        <w:gridCol w:w="1885"/>
        <w:gridCol w:w="674"/>
        <w:gridCol w:w="1747"/>
      </w:tblGrid>
      <w:tr>
        <w:trPr>
          <w:trHeight w:val="402" w:hRule="exact"/>
        </w:trPr>
        <w:tc>
          <w:tcPr>
            <w:tcW w:w="12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0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82" w:type="dxa"/>
            <w:vMerge/>
            <w:tcBorders>
              <w:left w:val="single" w:sz="4" w:space="0" w:color="000000"/>
              <w:right w:val="single" w:sz="4" w:space="0" w:color="000000"/>
            </w:tcBorders>
            <w:shd w:val="clear" w:color="auto" w:fill="D3D3D3"/>
          </w:tcPr>
          <w:p>
            <w:pPr/>
          </w:p>
        </w:tc>
        <w:tc>
          <w:tcPr>
            <w:tcW w:w="24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82" w:type="dxa"/>
            <w:vMerge/>
            <w:tcBorders>
              <w:left w:val="single" w:sz="4" w:space="0" w:color="000000"/>
              <w:bottom w:val="single" w:sz="4" w:space="0" w:color="000000"/>
              <w:right w:val="single" w:sz="4" w:space="0" w:color="000000"/>
            </w:tcBorders>
            <w:shd w:val="clear" w:color="auto" w:fill="D3D3D3"/>
          </w:tcPr>
          <w:p>
            <w:pPr/>
          </w:p>
        </w:tc>
        <w:tc>
          <w:tcPr>
            <w:tcW w:w="1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6" w:right="0"/>
              <w:jc w:val="left"/>
              <w:rPr>
                <w:rFonts w:ascii="Times New Roman" w:hAnsi="Times New Roman" w:cs="Times New Roman" w:eastAsia="Times New Roman" w:hint="default"/>
                <w:sz w:val="18"/>
                <w:szCs w:val="18"/>
              </w:rPr>
            </w:pPr>
            <w:r>
              <w:rPr>
                <w:rFonts w:ascii="Times New Roman"/>
                <w:sz w:val="18"/>
              </w:rPr>
              <w:t>(%)</w:t>
            </w:r>
          </w:p>
        </w:tc>
        <w:tc>
          <w:tcPr>
            <w:tcW w:w="1615" w:type="dxa"/>
            <w:vMerge/>
            <w:tcBorders>
              <w:left w:val="single" w:sz="4" w:space="0" w:color="000000"/>
              <w:bottom w:val="single" w:sz="4" w:space="0" w:color="000000"/>
              <w:right w:val="single" w:sz="4" w:space="0" w:color="000000"/>
            </w:tcBorders>
            <w:shd w:val="clear" w:color="auto" w:fill="D3D3D3"/>
          </w:tcPr>
          <w:p>
            <w:pPr/>
          </w:p>
        </w:tc>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6" w:right="0"/>
              <w:jc w:val="left"/>
              <w:rPr>
                <w:rFonts w:ascii="Times New Roman" w:hAnsi="Times New Roman" w:cs="Times New Roman" w:eastAsia="Times New Roman" w:hint="default"/>
                <w:sz w:val="18"/>
                <w:szCs w:val="18"/>
              </w:rPr>
            </w:pPr>
            <w:r>
              <w:rPr>
                <w:rFonts w:ascii="Times New Roman"/>
                <w:sz w:val="18"/>
              </w:rPr>
              <w:t>(%)</w:t>
            </w:r>
          </w:p>
        </w:tc>
        <w:tc>
          <w:tcPr>
            <w:tcW w:w="174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69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26,419,111.28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1,320,955.56</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35,120,692.33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50.02%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1,756,034.63</w:t>
            </w:r>
          </w:p>
        </w:tc>
      </w:tr>
      <w:tr>
        <w:trPr>
          <w:trHeight w:val="402" w:hRule="exact"/>
        </w:trPr>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26,419,111.28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1,320,955.56</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35,120,692.33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50.02%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1,756,034.63</w:t>
            </w:r>
          </w:p>
        </w:tc>
      </w:tr>
      <w:tr>
        <w:trPr>
          <w:trHeight w:val="402" w:hRule="exact"/>
        </w:trPr>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5,856,440.10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585,644.01</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11,321,624.73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16.12%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1,132,162.48</w:t>
            </w:r>
          </w:p>
        </w:tc>
      </w:tr>
      <w:tr>
        <w:trPr>
          <w:trHeight w:val="402" w:hRule="exact"/>
        </w:trPr>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37,813,069.17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7,562,613.83</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10,126,338.52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14.42%</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2,025,267.70</w:t>
            </w:r>
          </w:p>
        </w:tc>
      </w:tr>
      <w:tr>
        <w:trPr>
          <w:trHeight w:val="402" w:hRule="exact"/>
        </w:trPr>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18,995,308.13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18,995,308.13</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13,647,871.47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19.44%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13,647,871.47</w:t>
            </w:r>
          </w:p>
        </w:tc>
      </w:tr>
      <w:tr>
        <w:trPr>
          <w:trHeight w:val="402" w:hRule="exact"/>
        </w:trPr>
        <w:tc>
          <w:tcPr>
            <w:tcW w:w="12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89,083,928.68</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28,464,521.53</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70,216,527.05</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18,561,336.28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980"/>
        </w:sectPr>
      </w:pPr>
    </w:p>
    <w:p>
      <w:pPr>
        <w:pStyle w:val="BodyText"/>
        <w:spacing w:line="240" w:lineRule="auto" w:before="51"/>
        <w:ind w:left="154" w:right="-20"/>
        <w:jc w:val="left"/>
      </w:pPr>
      <w:r>
        <w:rPr/>
        <w:t>组合中，采用余额百分比法计提坏账准备的其他应收款</w:t>
      </w:r>
    </w:p>
    <w:p>
      <w:pPr>
        <w:pStyle w:val="BodyText"/>
        <w:spacing w:line="357" w:lineRule="auto" w:before="117"/>
        <w:ind w:right="341"/>
        <w:jc w:val="left"/>
      </w:pPr>
      <w:r>
        <w:rPr/>
        <w:t>□ 适用 √ 不适用 组合中，采用其他方法计提坏账准备的其他应收款</w:t>
      </w:r>
    </w:p>
    <w:p>
      <w:pPr>
        <w:pStyle w:val="BodyText"/>
        <w:spacing w:line="240" w:lineRule="auto" w:before="2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59"/>
        <w:gridCol w:w="2857"/>
        <w:gridCol w:w="2752"/>
      </w:tblGrid>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10,991,002,770.81</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10,991,002,770.81</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980"/>
        </w:sectPr>
      </w:pPr>
    </w:p>
    <w:p>
      <w:pPr>
        <w:pStyle w:val="BodyText"/>
        <w:spacing w:line="240" w:lineRule="auto" w:before="51"/>
        <w:ind w:left="154" w:right="-20"/>
        <w:jc w:val="left"/>
      </w:pPr>
      <w:r>
        <w:rPr/>
        <w:t>期末单项金额虽不重大但单项计提坏账准备的其他应收款</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600" w:bottom="280" w:left="980" w:right="980"/>
          <w:cols w:num="2" w:equalWidth="0">
            <w:col w:w="4655" w:space="4174"/>
            <w:col w:w="1121"/>
          </w:cols>
        </w:sectPr>
      </w:pP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51"/>
        <w:gridCol w:w="1202"/>
        <w:gridCol w:w="1201"/>
        <w:gridCol w:w="1417"/>
        <w:gridCol w:w="4422"/>
      </w:tblGrid>
      <w:tr>
        <w:trPr>
          <w:trHeight w:val="402"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13,717,509.43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13,717,509.43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4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主要是账龄三年以上的往来款，预计收回可能性小</w:t>
            </w:r>
          </w:p>
        </w:tc>
      </w:tr>
      <w:tr>
        <w:trPr>
          <w:trHeight w:val="402" w:hRule="exact"/>
        </w:trPr>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13,717,509.43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13,717,509.43</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4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600" w:bottom="2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w:t>
      </w:r>
      <w:r>
        <w:rPr>
          <w:spacing w:val="-6"/>
        </w:rPr>
        <w:t> </w:t>
      </w:r>
      <w:r>
        <w:rPr/>
        <w:t>本年无转回或收回情况。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w:t>
      </w:r>
      <w:r>
        <w:rPr>
          <w:spacing w:val="-12"/>
        </w:rPr>
        <w:t> </w:t>
      </w:r>
      <w:r>
        <w:rPr/>
        <w:t>报告期无实际核销的其他应收款情况。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w:t>
      </w:r>
      <w:r>
        <w:rPr>
          <w:spacing w:val="-11"/>
        </w:rPr>
        <w:t> </w:t>
      </w:r>
      <w:r>
        <w:rPr/>
        <w:t>本报告期其他应收款中无持有公司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2665"/>
        <w:gridCol w:w="1796"/>
        <w:gridCol w:w="1582"/>
        <w:gridCol w:w="878"/>
        <w:gridCol w:w="2772"/>
      </w:tblGrid>
      <w:tr>
        <w:trPr>
          <w:trHeight w:val="401" w:hRule="exact"/>
        </w:trPr>
        <w:tc>
          <w:tcPr>
            <w:tcW w:w="2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5,429,394,926.60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58.42%</w:t>
            </w:r>
          </w:p>
        </w:tc>
      </w:tr>
      <w:tr>
        <w:trPr>
          <w:trHeight w:val="40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2,227,137,124.40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23.96%</w:t>
            </w:r>
          </w:p>
        </w:tc>
      </w:tr>
      <w:tr>
        <w:trPr>
          <w:trHeight w:val="40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615,847,164.89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6.63%</w:t>
            </w:r>
          </w:p>
        </w:tc>
      </w:tr>
      <w:tr>
        <w:trPr>
          <w:trHeight w:val="40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山东江河纸业有限责任公司</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587,776,068.96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6.32%</w:t>
            </w:r>
          </w:p>
        </w:tc>
      </w:tr>
      <w:tr>
        <w:trPr>
          <w:trHeight w:val="402" w:hRule="exact"/>
        </w:trPr>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434,046,658.51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4.67%</w:t>
            </w:r>
          </w:p>
        </w:tc>
      </w:tr>
      <w:tr>
        <w:trPr>
          <w:trHeight w:val="401" w:hRule="exact"/>
        </w:trPr>
        <w:tc>
          <w:tcPr>
            <w:tcW w:w="2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9,294,201,943.36</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）其他应收关联方账款情况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354"/>
        <w:gridCol w:w="1820"/>
        <w:gridCol w:w="1712"/>
        <w:gridCol w:w="2807"/>
      </w:tblGrid>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65"/>
              <w:jc w:val="right"/>
              <w:rPr>
                <w:rFonts w:ascii="宋体" w:hAnsi="宋体" w:cs="宋体" w:eastAsia="宋体" w:hint="default"/>
                <w:sz w:val="18"/>
                <w:szCs w:val="18"/>
              </w:rPr>
            </w:pPr>
            <w:r>
              <w:rPr>
                <w:rFonts w:ascii="宋体" w:hAnsi="宋体" w:cs="宋体" w:eastAsia="宋体" w:hint="default"/>
                <w:sz w:val="18"/>
                <w:szCs w:val="18"/>
              </w:rPr>
              <w:t>与本公司关系</w:t>
            </w:r>
          </w:p>
        </w:tc>
        <w:tc>
          <w:tcPr>
            <w:tcW w:w="1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寿光美伦纸业有限责任公司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5,429,394,926.60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48.90%</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山东晨鸣纸业销售有限公司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2,227,137,124.40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20.06%</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寿光晨鸣美术纸有限公司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615,847,164.89</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吉林晨鸣纸业有限责任公司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434,046,658.51</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山东御景大酒店有限公司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357,743,572.80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武汉晨鸣汉阳纸业股份有限公司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339,934,233.11</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富裕晨鸣纸业有限责任公司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194,723,941.49</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海城海鸣矿业有限责任公司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186,467,033.33</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湛江晨鸣林业发展有限公司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166,808,715.34</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黄冈晨鸣林业发展有限责任公司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159,542,057.24</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黄冈晨鸣浆纸有限公司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116,742,213.13</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65,563,939.48</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武汉晨鸣乾能热电有限责任公司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64,328,165.05</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22,887,456.65</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寿光晨鸣工业物流有限公司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6,665,040.00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r>
      <w:tr>
        <w:trPr>
          <w:trHeight w:val="403"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阳江晨鸣林业发展有限公司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7"/>
              <w:jc w:val="righ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3,015,000.00</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354"/>
        <w:gridCol w:w="1820"/>
        <w:gridCol w:w="1712"/>
        <w:gridCol w:w="2807"/>
      </w:tblGrid>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寿光市晨鸣天园林业有限公司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2,427,092.83</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1,290,901.12</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武汉晨鸣万兴置业有限公司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1,142,777.77</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海拉尔晨鸣纸业有限责任公司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198,660.63</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10,395,906,674.37</w:t>
            </w:r>
          </w:p>
        </w:tc>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山东晨鸣 热电股份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157,810,1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17.43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157,810,1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17.43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157,810,1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17.43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30,213,77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1.35</w:t>
            </w: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武汉晨鸣</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汉阳纸业 股份有限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202,824,7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16.34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202,824,7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16.34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202,824,7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16.34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海拉尔晨</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鸣纸业有 限责任公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延边晨鸣 纸业有限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96,789,33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96,725,53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-96,725,5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33.01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天园林业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7,199,000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7,199,000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江西晨鸣 纸业有限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697,548,4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06.40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697,548,4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06.40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125,319,2</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822,867,6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46.40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11,300,10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2.21</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山东御景 大酒店有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80,500,00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80,500,00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80,500,00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吉林晨鸣 纸业有限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1,501,350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1,501,350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1,501,350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湛江晨鸣 浆纸有限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晨鸣（香 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783,310.0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783,310.0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61,800,00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62,583,31</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现代物流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63,500,00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富裕晨鸣 纸业有限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208,000,0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208,000,0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208,000,0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美术纸有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113,616,0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63.80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113,616,0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63.80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113,616,0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63.80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黄冈晨鸣 林业发展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黄岗晨鸣 浆纸有限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寿光美伦 纸业有限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2,200,000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晨鸣国际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19,861,95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19,861,95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19,861,95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寿光顺达 报关有限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山东晨鸣 纸业销售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寿光恒丰 仓储有限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进出口贸 易有限公</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佳泰物业 管理有限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造纸机械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工业物流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寿光晨鸣 宏欣包装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上海润晨</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股权投资 基金有限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98.36%</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4" w:right="0"/>
              <w:jc w:val="left"/>
              <w:rPr>
                <w:rFonts w:ascii="Times New Roman" w:hAnsi="Times New Roman" w:cs="Times New Roman" w:eastAsia="Times New Roman" w:hint="default"/>
                <w:sz w:val="18"/>
                <w:szCs w:val="18"/>
              </w:rPr>
            </w:pPr>
            <w:r>
              <w:rPr>
                <w:rFonts w:ascii="Times New Roman"/>
                <w:sz w:val="18"/>
              </w:rPr>
              <w:t>19,313,68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6.50</w:t>
            </w: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晨鸣纸业 日本株式 会社</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9,465,450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9,306,351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9,306,351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海城海鸣 矿业有限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144,000,0</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晨鸣</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GmbH</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4,083,235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4,083,235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4,083,235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寿光鸿翔</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印刷包装 有限责任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2,730,000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2,730,000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2,730,000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纸业（富 裕）销售</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青州市晨</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鸣变性淀 粉有限责</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3"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98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阿尔诺维 根斯晨鸣 特种纸有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80,100,00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950" w:header="877" w:top="1100" w:bottom="114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62"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江西江报 传媒彩印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4,792,675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-47,492.3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4,745,182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山东纸业 集团总公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济南商友 商务有限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浙江省广 育报业印 务有限公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9.96%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9.96%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寿光弥河 水务有限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上海林嘉 纸电子商 务有限公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1,139,574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安徽时代 物资股份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潍坊新业 资本投资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山东虹桥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8,523,511</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,586.98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8,994,168</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,128.30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-127,840,</w:t>
            </w:r>
          </w:p>
          <w:p>
            <w:pPr>
              <w:pStyle w:val="TableParagraph"/>
              <w:spacing w:line="240" w:lineRule="auto" w:before="105"/>
              <w:ind w:left="244" w:right="0"/>
              <w:jc w:val="center"/>
              <w:rPr>
                <w:rFonts w:ascii="Times New Roman" w:hAnsi="Times New Roman" w:cs="Times New Roman" w:eastAsia="Times New Roman" w:hint="default"/>
                <w:sz w:val="18"/>
                <w:szCs w:val="18"/>
              </w:rPr>
            </w:pPr>
            <w:r>
              <w:rPr>
                <w:rFonts w:ascii="Times New Roman"/>
                <w:sz w:val="18"/>
              </w:rPr>
              <w:t>550.38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8,866,327</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,577.92</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2,589,574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327,327,5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60.06</w:t>
            </w:r>
          </w:p>
        </w:tc>
      </w:tr>
    </w:tbl>
    <w:p>
      <w:pPr>
        <w:pStyle w:val="BodyText"/>
        <w:spacing w:line="240" w:lineRule="auto" w:before="51"/>
        <w:ind w:left="154" w:right="0"/>
        <w:jc w:val="left"/>
      </w:pPr>
      <w:r>
        <w:rPr/>
        <w:t>长期股权投资的说明</w:t>
      </w:r>
    </w:p>
    <w:p>
      <w:pPr>
        <w:pStyle w:val="BodyText"/>
        <w:spacing w:line="240" w:lineRule="auto" w:before="116"/>
        <w:ind w:left="513" w:right="0"/>
        <w:jc w:val="left"/>
      </w:pPr>
      <w:r>
        <w:rPr/>
        <w:t>（</w:t>
      </w:r>
      <w:r>
        <w:rPr>
          <w:rFonts w:ascii="Times New Roman" w:hAnsi="Times New Roman" w:cs="Times New Roman" w:eastAsia="Times New Roman" w:hint="default"/>
        </w:rPr>
        <w:t>1</w:t>
      </w:r>
      <w:r>
        <w:rPr/>
        <w:t>）长期股权投资分类</w:t>
      </w:r>
    </w:p>
    <w:p>
      <w:pPr>
        <w:spacing w:line="240" w:lineRule="auto" w:before="6"/>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2764"/>
        <w:gridCol w:w="1922"/>
        <w:gridCol w:w="1579"/>
        <w:gridCol w:w="1612"/>
        <w:gridCol w:w="1781"/>
      </w:tblGrid>
      <w:tr>
        <w:trPr>
          <w:trHeight w:val="342" w:hRule="exact"/>
        </w:trPr>
        <w:tc>
          <w:tcPr>
            <w:tcW w:w="27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5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42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43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650"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46" w:hRule="exact"/>
        </w:trPr>
        <w:tc>
          <w:tcPr>
            <w:tcW w:w="27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92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2"/>
              <w:jc w:val="right"/>
              <w:rPr>
                <w:rFonts w:ascii="Times New Roman" w:hAnsi="Times New Roman" w:cs="Times New Roman" w:eastAsia="Times New Roman" w:hint="default"/>
                <w:sz w:val="18"/>
                <w:szCs w:val="18"/>
              </w:rPr>
            </w:pPr>
            <w:r>
              <w:rPr>
                <w:rFonts w:ascii="Times New Roman"/>
                <w:spacing w:val="-1"/>
                <w:sz w:val="18"/>
              </w:rPr>
              <w:t>8,903,525,453.18</w:t>
            </w:r>
          </w:p>
        </w:tc>
        <w:tc>
          <w:tcPr>
            <w:tcW w:w="1579"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left="437" w:right="0"/>
              <w:jc w:val="left"/>
              <w:rPr>
                <w:rFonts w:ascii="Times New Roman" w:hAnsi="Times New Roman" w:cs="Times New Roman" w:eastAsia="Times New Roman" w:hint="default"/>
                <w:sz w:val="18"/>
                <w:szCs w:val="18"/>
              </w:rPr>
            </w:pPr>
            <w:r>
              <w:rPr>
                <w:rFonts w:ascii="Times New Roman"/>
                <w:sz w:val="18"/>
              </w:rPr>
              <w:t>268,932,475.00</w:t>
            </w:r>
          </w:p>
        </w:tc>
        <w:tc>
          <w:tcPr>
            <w:tcW w:w="161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396,725,533.01</w:t>
            </w:r>
          </w:p>
        </w:tc>
        <w:tc>
          <w:tcPr>
            <w:tcW w:w="1781"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8,775,732,395.17</w:t>
            </w:r>
          </w:p>
        </w:tc>
      </w:tr>
      <w:tr>
        <w:trPr>
          <w:trHeight w:val="347" w:hRule="exact"/>
        </w:trPr>
        <w:tc>
          <w:tcPr>
            <w:tcW w:w="27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5,692,675.12</w:t>
            </w:r>
          </w:p>
        </w:tc>
        <w:tc>
          <w:tcPr>
            <w:tcW w:w="1579"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47,492.37</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5,645,182.75</w:t>
            </w:r>
          </w:p>
        </w:tc>
      </w:tr>
      <w:tr>
        <w:trPr>
          <w:trHeight w:val="347" w:hRule="exact"/>
        </w:trPr>
        <w:tc>
          <w:tcPr>
            <w:tcW w:w="27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84,950,000.00</w:t>
            </w:r>
          </w:p>
        </w:tc>
        <w:tc>
          <w:tcPr>
            <w:tcW w:w="1579"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84,950,000.00</w:t>
            </w:r>
          </w:p>
        </w:tc>
      </w:tr>
      <w:tr>
        <w:trPr>
          <w:trHeight w:val="347" w:hRule="exact"/>
        </w:trPr>
        <w:tc>
          <w:tcPr>
            <w:tcW w:w="27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2,589,574.47</w:t>
            </w:r>
          </w:p>
        </w:tc>
        <w:tc>
          <w:tcPr>
            <w:tcW w:w="1579"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single" w:sz="6" w:space="0" w:color="000000"/>
            </w:tcBorders>
          </w:tcPr>
          <w:p>
            <w:pP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2,589,574.47</w:t>
            </w:r>
          </w:p>
        </w:tc>
      </w:tr>
      <w:tr>
        <w:trPr>
          <w:trHeight w:val="348" w:hRule="exact"/>
        </w:trPr>
        <w:tc>
          <w:tcPr>
            <w:tcW w:w="27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2"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8,991,578,553.83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37" w:right="0"/>
              <w:jc w:val="left"/>
              <w:rPr>
                <w:rFonts w:ascii="Times New Roman" w:hAnsi="Times New Roman" w:cs="Times New Roman" w:eastAsia="Times New Roman" w:hint="default"/>
                <w:sz w:val="18"/>
                <w:szCs w:val="18"/>
              </w:rPr>
            </w:pPr>
            <w:r>
              <w:rPr>
                <w:rFonts w:ascii="Times New Roman"/>
                <w:sz w:val="18"/>
              </w:rPr>
              <w:t>268,932,475.00</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396,773,025.38</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8,863,738,003.45</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50" w:header="877" w:top="1100" w:bottom="1140" w:left="980" w:right="980"/>
          <w:pgNumType w:start="201"/>
        </w:sectPr>
      </w:pPr>
    </w:p>
    <w:p>
      <w:pPr>
        <w:spacing w:line="240" w:lineRule="auto" w:before="12"/>
        <w:rPr>
          <w:rFonts w:ascii="宋体" w:hAnsi="宋体" w:cs="宋体" w:eastAsia="宋体" w:hint="default"/>
          <w:sz w:val="21"/>
          <w:szCs w:val="21"/>
        </w:rPr>
      </w:pPr>
    </w:p>
    <w:p>
      <w:pPr>
        <w:pStyle w:val="BodyText"/>
        <w:spacing w:line="240" w:lineRule="auto" w:before="44"/>
        <w:ind w:left="513" w:right="0"/>
        <w:jc w:val="left"/>
      </w:pPr>
      <w:r>
        <w:rPr/>
        <w:t>（</w:t>
      </w:r>
      <w:r>
        <w:rPr>
          <w:rFonts w:ascii="Times New Roman" w:hAnsi="Times New Roman" w:cs="Times New Roman" w:eastAsia="Times New Roman" w:hint="default"/>
        </w:rPr>
        <w:t>2</w:t>
      </w:r>
      <w:r>
        <w:rPr/>
        <w:t>）长期股权投资减值准备明细情况</w:t>
      </w:r>
    </w:p>
    <w:p>
      <w:pPr>
        <w:spacing w:line="240" w:lineRule="auto" w:before="6"/>
        <w:rPr>
          <w:rFonts w:ascii="宋体" w:hAnsi="宋体" w:cs="宋体" w:eastAsia="宋体" w:hint="default"/>
          <w:sz w:val="4"/>
          <w:szCs w:val="4"/>
        </w:rPr>
      </w:pPr>
    </w:p>
    <w:tbl>
      <w:tblPr>
        <w:tblW w:w="0" w:type="auto"/>
        <w:jc w:val="left"/>
        <w:tblInd w:w="137" w:type="dxa"/>
        <w:tblLayout w:type="fixed"/>
        <w:tblCellMar>
          <w:top w:w="0" w:type="dxa"/>
          <w:left w:w="0" w:type="dxa"/>
          <w:bottom w:w="0" w:type="dxa"/>
          <w:right w:w="0" w:type="dxa"/>
        </w:tblCellMar>
        <w:tblLook w:val="01E0"/>
      </w:tblPr>
      <w:tblGrid>
        <w:gridCol w:w="3412"/>
        <w:gridCol w:w="1686"/>
        <w:gridCol w:w="1381"/>
        <w:gridCol w:w="1495"/>
        <w:gridCol w:w="1684"/>
      </w:tblGrid>
      <w:tr>
        <w:trPr>
          <w:trHeight w:val="342" w:hRule="exact"/>
        </w:trPr>
        <w:tc>
          <w:tcPr>
            <w:tcW w:w="3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6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32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37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346" w:hRule="exact"/>
        </w:trPr>
        <w:tc>
          <w:tcPr>
            <w:tcW w:w="3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青州市晨鸣变性淀粉有限责任公司</w:t>
            </w:r>
          </w:p>
        </w:tc>
        <w:tc>
          <w:tcPr>
            <w:tcW w:w="1686" w:type="dxa"/>
            <w:tcBorders>
              <w:top w:val="single" w:sz="9"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900,000.00</w:t>
            </w:r>
          </w:p>
        </w:tc>
        <w:tc>
          <w:tcPr>
            <w:tcW w:w="1381" w:type="dxa"/>
            <w:tcBorders>
              <w:top w:val="single" w:sz="9" w:space="0" w:color="000000"/>
              <w:left w:val="single" w:sz="6" w:space="0" w:color="000000"/>
              <w:bottom w:val="single" w:sz="6" w:space="0" w:color="000000"/>
              <w:right w:val="single" w:sz="6" w:space="0" w:color="000000"/>
            </w:tcBorders>
          </w:tcPr>
          <w:p>
            <w:pPr/>
          </w:p>
        </w:tc>
        <w:tc>
          <w:tcPr>
            <w:tcW w:w="1495" w:type="dxa"/>
            <w:tcBorders>
              <w:top w:val="single" w:sz="9" w:space="0" w:color="000000"/>
              <w:left w:val="single" w:sz="6" w:space="0" w:color="000000"/>
              <w:bottom w:val="single" w:sz="6" w:space="0" w:color="000000"/>
              <w:right w:val="single" w:sz="6" w:space="0" w:color="000000"/>
            </w:tcBorders>
          </w:tcPr>
          <w:p>
            <w:pPr/>
          </w:p>
        </w:tc>
        <w:tc>
          <w:tcPr>
            <w:tcW w:w="1684"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Times New Roman" w:hAnsi="Times New Roman" w:cs="Times New Roman" w:eastAsia="Times New Roman" w:hint="default"/>
                <w:sz w:val="18"/>
                <w:szCs w:val="18"/>
              </w:rPr>
            </w:pPr>
            <w:r>
              <w:rPr>
                <w:rFonts w:ascii="Times New Roman"/>
                <w:sz w:val="18"/>
              </w:rPr>
              <w:t>900,000.00</w:t>
            </w:r>
          </w:p>
        </w:tc>
      </w:tr>
      <w:tr>
        <w:trPr>
          <w:trHeight w:val="347" w:hRule="exact"/>
        </w:trPr>
        <w:tc>
          <w:tcPr>
            <w:tcW w:w="3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山东纸业集团总公司</w:t>
            </w:r>
          </w:p>
        </w:tc>
        <w:tc>
          <w:tcPr>
            <w:tcW w:w="168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200,000.00</w:t>
            </w:r>
          </w:p>
        </w:tc>
        <w:tc>
          <w:tcPr>
            <w:tcW w:w="1381"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200,000.00</w:t>
            </w:r>
          </w:p>
        </w:tc>
      </w:tr>
      <w:tr>
        <w:trPr>
          <w:trHeight w:val="348" w:hRule="exact"/>
        </w:trPr>
        <w:tc>
          <w:tcPr>
            <w:tcW w:w="3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济南商友商务有限责任公司</w:t>
            </w:r>
          </w:p>
        </w:tc>
        <w:tc>
          <w:tcPr>
            <w:tcW w:w="168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350,000.00</w:t>
            </w:r>
          </w:p>
        </w:tc>
        <w:tc>
          <w:tcPr>
            <w:tcW w:w="1381"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350,000.00</w:t>
            </w:r>
          </w:p>
        </w:tc>
      </w:tr>
      <w:tr>
        <w:trPr>
          <w:trHeight w:val="347" w:hRule="exact"/>
        </w:trPr>
        <w:tc>
          <w:tcPr>
            <w:tcW w:w="3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上海林嘉纸电子商务有限公司</w:t>
            </w:r>
          </w:p>
        </w:tc>
        <w:tc>
          <w:tcPr>
            <w:tcW w:w="168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1,139,574.47</w:t>
            </w:r>
          </w:p>
        </w:tc>
        <w:tc>
          <w:tcPr>
            <w:tcW w:w="1381"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1,139,574.47</w:t>
            </w:r>
          </w:p>
        </w:tc>
      </w:tr>
      <w:tr>
        <w:trPr>
          <w:trHeight w:val="347" w:hRule="exact"/>
        </w:trPr>
        <w:tc>
          <w:tcPr>
            <w:tcW w:w="3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86"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2,589,574.47</w:t>
            </w:r>
          </w:p>
        </w:tc>
        <w:tc>
          <w:tcPr>
            <w:tcW w:w="1381" w:type="dxa"/>
            <w:tcBorders>
              <w:top w:val="single" w:sz="6" w:space="0" w:color="000000"/>
              <w:left w:val="single" w:sz="6" w:space="0" w:color="000000"/>
              <w:bottom w:val="single" w:sz="6" w:space="0" w:color="000000"/>
              <w:right w:val="single" w:sz="6" w:space="0" w:color="000000"/>
            </w:tcBorders>
          </w:tcPr>
          <w:p>
            <w:pPr/>
          </w:p>
        </w:tc>
        <w:tc>
          <w:tcPr>
            <w:tcW w:w="1495" w:type="dxa"/>
            <w:tcBorders>
              <w:top w:val="single" w:sz="6" w:space="0" w:color="000000"/>
              <w:left w:val="single" w:sz="6" w:space="0" w:color="000000"/>
              <w:bottom w:val="single" w:sz="6" w:space="0" w:color="000000"/>
              <w:right w:val="single" w:sz="6" w:space="0" w:color="000000"/>
            </w:tcBorders>
          </w:tcPr>
          <w:p>
            <w:pP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2,589,574.47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1"/>
        <w:gridCol w:w="3467"/>
        <w:gridCol w:w="3588"/>
      </w:tblGrid>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8,581,184,184.97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7,725,612,244.79</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1,208,914,521.45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915,596,697.75</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9,790,098,706.42</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8,641,208,942.54</w:t>
            </w:r>
          </w:p>
        </w:tc>
      </w:tr>
      <w:tr>
        <w:trPr>
          <w:trHeight w:val="402" w:hRule="exact"/>
        </w:trPr>
        <w:tc>
          <w:tcPr>
            <w:tcW w:w="25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7,831,543,846.50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7,177,585,076.21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6,381,206,521.11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5,004,862,835.94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6,517,417,558.81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5,371,654,396.22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电力及热力</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2,199,977,663.86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1,665,925,576.42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1,208,194,685.98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936,846,647.26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8,581,184,184.97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6,670,788,412.36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7,725,612,244.79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6,308,501,043.48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机制纸</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6,381,206,521.11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5,004,862,835.94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6,517,417,558.81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5,371,654,396.22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电及汽</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2,199,977,663.86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1,665,925,576.42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1,208,194,685.98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936,846,647.26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8,581,184,184.97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6,670,788,412.36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7,725,612,244.79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6,308,501,043.48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8,209,025,421.21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6,359,495,311.78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7,276,157,262.26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5,934,723,083.20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其他国家和地区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372,158,763.76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311,293,100.58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449,454,982.53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373,777,960.28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8,581,184,184.97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6,670,788,412.36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7,725,612,244.79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6,308,501,043.48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w:t>
      </w:r>
      <w:r>
        <w:rPr>
          <w:spacing w:val="-10"/>
        </w:rPr>
        <w:t> </w:t>
      </w:r>
      <w:r>
        <w:rPr/>
        <w:t>公司前五名客户的营业收入情况</w:t>
      </w:r>
      <w:r>
        <w:rPr>
          <w:b w:val="0"/>
          <w:bCs w:val="0"/>
        </w:rPr>
      </w:r>
    </w:p>
    <w:p>
      <w:pPr>
        <w:spacing w:line="240" w:lineRule="auto" w:before="9"/>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3059"/>
        <w:gridCol w:w="3601"/>
        <w:gridCol w:w="2998"/>
      </w:tblGrid>
      <w:tr>
        <w:trPr>
          <w:trHeight w:val="335" w:hRule="exact"/>
        </w:trPr>
        <w:tc>
          <w:tcPr>
            <w:tcW w:w="30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251"/>
              <w:jc w:val="right"/>
              <w:rPr>
                <w:rFonts w:ascii="宋体" w:hAnsi="宋体" w:cs="宋体" w:eastAsia="宋体" w:hint="default"/>
                <w:sz w:val="18"/>
                <w:szCs w:val="18"/>
              </w:rPr>
            </w:pPr>
            <w:r>
              <w:rPr>
                <w:rFonts w:ascii="宋体" w:hAnsi="宋体" w:cs="宋体" w:eastAsia="宋体" w:hint="default"/>
                <w:sz w:val="18"/>
                <w:szCs w:val="18"/>
              </w:rPr>
              <w:t>期  间</w:t>
            </w:r>
          </w:p>
        </w:tc>
        <w:tc>
          <w:tcPr>
            <w:tcW w:w="36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802" w:right="0"/>
              <w:jc w:val="left"/>
              <w:rPr>
                <w:rFonts w:ascii="宋体" w:hAnsi="宋体" w:cs="宋体" w:eastAsia="宋体" w:hint="default"/>
                <w:sz w:val="18"/>
                <w:szCs w:val="18"/>
              </w:rPr>
            </w:pPr>
            <w:r>
              <w:rPr>
                <w:rFonts w:ascii="宋体" w:hAnsi="宋体" w:cs="宋体" w:eastAsia="宋体" w:hint="default"/>
                <w:sz w:val="18"/>
                <w:szCs w:val="18"/>
              </w:rPr>
              <w:t>前五名客户营业收入合计</w:t>
            </w:r>
          </w:p>
        </w:tc>
        <w:tc>
          <w:tcPr>
            <w:tcW w:w="29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left="366" w:right="0"/>
              <w:jc w:val="left"/>
              <w:rPr>
                <w:rFonts w:ascii="宋体" w:hAnsi="宋体" w:cs="宋体" w:eastAsia="宋体" w:hint="default"/>
                <w:sz w:val="18"/>
                <w:szCs w:val="18"/>
              </w:rPr>
            </w:pPr>
            <w:r>
              <w:rPr>
                <w:rFonts w:ascii="宋体" w:hAnsi="宋体" w:cs="宋体" w:eastAsia="宋体" w:hint="default"/>
                <w:sz w:val="18"/>
                <w:szCs w:val="18"/>
              </w:rPr>
              <w:t>占同期营业收入的比例（%）</w:t>
            </w:r>
          </w:p>
        </w:tc>
      </w:tr>
      <w:tr>
        <w:trPr>
          <w:trHeight w:val="346" w:hRule="exact"/>
        </w:trPr>
        <w:tc>
          <w:tcPr>
            <w:tcW w:w="30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2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6,373,240,074.26</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65%</w:t>
            </w:r>
          </w:p>
        </w:tc>
      </w:tr>
      <w:tr>
        <w:trPr>
          <w:trHeight w:val="348" w:hRule="exact"/>
        </w:trPr>
        <w:tc>
          <w:tcPr>
            <w:tcW w:w="30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251"/>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6,492,496,014.66</w:t>
            </w:r>
          </w:p>
        </w:tc>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75%</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99"/>
        <w:gridCol w:w="2535"/>
        <w:gridCol w:w="2522"/>
      </w:tblGrid>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327,327,560.06</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540,703,203.89</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-47,492.37</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-19,380,904.84</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14,190,483.70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-4,350,000.00</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委托贷款利息收入</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12,211,717.01</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33,926,275.36</w:t>
            </w:r>
          </w:p>
        </w:tc>
      </w:tr>
      <w:tr>
        <w:trPr>
          <w:trHeight w:val="402"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吸收合并全资子公司</w:t>
            </w:r>
          </w:p>
        </w:tc>
        <w:tc>
          <w:tcPr>
            <w:tcW w:w="2535" w:type="dxa"/>
            <w:tcBorders>
              <w:top w:val="single" w:sz="4" w:space="0" w:color="000000"/>
              <w:left w:val="single" w:sz="13" w:space="0" w:color="D3D3D3"/>
              <w:bottom w:val="single" w:sz="4" w:space="0" w:color="000000"/>
              <w:right w:val="single" w:sz="4" w:space="0" w:color="000000"/>
            </w:tcBorders>
          </w:tcPr>
          <w:p>
            <w:pP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50,273,012.00</w:t>
            </w:r>
          </w:p>
        </w:tc>
      </w:tr>
      <w:tr>
        <w:trPr>
          <w:trHeight w:val="403" w:hRule="exact"/>
        </w:trPr>
        <w:tc>
          <w:tcPr>
            <w:tcW w:w="4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353,682,268.40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601,171,586.41</w:t>
            </w:r>
          </w:p>
        </w:tc>
      </w:tr>
    </w:tbl>
    <w:p>
      <w:pPr>
        <w:pStyle w:val="BodyText"/>
        <w:spacing w:line="240" w:lineRule="auto" w:before="51"/>
        <w:ind w:left="154" w:right="0"/>
        <w:jc w:val="left"/>
      </w:pPr>
      <w:r>
        <w:rPr/>
        <w:t>注：本公司投资收益汇回不存在重大限制。</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5"/>
        <w:gridCol w:w="1895"/>
        <w:gridCol w:w="1800"/>
        <w:gridCol w:w="2548"/>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山东晨鸣热电股份有限公司</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30,213,771.35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28,487,270.13</w:t>
            </w: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山东晨鸣纸业集团齐河板纸有限责任公司</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412,453,350.99</w:t>
            </w: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延边晨鸣纸业有限公司</w:t>
            </w:r>
          </w:p>
        </w:tc>
        <w:tc>
          <w:tcPr>
            <w:tcW w:w="189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99,762,582.77</w:t>
            </w: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江西晨鸣纸业有限责任公司</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11,300,102.21</w:t>
            </w:r>
          </w:p>
        </w:tc>
        <w:tc>
          <w:tcPr>
            <w:tcW w:w="180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湛江晨鸣浆纸有限公司</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5"/>
        <w:gridCol w:w="1895"/>
        <w:gridCol w:w="1800"/>
        <w:gridCol w:w="2548"/>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寿光晨鸣造纸机械有限公司</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寿光晨鸣进出口贸易有限公司</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寿光晨鸣现代物流有限公司</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63,500,000.00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上海润晨股权投资基金有限公司</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19,313,686.50</w:t>
            </w:r>
          </w:p>
        </w:tc>
        <w:tc>
          <w:tcPr>
            <w:tcW w:w="1800" w:type="dxa"/>
            <w:tcBorders>
              <w:top w:val="single" w:sz="4" w:space="0" w:color="000000"/>
              <w:left w:val="single" w:sz="4" w:space="0" w:color="000000"/>
              <w:bottom w:val="single" w:sz="4" w:space="0" w:color="000000"/>
              <w:right w:val="single" w:sz="4" w:space="0" w:color="000000"/>
            </w:tcBorders>
          </w:tcPr>
          <w:p>
            <w:pP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327,327,560.06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2" w:right="0"/>
              <w:jc w:val="left"/>
              <w:rPr>
                <w:rFonts w:ascii="Times New Roman" w:hAnsi="Times New Roman" w:cs="Times New Roman" w:eastAsia="Times New Roman" w:hint="default"/>
                <w:sz w:val="18"/>
                <w:szCs w:val="18"/>
              </w:rPr>
            </w:pPr>
            <w:r>
              <w:rPr>
                <w:rFonts w:ascii="Times New Roman"/>
                <w:sz w:val="18"/>
              </w:rPr>
              <w:t>540,703,203.89</w:t>
            </w:r>
          </w:p>
        </w:tc>
        <w:tc>
          <w:tcPr>
            <w:tcW w:w="2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阿尔诺维根斯晨鸣特种纸有限公司</w:t>
            </w:r>
          </w:p>
        </w:tc>
        <w:tc>
          <w:tcPr>
            <w:tcW w:w="17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-19,385,301.17</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江西江报传媒彩印有限公司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-47,492.37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4,396.33</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寿光丽奔制纸有限公司</w:t>
            </w:r>
          </w:p>
        </w:tc>
        <w:tc>
          <w:tcPr>
            <w:tcW w:w="17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-47,492.37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-19,380,904.84</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w:t>
      </w:r>
      <w:r>
        <w:rPr>
          <w:spacing w:val="-7"/>
        </w:rPr>
        <w:t> </w:t>
      </w:r>
      <w:r>
        <w:rPr/>
        <w:t>吸收合并全资子公司</w:t>
      </w:r>
      <w:r>
        <w:rPr>
          <w:b w:val="0"/>
          <w:bCs w:val="0"/>
        </w:rPr>
      </w:r>
    </w:p>
    <w:p>
      <w:pPr>
        <w:spacing w:line="240" w:lineRule="auto" w:before="2"/>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5275"/>
        <w:gridCol w:w="2169"/>
        <w:gridCol w:w="2214"/>
      </w:tblGrid>
      <w:tr>
        <w:trPr>
          <w:trHeight w:val="342" w:hRule="exact"/>
        </w:trPr>
        <w:tc>
          <w:tcPr>
            <w:tcW w:w="5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627"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2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65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347" w:hRule="exact"/>
        </w:trPr>
        <w:tc>
          <w:tcPr>
            <w:tcW w:w="5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合并日净资产</w:t>
            </w:r>
          </w:p>
        </w:tc>
        <w:tc>
          <w:tcPr>
            <w:tcW w:w="2169" w:type="dxa"/>
            <w:tcBorders>
              <w:top w:val="single" w:sz="6" w:space="0" w:color="000000"/>
              <w:left w:val="single" w:sz="7"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66,123,366.16</w:t>
            </w:r>
          </w:p>
        </w:tc>
      </w:tr>
      <w:tr>
        <w:trPr>
          <w:trHeight w:val="348" w:hRule="exact"/>
        </w:trPr>
        <w:tc>
          <w:tcPr>
            <w:tcW w:w="5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减：投资成本</w:t>
            </w:r>
          </w:p>
        </w:tc>
        <w:tc>
          <w:tcPr>
            <w:tcW w:w="2169" w:type="dxa"/>
            <w:tcBorders>
              <w:top w:val="single" w:sz="6" w:space="0" w:color="000000"/>
              <w:left w:val="single" w:sz="7"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15,850,354.16</w:t>
            </w:r>
          </w:p>
        </w:tc>
      </w:tr>
      <w:tr>
        <w:trPr>
          <w:trHeight w:val="342" w:hRule="exact"/>
        </w:trPr>
        <w:tc>
          <w:tcPr>
            <w:tcW w:w="52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169" w:type="dxa"/>
            <w:tcBorders>
              <w:top w:val="single" w:sz="6" w:space="0" w:color="000000"/>
              <w:left w:val="single" w:sz="7"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50,273,012.00</w:t>
            </w:r>
          </w:p>
        </w:tc>
      </w:tr>
    </w:tbl>
    <w:p>
      <w:pPr>
        <w:spacing w:line="240" w:lineRule="auto" w:before="7"/>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57"/>
        <w:gridCol w:w="1992"/>
        <w:gridCol w:w="2008"/>
      </w:tblGrid>
      <w:tr>
        <w:trPr>
          <w:trHeight w:val="401"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837,816,166.29</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816,640,510.85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9,721,213.30</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-8,963,763.50</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496,354,243.03</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547,076,293.15</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9,458,835.52</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9,268,344.48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2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30,220,440.63</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-22,464,472.24</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1,081,677,851.91</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856,109,701.51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-353,682,268.40</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-601,171,586.41</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4,435,292.92</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19,870,870.48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80,077,116.48</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236,731,919.18</w:t>
            </w:r>
          </w:p>
        </w:tc>
      </w:tr>
      <w:tr>
        <w:trPr>
          <w:trHeight w:val="402" w:hRule="exact"/>
        </w:trPr>
        <w:tc>
          <w:tcPr>
            <w:tcW w:w="5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9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-4,081,899,803.22</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-1,793,247,193.24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50" w:top="1100" w:bottom="114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552"/>
        <w:gridCol w:w="1985"/>
        <w:gridCol w:w="2020"/>
      </w:tblGrid>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-841,543,685.65</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76,765,601.15</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-2,727,364,597.19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136,616,225.41</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64,392,029.09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1,786,622,854.08</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1,786,622,854.08</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1,290,039,078.57</w:t>
            </w:r>
          </w:p>
        </w:tc>
      </w:tr>
      <w:tr>
        <w:trPr>
          <w:trHeight w:val="402" w:hRule="exact"/>
        </w:trPr>
        <w:tc>
          <w:tcPr>
            <w:tcW w:w="5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-1,722,230,824.99</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496,583,775.51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十五、补充资料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pict>
          <v:group style="position:absolute;margin-left:298.559998pt;margin-top:39.24205pt;width:109.9pt;height:20.75pt;mso-position-horizontal-relative:page;mso-position-vertical-relative:paragraph;z-index:-1455520" coordorigin="5971,785" coordsize="2198,415">
            <v:group style="position:absolute;left:5983;top:796;width:2;height:392" coordorigin="5983,796" coordsize="2,392">
              <v:shape style="position:absolute;left:5983;top:796;width:2;height:392" coordorigin="5983,796" coordsize="0,392" path="m5983,796l5983,1188e" filled="false" stroked="true" strokeweight="1.140pt" strokecolor="#ffffff">
                <v:path arrowok="t"/>
              </v:shape>
            </v:group>
            <v:group style="position:absolute;left:5994;top:797;width:2175;height:392" coordorigin="5994,797" coordsize="2175,392">
              <v:shape style="position:absolute;left:5994;top:797;width:2175;height:392" coordorigin="5994,797" coordsize="2175,392" path="m5994,1188l8168,1188,8168,797,5994,797,5994,1188xe" filled="true" fillcolor="#ffffff" stroked="false">
                <v:path arrowok="t"/>
                <v:fill type="solid"/>
              </v:shape>
            </v:group>
            <w10:wrap type="none"/>
          </v:group>
        </w:pict>
      </w: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809"/>
        <w:gridCol w:w="2242"/>
        <w:gridCol w:w="2506"/>
      </w:tblGrid>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tabs>
                <w:tab w:pos="1196"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-6,367,477.99</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计入当期损益的政府补助（与企业业务密切相关，按照国家统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一标准定额或定量享受的政府补助除外）</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174,947,619.19</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企业取得子公司、联营企业及合营企业的投资成本小于取得投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资时应享有被投资单位可辨认净资产公允价值产生的收益</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2,408,368.37</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24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268,577.19</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消耗性生物资产公允价值变动损益</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11,221,828.76</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299,225,913.46</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98,299,197.38</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78,920,448.13</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304,485,183.47</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计入当期损益的政府补助为经常性损益项目，应说明逐项披露认定理由。</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305"/>
        <w:gridCol w:w="1764"/>
        <w:gridCol w:w="2014"/>
        <w:gridCol w:w="1810"/>
        <w:gridCol w:w="1789"/>
      </w:tblGrid>
      <w:tr>
        <w:trPr>
          <w:trHeight w:val="200" w:hRule="exact"/>
        </w:trPr>
        <w:tc>
          <w:tcPr>
            <w:tcW w:w="2305" w:type="dxa"/>
            <w:tcBorders>
              <w:top w:val="single" w:sz="4" w:space="0" w:color="000000"/>
              <w:left w:val="single" w:sz="4" w:space="0" w:color="000000"/>
              <w:bottom w:val="nil" w:sz="6" w:space="0" w:color="auto"/>
              <w:right w:val="single" w:sz="4" w:space="0" w:color="000000"/>
            </w:tcBorders>
            <w:shd w:val="clear" w:color="auto" w:fill="D3D3D3"/>
          </w:tcPr>
          <w:p>
            <w:pPr/>
          </w:p>
        </w:tc>
        <w:tc>
          <w:tcPr>
            <w:tcW w:w="377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2" w:hRule="exact"/>
        </w:trPr>
        <w:tc>
          <w:tcPr>
            <w:tcW w:w="2305" w:type="dxa"/>
            <w:vMerge w:val="restart"/>
            <w:tcBorders>
              <w:top w:val="nil" w:sz="6" w:space="0" w:color="auto"/>
              <w:left w:val="single" w:sz="4" w:space="0" w:color="000000"/>
              <w:right w:val="single" w:sz="4" w:space="0" w:color="000000"/>
            </w:tcBorders>
            <w:shd w:val="clear" w:color="auto" w:fill="D3D3D3"/>
          </w:tcPr>
          <w:p>
            <w:pPr/>
          </w:p>
        </w:tc>
        <w:tc>
          <w:tcPr>
            <w:tcW w:w="3778" w:type="dxa"/>
            <w:gridSpan w:val="2"/>
            <w:vMerge/>
            <w:tcBorders>
              <w:left w:val="single" w:sz="4" w:space="0" w:color="000000"/>
              <w:bottom w:val="single" w:sz="4" w:space="0" w:color="000000"/>
              <w:right w:val="single" w:sz="4" w:space="0" w:color="000000"/>
            </w:tcBorders>
            <w:shd w:val="clear" w:color="auto" w:fill="D3D3D3"/>
          </w:tcPr>
          <w:p>
            <w:pPr/>
          </w:p>
        </w:tc>
        <w:tc>
          <w:tcPr>
            <w:tcW w:w="3599"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305" w:type="dxa"/>
            <w:vMerge/>
            <w:tcBorders>
              <w:left w:val="single" w:sz="4" w:space="0" w:color="000000"/>
              <w:bottom w:val="nil" w:sz="6" w:space="0" w:color="auto"/>
              <w:right w:val="single" w:sz="4" w:space="0" w:color="000000"/>
            </w:tcBorders>
            <w:shd w:val="clear" w:color="auto" w:fill="D3D3D3"/>
          </w:tcPr>
          <w:p>
            <w:pPr/>
          </w:p>
        </w:tc>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30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64" w:type="dxa"/>
            <w:vMerge/>
            <w:tcBorders>
              <w:left w:val="single" w:sz="4" w:space="0" w:color="000000"/>
              <w:bottom w:val="single" w:sz="4" w:space="0" w:color="000000"/>
              <w:right w:val="single" w:sz="4" w:space="0" w:color="000000"/>
            </w:tcBorders>
            <w:shd w:val="clear" w:color="auto" w:fill="D3D3D3"/>
          </w:tcPr>
          <w:p>
            <w:pPr/>
          </w:p>
        </w:tc>
        <w:tc>
          <w:tcPr>
            <w:tcW w:w="2014" w:type="dxa"/>
            <w:vMerge/>
            <w:tcBorders>
              <w:left w:val="single" w:sz="4" w:space="0" w:color="000000"/>
              <w:bottom w:val="single" w:sz="4" w:space="0" w:color="000000"/>
              <w:right w:val="single" w:sz="4" w:space="0" w:color="000000"/>
            </w:tcBorders>
            <w:shd w:val="clear" w:color="auto" w:fill="D3D3D3"/>
          </w:tcPr>
          <w:p>
            <w:pPr/>
          </w:p>
        </w:tc>
        <w:tc>
          <w:tcPr>
            <w:tcW w:w="1810" w:type="dxa"/>
            <w:vMerge/>
            <w:tcBorders>
              <w:left w:val="single" w:sz="4" w:space="0" w:color="000000"/>
              <w:bottom w:val="single" w:sz="4" w:space="0" w:color="000000"/>
              <w:right w:val="single" w:sz="4" w:space="0" w:color="000000"/>
            </w:tcBorders>
            <w:shd w:val="clear" w:color="auto" w:fill="D3D3D3"/>
          </w:tcPr>
          <w:p>
            <w:pPr/>
          </w:p>
        </w:tc>
        <w:tc>
          <w:tcPr>
            <w:tcW w:w="17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93" w:right="0"/>
              <w:jc w:val="left"/>
              <w:rPr>
                <w:rFonts w:ascii="Times New Roman" w:hAnsi="Times New Roman" w:cs="Times New Roman" w:eastAsia="Times New Roman" w:hint="default"/>
                <w:sz w:val="18"/>
                <w:szCs w:val="18"/>
              </w:rPr>
            </w:pPr>
            <w:r>
              <w:rPr>
                <w:rFonts w:ascii="Times New Roman"/>
                <w:sz w:val="18"/>
              </w:rPr>
              <w:t>710,655,331.72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2" w:right="0"/>
              <w:jc w:val="left"/>
              <w:rPr>
                <w:rFonts w:ascii="Times New Roman" w:hAnsi="Times New Roman" w:cs="Times New Roman" w:eastAsia="Times New Roman" w:hint="default"/>
                <w:sz w:val="18"/>
                <w:szCs w:val="18"/>
              </w:rPr>
            </w:pPr>
            <w:r>
              <w:rPr>
                <w:rFonts w:ascii="Times New Roman"/>
                <w:sz w:val="18"/>
              </w:rPr>
              <w:t>221,034,822.54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14,039,888,226.11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7" w:right="0"/>
              <w:jc w:val="left"/>
              <w:rPr>
                <w:rFonts w:ascii="Times New Roman" w:hAnsi="Times New Roman" w:cs="Times New Roman" w:eastAsia="Times New Roman" w:hint="default"/>
                <w:sz w:val="18"/>
                <w:szCs w:val="18"/>
              </w:rPr>
            </w:pPr>
            <w:r>
              <w:rPr>
                <w:rFonts w:ascii="Times New Roman"/>
                <w:sz w:val="18"/>
              </w:rPr>
              <w:t>13,759,496,179.85</w:t>
            </w:r>
          </w:p>
        </w:tc>
      </w:tr>
      <w:tr>
        <w:trPr>
          <w:trHeight w:val="403" w:hRule="exact"/>
        </w:trPr>
        <w:tc>
          <w:tcPr>
            <w:tcW w:w="96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after="0" w:line="240" w:lineRule="auto"/>
        <w:jc w:val="left"/>
        <w:rPr>
          <w:rFonts w:ascii="宋体" w:hAnsi="宋体" w:cs="宋体" w:eastAsia="宋体" w:hint="default"/>
          <w:sz w:val="18"/>
          <w:szCs w:val="18"/>
        </w:rPr>
        <w:sectPr>
          <w:pgSz w:w="11910" w:h="16840"/>
          <w:pgMar w:header="877" w:footer="950" w:top="1100" w:bottom="114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90"/>
        <w:jc w:val="left"/>
        <w:rPr>
          <w:b w:val="0"/>
          <w:bCs w:val="0"/>
        </w:rPr>
      </w:pPr>
      <w:r>
        <w:rPr/>
        <w:t>（</w:t>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305"/>
        <w:gridCol w:w="1764"/>
        <w:gridCol w:w="2014"/>
        <w:gridCol w:w="1810"/>
        <w:gridCol w:w="1789"/>
      </w:tblGrid>
      <w:tr>
        <w:trPr>
          <w:trHeight w:val="200" w:hRule="exact"/>
        </w:trPr>
        <w:tc>
          <w:tcPr>
            <w:tcW w:w="2305" w:type="dxa"/>
            <w:tcBorders>
              <w:top w:val="single" w:sz="4" w:space="0" w:color="000000"/>
              <w:left w:val="single" w:sz="4" w:space="0" w:color="000000"/>
              <w:bottom w:val="nil" w:sz="6" w:space="0" w:color="auto"/>
              <w:right w:val="single" w:sz="4" w:space="0" w:color="000000"/>
            </w:tcBorders>
            <w:shd w:val="clear" w:color="auto" w:fill="D3D3D3"/>
          </w:tcPr>
          <w:p>
            <w:pPr/>
          </w:p>
        </w:tc>
        <w:tc>
          <w:tcPr>
            <w:tcW w:w="377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202" w:hRule="exact"/>
        </w:trPr>
        <w:tc>
          <w:tcPr>
            <w:tcW w:w="2305" w:type="dxa"/>
            <w:vMerge w:val="restart"/>
            <w:tcBorders>
              <w:top w:val="nil" w:sz="6" w:space="0" w:color="auto"/>
              <w:left w:val="single" w:sz="4" w:space="0" w:color="000000"/>
              <w:right w:val="single" w:sz="4" w:space="0" w:color="000000"/>
            </w:tcBorders>
            <w:shd w:val="clear" w:color="auto" w:fill="D3D3D3"/>
          </w:tcPr>
          <w:p>
            <w:pPr/>
          </w:p>
        </w:tc>
        <w:tc>
          <w:tcPr>
            <w:tcW w:w="3778" w:type="dxa"/>
            <w:gridSpan w:val="2"/>
            <w:vMerge/>
            <w:tcBorders>
              <w:left w:val="single" w:sz="4" w:space="0" w:color="000000"/>
              <w:bottom w:val="single" w:sz="4" w:space="0" w:color="000000"/>
              <w:right w:val="single" w:sz="4" w:space="0" w:color="000000"/>
            </w:tcBorders>
            <w:shd w:val="clear" w:color="auto" w:fill="D3D3D3"/>
          </w:tcPr>
          <w:p>
            <w:pPr/>
          </w:p>
        </w:tc>
        <w:tc>
          <w:tcPr>
            <w:tcW w:w="3599"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305" w:type="dxa"/>
            <w:vMerge/>
            <w:tcBorders>
              <w:left w:val="single" w:sz="4" w:space="0" w:color="000000"/>
              <w:bottom w:val="nil" w:sz="6" w:space="0" w:color="auto"/>
              <w:right w:val="single" w:sz="4" w:space="0" w:color="000000"/>
            </w:tcBorders>
            <w:shd w:val="clear" w:color="auto" w:fill="D3D3D3"/>
          </w:tcPr>
          <w:p>
            <w:pPr/>
          </w:p>
        </w:tc>
        <w:tc>
          <w:tcPr>
            <w:tcW w:w="17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11" w:hRule="exact"/>
        </w:trPr>
        <w:tc>
          <w:tcPr>
            <w:tcW w:w="230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64" w:type="dxa"/>
            <w:vMerge/>
            <w:tcBorders>
              <w:left w:val="single" w:sz="4" w:space="0" w:color="000000"/>
              <w:bottom w:val="single" w:sz="4" w:space="0" w:color="000000"/>
              <w:right w:val="single" w:sz="4" w:space="0" w:color="000000"/>
            </w:tcBorders>
            <w:shd w:val="clear" w:color="auto" w:fill="D3D3D3"/>
          </w:tcPr>
          <w:p>
            <w:pPr/>
          </w:p>
        </w:tc>
        <w:tc>
          <w:tcPr>
            <w:tcW w:w="2014" w:type="dxa"/>
            <w:vMerge/>
            <w:tcBorders>
              <w:left w:val="single" w:sz="4" w:space="0" w:color="000000"/>
              <w:bottom w:val="single" w:sz="4" w:space="0" w:color="000000"/>
              <w:right w:val="single" w:sz="4" w:space="0" w:color="000000"/>
            </w:tcBorders>
            <w:shd w:val="clear" w:color="auto" w:fill="D3D3D3"/>
          </w:tcPr>
          <w:p>
            <w:pPr/>
          </w:p>
        </w:tc>
        <w:tc>
          <w:tcPr>
            <w:tcW w:w="1810" w:type="dxa"/>
            <w:vMerge/>
            <w:tcBorders>
              <w:left w:val="single" w:sz="4" w:space="0" w:color="000000"/>
              <w:bottom w:val="single" w:sz="4" w:space="0" w:color="000000"/>
              <w:right w:val="single" w:sz="4" w:space="0" w:color="000000"/>
            </w:tcBorders>
            <w:shd w:val="clear" w:color="auto" w:fill="D3D3D3"/>
          </w:tcPr>
          <w:p>
            <w:pPr/>
          </w:p>
        </w:tc>
        <w:tc>
          <w:tcPr>
            <w:tcW w:w="17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93" w:right="0"/>
              <w:jc w:val="left"/>
              <w:rPr>
                <w:rFonts w:ascii="Times New Roman" w:hAnsi="Times New Roman" w:cs="Times New Roman" w:eastAsia="Times New Roman" w:hint="default"/>
                <w:sz w:val="18"/>
                <w:szCs w:val="18"/>
              </w:rPr>
            </w:pPr>
            <w:r>
              <w:rPr>
                <w:rFonts w:ascii="Times New Roman"/>
                <w:sz w:val="18"/>
              </w:rPr>
              <w:t>710,655,331.72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2" w:right="0"/>
              <w:jc w:val="left"/>
              <w:rPr>
                <w:rFonts w:ascii="Times New Roman" w:hAnsi="Times New Roman" w:cs="Times New Roman" w:eastAsia="Times New Roman" w:hint="default"/>
                <w:sz w:val="18"/>
                <w:szCs w:val="18"/>
              </w:rPr>
            </w:pPr>
            <w:r>
              <w:rPr>
                <w:rFonts w:ascii="Times New Roman"/>
                <w:sz w:val="18"/>
              </w:rPr>
              <w:t>221,034,822.54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14,039,888,226.11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7" w:right="0"/>
              <w:jc w:val="left"/>
              <w:rPr>
                <w:rFonts w:ascii="Times New Roman" w:hAnsi="Times New Roman" w:cs="Times New Roman" w:eastAsia="Times New Roman" w:hint="default"/>
                <w:sz w:val="18"/>
                <w:szCs w:val="18"/>
              </w:rPr>
            </w:pPr>
            <w:r>
              <w:rPr>
                <w:rFonts w:ascii="Times New Roman"/>
                <w:sz w:val="18"/>
              </w:rPr>
              <w:t>13,759,496,179.85</w:t>
            </w:r>
          </w:p>
        </w:tc>
      </w:tr>
      <w:tr>
        <w:trPr>
          <w:trHeight w:val="403" w:hRule="exact"/>
        </w:trPr>
        <w:tc>
          <w:tcPr>
            <w:tcW w:w="96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3</w:t>
      </w:r>
      <w:r>
        <w:rPr/>
        <w:t>、净资产收益率及每股收益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767" w:right="19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25"/>
        <w:gridCol w:w="1883"/>
        <w:gridCol w:w="1800"/>
        <w:gridCol w:w="1734"/>
      </w:tblGrid>
      <w:tr>
        <w:trPr>
          <w:trHeight w:val="201" w:hRule="exact"/>
        </w:trPr>
        <w:tc>
          <w:tcPr>
            <w:tcW w:w="4225" w:type="dxa"/>
            <w:tcBorders>
              <w:top w:val="single" w:sz="4" w:space="0" w:color="000000"/>
              <w:left w:val="single" w:sz="4" w:space="0" w:color="000000"/>
              <w:bottom w:val="nil" w:sz="6" w:space="0" w:color="auto"/>
              <w:right w:val="single" w:sz="4" w:space="0" w:color="000000"/>
            </w:tcBorders>
            <w:shd w:val="clear" w:color="auto" w:fill="D3D3D3"/>
          </w:tcPr>
          <w:p>
            <w:pPr/>
          </w:p>
        </w:tc>
        <w:tc>
          <w:tcPr>
            <w:tcW w:w="1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5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422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83" w:type="dxa"/>
            <w:vMerge/>
            <w:tcBorders>
              <w:left w:val="single" w:sz="4" w:space="0" w:color="000000"/>
              <w:right w:val="single" w:sz="4" w:space="0" w:color="000000"/>
            </w:tcBorders>
            <w:shd w:val="clear" w:color="auto" w:fill="D3D3D3"/>
          </w:tcPr>
          <w:p>
            <w:pPr/>
          </w:p>
        </w:tc>
        <w:tc>
          <w:tcPr>
            <w:tcW w:w="3534"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4225" w:type="dxa"/>
            <w:vMerge/>
            <w:tcBorders>
              <w:left w:val="single" w:sz="4" w:space="0" w:color="000000"/>
              <w:bottom w:val="nil" w:sz="6" w:space="0" w:color="auto"/>
              <w:right w:val="single" w:sz="4" w:space="0" w:color="000000"/>
            </w:tcBorders>
            <w:shd w:val="clear" w:color="auto" w:fill="D3D3D3"/>
          </w:tcPr>
          <w:p>
            <w:pPr/>
          </w:p>
        </w:tc>
        <w:tc>
          <w:tcPr>
            <w:tcW w:w="1883" w:type="dxa"/>
            <w:vMerge/>
            <w:tcBorders>
              <w:left w:val="single" w:sz="4" w:space="0" w:color="000000"/>
              <w:right w:val="single" w:sz="4" w:space="0" w:color="000000"/>
            </w:tcBorders>
            <w:shd w:val="clear" w:color="auto" w:fill="D3D3D3"/>
          </w:tcPr>
          <w:p>
            <w:pPr/>
          </w:p>
        </w:tc>
        <w:tc>
          <w:tcPr>
            <w:tcW w:w="18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35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32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11" w:hRule="exact"/>
        </w:trPr>
        <w:tc>
          <w:tcPr>
            <w:tcW w:w="4225" w:type="dxa"/>
            <w:tcBorders>
              <w:top w:val="nil" w:sz="6" w:space="0" w:color="auto"/>
              <w:left w:val="single" w:sz="4" w:space="0" w:color="000000"/>
              <w:bottom w:val="single" w:sz="4" w:space="0" w:color="000000"/>
              <w:right w:val="single" w:sz="4" w:space="0" w:color="000000"/>
            </w:tcBorders>
            <w:shd w:val="clear" w:color="auto" w:fill="D3D3D3"/>
          </w:tcPr>
          <w:p>
            <w:pPr/>
          </w:p>
        </w:tc>
        <w:tc>
          <w:tcPr>
            <w:tcW w:w="1883" w:type="dxa"/>
            <w:vMerge/>
            <w:tcBorders>
              <w:left w:val="single" w:sz="4" w:space="0" w:color="000000"/>
              <w:bottom w:val="single" w:sz="4" w:space="0" w:color="000000"/>
              <w:right w:val="single" w:sz="4" w:space="0" w:color="000000"/>
            </w:tcBorders>
            <w:shd w:val="clear" w:color="auto" w:fill="D3D3D3"/>
          </w:tcPr>
          <w:p>
            <w:pPr/>
          </w:p>
        </w:tc>
        <w:tc>
          <w:tcPr>
            <w:tcW w:w="1800" w:type="dxa"/>
            <w:vMerge/>
            <w:tcBorders>
              <w:left w:val="single" w:sz="4" w:space="0" w:color="000000"/>
              <w:bottom w:val="single" w:sz="4" w:space="0" w:color="000000"/>
              <w:right w:val="single" w:sz="4" w:space="0" w:color="000000"/>
            </w:tcBorders>
            <w:shd w:val="clear" w:color="auto" w:fill="D3D3D3"/>
          </w:tcPr>
          <w:p>
            <w:pPr/>
          </w:p>
        </w:tc>
        <w:tc>
          <w:tcPr>
            <w:tcW w:w="173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83" w:type="dxa"/>
            <w:tcBorders>
              <w:top w:val="single" w:sz="24" w:space="0" w:color="D3D3D3"/>
              <w:left w:val="single" w:sz="10" w:space="0" w:color="D3D3D3"/>
              <w:bottom w:val="single" w:sz="4" w:space="0" w:color="000000"/>
              <w:right w:val="single" w:sz="4" w:space="0" w:color="000000"/>
            </w:tcBorders>
          </w:tcPr>
          <w:p>
            <w:pPr>
              <w:pStyle w:val="TableParagraph"/>
              <w:spacing w:line="240" w:lineRule="auto" w:before="66"/>
              <w:ind w:right="20"/>
              <w:jc w:val="right"/>
              <w:rPr>
                <w:rFonts w:ascii="Times New Roman" w:hAnsi="Times New Roman" w:cs="Times New Roman" w:eastAsia="Times New Roman" w:hint="default"/>
                <w:sz w:val="18"/>
                <w:szCs w:val="18"/>
              </w:rPr>
            </w:pPr>
            <w:r>
              <w:rPr>
                <w:rFonts w:ascii="Times New Roman"/>
                <w:spacing w:val="-2"/>
                <w:sz w:val="18"/>
              </w:rPr>
              <w:t>5.11%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0.35</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42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883"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0.20</w:t>
            </w:r>
          </w:p>
        </w:tc>
      </w:tr>
    </w:tbl>
    <w:p>
      <w:pPr>
        <w:spacing w:line="240" w:lineRule="auto" w:before="2"/>
        <w:rPr>
          <w:rFonts w:ascii="宋体" w:hAnsi="宋体" w:cs="宋体" w:eastAsia="宋体" w:hint="default"/>
          <w:sz w:val="19"/>
          <w:szCs w:val="19"/>
        </w:rPr>
      </w:pPr>
    </w:p>
    <w:p>
      <w:pPr>
        <w:pStyle w:val="Heading4"/>
        <w:spacing w:line="240" w:lineRule="auto" w:before="35"/>
        <w:ind w:right="90"/>
        <w:jc w:val="left"/>
        <w:rPr>
          <w:b w:val="0"/>
          <w:bCs w:val="0"/>
        </w:rPr>
      </w:pPr>
      <w:r>
        <w:rPr>
          <w:rFonts w:ascii="Times New Roman" w:hAnsi="Times New Roman" w:cs="Times New Roman" w:eastAsia="Times New Roman" w:hint="default"/>
        </w:rPr>
        <w:t>4</w:t>
      </w:r>
      <w:r>
        <w:rPr/>
        <w:t>、公司主要会计报表项目的异常情况及原因的说明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90"/>
        <w:jc w:val="left"/>
      </w:pPr>
      <w:r>
        <w:rPr/>
        <w:t>资产负债表项目：</w:t>
      </w:r>
    </w:p>
    <w:p>
      <w:pPr>
        <w:pStyle w:val="BodyText"/>
        <w:spacing w:line="316" w:lineRule="auto" w:before="76"/>
        <w:ind w:right="181" w:firstLine="360"/>
        <w:jc w:val="left"/>
      </w:pPr>
      <w:r>
        <w:rPr/>
        <w:t>（1）货币资金2013年12月31日年末数为2,547,729,794.24元，比年初数减少42,83%，其主要原因是公司2012年12月28 日发行38亿元公司债券，年末部分资金尚未用于归还借款。</w:t>
      </w:r>
    </w:p>
    <w:p>
      <w:pPr>
        <w:pStyle w:val="BodyText"/>
        <w:spacing w:line="300" w:lineRule="auto" w:before="18"/>
        <w:ind w:left="154" w:right="90" w:firstLine="359"/>
        <w:jc w:val="left"/>
      </w:pPr>
      <w:r>
        <w:rPr>
          <w:spacing w:val="-1"/>
        </w:rPr>
        <w:t>（</w:t>
      </w:r>
      <w:r>
        <w:rPr>
          <w:rFonts w:ascii="Times New Roman" w:hAnsi="Times New Roman" w:cs="Times New Roman" w:eastAsia="Times New Roman" w:hint="default"/>
          <w:spacing w:val="-1"/>
        </w:rPr>
        <w:t>2</w:t>
      </w:r>
      <w:r>
        <w:rPr>
          <w:spacing w:val="-1"/>
        </w:rPr>
        <w:t>）应收票据</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2,870,443,681.49</w:t>
      </w:r>
      <w:r>
        <w:rPr>
          <w:spacing w:val="-1"/>
        </w:rPr>
        <w:t>元，比年初数增加</w:t>
      </w:r>
      <w:r>
        <w:rPr>
          <w:rFonts w:ascii="Times New Roman" w:hAnsi="Times New Roman" w:cs="Times New Roman" w:eastAsia="Times New Roman" w:hint="default"/>
          <w:spacing w:val="-1"/>
        </w:rPr>
        <w:t>54.95%</w:t>
      </w:r>
      <w:r>
        <w:rPr>
          <w:spacing w:val="-1"/>
        </w:rPr>
        <w:t>，其主要原因是年末以票据结算的款</w:t>
      </w:r>
      <w:r>
        <w:rPr/>
        <w:t> 项增加以及应收票据贴现减少。</w:t>
      </w:r>
    </w:p>
    <w:p>
      <w:pPr>
        <w:pStyle w:val="BodyText"/>
        <w:spacing w:line="300" w:lineRule="auto" w:before="31"/>
        <w:ind w:left="154" w:right="165" w:firstLine="360"/>
        <w:jc w:val="left"/>
      </w:pPr>
      <w:r>
        <w:rPr/>
        <w:t>（</w:t>
      </w:r>
      <w:r>
        <w:rPr>
          <w:rFonts w:ascii="Times New Roman" w:hAnsi="Times New Roman" w:cs="Times New Roman" w:eastAsia="Times New Roman" w:hint="default"/>
        </w:rPr>
        <w:t>3</w:t>
      </w:r>
      <w:r>
        <w:rPr/>
        <w:t>）应收账款</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3,102,643,083.54</w:t>
      </w:r>
      <w:r>
        <w:rPr/>
        <w:t>元，比年初数减少</w:t>
      </w:r>
      <w:r>
        <w:rPr>
          <w:rFonts w:ascii="Times New Roman" w:hAnsi="Times New Roman" w:cs="Times New Roman" w:eastAsia="Times New Roman" w:hint="default"/>
        </w:rPr>
        <w:t>13.89%</w:t>
      </w:r>
      <w:r>
        <w:rPr/>
        <w:t>，其主要原因是公司加大回款力度， 应收账款周转天数减少。</w:t>
      </w:r>
    </w:p>
    <w:p>
      <w:pPr>
        <w:pStyle w:val="BodyText"/>
        <w:spacing w:line="300" w:lineRule="auto" w:before="31"/>
        <w:ind w:left="154" w:right="90" w:firstLine="360"/>
        <w:jc w:val="left"/>
      </w:pPr>
      <w:r>
        <w:rPr>
          <w:spacing w:val="-1"/>
        </w:rPr>
        <w:t>（</w:t>
      </w:r>
      <w:r>
        <w:rPr>
          <w:rFonts w:ascii="Times New Roman" w:hAnsi="Times New Roman" w:cs="Times New Roman" w:eastAsia="Times New Roman" w:hint="default"/>
          <w:spacing w:val="-1"/>
        </w:rPr>
        <w:t>4</w:t>
      </w:r>
      <w:r>
        <w:rPr>
          <w:spacing w:val="-1"/>
        </w:rPr>
        <w:t>）存货</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3,725,809,877.25</w:t>
      </w:r>
      <w:r>
        <w:rPr>
          <w:spacing w:val="-1"/>
        </w:rPr>
        <w:t>元，比年初数减少</w:t>
      </w:r>
      <w:r>
        <w:rPr>
          <w:rFonts w:ascii="Times New Roman" w:hAnsi="Times New Roman" w:cs="Times New Roman" w:eastAsia="Times New Roman" w:hint="default"/>
          <w:spacing w:val="-1"/>
        </w:rPr>
        <w:t>15.56%</w:t>
      </w:r>
      <w:r>
        <w:rPr>
          <w:spacing w:val="-1"/>
        </w:rPr>
        <w:t>，其主要原因是公司以销定产，库存商品</w:t>
      </w:r>
      <w:r>
        <w:rPr/>
        <w:t> 减少。</w:t>
      </w:r>
    </w:p>
    <w:p>
      <w:pPr>
        <w:pStyle w:val="BodyText"/>
        <w:spacing w:line="300" w:lineRule="auto" w:before="31"/>
        <w:ind w:left="154" w:right="188" w:firstLine="359"/>
        <w:jc w:val="left"/>
      </w:pPr>
      <w:r>
        <w:rPr>
          <w:spacing w:val="-1"/>
        </w:rPr>
        <w:t>（</w:t>
      </w:r>
      <w:r>
        <w:rPr>
          <w:rFonts w:ascii="Times New Roman" w:hAnsi="Times New Roman" w:cs="Times New Roman" w:eastAsia="Times New Roman" w:hint="default"/>
          <w:spacing w:val="-1"/>
        </w:rPr>
        <w:t>5</w:t>
      </w:r>
      <w:r>
        <w:rPr>
          <w:spacing w:val="-1"/>
        </w:rPr>
        <w:t>）长期股权投资</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115,477,214.86</w:t>
      </w:r>
      <w:r>
        <w:rPr>
          <w:spacing w:val="-1"/>
        </w:rPr>
        <w:t>元，比年初数减少</w:t>
      </w:r>
      <w:r>
        <w:rPr>
          <w:rFonts w:ascii="Times New Roman" w:hAnsi="Times New Roman" w:cs="Times New Roman" w:eastAsia="Times New Roman" w:hint="default"/>
          <w:spacing w:val="-1"/>
        </w:rPr>
        <w:t>67.64%</w:t>
      </w:r>
      <w:r>
        <w:rPr>
          <w:spacing w:val="-1"/>
        </w:rPr>
        <w:t>，其主要原因是公司处置投资项目</w:t>
      </w:r>
      <w:r>
        <w:rPr/>
        <w:t> 减少长期股权投资，武汉晨鸣万兴置业有限公司不再纳入合并范围，改为权益法核算增加长期股权投资。</w:t>
      </w:r>
    </w:p>
    <w:p>
      <w:pPr>
        <w:pStyle w:val="BodyText"/>
        <w:spacing w:line="300" w:lineRule="auto" w:before="31"/>
        <w:ind w:left="154" w:right="165" w:firstLine="360"/>
        <w:jc w:val="left"/>
      </w:pPr>
      <w:r>
        <w:rPr/>
        <w:t>（</w:t>
      </w:r>
      <w:r>
        <w:rPr>
          <w:rFonts w:ascii="Times New Roman" w:hAnsi="Times New Roman" w:cs="Times New Roman" w:eastAsia="Times New Roman" w:hint="default"/>
        </w:rPr>
        <w:t>6</w:t>
      </w:r>
      <w:r>
        <w:rPr/>
        <w:t>）固定资产</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21,181,647,488.39</w:t>
      </w:r>
      <w:r>
        <w:rPr/>
        <w:t>元，比年初数增加</w:t>
      </w:r>
      <w:r>
        <w:rPr>
          <w:rFonts w:ascii="Times New Roman" w:hAnsi="Times New Roman" w:cs="Times New Roman" w:eastAsia="Times New Roman" w:hint="default"/>
        </w:rPr>
        <w:t>7.24%</w:t>
      </w:r>
      <w:r>
        <w:rPr/>
        <w:t>，主要原因是公司白牛卡项目转资， 以及本期计提折旧、出售子公司延边晨鸣和武汉晨鸣一厂环保迁建固定资产转入清理减少。</w:t>
      </w:r>
    </w:p>
    <w:p>
      <w:pPr>
        <w:pStyle w:val="BodyText"/>
        <w:spacing w:line="300" w:lineRule="auto" w:before="72"/>
        <w:ind w:left="154" w:right="186" w:firstLine="359"/>
        <w:jc w:val="left"/>
      </w:pPr>
      <w:r>
        <w:rPr/>
        <w:t>（</w:t>
      </w:r>
      <w:r>
        <w:rPr>
          <w:rFonts w:ascii="Times New Roman" w:hAnsi="Times New Roman" w:cs="Times New Roman" w:eastAsia="Times New Roman" w:hint="default"/>
        </w:rPr>
        <w:t>7</w:t>
      </w:r>
      <w:r>
        <w:rPr/>
        <w:t>）固定资产清理</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日年末数为</w:t>
      </w:r>
      <w:r>
        <w:rPr>
          <w:spacing w:val="-41"/>
        </w:rPr>
        <w:t> </w:t>
      </w:r>
      <w:r>
        <w:rPr>
          <w:rFonts w:ascii="Times New Roman" w:hAnsi="Times New Roman" w:cs="Times New Roman" w:eastAsia="Times New Roman" w:hint="default"/>
        </w:rPr>
        <w:t>588,181,647.53</w:t>
      </w:r>
      <w:r>
        <w:rPr>
          <w:rFonts w:ascii="Times New Roman" w:hAnsi="Times New Roman" w:cs="Times New Roman" w:eastAsia="Times New Roman" w:hint="default"/>
          <w:spacing w:val="-10"/>
        </w:rPr>
        <w:t> </w:t>
      </w:r>
      <w:r>
        <w:rPr/>
        <w:t>元，比年初数增加</w:t>
      </w:r>
      <w:r>
        <w:rPr>
          <w:spacing w:val="-41"/>
        </w:rPr>
        <w:t> </w:t>
      </w:r>
      <w:r>
        <w:rPr>
          <w:rFonts w:ascii="Times New Roman" w:hAnsi="Times New Roman" w:cs="Times New Roman" w:eastAsia="Times New Roman" w:hint="default"/>
        </w:rPr>
        <w:t>104.72%</w:t>
      </w:r>
      <w:r>
        <w:rPr/>
        <w:t>，主要原因是武汉晨鸣一厂</w:t>
      </w:r>
      <w:r>
        <w:rPr>
          <w:spacing w:val="-2"/>
        </w:rPr>
        <w:t> </w:t>
      </w:r>
      <w:r>
        <w:rPr/>
        <w:t>环保迁建，将资产转入清理。</w:t>
      </w:r>
    </w:p>
    <w:p>
      <w:pPr>
        <w:pStyle w:val="BodyText"/>
        <w:spacing w:line="300" w:lineRule="auto" w:before="70"/>
        <w:ind w:left="154" w:right="187" w:firstLine="360"/>
        <w:jc w:val="left"/>
      </w:pPr>
      <w:r>
        <w:rPr>
          <w:spacing w:val="-1"/>
        </w:rPr>
        <w:t>（</w:t>
      </w:r>
      <w:r>
        <w:rPr>
          <w:rFonts w:ascii="Times New Roman" w:hAnsi="Times New Roman" w:cs="Times New Roman" w:eastAsia="Times New Roman" w:hint="default"/>
          <w:spacing w:val="-1"/>
        </w:rPr>
        <w:t>8</w:t>
      </w:r>
      <w:r>
        <w:rPr>
          <w:spacing w:val="-1"/>
        </w:rPr>
        <w:t>）递延所得税资产</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507,653,388.38</w:t>
      </w:r>
      <w:r>
        <w:rPr>
          <w:spacing w:val="-1"/>
        </w:rPr>
        <w:t>元，比年初数增加</w:t>
      </w:r>
      <w:r>
        <w:rPr>
          <w:rFonts w:ascii="Times New Roman" w:hAnsi="Times New Roman" w:cs="Times New Roman" w:eastAsia="Times New Roman" w:hint="default"/>
          <w:spacing w:val="-1"/>
        </w:rPr>
        <w:t>34.68%</w:t>
      </w:r>
      <w:r>
        <w:rPr>
          <w:spacing w:val="-1"/>
        </w:rPr>
        <w:t>，其主要原因是受市场影响，部</w:t>
      </w:r>
      <w:r>
        <w:rPr/>
        <w:t> 分公司暂时亏损计提递延所得税资产。</w:t>
      </w:r>
    </w:p>
    <w:p>
      <w:pPr>
        <w:pStyle w:val="BodyText"/>
        <w:spacing w:line="300" w:lineRule="auto" w:before="31"/>
        <w:ind w:left="154" w:right="90" w:firstLine="360"/>
        <w:jc w:val="left"/>
      </w:pPr>
      <w:r>
        <w:rPr>
          <w:spacing w:val="-2"/>
        </w:rPr>
        <w:t>（</w:t>
      </w:r>
      <w:r>
        <w:rPr>
          <w:rFonts w:ascii="Times New Roman" w:hAnsi="Times New Roman" w:cs="Times New Roman" w:eastAsia="Times New Roman" w:hint="default"/>
          <w:spacing w:val="-2"/>
        </w:rPr>
        <w:t>9</w:t>
      </w:r>
      <w:r>
        <w:rPr>
          <w:spacing w:val="-2"/>
        </w:rPr>
        <w:t>）短期借款</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日年末数为</w:t>
      </w:r>
      <w:r>
        <w:rPr>
          <w:rFonts w:ascii="Times New Roman" w:hAnsi="Times New Roman" w:cs="Times New Roman" w:eastAsia="Times New Roman" w:hint="default"/>
          <w:spacing w:val="-2"/>
        </w:rPr>
        <w:t>9,818,885,237.85</w:t>
      </w:r>
      <w:r>
        <w:rPr>
          <w:spacing w:val="-2"/>
        </w:rPr>
        <w:t>元，比年初数减少</w:t>
      </w:r>
      <w:r>
        <w:rPr>
          <w:rFonts w:ascii="Times New Roman" w:hAnsi="Times New Roman" w:cs="Times New Roman" w:eastAsia="Times New Roman" w:hint="default"/>
          <w:spacing w:val="-2"/>
        </w:rPr>
        <w:t>23.75%</w:t>
      </w:r>
      <w:r>
        <w:rPr>
          <w:spacing w:val="-2"/>
        </w:rPr>
        <w:t>，其主要原因是公司为降低融资成本，</w:t>
      </w:r>
      <w:r>
        <w:rPr/>
        <w:t> 拓宽融资渠道，减少通过短期借款融资。</w:t>
      </w:r>
    </w:p>
    <w:p>
      <w:pPr>
        <w:pStyle w:val="BodyText"/>
        <w:spacing w:line="300" w:lineRule="auto" w:before="31"/>
        <w:ind w:left="154" w:right="90" w:firstLine="359"/>
        <w:jc w:val="left"/>
      </w:pPr>
      <w:r>
        <w:rPr/>
        <w:t>（</w:t>
      </w:r>
      <w:r>
        <w:rPr>
          <w:rFonts w:ascii="Times New Roman" w:hAnsi="Times New Roman" w:cs="Times New Roman" w:eastAsia="Times New Roman" w:hint="default"/>
        </w:rPr>
        <w:t>10</w:t>
      </w:r>
      <w:r>
        <w:rPr/>
        <w:t>）应付票据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290,403,790.59</w:t>
      </w:r>
      <w:r>
        <w:rPr/>
        <w:t>元，比年初数减少</w:t>
      </w:r>
      <w:r>
        <w:rPr>
          <w:rFonts w:ascii="Times New Roman" w:hAnsi="Times New Roman" w:cs="Times New Roman" w:eastAsia="Times New Roman" w:hint="default"/>
        </w:rPr>
        <w:t>77.41%</w:t>
      </w:r>
      <w:r>
        <w:rPr/>
        <w:t>，其主要原因是公司开具银行承兑汇</w:t>
      </w:r>
      <w:r>
        <w:rPr>
          <w:spacing w:val="1"/>
        </w:rPr>
        <w:t> </w:t>
      </w:r>
      <w:r>
        <w:rPr/>
        <w:t>票支付货款减少。</w:t>
      </w:r>
    </w:p>
    <w:p>
      <w:pPr>
        <w:pStyle w:val="BodyText"/>
        <w:spacing w:line="240" w:lineRule="auto" w:before="31"/>
        <w:ind w:left="514" w:right="0"/>
        <w:jc w:val="left"/>
      </w:pPr>
      <w:r>
        <w:rPr/>
        <w:t>（</w:t>
      </w:r>
      <w:r>
        <w:rPr>
          <w:rFonts w:ascii="Times New Roman" w:hAnsi="Times New Roman" w:cs="Times New Roman" w:eastAsia="Times New Roman" w:hint="default"/>
        </w:rPr>
        <w:t>11</w:t>
      </w:r>
      <w:r>
        <w:rPr/>
        <w:t>）应付账款</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2,695,169,927.14</w:t>
      </w:r>
      <w:r>
        <w:rPr/>
        <w:t>元，比年初数减少</w:t>
      </w:r>
      <w:r>
        <w:rPr>
          <w:rFonts w:ascii="Times New Roman" w:hAnsi="Times New Roman" w:cs="Times New Roman" w:eastAsia="Times New Roman" w:hint="default"/>
        </w:rPr>
        <w:t>16.81%</w:t>
      </w:r>
      <w:r>
        <w:rPr/>
        <w:t>，其主要原因是公司支付货款增加。</w:t>
      </w:r>
    </w:p>
    <w:p>
      <w:pPr>
        <w:pStyle w:val="BodyText"/>
        <w:spacing w:line="300" w:lineRule="auto" w:before="62"/>
        <w:ind w:right="90" w:firstLine="360"/>
        <w:jc w:val="left"/>
      </w:pPr>
      <w:r>
        <w:rPr/>
        <w:t>（</w:t>
      </w:r>
      <w:r>
        <w:rPr>
          <w:rFonts w:ascii="Times New Roman" w:hAnsi="Times New Roman" w:cs="Times New Roman" w:eastAsia="Times New Roman" w:hint="default"/>
        </w:rPr>
        <w:t>12</w:t>
      </w:r>
      <w:r>
        <w:rPr/>
        <w:t>）其他流动负债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3,878,735,536.52</w:t>
      </w:r>
      <w:r>
        <w:rPr/>
        <w:t>元，比年初数增加</w:t>
      </w:r>
      <w:r>
        <w:rPr>
          <w:rFonts w:ascii="Times New Roman" w:hAnsi="Times New Roman" w:cs="Times New Roman" w:eastAsia="Times New Roman" w:hint="default"/>
        </w:rPr>
        <w:t>21864.0%</w:t>
      </w:r>
      <w:r>
        <w:rPr/>
        <w:t>，其主要原因是公司发行</w:t>
      </w:r>
      <w:r>
        <w:rPr>
          <w:rFonts w:ascii="Times New Roman" w:hAnsi="Times New Roman" w:cs="Times New Roman" w:eastAsia="Times New Roman" w:hint="default"/>
        </w:rPr>
        <w:t>38</w:t>
      </w:r>
      <w:r>
        <w:rPr>
          <w:rFonts w:ascii="Times New Roman" w:hAnsi="Times New Roman" w:cs="Times New Roman" w:eastAsia="Times New Roman" w:hint="default"/>
          <w:spacing w:val="-2"/>
        </w:rPr>
        <w:t> </w:t>
      </w:r>
      <w:r>
        <w:rPr/>
        <w:t>亿短期融资券。</w:t>
      </w:r>
    </w:p>
    <w:p>
      <w:pPr>
        <w:spacing w:after="0" w:line="300" w:lineRule="auto"/>
        <w:jc w:val="left"/>
        <w:sectPr>
          <w:pgSz w:w="11910" w:h="16840"/>
          <w:pgMar w:header="877" w:footer="950" w:top="1100" w:bottom="1140" w:left="980" w:right="940"/>
        </w:sectPr>
      </w:pPr>
    </w:p>
    <w:p>
      <w:pPr>
        <w:spacing w:line="240" w:lineRule="auto" w:before="12"/>
        <w:rPr>
          <w:rFonts w:ascii="宋体" w:hAnsi="宋体" w:cs="宋体" w:eastAsia="宋体" w:hint="default"/>
          <w:sz w:val="21"/>
          <w:szCs w:val="21"/>
        </w:rPr>
      </w:pPr>
    </w:p>
    <w:p>
      <w:pPr>
        <w:pStyle w:val="BodyText"/>
        <w:spacing w:line="300" w:lineRule="auto" w:before="44"/>
        <w:ind w:right="90" w:firstLine="360"/>
        <w:jc w:val="left"/>
      </w:pPr>
      <w:r>
        <w:rPr/>
        <w:t>（</w:t>
      </w:r>
      <w:r>
        <w:rPr>
          <w:rFonts w:ascii="Times New Roman" w:hAnsi="Times New Roman" w:cs="Times New Roman" w:eastAsia="Times New Roman" w:hint="default"/>
        </w:rPr>
        <w:t>13</w:t>
      </w:r>
      <w:r>
        <w:rPr/>
        <w:t>）应付债券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5,768,418,612.73</w:t>
      </w:r>
      <w:r>
        <w:rPr/>
        <w:t>元，比年初数减少</w:t>
      </w:r>
      <w:r>
        <w:rPr>
          <w:rFonts w:ascii="Times New Roman" w:hAnsi="Times New Roman" w:cs="Times New Roman" w:eastAsia="Times New Roman" w:hint="default"/>
        </w:rPr>
        <w:t>7.80%</w:t>
      </w:r>
      <w:r>
        <w:rPr/>
        <w:t>，其主要原因是公司之</w:t>
      </w:r>
      <w:r>
        <w:rPr>
          <w:rFonts w:ascii="Times New Roman" w:hAnsi="Times New Roman" w:cs="Times New Roman" w:eastAsia="Times New Roman" w:hint="default"/>
        </w:rPr>
        <w:t>5</w:t>
      </w:r>
      <w:r>
        <w:rPr/>
        <w:t>亿元香港晨</w:t>
      </w:r>
      <w:r>
        <w:rPr>
          <w:spacing w:val="2"/>
        </w:rPr>
        <w:t> </w:t>
      </w:r>
      <w:r>
        <w:rPr/>
        <w:t>鸣债转入一年内到期的非流动负债。</w:t>
      </w:r>
    </w:p>
    <w:p>
      <w:pPr>
        <w:pStyle w:val="BodyText"/>
        <w:spacing w:line="300" w:lineRule="auto" w:before="31"/>
        <w:ind w:right="182" w:firstLine="359"/>
        <w:jc w:val="left"/>
      </w:pPr>
      <w:r>
        <w:rPr/>
        <w:t>（</w:t>
      </w:r>
      <w:r>
        <w:rPr>
          <w:rFonts w:ascii="Times New Roman" w:hAnsi="Times New Roman" w:cs="Times New Roman" w:eastAsia="Times New Roman" w:hint="default"/>
        </w:rPr>
        <w:t>14</w:t>
      </w:r>
      <w:r>
        <w:rPr/>
        <w:t>）长期应付款</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60,000,000</w:t>
      </w:r>
      <w:r>
        <w:rPr/>
        <w:t>元，其主要原因是为促进公司之子公司江西晨鸣纸业有限公司二 期项目的顺利展开，南昌市经济开发区管委会对其借款。</w:t>
      </w:r>
    </w:p>
    <w:p>
      <w:pPr>
        <w:pStyle w:val="BodyText"/>
        <w:spacing w:line="300" w:lineRule="auto" w:before="31"/>
        <w:ind w:left="154" w:right="90" w:firstLine="359"/>
        <w:jc w:val="left"/>
      </w:pPr>
      <w:r>
        <w:rPr/>
        <w:t>（</w:t>
      </w:r>
      <w:r>
        <w:rPr>
          <w:rFonts w:ascii="Times New Roman" w:hAnsi="Times New Roman" w:cs="Times New Roman" w:eastAsia="Times New Roman" w:hint="default"/>
        </w:rPr>
        <w:t>15</w:t>
      </w:r>
      <w:r>
        <w:rPr/>
        <w:t>）专项应付款</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971,805,561.39</w:t>
      </w:r>
      <w:r>
        <w:rPr/>
        <w:t>元，比年初数增加</w:t>
      </w:r>
      <w:r>
        <w:rPr>
          <w:rFonts w:ascii="Times New Roman" w:hAnsi="Times New Roman" w:cs="Times New Roman" w:eastAsia="Times New Roman" w:hint="default"/>
        </w:rPr>
        <w:t>51.48%</w:t>
      </w:r>
      <w:r>
        <w:rPr/>
        <w:t>，其主要原因是公司之子公司吉林</w:t>
      </w:r>
      <w:r>
        <w:rPr>
          <w:spacing w:val="1"/>
        </w:rPr>
        <w:t> </w:t>
      </w:r>
      <w:r>
        <w:rPr/>
        <w:t>晨鸣纸业有限公司收到与环保迁建相关的专门政府补助</w:t>
      </w:r>
      <w:r>
        <w:rPr>
          <w:rFonts w:ascii="Times New Roman" w:hAnsi="Times New Roman" w:cs="Times New Roman" w:eastAsia="Times New Roman" w:hint="default"/>
        </w:rPr>
        <w:t>6.5</w:t>
      </w:r>
      <w:r>
        <w:rPr/>
        <w:t>亿元。</w:t>
      </w:r>
    </w:p>
    <w:p>
      <w:pPr>
        <w:pStyle w:val="BodyText"/>
        <w:spacing w:line="300" w:lineRule="auto" w:before="13"/>
        <w:ind w:left="154" w:right="90" w:firstLine="359"/>
        <w:jc w:val="left"/>
      </w:pPr>
      <w:r>
        <w:rPr/>
        <w:t>（</w:t>
      </w:r>
      <w:r>
        <w:rPr>
          <w:rFonts w:ascii="Times New Roman" w:hAnsi="Times New Roman" w:cs="Times New Roman" w:eastAsia="Times New Roman" w:hint="default"/>
        </w:rPr>
        <w:t>16</w:t>
      </w:r>
      <w:r>
        <w:rPr/>
        <w:t>）股本</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1,975,471,967</w:t>
      </w:r>
      <w:r>
        <w:rPr/>
        <w:t>元，比年初数减少</w:t>
      </w:r>
      <w:r>
        <w:rPr>
          <w:rFonts w:ascii="Times New Roman" w:hAnsi="Times New Roman" w:cs="Times New Roman" w:eastAsia="Times New Roman" w:hint="default"/>
        </w:rPr>
        <w:t>4.20%</w:t>
      </w:r>
      <w:r>
        <w:rPr/>
        <w:t>，其主要原因是公司回购境内上市外资股</w:t>
      </w:r>
      <w:r>
        <w:rPr>
          <w:rFonts w:ascii="Times New Roman" w:hAnsi="Times New Roman" w:cs="Times New Roman" w:eastAsia="Times New Roman" w:hint="default"/>
        </w:rPr>
        <w:t>(B </w:t>
      </w:r>
      <w:r>
        <w:rPr/>
        <w:t>股</w:t>
      </w:r>
      <w:r>
        <w:rPr>
          <w:rFonts w:ascii="Times New Roman" w:hAnsi="Times New Roman" w:cs="Times New Roman" w:eastAsia="Times New Roman" w:hint="default"/>
        </w:rPr>
        <w:t>)</w:t>
      </w:r>
      <w:r>
        <w:rPr/>
        <w:t>并注销。</w:t>
      </w:r>
    </w:p>
    <w:p>
      <w:pPr>
        <w:pStyle w:val="BodyText"/>
        <w:spacing w:line="300" w:lineRule="auto" w:before="13"/>
        <w:ind w:left="154" w:right="189" w:firstLine="360"/>
        <w:jc w:val="left"/>
      </w:pPr>
      <w:r>
        <w:rPr/>
        <w:t>（</w:t>
      </w:r>
      <w:r>
        <w:rPr>
          <w:rFonts w:ascii="Times New Roman" w:hAnsi="Times New Roman" w:cs="Times New Roman" w:eastAsia="Times New Roman" w:hint="default"/>
        </w:rPr>
        <w:t>17</w:t>
      </w:r>
      <w:r>
        <w:rPr/>
        <w:t>）资本公积</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6,204,682,028.94</w:t>
      </w:r>
      <w:r>
        <w:rPr/>
        <w:t>元，比年初数减少</w:t>
      </w:r>
      <w:r>
        <w:rPr>
          <w:rFonts w:ascii="Times New Roman" w:hAnsi="Times New Roman" w:cs="Times New Roman" w:eastAsia="Times New Roman" w:hint="default"/>
        </w:rPr>
        <w:t>3.28%</w:t>
      </w:r>
      <w:r>
        <w:rPr/>
        <w:t>，其主要原因是公司回购</w:t>
      </w:r>
      <w:r>
        <w:rPr>
          <w:rFonts w:ascii="Times New Roman" w:hAnsi="Times New Roman" w:cs="Times New Roman" w:eastAsia="Times New Roman" w:hint="default"/>
        </w:rPr>
        <w:t>B</w:t>
      </w:r>
      <w:r>
        <w:rPr/>
        <w:t>股减少资</w:t>
      </w:r>
      <w:r>
        <w:rPr>
          <w:spacing w:val="1"/>
        </w:rPr>
        <w:t> </w:t>
      </w:r>
      <w:r>
        <w:rPr/>
        <w:t>本公积</w:t>
      </w:r>
      <w:r>
        <w:rPr>
          <w:rFonts w:ascii="Times New Roman" w:hAnsi="Times New Roman" w:cs="Times New Roman" w:eastAsia="Times New Roman" w:hint="default"/>
        </w:rPr>
        <w:t>-</w:t>
      </w:r>
      <w:r>
        <w:rPr/>
        <w:t>股本溢价，转让延边晨鸣纸业有限公司股权，归属于母公司的资本公积转入投资收益。</w:t>
      </w:r>
    </w:p>
    <w:p>
      <w:pPr>
        <w:pStyle w:val="BodyText"/>
        <w:spacing w:line="300" w:lineRule="auto" w:before="13"/>
        <w:ind w:left="514" w:right="905"/>
        <w:jc w:val="left"/>
      </w:pPr>
      <w:r>
        <w:rPr/>
        <w:t>（</w:t>
      </w:r>
      <w:r>
        <w:rPr>
          <w:rFonts w:ascii="Times New Roman" w:hAnsi="Times New Roman" w:cs="Times New Roman" w:eastAsia="Times New Roman" w:hint="default"/>
        </w:rPr>
        <w:t>18</w:t>
      </w:r>
      <w:r>
        <w:rPr/>
        <w:t>）库存股</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30,954,891.40</w:t>
      </w:r>
      <w:r>
        <w:rPr/>
        <w:t>元，其主要原因是公司回购</w:t>
      </w:r>
      <w:r>
        <w:rPr>
          <w:rFonts w:ascii="Times New Roman" w:hAnsi="Times New Roman" w:cs="Times New Roman" w:eastAsia="Times New Roman" w:hint="default"/>
        </w:rPr>
        <w:t>H</w:t>
      </w:r>
      <w:r>
        <w:rPr/>
        <w:t>股支出，回购股份未注销。 利润表、现金流量表项目：</w:t>
      </w:r>
    </w:p>
    <w:p>
      <w:pPr>
        <w:pStyle w:val="BodyText"/>
        <w:spacing w:line="300" w:lineRule="auto" w:before="32"/>
        <w:ind w:left="154" w:right="90" w:firstLine="359"/>
        <w:jc w:val="left"/>
      </w:pPr>
      <w:r>
        <w:rPr>
          <w:spacing w:val="-1"/>
        </w:rPr>
        <w:t>（</w:t>
      </w:r>
      <w:r>
        <w:rPr>
          <w:rFonts w:ascii="Times New Roman" w:hAnsi="Times New Roman" w:cs="Times New Roman" w:eastAsia="Times New Roman" w:hint="default"/>
          <w:spacing w:val="-1"/>
        </w:rPr>
        <w:t>1</w:t>
      </w:r>
      <w:r>
        <w:rPr>
          <w:spacing w:val="-1"/>
        </w:rPr>
        <w:t>）营业收入</w:t>
      </w:r>
      <w:r>
        <w:rPr>
          <w:rFonts w:ascii="Times New Roman" w:hAnsi="Times New Roman" w:cs="Times New Roman" w:eastAsia="Times New Roman" w:hint="default"/>
          <w:spacing w:val="-1"/>
        </w:rPr>
        <w:t>2013</w:t>
      </w:r>
      <w:r>
        <w:rPr>
          <w:spacing w:val="-1"/>
        </w:rPr>
        <w:t>年度发生数为</w:t>
      </w:r>
      <w:r>
        <w:rPr>
          <w:rFonts w:ascii="Times New Roman" w:hAnsi="Times New Roman" w:cs="Times New Roman" w:eastAsia="Times New Roman" w:hint="default"/>
          <w:spacing w:val="-1"/>
        </w:rPr>
        <w:t>20,388,890,067.41</w:t>
      </w:r>
      <w:r>
        <w:rPr>
          <w:spacing w:val="-1"/>
        </w:rPr>
        <w:t>元，比上年数增加</w:t>
      </w:r>
      <w:r>
        <w:rPr>
          <w:rFonts w:ascii="Times New Roman" w:hAnsi="Times New Roman" w:cs="Times New Roman" w:eastAsia="Times New Roman" w:hint="default"/>
          <w:spacing w:val="-1"/>
        </w:rPr>
        <w:t>3,17%</w:t>
      </w:r>
      <w:r>
        <w:rPr>
          <w:spacing w:val="-1"/>
        </w:rPr>
        <w:t>，其主要原因是机制纸销量增加以及对外售</w:t>
      </w:r>
      <w:r>
        <w:rPr/>
        <w:t> 电收入的增加。</w:t>
      </w:r>
    </w:p>
    <w:p>
      <w:pPr>
        <w:pStyle w:val="BodyText"/>
        <w:spacing w:line="240" w:lineRule="auto" w:before="31"/>
        <w:ind w:left="514" w:right="90"/>
        <w:jc w:val="left"/>
      </w:pPr>
      <w:r>
        <w:rPr/>
        <w:t>（</w:t>
      </w:r>
      <w:r>
        <w:rPr>
          <w:rFonts w:ascii="Times New Roman" w:hAnsi="Times New Roman" w:cs="Times New Roman" w:eastAsia="Times New Roman" w:hint="default"/>
        </w:rPr>
        <w:t>2</w:t>
      </w:r>
      <w:r>
        <w:rPr/>
        <w:t>）营业成本</w:t>
      </w:r>
      <w:r>
        <w:rPr>
          <w:rFonts w:ascii="Times New Roman" w:hAnsi="Times New Roman" w:cs="Times New Roman" w:eastAsia="Times New Roman" w:hint="default"/>
        </w:rPr>
        <w:t>2013</w:t>
      </w:r>
      <w:r>
        <w:rPr/>
        <w:t>年度发生数为</w:t>
      </w:r>
      <w:r>
        <w:rPr>
          <w:rFonts w:ascii="Times New Roman" w:hAnsi="Times New Roman" w:cs="Times New Roman" w:eastAsia="Times New Roman" w:hint="default"/>
        </w:rPr>
        <w:t>16,651,886,019.64</w:t>
      </w:r>
      <w:r>
        <w:rPr/>
        <w:t>元，比上年数减少</w:t>
      </w:r>
      <w:r>
        <w:rPr>
          <w:rFonts w:ascii="Times New Roman" w:hAnsi="Times New Roman" w:cs="Times New Roman" w:eastAsia="Times New Roman" w:hint="default"/>
        </w:rPr>
        <w:t>0.25%</w:t>
      </w:r>
      <w:r>
        <w:rPr/>
        <w:t>，其主要原因是原材料价格下降。</w:t>
      </w:r>
    </w:p>
    <w:p>
      <w:pPr>
        <w:pStyle w:val="BodyText"/>
        <w:spacing w:line="300" w:lineRule="auto" w:before="62"/>
        <w:ind w:left="154" w:right="120" w:firstLine="360"/>
        <w:jc w:val="left"/>
      </w:pPr>
      <w:r>
        <w:rPr/>
        <w:t>（</w:t>
      </w:r>
      <w:r>
        <w:rPr>
          <w:rFonts w:ascii="Times New Roman" w:hAnsi="Times New Roman" w:cs="Times New Roman" w:eastAsia="Times New Roman" w:hint="default"/>
        </w:rPr>
        <w:t>3</w:t>
      </w:r>
      <w:r>
        <w:rPr/>
        <w:t>）财务费用</w:t>
      </w:r>
      <w:r>
        <w:rPr>
          <w:rFonts w:ascii="Times New Roman" w:hAnsi="Times New Roman" w:cs="Times New Roman" w:eastAsia="Times New Roman" w:hint="default"/>
        </w:rPr>
        <w:t>2013</w:t>
      </w:r>
      <w:r>
        <w:rPr/>
        <w:t>年度发生数为</w:t>
      </w:r>
      <w:r>
        <w:rPr>
          <w:rFonts w:ascii="Times New Roman" w:hAnsi="Times New Roman" w:cs="Times New Roman" w:eastAsia="Times New Roman" w:hint="default"/>
        </w:rPr>
        <w:t>930,604,174.96</w:t>
      </w:r>
      <w:r>
        <w:rPr/>
        <w:t>元，比上年数减少</w:t>
      </w:r>
      <w:r>
        <w:rPr>
          <w:rFonts w:ascii="Times New Roman" w:hAnsi="Times New Roman" w:cs="Times New Roman" w:eastAsia="Times New Roman" w:hint="default"/>
        </w:rPr>
        <w:t>14,84%</w:t>
      </w:r>
      <w:r>
        <w:rPr/>
        <w:t>，其主要原因是人民币升值，汇兑收益增加， 利息费用减少等因素。</w:t>
      </w:r>
    </w:p>
    <w:p>
      <w:pPr>
        <w:pStyle w:val="BodyText"/>
        <w:spacing w:line="300" w:lineRule="auto" w:before="31"/>
        <w:ind w:left="154" w:right="90" w:firstLine="359"/>
        <w:jc w:val="left"/>
      </w:pPr>
      <w:r>
        <w:rPr/>
        <w:t>（</w:t>
      </w:r>
      <w:r>
        <w:rPr>
          <w:rFonts w:ascii="Times New Roman" w:hAnsi="Times New Roman" w:cs="Times New Roman" w:eastAsia="Times New Roman" w:hint="default"/>
        </w:rPr>
        <w:t>4</w:t>
      </w:r>
      <w:r>
        <w:rPr/>
        <w:t>）资产减值损失</w:t>
      </w:r>
      <w:r>
        <w:rPr>
          <w:rFonts w:ascii="Times New Roman" w:hAnsi="Times New Roman" w:cs="Times New Roman" w:eastAsia="Times New Roman" w:hint="default"/>
        </w:rPr>
        <w:t>2013</w:t>
      </w:r>
      <w:r>
        <w:rPr/>
        <w:t>年度发生数为</w:t>
      </w:r>
      <w:r>
        <w:rPr>
          <w:rFonts w:ascii="Times New Roman" w:hAnsi="Times New Roman" w:cs="Times New Roman" w:eastAsia="Times New Roman" w:hint="default"/>
        </w:rPr>
        <w:t>24,104,912.81</w:t>
      </w:r>
      <w:r>
        <w:rPr/>
        <w:t>元，比上年数减少</w:t>
      </w:r>
      <w:r>
        <w:rPr>
          <w:rFonts w:ascii="Times New Roman" w:hAnsi="Times New Roman" w:cs="Times New Roman" w:eastAsia="Times New Roman" w:hint="default"/>
        </w:rPr>
        <w:t>65.69%</w:t>
      </w:r>
      <w:r>
        <w:rPr/>
        <w:t>，其主要原因是加大回款力度，提取的坏</w:t>
      </w:r>
      <w:r>
        <w:rPr>
          <w:spacing w:val="1"/>
        </w:rPr>
        <w:t> </w:t>
      </w:r>
      <w:r>
        <w:rPr/>
        <w:t>账减少。</w:t>
      </w:r>
    </w:p>
    <w:p>
      <w:pPr>
        <w:pStyle w:val="BodyText"/>
        <w:spacing w:line="300" w:lineRule="auto" w:before="31"/>
        <w:ind w:left="154" w:right="186" w:firstLine="359"/>
        <w:jc w:val="left"/>
      </w:pPr>
      <w:r>
        <w:rPr>
          <w:spacing w:val="-1"/>
        </w:rPr>
        <w:t>（</w:t>
      </w:r>
      <w:r>
        <w:rPr>
          <w:rFonts w:ascii="Times New Roman" w:hAnsi="Times New Roman" w:cs="Times New Roman" w:eastAsia="Times New Roman" w:hint="default"/>
          <w:spacing w:val="-1"/>
        </w:rPr>
        <w:t>5</w:t>
      </w:r>
      <w:r>
        <w:rPr>
          <w:spacing w:val="-1"/>
        </w:rPr>
        <w:t>）投资收益</w:t>
      </w:r>
      <w:r>
        <w:rPr>
          <w:rFonts w:ascii="Times New Roman" w:hAnsi="Times New Roman" w:cs="Times New Roman" w:eastAsia="Times New Roman" w:hint="default"/>
          <w:spacing w:val="-1"/>
        </w:rPr>
        <w:t>2013</w:t>
      </w:r>
      <w:r>
        <w:rPr>
          <w:spacing w:val="-1"/>
        </w:rPr>
        <w:t>年度发生数为</w:t>
      </w:r>
      <w:r>
        <w:rPr>
          <w:rFonts w:ascii="Times New Roman" w:hAnsi="Times New Roman" w:cs="Times New Roman" w:eastAsia="Times New Roman" w:hint="default"/>
          <w:spacing w:val="-1"/>
        </w:rPr>
        <w:t>23,705,958.58</w:t>
      </w:r>
      <w:r>
        <w:rPr>
          <w:spacing w:val="-1"/>
        </w:rPr>
        <w:t>元，比上年数增加</w:t>
      </w:r>
      <w:r>
        <w:rPr>
          <w:rFonts w:ascii="Times New Roman" w:hAnsi="Times New Roman" w:cs="Times New Roman" w:eastAsia="Times New Roman" w:hint="default"/>
          <w:spacing w:val="-1"/>
        </w:rPr>
        <w:t>166.73%</w:t>
      </w:r>
      <w:r>
        <w:rPr>
          <w:spacing w:val="-1"/>
        </w:rPr>
        <w:t>，其主要原因是公司处置子公司产生投资收益</w:t>
      </w:r>
      <w:r>
        <w:rPr/>
        <w:t> 影响。</w:t>
      </w:r>
    </w:p>
    <w:p>
      <w:pPr>
        <w:pStyle w:val="BodyText"/>
        <w:spacing w:line="300" w:lineRule="auto" w:before="31"/>
        <w:ind w:left="154" w:right="185" w:firstLine="360"/>
        <w:jc w:val="left"/>
      </w:pPr>
      <w:r>
        <w:rPr>
          <w:spacing w:val="-1"/>
        </w:rPr>
        <w:t>（</w:t>
      </w:r>
      <w:r>
        <w:rPr>
          <w:rFonts w:ascii="Times New Roman" w:hAnsi="Times New Roman" w:cs="Times New Roman" w:eastAsia="Times New Roman" w:hint="default"/>
          <w:spacing w:val="-1"/>
        </w:rPr>
        <w:t>6</w:t>
      </w:r>
      <w:r>
        <w:rPr>
          <w:spacing w:val="-1"/>
        </w:rPr>
        <w:t>）营业外收入</w:t>
      </w:r>
      <w:r>
        <w:rPr>
          <w:rFonts w:ascii="Times New Roman" w:hAnsi="Times New Roman" w:cs="Times New Roman" w:eastAsia="Times New Roman" w:hint="default"/>
          <w:spacing w:val="-1"/>
        </w:rPr>
        <w:t>2013</w:t>
      </w:r>
      <w:r>
        <w:rPr>
          <w:spacing w:val="-1"/>
        </w:rPr>
        <w:t>年度发生数为</w:t>
      </w:r>
      <w:r>
        <w:rPr>
          <w:rFonts w:ascii="Times New Roman" w:hAnsi="Times New Roman" w:cs="Times New Roman" w:eastAsia="Times New Roman" w:hint="default"/>
          <w:spacing w:val="-1"/>
        </w:rPr>
        <w:t>504,045,185.99</w:t>
      </w:r>
      <w:r>
        <w:rPr>
          <w:spacing w:val="-1"/>
        </w:rPr>
        <w:t>元，比上年数增加</w:t>
      </w:r>
      <w:r>
        <w:rPr>
          <w:rFonts w:ascii="Times New Roman" w:hAnsi="Times New Roman" w:cs="Times New Roman" w:eastAsia="Times New Roman" w:hint="default"/>
          <w:spacing w:val="-1"/>
        </w:rPr>
        <w:t>19.58%</w:t>
      </w:r>
      <w:r>
        <w:rPr>
          <w:spacing w:val="-1"/>
        </w:rPr>
        <w:t>，其主要原因是武汉一厂停产补偿，政府补</w:t>
      </w:r>
      <w:r>
        <w:rPr/>
        <w:t> 助转入。</w:t>
      </w:r>
    </w:p>
    <w:p>
      <w:pPr>
        <w:pStyle w:val="BodyText"/>
        <w:spacing w:line="300" w:lineRule="auto" w:before="31"/>
        <w:ind w:left="154" w:right="90" w:firstLine="359"/>
        <w:jc w:val="left"/>
      </w:pPr>
      <w:r>
        <w:rPr/>
        <w:t>（</w:t>
      </w:r>
      <w:r>
        <w:rPr>
          <w:rFonts w:ascii="Times New Roman" w:hAnsi="Times New Roman" w:cs="Times New Roman" w:eastAsia="Times New Roman" w:hint="default"/>
        </w:rPr>
        <w:t>7</w:t>
      </w:r>
      <w:r>
        <w:rPr/>
        <w:t>）营业外支出</w:t>
      </w:r>
      <w:r>
        <w:rPr>
          <w:rFonts w:ascii="Times New Roman" w:hAnsi="Times New Roman" w:cs="Times New Roman" w:eastAsia="Times New Roman" w:hint="default"/>
        </w:rPr>
        <w:t>2013</w:t>
      </w:r>
      <w:r>
        <w:rPr/>
        <w:t>年度发生数为</w:t>
      </w:r>
      <w:r>
        <w:rPr>
          <w:rFonts w:ascii="Times New Roman" w:hAnsi="Times New Roman" w:cs="Times New Roman" w:eastAsia="Times New Roman" w:hint="default"/>
        </w:rPr>
        <w:t>41,294,461.31</w:t>
      </w:r>
      <w:r>
        <w:rPr/>
        <w:t>元，比上年数增加</w:t>
      </w:r>
      <w:r>
        <w:rPr>
          <w:rFonts w:ascii="Times New Roman" w:hAnsi="Times New Roman" w:cs="Times New Roman" w:eastAsia="Times New Roman" w:hint="default"/>
        </w:rPr>
        <w:t>92.60%</w:t>
      </w:r>
      <w:r>
        <w:rPr/>
        <w:t>，其主要原因是公司处理非流动资产损失增 加。</w:t>
      </w:r>
    </w:p>
    <w:p>
      <w:pPr>
        <w:pStyle w:val="BodyText"/>
        <w:spacing w:line="240" w:lineRule="auto" w:before="31"/>
        <w:ind w:left="514" w:right="0"/>
        <w:jc w:val="left"/>
      </w:pPr>
      <w:r>
        <w:rPr/>
        <w:t>（</w:t>
      </w:r>
      <w:r>
        <w:rPr>
          <w:rFonts w:ascii="Times New Roman" w:hAnsi="Times New Roman" w:cs="Times New Roman" w:eastAsia="Times New Roman" w:hint="default"/>
        </w:rPr>
        <w:t>8</w:t>
      </w:r>
      <w:r>
        <w:rPr/>
        <w:t>）所得税费用</w:t>
      </w:r>
      <w:r>
        <w:rPr>
          <w:rFonts w:ascii="Times New Roman" w:hAnsi="Times New Roman" w:cs="Times New Roman" w:eastAsia="Times New Roman" w:hint="default"/>
        </w:rPr>
        <w:t>2013</w:t>
      </w:r>
      <w:r>
        <w:rPr/>
        <w:t>年度发生数为</w:t>
      </w:r>
      <w:r>
        <w:rPr>
          <w:rFonts w:ascii="Times New Roman" w:hAnsi="Times New Roman" w:cs="Times New Roman" w:eastAsia="Times New Roman" w:hint="default"/>
        </w:rPr>
        <w:t>175,938,431.91</w:t>
      </w:r>
      <w:r>
        <w:rPr/>
        <w:t>元，比上年数增加</w:t>
      </w:r>
      <w:r>
        <w:rPr>
          <w:rFonts w:ascii="Times New Roman" w:hAnsi="Times New Roman" w:cs="Times New Roman" w:eastAsia="Times New Roman" w:hint="default"/>
        </w:rPr>
        <w:t>380.04%</w:t>
      </w:r>
      <w:r>
        <w:rPr/>
        <w:t>，其主要原因是公司盈利状况较去年好转。</w:t>
      </w:r>
    </w:p>
    <w:p>
      <w:pPr>
        <w:pStyle w:val="BodyText"/>
        <w:spacing w:line="300" w:lineRule="auto" w:before="62"/>
        <w:ind w:left="154" w:right="90" w:firstLine="359"/>
        <w:jc w:val="left"/>
      </w:pPr>
      <w:r>
        <w:rPr>
          <w:spacing w:val="-1"/>
        </w:rPr>
        <w:t>（9）经营活动产生的现金净流量</w:t>
      </w:r>
      <w:r>
        <w:rPr>
          <w:rFonts w:ascii="Times New Roman" w:hAnsi="Times New Roman" w:cs="Times New Roman" w:eastAsia="Times New Roman" w:hint="default"/>
          <w:spacing w:val="-1"/>
        </w:rPr>
        <w:t>2013</w:t>
      </w:r>
      <w:r>
        <w:rPr>
          <w:spacing w:val="-1"/>
        </w:rPr>
        <w:t>年度发生数为</w:t>
      </w:r>
      <w:r>
        <w:rPr>
          <w:rFonts w:ascii="Times New Roman" w:hAnsi="Times New Roman" w:cs="Times New Roman" w:eastAsia="Times New Roman" w:hint="default"/>
          <w:spacing w:val="-1"/>
        </w:rPr>
        <w:t>1,122,616,800.91</w:t>
      </w:r>
      <w:r>
        <w:rPr>
          <w:spacing w:val="-1"/>
        </w:rPr>
        <w:t>元，比上年数减少</w:t>
      </w:r>
      <w:r>
        <w:rPr>
          <w:rFonts w:ascii="Times New Roman" w:hAnsi="Times New Roman" w:cs="Times New Roman" w:eastAsia="Times New Roman" w:hint="default"/>
          <w:spacing w:val="-1"/>
        </w:rPr>
        <w:t>42.63%</w:t>
      </w:r>
      <w:r>
        <w:rPr>
          <w:spacing w:val="-1"/>
        </w:rPr>
        <w:t>，其主要原因是公司为争</w:t>
      </w:r>
      <w:r>
        <w:rPr/>
        <w:t> 取上游供应商，降低成本，同比加大了现金支付货款的比例。</w:t>
      </w:r>
    </w:p>
    <w:p>
      <w:pPr>
        <w:pStyle w:val="BodyText"/>
        <w:spacing w:line="300" w:lineRule="auto" w:before="32"/>
        <w:ind w:left="154" w:right="90" w:firstLine="360"/>
        <w:jc w:val="left"/>
      </w:pPr>
      <w:r>
        <w:rPr/>
        <w:t>（10）投资活动产生的现金净流量</w:t>
      </w:r>
      <w:r>
        <w:rPr>
          <w:rFonts w:ascii="Times New Roman" w:hAnsi="Times New Roman" w:cs="Times New Roman" w:eastAsia="Times New Roman" w:hint="default"/>
        </w:rPr>
        <w:t>2013</w:t>
      </w:r>
      <w:r>
        <w:rPr/>
        <w:t>年度发生数为</w:t>
      </w:r>
      <w:r>
        <w:rPr>
          <w:rFonts w:ascii="Times New Roman" w:hAnsi="Times New Roman" w:cs="Times New Roman" w:eastAsia="Times New Roman" w:hint="default"/>
        </w:rPr>
        <w:t>-1,910,948,038.35</w:t>
      </w:r>
      <w:r>
        <w:rPr/>
        <w:t>元，比上年数增加</w:t>
      </w:r>
      <w:r>
        <w:rPr>
          <w:rFonts w:ascii="Times New Roman" w:hAnsi="Times New Roman" w:cs="Times New Roman" w:eastAsia="Times New Roman" w:hint="default"/>
        </w:rPr>
        <w:t>27.78%</w:t>
      </w:r>
      <w:r>
        <w:rPr/>
        <w:t>，其主要原因是公司为 加强资金使用效率，收回收益率较低的投资。</w:t>
      </w:r>
    </w:p>
    <w:p>
      <w:pPr>
        <w:pStyle w:val="BodyText"/>
        <w:spacing w:line="300" w:lineRule="auto" w:before="31"/>
        <w:ind w:left="154" w:right="90" w:firstLine="360"/>
        <w:jc w:val="left"/>
      </w:pPr>
      <w:r>
        <w:rPr/>
        <w:t>（11）筹资活动产生的现金净流量</w:t>
      </w:r>
      <w:r>
        <w:rPr>
          <w:rFonts w:ascii="Times New Roman" w:hAnsi="Times New Roman" w:cs="Times New Roman" w:eastAsia="Times New Roman" w:hint="default"/>
        </w:rPr>
        <w:t>2013</w:t>
      </w:r>
      <w:r>
        <w:rPr/>
        <w:t>年度发生数为</w:t>
      </w:r>
      <w:r>
        <w:rPr>
          <w:rFonts w:ascii="Times New Roman" w:hAnsi="Times New Roman" w:cs="Times New Roman" w:eastAsia="Times New Roman" w:hint="default"/>
        </w:rPr>
        <w:t>-832,037,106.17</w:t>
      </w:r>
      <w:r>
        <w:rPr/>
        <w:t>元，比上年数降低</w:t>
      </w:r>
      <w:r>
        <w:rPr>
          <w:rFonts w:ascii="Times New Roman" w:hAnsi="Times New Roman" w:cs="Times New Roman" w:eastAsia="Times New Roman" w:hint="default"/>
        </w:rPr>
        <w:t>215.05%</w:t>
      </w:r>
      <w:r>
        <w:rPr/>
        <w:t>，其主要原因是公司盈 利状况好转，为降低资金使用成本，加强了自有资金的利用效率。</w:t>
      </w:r>
    </w:p>
    <w:p>
      <w:pPr>
        <w:spacing w:after="0" w:line="300" w:lineRule="auto"/>
        <w:jc w:val="left"/>
        <w:sectPr>
          <w:pgSz w:w="11910" w:h="16840"/>
          <w:pgMar w:header="877" w:footer="950" w:top="1100" w:bottom="114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86" w:right="92"/>
        <w:jc w:val="left"/>
        <w:rPr>
          <w:b w:val="0"/>
          <w:bCs w:val="0"/>
        </w:rPr>
      </w:pPr>
      <w:bookmarkStart w:name="_bookmark11" w:id="12"/>
      <w:bookmarkEnd w:id="12"/>
      <w:r>
        <w:rPr>
          <w:b w:val="0"/>
          <w:bCs w:val="0"/>
        </w:rPr>
      </w:r>
      <w:r>
        <w:rPr/>
        <w:t>第十二节</w:t>
      </w:r>
      <w:r>
        <w:rPr>
          <w:spacing w:val="-9"/>
        </w:rPr>
        <w:t> </w:t>
      </w:r>
      <w:r>
        <w:rPr/>
        <w:t>备查文件目录</w:t>
      </w:r>
      <w:r>
        <w:rPr>
          <w:b w:val="0"/>
          <w:bCs w:val="0"/>
        </w:rPr>
      </w:r>
    </w:p>
    <w:p>
      <w:pPr>
        <w:spacing w:line="240" w:lineRule="auto" w:before="10"/>
        <w:rPr>
          <w:rFonts w:ascii="宋体" w:hAnsi="宋体" w:cs="宋体" w:eastAsia="宋体" w:hint="default"/>
          <w:b/>
          <w:bCs/>
          <w:sz w:val="38"/>
          <w:szCs w:val="38"/>
        </w:rPr>
      </w:pPr>
    </w:p>
    <w:p>
      <w:pPr>
        <w:pStyle w:val="Heading3"/>
        <w:spacing w:line="537" w:lineRule="auto"/>
        <w:ind w:right="92"/>
        <w:jc w:val="left"/>
      </w:pPr>
      <w:r>
        <w:rPr/>
        <w:t>一、载有公司负责人、主管会计工作负责人、会计机构负责人签名并盖章的财务报表； 二、载有会计师事务所盖章、注册会计师签名并盖章的审计报告原件； </w:t>
      </w:r>
      <w:r>
        <w:rPr>
          <w:spacing w:val="-2"/>
        </w:rPr>
        <w:t>三、报告期内在中国证监会指定报纸及网站上公开披露过的所有公司文件的正本及公告原稿；</w:t>
      </w:r>
      <w:r>
        <w:rPr/>
        <w:t> 四、在香港联合交易所有限公司披露的年度报告文本；</w:t>
      </w:r>
    </w:p>
    <w:p>
      <w:pPr>
        <w:pStyle w:val="Heading3"/>
        <w:spacing w:line="240" w:lineRule="auto" w:before="92"/>
        <w:ind w:right="92"/>
        <w:jc w:val="left"/>
      </w:pPr>
      <w:r>
        <w:rPr/>
        <w:t>五、其他有关资料。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6"/>
          <w:szCs w:val="26"/>
        </w:rPr>
      </w:pPr>
    </w:p>
    <w:p>
      <w:pPr>
        <w:pStyle w:val="Heading3"/>
        <w:spacing w:line="537" w:lineRule="auto"/>
        <w:ind w:left="6214" w:right="718" w:hanging="288"/>
        <w:jc w:val="left"/>
      </w:pPr>
      <w:r>
        <w:rPr/>
        <w:t>山东晨鸣纸业集团股份有限公司 二○一四年三月二十日</w:t>
      </w:r>
    </w:p>
    <w:sectPr>
      <w:pgSz w:w="11910" w:h="16840"/>
      <w:pgMar w:header="877" w:footer="950" w:top="1100" w:bottom="114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696899pt;margin-top:783.517517pt;width:13pt;height:11pt;mso-position-horizontal-relative:page;mso-position-vertical-relative:page;z-index:-1457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4.696899pt;margin-top:783.517517pt;width:15.5pt;height:11pt;mso-position-horizontal-relative:page;mso-position-vertical-relative:page;z-index:-14567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696899pt;margin-top:783.517517pt;width:17.5pt;height:11pt;mso-position-horizontal-relative:page;mso-position-vertical-relative:page;z-index:-1456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01.619904pt;margin-top:757.585327pt;width:38pt;height:11pt;mso-position-horizontal-relative:page;mso-position-vertical-relative:page;z-index:-1456984" type="#_x0000_t202" filled="false" stroked="false">
          <v:textbox inset="0,0,0,0">
            <w:txbxContent>
              <w:p>
                <w:pPr>
                  <w:pStyle w:val="BodyText"/>
                  <w:spacing w:line="200" w:lineRule="exact"/>
                  <w:ind w:left="20" w:right="0"/>
                  <w:jc w:val="left"/>
                </w:pPr>
                <w:r>
                  <w:rPr/>
                  <w:t>单位：元</w:t>
                </w:r>
              </w:p>
            </w:txbxContent>
          </v:textbox>
          <w10:wrap type="none"/>
        </v:shape>
      </w:pict>
    </w:r>
    <w:r>
      <w:rPr/>
      <w:pict>
        <v:shape style="position:absolute;margin-left:513.696899pt;margin-top:783.517517pt;width:13pt;height:11pt;mso-position-horizontal-relative:page;mso-position-vertical-relative:page;z-index:-1456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696899pt;margin-top:783.517517pt;width:13pt;height:11pt;mso-position-horizontal-relative:page;mso-position-vertical-relative:page;z-index:-1456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696899pt;margin-top:783.517517pt;width:13pt;height:11pt;mso-position-horizontal-relative:page;mso-position-vertical-relative:page;z-index:-1456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4.696899pt;margin-top:783.517517pt;width:15.5pt;height:11pt;mso-position-horizontal-relative:page;mso-position-vertical-relative:page;z-index:-14568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696899pt;margin-top:783.517517pt;width:17.5pt;height:11pt;mso-position-horizontal-relative:page;mso-position-vertical-relative:page;z-index:-1456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696899pt;margin-top:783.517517pt;width:17.150pt;height:11pt;mso-position-horizontal-relative:page;mso-position-vertical-relative:page;z-index:-1456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696899pt;margin-top:783.517517pt;width:17.5pt;height:11pt;mso-position-horizontal-relative:page;mso-position-vertical-relative:page;z-index:-1456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3.696899pt;margin-top:783.517517pt;width:17.5pt;height:11pt;mso-position-horizontal-relative:page;mso-position-vertical-relative:page;z-index:-1456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99pt;width:484.95pt;height:.1pt;mso-position-horizontal-relative:page;mso-position-vertical-relative:page;z-index:-1457056" coordorigin="1104,1112" coordsize="9699,2">
          <v:shape style="position:absolute;left:1104;top:1112;width:9699;height:2" coordorigin="1104,1112" coordsize="9699,0" path="m1104,1112l10802,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35.119995pt;margin-top:42.865326pt;width:204.55pt;height:11.5pt;mso-position-horizontal-relative:page;mso-position-vertical-relative:page;z-index:-1457032" type="#_x0000_t202" filled="false" stroked="false">
          <v:textbox inset="0,0,0,0">
            <w:txbxContent>
              <w:p>
                <w:pPr>
                  <w:pStyle w:val="BodyText"/>
                  <w:spacing w:line="214" w:lineRule="exact"/>
                  <w:ind w:left="20" w:right="0"/>
                  <w:jc w:val="left"/>
                </w:pPr>
                <w:r>
                  <w:rPr/>
                  <w:t>山东晨鸣纸业集团股份有限公司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4"/>
    </w:pPr>
    <w:rPr>
      <w:rFonts w:ascii="宋体" w:hAnsi="宋体" w:eastAsia="宋体"/>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359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102"/>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chenmingpaper.com/" TargetMode="External"/><Relationship Id="rId9" Type="http://schemas.openxmlformats.org/officeDocument/2006/relationships/hyperlink" Target="mailto:chenmmingpaper@163.com" TargetMode="External"/><Relationship Id="rId10" Type="http://schemas.openxmlformats.org/officeDocument/2006/relationships/hyperlink" Target="mailto:kentpoon_1009@yahoo.com.hk" TargetMode="External"/><Relationship Id="rId11" Type="http://schemas.openxmlformats.org/officeDocument/2006/relationships/hyperlink" Target="http://www.cninfo.com.cn/" TargetMode="External"/><Relationship Id="rId12" Type="http://schemas.openxmlformats.org/officeDocument/2006/relationships/hyperlink" Target="http://www.hkex.com.hk/"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yperlink" Target="http://www/" TargetMode="External"/><Relationship Id="rId17" Type="http://schemas.openxmlformats.org/officeDocument/2006/relationships/hyperlink" Target="http://w/" TargetMode="External"/><Relationship Id="rId18" Type="http://schemas.openxmlformats.org/officeDocument/2006/relationships/image" Target="media/image3.jpe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footer" Target="footer4.xml"/><Relationship Id="rId22" Type="http://schemas.openxmlformats.org/officeDocument/2006/relationships/image" Target="media/image6.png"/><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山东晨鸣纸业集团股份有限公司</dc:creator>
  <dc:title>山东晨鸣纸业集团股份有限公司2013年度报告全文</dc:title>
  <dcterms:created xsi:type="dcterms:W3CDTF">2020-05-05T09:50:46Z</dcterms:created>
  <dcterms:modified xsi:type="dcterms:W3CDTF">2020-05-05T09:50:46Z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2014-03-20T00:00:00Z</vt:filetime>
  </property>
  <property fmtid="{D5CDD505-2E9C-101B-9397-08002B2CF9AE}" pid="3" name="Creator">
    <vt:lpwstr>Acrobat PDFMaker 7.0 for Word</vt:lpwstr>
  </property>
  <property fmtid="{D5CDD505-2E9C-101B-9397-08002B2CF9AE}" pid="4" name="LastSaved">
    <vt:filetime>2020-05-05T00:00:00Z</vt:filetime>
  </property>
</Properties>
</file>