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02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399" w:lineRule="exact"/>
        <w:ind w:left="393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1314226" cy="152361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314226" cy="1523619"/>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山东晨鸣纸业集团股份有限公司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147"/>
        <w:jc w:val="left"/>
        <w:rPr>
          <w:b w:val="0"/>
          <w:bCs w:val="0"/>
        </w:rPr>
      </w:pPr>
      <w:bookmarkStart w:name="_bookmark0"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本公司董事会、监事会及董事、监事、高级管理人员保证年度报告内容的</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147"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公司经本次董事会审议通过的利润分配预案为：以分红派息股权登记日股</w:t>
      </w:r>
      <w:r>
        <w:rPr>
          <w:rFonts w:ascii="宋体" w:hAnsi="宋体" w:cs="宋体" w:eastAsia="宋体" w:hint="default"/>
          <w:sz w:val="28"/>
          <w:szCs w:val="28"/>
        </w:rPr>
      </w:r>
    </w:p>
    <w:p>
      <w:pPr>
        <w:spacing w:line="386" w:lineRule="auto" w:before="0"/>
        <w:ind w:left="153" w:right="147"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份数为基数</w:t>
      </w:r>
      <w:r>
        <w:rPr>
          <w:rFonts w:ascii="宋体" w:hAnsi="宋体" w:cs="宋体" w:eastAsia="宋体" w:hint="default"/>
          <w:b/>
          <w:bCs/>
          <w:spacing w:val="-66"/>
          <w:w w:val="99"/>
          <w:sz w:val="28"/>
          <w:szCs w:val="28"/>
        </w:rPr>
        <w:t>，</w:t>
      </w:r>
      <w:r>
        <w:rPr>
          <w:rFonts w:ascii="宋体" w:hAnsi="宋体" w:cs="宋体" w:eastAsia="宋体" w:hint="default"/>
          <w:b/>
          <w:bCs/>
          <w:spacing w:val="1"/>
          <w:w w:val="99"/>
          <w:sz w:val="28"/>
          <w:szCs w:val="28"/>
        </w:rPr>
        <w:t>向全体股东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1.40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66"/>
          <w:w w:val="99"/>
          <w:sz w:val="28"/>
          <w:szCs w:val="28"/>
        </w:rPr>
        <w:t>元</w:t>
      </w:r>
      <w:r>
        <w:rPr>
          <w:rFonts w:ascii="宋体" w:hAnsi="宋体" w:cs="宋体" w:eastAsia="宋体" w:hint="default"/>
          <w:b/>
          <w:bCs/>
          <w:spacing w:val="1"/>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66"/>
          <w:w w:val="99"/>
          <w:sz w:val="28"/>
          <w:szCs w:val="28"/>
        </w:rPr>
        <w:t>，</w:t>
      </w:r>
      <w:r>
        <w:rPr>
          <w:rFonts w:ascii="宋体" w:hAnsi="宋体" w:cs="宋体" w:eastAsia="宋体" w:hint="default"/>
          <w:b/>
          <w:bCs/>
          <w:spacing w:val="2"/>
          <w:w w:val="99"/>
          <w:sz w:val="28"/>
          <w:szCs w:val="28"/>
        </w:rPr>
        <w:t>送</w:t>
      </w:r>
      <w:r>
        <w:rPr>
          <w:rFonts w:ascii="宋体" w:hAnsi="宋体" w:cs="宋体" w:eastAsia="宋体" w:hint="default"/>
          <w:b/>
          <w:bCs/>
          <w:spacing w:val="1"/>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68"/>
          <w:w w:val="99"/>
          <w:sz w:val="28"/>
          <w:szCs w:val="28"/>
        </w:rPr>
        <w:t>股</w:t>
      </w:r>
      <w:r>
        <w:rPr>
          <w:rFonts w:ascii="宋体" w:hAnsi="宋体" w:cs="宋体" w:eastAsia="宋体" w:hint="default"/>
          <w:b/>
          <w:bCs/>
          <w:spacing w:val="1"/>
          <w:w w:val="99"/>
          <w:sz w:val="28"/>
          <w:szCs w:val="28"/>
        </w:rPr>
        <w:t>（</w:t>
      </w:r>
      <w:r>
        <w:rPr>
          <w:rFonts w:ascii="宋体" w:hAnsi="宋体" w:cs="宋体" w:eastAsia="宋体" w:hint="default"/>
          <w:b/>
          <w:bCs/>
          <w:w w:val="99"/>
          <w:sz w:val="28"/>
          <w:szCs w:val="28"/>
        </w:rPr>
        <w:t>含</w:t>
      </w:r>
      <w:r>
        <w:rPr>
          <w:rFonts w:ascii="宋体" w:hAnsi="宋体" w:cs="宋体" w:eastAsia="宋体" w:hint="default"/>
          <w:b/>
          <w:bCs/>
          <w:w w:val="99"/>
          <w:sz w:val="28"/>
          <w:szCs w:val="28"/>
        </w:rPr>
        <w:t> </w:t>
      </w:r>
      <w:r>
        <w:rPr>
          <w:rFonts w:ascii="宋体" w:hAnsi="宋体" w:cs="宋体" w:eastAsia="宋体" w:hint="default"/>
          <w:b/>
          <w:bCs/>
          <w:spacing w:val="1"/>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1"/>
          <w:w w:val="99"/>
          <w:sz w:val="28"/>
          <w:szCs w:val="28"/>
        </w:rPr>
        <w:t>，不以公积金转增股本。</w:t>
      </w:r>
      <w:r>
        <w:rPr>
          <w:rFonts w:ascii="宋体" w:hAnsi="宋体" w:cs="宋体" w:eastAsia="宋体" w:hint="default"/>
          <w:sz w:val="28"/>
          <w:szCs w:val="28"/>
        </w:rPr>
      </w:r>
    </w:p>
    <w:p>
      <w:pPr>
        <w:spacing w:line="386" w:lineRule="auto" w:before="185"/>
        <w:ind w:left="153" w:right="1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公司负责人陈洪国、主管会计工作负责人董连明及会计机构负责人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刘军声明：保证年度报告中财务报告的真实、准确、完整。</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661" w:val="lef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661" w:val="left" w:leader="dot"/>
            </w:tabs>
            <w:spacing w:line="240" w:lineRule="auto"/>
            <w:ind w:left="153" w:right="0"/>
            <w:jc w:val="left"/>
            <w:rPr>
              <w:rFonts w:ascii="Times New Roman" w:hAnsi="Times New Roman" w:cs="Times New Roman" w:eastAsia="Times New Roman" w:hint="default"/>
            </w:rPr>
          </w:pPr>
          <w:hyperlink w:history="true" w:anchor="_bookmark1">
            <w:r>
              <w:rPr/>
              <w:t>第二节 公司简介</w:t>
            </w:r>
            <w:r>
              <w:rPr>
                <w:rFonts w:ascii="Times New Roman" w:hAnsi="Times New Roman" w:cs="Times New Roman" w:eastAsia="Times New Roman" w:hint="default"/>
              </w:rPr>
              <w:tab/>
              <w:t>6</w:t>
            </w:r>
            <w:r>
              <w:rPr>
                <w:rFonts w:ascii="Times New Roman" w:hAnsi="Times New Roman" w:cs="Times New Roman" w:eastAsia="Times New Roman" w:hint="default"/>
                <w:spacing w:val="-39"/>
              </w:rPr>
              <w:t> </w:t>
            </w:r>
            <w:r>
              <w:rPr>
                <w:rFonts w:ascii="Times New Roman" w:hAnsi="Times New Roman" w:cs="Times New Roman" w:eastAsia="Times New Roman" w:hint="default"/>
              </w:rPr>
            </w:r>
          </w:hyperlink>
        </w:p>
        <w:p>
          <w:pPr>
            <w:pStyle w:val="TOC1"/>
            <w:tabs>
              <w:tab w:pos="9661" w:val="left" w:leader="dot"/>
            </w:tabs>
            <w:spacing w:line="240" w:lineRule="auto" w:before="176"/>
            <w:ind w:right="0"/>
            <w:jc w:val="left"/>
            <w:rPr>
              <w:rFonts w:ascii="Times New Roman" w:hAnsi="Times New Roman" w:cs="Times New Roman" w:eastAsia="Times New Roman" w:hint="default"/>
            </w:rPr>
          </w:pPr>
          <w:hyperlink w:history="true" w:anchor="_bookmark2">
            <w:r>
              <w:rPr/>
              <w:t>第三节 会计数据和财务指标摘要</w:t>
            </w:r>
            <w:r>
              <w:rPr>
                <w:rFonts w:ascii="Times New Roman" w:hAnsi="Times New Roman" w:cs="Times New Roman" w:eastAsia="Times New Roman" w:hint="default"/>
              </w:rPr>
              <w:tab/>
              <w:t>8</w:t>
            </w:r>
          </w:hyperlink>
        </w:p>
        <w:p>
          <w:pPr>
            <w:pStyle w:val="TOC1"/>
            <w:tabs>
              <w:tab w:pos="9541" w:val="left" w:leader="dot"/>
            </w:tabs>
            <w:spacing w:line="240" w:lineRule="auto"/>
            <w:ind w:right="0"/>
            <w:jc w:val="left"/>
            <w:rPr>
              <w:rFonts w:ascii="Times New Roman" w:hAnsi="Times New Roman" w:cs="Times New Roman" w:eastAsia="Times New Roman" w:hint="default"/>
            </w:rPr>
          </w:pPr>
          <w:hyperlink w:history="true" w:anchor="_bookmark3">
            <w:r>
              <w:rPr/>
              <w:t>第四节 董事长报告</w:t>
            </w:r>
            <w:r>
              <w:rPr>
                <w:rFonts w:ascii="Times New Roman" w:hAnsi="Times New Roman" w:cs="Times New Roman" w:eastAsia="Times New Roman" w:hint="default"/>
              </w:rPr>
              <w:tab/>
              <w:t>10</w:t>
            </w:r>
          </w:hyperlink>
        </w:p>
        <w:p>
          <w:pPr>
            <w:pStyle w:val="TOC1"/>
            <w:tabs>
              <w:tab w:pos="9541" w:val="left" w:leader="dot"/>
            </w:tabs>
            <w:spacing w:line="240" w:lineRule="auto"/>
            <w:ind w:right="0"/>
            <w:jc w:val="left"/>
            <w:rPr>
              <w:rFonts w:ascii="Times New Roman" w:hAnsi="Times New Roman" w:cs="Times New Roman" w:eastAsia="Times New Roman" w:hint="default"/>
            </w:rPr>
          </w:pPr>
          <w:hyperlink w:history="true" w:anchor="_bookmark4">
            <w:r>
              <w:rPr/>
              <w:t>第五节 董事会报告</w:t>
            </w:r>
            <w:r>
              <w:rPr>
                <w:rFonts w:ascii="Times New Roman" w:hAnsi="Times New Roman" w:cs="Times New Roman" w:eastAsia="Times New Roman" w:hint="default"/>
              </w:rPr>
              <w:tab/>
              <w:t>12</w:t>
            </w:r>
          </w:hyperlink>
        </w:p>
        <w:p>
          <w:pPr>
            <w:pStyle w:val="TOC1"/>
            <w:tabs>
              <w:tab w:pos="9541" w:val="left" w:leader="dot"/>
            </w:tabs>
            <w:spacing w:line="240" w:lineRule="auto" w:before="176"/>
            <w:ind w:right="0"/>
            <w:jc w:val="left"/>
            <w:rPr>
              <w:rFonts w:ascii="Times New Roman" w:hAnsi="Times New Roman" w:cs="Times New Roman" w:eastAsia="Times New Roman" w:hint="default"/>
            </w:rPr>
          </w:pPr>
          <w:hyperlink w:history="true" w:anchor="_bookmark5">
            <w:r>
              <w:rPr/>
              <w:t>第六节 重要事项</w:t>
            </w:r>
            <w:r>
              <w:rPr>
                <w:rFonts w:ascii="Times New Roman" w:hAnsi="Times New Roman" w:cs="Times New Roman" w:eastAsia="Times New Roman" w:hint="default"/>
              </w:rPr>
              <w:tab/>
              <w:t>38</w:t>
            </w:r>
          </w:hyperlink>
        </w:p>
        <w:p>
          <w:pPr>
            <w:pStyle w:val="TOC1"/>
            <w:tabs>
              <w:tab w:pos="9541" w:val="left" w:leader="dot"/>
            </w:tabs>
            <w:spacing w:line="240" w:lineRule="auto"/>
            <w:ind w:right="0"/>
            <w:jc w:val="left"/>
            <w:rPr>
              <w:rFonts w:ascii="Times New Roman" w:hAnsi="Times New Roman" w:cs="Times New Roman" w:eastAsia="Times New Roman" w:hint="default"/>
            </w:rPr>
          </w:pPr>
          <w:hyperlink w:history="true" w:anchor="_bookmark6">
            <w:r>
              <w:rPr/>
              <w:t>第七节 股份变动及股东情况</w:t>
            </w:r>
            <w:r>
              <w:rPr>
                <w:rFonts w:ascii="Times New Roman" w:hAnsi="Times New Roman" w:cs="Times New Roman" w:eastAsia="Times New Roman" w:hint="default"/>
              </w:rPr>
              <w:tab/>
              <w:t>48</w:t>
            </w:r>
          </w:hyperlink>
        </w:p>
        <w:p>
          <w:pPr>
            <w:pStyle w:val="TOC1"/>
            <w:tabs>
              <w:tab w:pos="9541" w:val="left" w:leader="dot"/>
            </w:tabs>
            <w:spacing w:line="240" w:lineRule="auto"/>
            <w:ind w:right="0"/>
            <w:jc w:val="left"/>
            <w:rPr>
              <w:rFonts w:ascii="Times New Roman" w:hAnsi="Times New Roman" w:cs="Times New Roman" w:eastAsia="Times New Roman" w:hint="default"/>
            </w:rPr>
          </w:pPr>
          <w:hyperlink w:history="true" w:anchor="_bookmark7">
            <w:r>
              <w:rPr/>
              <w:t>第八节 优先股相关情况</w:t>
            </w:r>
            <w:r>
              <w:rPr>
                <w:rFonts w:ascii="Times New Roman" w:hAnsi="Times New Roman" w:cs="Times New Roman" w:eastAsia="Times New Roman" w:hint="default"/>
              </w:rPr>
              <w:tab/>
              <w:t>53</w:t>
            </w:r>
          </w:hyperlink>
        </w:p>
        <w:p>
          <w:pPr>
            <w:pStyle w:val="TOC1"/>
            <w:tabs>
              <w:tab w:pos="9541" w:val="left" w:leader="dot"/>
            </w:tabs>
            <w:spacing w:line="240" w:lineRule="auto" w:before="176"/>
            <w:ind w:right="0"/>
            <w:jc w:val="left"/>
            <w:rPr>
              <w:rFonts w:ascii="Times New Roman" w:hAnsi="Times New Roman" w:cs="Times New Roman" w:eastAsia="Times New Roman" w:hint="default"/>
            </w:rPr>
          </w:pPr>
          <w:hyperlink w:history="true" w:anchor="_bookmark8">
            <w:r>
              <w:rPr/>
              <w:t>第九节 董事、监事、高级管理人员和员工情况</w:t>
            </w:r>
            <w:r>
              <w:rPr>
                <w:rFonts w:ascii="Times New Roman" w:hAnsi="Times New Roman" w:cs="Times New Roman" w:eastAsia="Times New Roman" w:hint="default"/>
              </w:rPr>
              <w:tab/>
              <w:t>54</w:t>
            </w:r>
          </w:hyperlink>
        </w:p>
        <w:p>
          <w:pPr>
            <w:pStyle w:val="TOC1"/>
            <w:tabs>
              <w:tab w:pos="9541" w:val="left" w:leader="dot"/>
            </w:tabs>
            <w:spacing w:line="240" w:lineRule="auto"/>
            <w:ind w:right="0"/>
            <w:jc w:val="left"/>
            <w:rPr>
              <w:rFonts w:ascii="Times New Roman" w:hAnsi="Times New Roman" w:cs="Times New Roman" w:eastAsia="Times New Roman" w:hint="default"/>
            </w:rPr>
          </w:pPr>
          <w:hyperlink w:history="true" w:anchor="_bookmark9">
            <w:r>
              <w:rPr/>
              <w:t>第十节 公司治理</w:t>
            </w:r>
            <w:r>
              <w:rPr>
                <w:rFonts w:ascii="Times New Roman" w:hAnsi="Times New Roman" w:cs="Times New Roman" w:eastAsia="Times New Roman" w:hint="default"/>
              </w:rPr>
              <w:tab/>
              <w:t>61</w:t>
            </w:r>
          </w:hyperlink>
        </w:p>
        <w:p>
          <w:pPr>
            <w:pStyle w:val="TOC1"/>
            <w:tabs>
              <w:tab w:pos="9541" w:val="left" w:leader="dot"/>
            </w:tabs>
            <w:spacing w:line="240" w:lineRule="auto"/>
            <w:ind w:right="0"/>
            <w:jc w:val="left"/>
            <w:rPr>
              <w:rFonts w:ascii="Times New Roman" w:hAnsi="Times New Roman" w:cs="Times New Roman" w:eastAsia="Times New Roman" w:hint="default"/>
            </w:rPr>
          </w:pPr>
          <w:hyperlink w:history="true" w:anchor="_bookmark10">
            <w:r>
              <w:rPr/>
              <w:t>第十一节 内部控制</w:t>
            </w:r>
            <w:r>
              <w:rPr>
                <w:rFonts w:ascii="Times New Roman" w:hAnsi="Times New Roman" w:cs="Times New Roman" w:eastAsia="Times New Roman" w:hint="default"/>
              </w:rPr>
              <w:tab/>
              <w:t>73</w:t>
            </w:r>
          </w:hyperlink>
        </w:p>
        <w:p>
          <w:pPr>
            <w:pStyle w:val="TOC1"/>
            <w:tabs>
              <w:tab w:pos="9541" w:val="left" w:leader="dot"/>
            </w:tabs>
            <w:spacing w:line="240" w:lineRule="auto" w:before="176"/>
            <w:ind w:right="0"/>
            <w:jc w:val="left"/>
            <w:rPr>
              <w:rFonts w:ascii="Times New Roman" w:hAnsi="Times New Roman" w:cs="Times New Roman" w:eastAsia="Times New Roman" w:hint="default"/>
            </w:rPr>
          </w:pPr>
          <w:hyperlink w:history="true" w:anchor="_bookmark11">
            <w:r>
              <w:rPr/>
              <w:t>第十二节 财务报告</w:t>
            </w:r>
            <w:r>
              <w:rPr>
                <w:rFonts w:ascii="Times New Roman" w:hAnsi="Times New Roman" w:cs="Times New Roman" w:eastAsia="Times New Roman" w:hint="default"/>
              </w:rPr>
              <w:tab/>
              <w:t>78</w:t>
            </w:r>
          </w:hyperlink>
        </w:p>
        <w:p>
          <w:pPr>
            <w:pStyle w:val="TOC1"/>
            <w:tabs>
              <w:tab w:pos="9421" w:val="left" w:leader="dot"/>
            </w:tabs>
            <w:spacing w:line="240" w:lineRule="auto"/>
            <w:ind w:right="0"/>
            <w:jc w:val="left"/>
            <w:rPr>
              <w:rFonts w:ascii="Times New Roman" w:hAnsi="Times New Roman" w:cs="Times New Roman" w:eastAsia="Times New Roman" w:hint="default"/>
            </w:rPr>
          </w:pPr>
          <w:hyperlink w:history="true" w:anchor="_bookmark12">
            <w:r>
              <w:rPr/>
              <w:t>第十三节 备查文件目录</w:t>
            </w:r>
            <w:r>
              <w:rPr>
                <w:rFonts w:ascii="Times New Roman" w:hAnsi="Times New Roman" w:cs="Times New Roman" w:eastAsia="Times New Roman" w:hint="default"/>
              </w:rPr>
              <w:tab/>
              <w:t>185</w:t>
            </w:r>
          </w:hyperlink>
        </w:p>
        <w:p>
          <w:pPr/>
          <w:r>
            <w:fldChar w:fldCharType="end"/>
          </w:r>
        </w:p>
      </w:sdtContent>
    </w:sdt>
    <w:p>
      <w:pPr>
        <w:spacing w:after="0"/>
        <w:sectPr>
          <w:pgSz w:w="11910" w:h="16840"/>
          <w:pgMar w:header="747" w:footer="982" w:top="1060" w:bottom="1180" w:left="980" w:right="980"/>
        </w:sectPr>
      </w:pPr>
    </w:p>
    <w:p>
      <w:pPr>
        <w:spacing w:before="946"/>
        <w:ind w:left="2422"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569"/>
        <w:gridCol w:w="628"/>
        <w:gridCol w:w="5496"/>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公司、本公司、晨鸣纸业</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本集团</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山东晨鸣纸业集团股份有限公司及其附属企业</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晨鸣控股</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联交所</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香港联合交易所</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山东证监局</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中国证券监督管理委员会山东监管局</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武汉晨鸣汉阳纸业有限责任公司</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香港晨鸣</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海鸣矿业</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晨鸣销售公司</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晨鸣热电</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山东晨鸣热电股份有限公司</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财务公司</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山东晨鸣集团财务有限公司</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融资租赁公司</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r>
      <w:tr>
        <w:trPr>
          <w:trHeight w:val="402" w:hRule="exact"/>
        </w:trPr>
        <w:tc>
          <w:tcPr>
            <w:tcW w:w="35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本报告期、报告期内</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08" w:lineRule="auto" w:before="0"/>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公司面临受宏观经济波动、国家政策调整、行业竞争加剧和汇率变动等风</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险因素影响，敬请广大投资者注意投资风险。详细内容敬请查阅董事会报告中</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关于公司未来发展的展望中可能面对的风险因素和对策部分的内容。</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group style="position:absolute;margin-left:171.179993pt;margin-top:309.359985pt;width:367.45pt;height:20.8pt;mso-position-horizontal-relative:page;mso-position-vertical-relative:page;z-index:-1129648" coordorigin="3424,6187" coordsize="7349,416">
            <v:group style="position:absolute;left:3436;top:6199;width:2;height:392" coordorigin="3436,6199" coordsize="2,392">
              <v:shape style="position:absolute;left:3436;top:6199;width:2;height:392" coordorigin="3436,6199" coordsize="0,392" path="m3436,6199l3436,6590e" filled="false" stroked="true" strokeweight="1.2pt" strokecolor="#ffffff">
                <v:path arrowok="t"/>
              </v:shape>
            </v:group>
            <v:group style="position:absolute;left:3448;top:6198;width:7325;height:393" coordorigin="3448,6198" coordsize="7325,393">
              <v:shape style="position:absolute;left:3448;top:6198;width:7325;height:393" coordorigin="3448,6198" coordsize="7325,393" path="m3448,6590l10772,6590,10772,6198,3448,6198,3448,6590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3627"/>
        <w:jc w:val="center"/>
        <w:rPr>
          <w:b w:val="0"/>
          <w:bCs w:val="0"/>
        </w:rPr>
      </w:pPr>
      <w:bookmarkStart w:name="_bookmark1" w:id="2"/>
      <w:bookmarkEnd w:id="2"/>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82"/>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2290"/>
        <w:gridCol w:w="3016"/>
        <w:gridCol w:w="2161"/>
        <w:gridCol w:w="2216"/>
      </w:tblGrid>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3016"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晨鸣纸业</w:t>
            </w:r>
          </w:p>
        </w:tc>
        <w:tc>
          <w:tcPr>
            <w:tcW w:w="21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2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000488</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3016"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 </w:t>
            </w:r>
            <w:r>
              <w:rPr>
                <w:rFonts w:ascii="Times New Roman" w:hAnsi="Times New Roman" w:cs="Times New Roman" w:eastAsia="Times New Roman" w:hint="default"/>
                <w:sz w:val="18"/>
                <w:szCs w:val="18"/>
              </w:rPr>
              <w:t>B</w:t>
            </w:r>
          </w:p>
        </w:tc>
        <w:tc>
          <w:tcPr>
            <w:tcW w:w="21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2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200488</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3016"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晨鸣纸业</w:t>
            </w:r>
          </w:p>
        </w:tc>
        <w:tc>
          <w:tcPr>
            <w:tcW w:w="21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2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01812</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3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深圳证券交易所、香港联合交易所</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晨鸣纸业</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SHANDONG    CHENMING    </w:t>
            </w:r>
            <w:r>
              <w:rPr>
                <w:rFonts w:ascii="Times New Roman"/>
                <w:spacing w:val="-5"/>
                <w:sz w:val="18"/>
              </w:rPr>
              <w:t>PAPER    </w:t>
            </w:r>
            <w:r>
              <w:rPr>
                <w:rFonts w:ascii="Times New Roman"/>
                <w:sz w:val="18"/>
              </w:rPr>
              <w:t>HOLDINGS  </w:t>
            </w:r>
            <w:r>
              <w:rPr>
                <w:rFonts w:ascii="Times New Roman"/>
                <w:spacing w:val="44"/>
                <w:sz w:val="18"/>
              </w:rPr>
              <w:t> </w:t>
            </w:r>
            <w:r>
              <w:rPr>
                <w:rFonts w:ascii="Times New Roman"/>
                <w:sz w:val="18"/>
              </w:rPr>
              <w:t>LIMITED</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45"/>
              <w:jc w:val="left"/>
              <w:rPr>
                <w:rFonts w:ascii="宋体" w:hAnsi="宋体" w:cs="宋体" w:eastAsia="宋体" w:hint="default"/>
                <w:sz w:val="18"/>
                <w:szCs w:val="18"/>
              </w:rPr>
            </w:pPr>
            <w:r>
              <w:rPr>
                <w:rFonts w:ascii="宋体" w:hAnsi="宋体" w:cs="宋体" w:eastAsia="宋体" w:hint="default"/>
                <w:spacing w:val="-3"/>
                <w:sz w:val="18"/>
                <w:szCs w:val="18"/>
              </w:rPr>
              <w:t>公司的外文名称缩写（如有）</w:t>
            </w:r>
            <w:r>
              <w:rPr>
                <w:rFonts w:ascii="宋体" w:hAnsi="宋体" w:cs="宋体" w:eastAsia="宋体" w:hint="default"/>
                <w:sz w:val="18"/>
                <w:szCs w:val="18"/>
              </w:rPr>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SCPH</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陈洪国</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山东省寿光市圣城街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262700</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山东省寿光市农圣东街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2199 </w:t>
            </w:r>
            <w:r>
              <w:rPr>
                <w:rFonts w:ascii="宋体" w:hAnsi="宋体" w:cs="宋体" w:eastAsia="宋体" w:hint="default"/>
                <w:sz w:val="18"/>
                <w:szCs w:val="18"/>
              </w:rPr>
              <w:t>号</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262705</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http://www.chenmingpaper.com</w:t>
              </w:r>
            </w:hyperlink>
          </w:p>
        </w:tc>
      </w:tr>
      <w:tr>
        <w:trPr>
          <w:trHeight w:val="403"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chenmmingpaper@163.com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82"/>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1996"/>
        <w:gridCol w:w="2701"/>
        <w:gridCol w:w="2561"/>
        <w:gridCol w:w="2424"/>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95"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25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5" w:right="0"/>
              <w:jc w:val="left"/>
              <w:rPr>
                <w:rFonts w:ascii="宋体" w:hAnsi="宋体" w:cs="宋体" w:eastAsia="宋体" w:hint="default"/>
                <w:sz w:val="18"/>
                <w:szCs w:val="18"/>
              </w:rPr>
            </w:pPr>
            <w:r>
              <w:rPr>
                <w:rFonts w:ascii="宋体" w:hAnsi="宋体" w:cs="宋体" w:eastAsia="宋体" w:hint="default"/>
                <w:sz w:val="18"/>
                <w:szCs w:val="18"/>
              </w:rPr>
              <w:t>证券事务代表</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5" w:right="0"/>
              <w:jc w:val="left"/>
              <w:rPr>
                <w:rFonts w:ascii="宋体" w:hAnsi="宋体" w:cs="宋体" w:eastAsia="宋体" w:hint="default"/>
                <w:sz w:val="18"/>
                <w:szCs w:val="18"/>
              </w:rPr>
            </w:pPr>
            <w:r>
              <w:rPr>
                <w:rFonts w:ascii="宋体" w:hAnsi="宋体" w:cs="宋体" w:eastAsia="宋体" w:hint="default"/>
                <w:sz w:val="18"/>
                <w:szCs w:val="18"/>
              </w:rPr>
              <w:t>香港公司秘书</w:t>
            </w:r>
          </w:p>
        </w:tc>
      </w:tr>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7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王春方</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肖鹏</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潘兆昌</w:t>
            </w:r>
          </w:p>
        </w:tc>
      </w:tr>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27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山东省寿光市农圣东街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2199 </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山东省寿光市农圣东街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2199 </w:t>
            </w:r>
            <w:r>
              <w:rPr>
                <w:rFonts w:ascii="宋体" w:hAnsi="宋体" w:cs="宋体" w:eastAsia="宋体" w:hint="default"/>
                <w:sz w:val="18"/>
                <w:szCs w:val="18"/>
              </w:rPr>
              <w:t>号</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香港中环环球大厦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27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(86)-0536-2158008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(86)-0536-2158008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(852)-2501 0088</w:t>
            </w:r>
          </w:p>
        </w:tc>
      </w:tr>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27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(86)-0536-2158977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(86)-0536-2158977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(852)-2501 0028</w:t>
            </w:r>
          </w:p>
        </w:tc>
      </w:tr>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27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0">
              <w:r>
                <w:rPr>
                  <w:rFonts w:ascii="Times New Roman"/>
                  <w:sz w:val="18"/>
                </w:rPr>
                <w:t>chenmmingpaper@163.com</w:t>
              </w:r>
            </w:hyperlink>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chenmmingpaper@163.com</w:t>
              </w:r>
            </w:hyperlink>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kentpoon_1009@yahoo.com.hk</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82"/>
        <w:jc w:val="left"/>
        <w:rPr>
          <w:b w:val="0"/>
          <w:bCs w:val="0"/>
        </w:rPr>
      </w:pPr>
      <w:r>
        <w:rPr/>
        <w:t>三、信息披露及备置地点</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before="44"/>
        <w:ind w:left="7767" w:right="101"/>
        <w:jc w:val="right"/>
      </w:pPr>
      <w:r>
        <w:rPr/>
        <w:pict>
          <v:shape style="position:absolute;margin-left:55.080002pt;margin-top:-.847977pt;width:485.4pt;height:60.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17"/>
                    <w:gridCol w:w="5876"/>
                  </w:tblGrid>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99"/>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pacing w:val="-99"/>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99"/>
                            <w:sz w:val="18"/>
                            <w:szCs w:val="18"/>
                          </w:rPr>
                          <w:t>、</w:t>
                        </w:r>
                        <w:r>
                          <w:rPr>
                            <w:rFonts w:ascii="宋体" w:hAnsi="宋体" w:cs="宋体" w:eastAsia="宋体" w:hint="default"/>
                            <w:sz w:val="18"/>
                            <w:szCs w:val="18"/>
                          </w:rPr>
                          <w:t>《证券日报</w:t>
                        </w:r>
                        <w:r>
                          <w:rPr>
                            <w:rFonts w:ascii="宋体" w:hAnsi="宋体" w:cs="宋体" w:eastAsia="宋体" w:hint="default"/>
                            <w:spacing w:val="-9"/>
                            <w:sz w:val="18"/>
                            <w:szCs w:val="18"/>
                          </w:rPr>
                          <w:t>》和</w:t>
                        </w:r>
                        <w:r>
                          <w:rPr>
                            <w:rFonts w:ascii="宋体" w:hAnsi="宋体" w:cs="宋体" w:eastAsia="宋体" w:hint="default"/>
                            <w:sz w:val="18"/>
                            <w:szCs w:val="18"/>
                          </w:rPr>
                          <w:t>《香港商报</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；境外：</w:t>
                        </w:r>
                        <w:hyperlink r:id="rId13">
                          <w:r>
                            <w:rPr>
                              <w:rFonts w:ascii="Times New Roman" w:hAnsi="Times New Roman" w:cs="Times New Roman" w:eastAsia="Times New Roman" w:hint="default"/>
                              <w:sz w:val="18"/>
                              <w:szCs w:val="18"/>
                            </w:rPr>
                            <w:t>http://www.hkex.com.hk</w:t>
                          </w:r>
                        </w:hyperlink>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公司证券与投资管理部</w:t>
                        </w:r>
                      </w:p>
                    </w:tc>
                  </w:tr>
                </w:tbl>
                <w:p>
                  <w:pPr/>
                </w:p>
              </w:txbxContent>
            </v:textbox>
            <w10:wrap type="none"/>
          </v:shape>
        </w:pict>
      </w:r>
      <w:r>
        <w:rPr/>
        <w:t>》</w:t>
      </w:r>
    </w:p>
    <w:p>
      <w:pPr>
        <w:spacing w:after="0" w:line="240" w:lineRule="auto"/>
        <w:jc w:val="righ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147"/>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1592"/>
        <w:gridCol w:w="1615"/>
        <w:gridCol w:w="2400"/>
        <w:gridCol w:w="1415"/>
        <w:gridCol w:w="1453"/>
        <w:gridCol w:w="1206"/>
      </w:tblGrid>
      <w:tr>
        <w:trPr>
          <w:trHeight w:val="160" w:hRule="exact"/>
        </w:trPr>
        <w:tc>
          <w:tcPr>
            <w:tcW w:w="1592"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企业法人营业执 照注册号</w:t>
            </w:r>
          </w:p>
        </w:tc>
        <w:tc>
          <w:tcPr>
            <w:tcW w:w="1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3" w:hRule="exact"/>
        </w:trPr>
        <w:tc>
          <w:tcPr>
            <w:tcW w:w="1592" w:type="dxa"/>
            <w:tcBorders>
              <w:top w:val="nil" w:sz="6" w:space="0" w:color="auto"/>
              <w:left w:val="single" w:sz="4" w:space="0" w:color="000000"/>
              <w:bottom w:val="nil" w:sz="6" w:space="0" w:color="auto"/>
              <w:right w:val="single" w:sz="4" w:space="0" w:color="000000"/>
            </w:tcBorders>
            <w:shd w:val="clear" w:color="auto" w:fill="D3D3D3"/>
          </w:tcPr>
          <w:p>
            <w:pPr/>
          </w:p>
        </w:tc>
        <w:tc>
          <w:tcPr>
            <w:tcW w:w="16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24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655"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415" w:type="dxa"/>
            <w:vMerge/>
            <w:tcBorders>
              <w:left w:val="single" w:sz="4" w:space="0" w:color="000000"/>
              <w:right w:val="single" w:sz="4" w:space="0" w:color="000000"/>
            </w:tcBorders>
            <w:shd w:val="clear" w:color="auto" w:fill="D3D3D3"/>
          </w:tcPr>
          <w:p>
            <w:pPr/>
          </w:p>
        </w:tc>
        <w:tc>
          <w:tcPr>
            <w:tcW w:w="1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20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2"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5" w:type="dxa"/>
            <w:vMerge/>
            <w:tcBorders>
              <w:left w:val="single" w:sz="4" w:space="0" w:color="000000"/>
              <w:bottom w:val="single" w:sz="4" w:space="0" w:color="000000"/>
              <w:right w:val="single" w:sz="4" w:space="0" w:color="000000"/>
            </w:tcBorders>
            <w:shd w:val="clear" w:color="auto" w:fill="D3D3D3"/>
          </w:tcPr>
          <w:p>
            <w:pPr/>
          </w:p>
        </w:tc>
        <w:tc>
          <w:tcPr>
            <w:tcW w:w="1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61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山东省寿光市圣城街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16568230-2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370783613588986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61358898-6</w:t>
            </w:r>
          </w:p>
        </w:tc>
      </w:tr>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61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山东省寿光市圣城街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370000400001170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370783613588986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61358898-6</w:t>
            </w:r>
          </w:p>
        </w:tc>
      </w:tr>
      <w:tr>
        <w:trPr>
          <w:trHeight w:val="402" w:hRule="exact"/>
        </w:trPr>
        <w:tc>
          <w:tcPr>
            <w:tcW w:w="320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tc>
        <w:tc>
          <w:tcPr>
            <w:tcW w:w="6475" w:type="dxa"/>
            <w:gridSpan w:val="4"/>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20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tc>
        <w:tc>
          <w:tcPr>
            <w:tcW w:w="6475" w:type="dxa"/>
            <w:gridSpan w:val="4"/>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详见本报告第十二节第三部分、公司基本情况。</w:t>
            </w:r>
          </w:p>
        </w:tc>
      </w:tr>
    </w:tbl>
    <w:p>
      <w:pPr>
        <w:spacing w:line="240" w:lineRule="auto" w:before="2"/>
        <w:rPr>
          <w:rFonts w:ascii="宋体" w:hAnsi="宋体" w:cs="宋体" w:eastAsia="宋体" w:hint="default"/>
          <w:b/>
          <w:bCs/>
          <w:sz w:val="18"/>
          <w:szCs w:val="18"/>
        </w:rPr>
      </w:pPr>
    </w:p>
    <w:p>
      <w:pPr>
        <w:pStyle w:val="Heading2"/>
        <w:spacing w:line="240" w:lineRule="auto" w:before="26"/>
        <w:ind w:right="147"/>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696"/>
        <w:gridCol w:w="6997"/>
      </w:tblGrid>
      <w:tr>
        <w:trPr>
          <w:trHeight w:val="402" w:hRule="exact"/>
        </w:trPr>
        <w:tc>
          <w:tcPr>
            <w:tcW w:w="2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号国际企业大厦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王传顺、景传轩</w:t>
            </w:r>
          </w:p>
        </w:tc>
      </w:tr>
    </w:tbl>
    <w:p>
      <w:pPr>
        <w:pStyle w:val="BodyText"/>
        <w:spacing w:line="240" w:lineRule="auto" w:before="51"/>
        <w:ind w:right="147"/>
        <w:jc w:val="left"/>
      </w:pPr>
      <w:r>
        <w:rPr/>
        <w:t>公司聘请的报告期内履行持续督导职责的保荐机构</w:t>
      </w:r>
    </w:p>
    <w:p>
      <w:pPr>
        <w:pStyle w:val="BodyText"/>
        <w:spacing w:line="338" w:lineRule="auto" w:before="117"/>
        <w:ind w:right="581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147"/>
        <w:jc w:val="left"/>
        <w:rPr>
          <w:b w:val="0"/>
          <w:bCs w:val="0"/>
        </w:rPr>
      </w:pPr>
      <w:bookmarkStart w:name="_bookmark2" w:id="3"/>
      <w:bookmarkEnd w:id="3"/>
      <w:r>
        <w:rPr>
          <w:b w:val="0"/>
          <w:bCs w:val="0"/>
        </w:rPr>
      </w:r>
      <w:r>
        <w:rPr/>
        <w:t>第三节</w:t>
      </w:r>
      <w:r>
        <w:rPr>
          <w:spacing w:val="-11"/>
        </w:rPr>
        <w:t> </w:t>
      </w:r>
      <w:r>
        <w:rPr/>
        <w:t>会计数据和财务指标摘要</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47"/>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r>
        <w:rPr/>
        <w:t>公司是否因会计政策变更及会计差错更正等追溯调整或重述以前年度会计数据</w:t>
      </w:r>
    </w:p>
    <w:p>
      <w:pPr>
        <w:pStyle w:val="BodyText"/>
        <w:spacing w:line="240" w:lineRule="auto" w:before="117"/>
        <w:ind w:right="14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3065"/>
        <w:gridCol w:w="1664"/>
        <w:gridCol w:w="1651"/>
        <w:gridCol w:w="1735"/>
        <w:gridCol w:w="1567"/>
      </w:tblGrid>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19,101,677,077.69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20,388,890,067.41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19,761,679,230.05</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505,204,384.73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710,655,331.72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221,034,822.54</w:t>
            </w:r>
          </w:p>
        </w:tc>
      </w:tr>
      <w:tr>
        <w:trPr>
          <w:trHeight w:val="714"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6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130,445,644.83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406,170,148.25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-67.88%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-159,777,900.37</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985,399,735.85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1,122,616,800.91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1,956,866,477.99</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56,822,026,545.21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47,521,883,569.18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47,725,421,927.39</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13,917,343,301.15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14,039,888,226.11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13,759,496,179.85</w:t>
            </w:r>
          </w:p>
        </w:tc>
      </w:tr>
    </w:tbl>
    <w:p>
      <w:pPr>
        <w:spacing w:line="240" w:lineRule="auto" w:before="2"/>
        <w:rPr>
          <w:rFonts w:ascii="宋体" w:hAnsi="宋体" w:cs="宋体" w:eastAsia="宋体" w:hint="default"/>
          <w:sz w:val="18"/>
          <w:szCs w:val="18"/>
        </w:rPr>
      </w:pPr>
    </w:p>
    <w:p>
      <w:pPr>
        <w:pStyle w:val="Heading2"/>
        <w:spacing w:line="240" w:lineRule="auto" w:before="26"/>
        <w:ind w:right="147"/>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2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right="147"/>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67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47"/>
        <w:jc w:val="left"/>
        <w:rPr>
          <w:b w:val="0"/>
          <w:bCs w:val="0"/>
        </w:rPr>
      </w:pPr>
      <w:r>
        <w:rPr/>
        <w:t>三、</w:t>
      </w:r>
      <w:r>
        <w:rPr>
          <w:spacing w:val="-20"/>
        </w:rPr>
        <w:t> </w:t>
      </w:r>
      <w:r>
        <w:rPr/>
        <w:t>根据香港财务报告准则编制的近五年财务概要</w:t>
      </w:r>
      <w:r>
        <w:rPr>
          <w:b w:val="0"/>
          <w:bCs w:val="0"/>
        </w:rPr>
      </w:r>
    </w:p>
    <w:p>
      <w:pPr>
        <w:spacing w:line="240" w:lineRule="auto" w:before="6"/>
        <w:rPr>
          <w:rFonts w:ascii="宋体" w:hAnsi="宋体" w:cs="宋体" w:eastAsia="宋体" w:hint="default"/>
          <w:b/>
          <w:bCs/>
          <w:sz w:val="25"/>
          <w:szCs w:val="25"/>
        </w:rPr>
      </w:pPr>
    </w:p>
    <w:p>
      <w:pPr>
        <w:tabs>
          <w:tab w:pos="8791" w:val="left" w:leader="none"/>
        </w:tabs>
        <w:spacing w:before="0"/>
        <w:ind w:left="5227" w:right="0" w:firstLine="0"/>
        <w:jc w:val="left"/>
        <w:rPr>
          <w:rFonts w:ascii="宋体" w:hAnsi="宋体" w:cs="宋体" w:eastAsia="宋体" w:hint="default"/>
          <w:sz w:val="20"/>
          <w:szCs w:val="20"/>
        </w:rPr>
      </w:pPr>
      <w:r>
        <w:rPr>
          <w:rFonts w:ascii="宋体" w:hAnsi="宋体" w:cs="宋体" w:eastAsia="宋体" w:hint="default"/>
          <w:spacing w:val="-1"/>
          <w:sz w:val="20"/>
          <w:szCs w:val="20"/>
        </w:rPr>
        <w:t>截至</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31</w:t>
      </w:r>
      <w:r>
        <w:rPr>
          <w:rFonts w:ascii="宋体" w:hAnsi="宋体" w:cs="宋体" w:eastAsia="宋体" w:hint="default"/>
          <w:spacing w:val="-1"/>
          <w:sz w:val="20"/>
          <w:szCs w:val="20"/>
        </w:rPr>
        <w:t>日止年度</w:t>
        <w:tab/>
        <w:t>单位：万元</w:t>
      </w:r>
    </w:p>
    <w:p>
      <w:pPr>
        <w:spacing w:line="240" w:lineRule="auto" w:before="7"/>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2662"/>
        <w:gridCol w:w="1166"/>
        <w:gridCol w:w="1165"/>
        <w:gridCol w:w="1166"/>
        <w:gridCol w:w="1166"/>
        <w:gridCol w:w="1165"/>
        <w:gridCol w:w="1166"/>
      </w:tblGrid>
      <w:tr>
        <w:trPr>
          <w:trHeight w:val="342" w:hRule="exact"/>
        </w:trPr>
        <w:tc>
          <w:tcPr>
            <w:tcW w:w="2662" w:type="dxa"/>
            <w:tcBorders>
              <w:top w:val="single" w:sz="6" w:space="0" w:color="000000"/>
              <w:left w:val="single" w:sz="6" w:space="0" w:color="000000"/>
              <w:bottom w:val="single" w:sz="6" w:space="0" w:color="000000"/>
              <w:right w:val="single" w:sz="6" w:space="0" w:color="000000"/>
            </w:tcBorders>
            <w:shd w:val="clear" w:color="auto" w:fill="C0C0C0"/>
          </w:tcPr>
          <w:p>
            <w:pPr/>
          </w:p>
        </w:tc>
        <w:tc>
          <w:tcPr>
            <w:tcW w:w="116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
              <w:ind w:left="3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16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16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
              <w:ind w:left="3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16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16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p>
        </w:tc>
        <w:tc>
          <w:tcPr>
            <w:tcW w:w="116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
              <w:ind w:left="3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p>
        </w:tc>
      </w:tr>
      <w:tr>
        <w:trPr>
          <w:trHeight w:val="346" w:hRule="exact"/>
        </w:trPr>
        <w:tc>
          <w:tcPr>
            <w:tcW w:w="266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营业额</w:t>
            </w:r>
          </w:p>
        </w:tc>
        <w:tc>
          <w:tcPr>
            <w:tcW w:w="1166" w:type="dxa"/>
            <w:tcBorders>
              <w:top w:val="single" w:sz="9" w:space="0" w:color="000000"/>
              <w:left w:val="single" w:sz="7"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1,910,168</w:t>
            </w:r>
          </w:p>
        </w:tc>
        <w:tc>
          <w:tcPr>
            <w:tcW w:w="1165"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2,038,889</w:t>
            </w:r>
          </w:p>
        </w:tc>
        <w:tc>
          <w:tcPr>
            <w:tcW w:w="1166"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1,976,168</w:t>
            </w:r>
          </w:p>
        </w:tc>
        <w:tc>
          <w:tcPr>
            <w:tcW w:w="1166"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1,774,749</w:t>
            </w:r>
          </w:p>
        </w:tc>
        <w:tc>
          <w:tcPr>
            <w:tcW w:w="1165"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1,720,312</w:t>
            </w:r>
          </w:p>
        </w:tc>
        <w:tc>
          <w:tcPr>
            <w:tcW w:w="1166"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1,481,525</w:t>
            </w:r>
          </w:p>
        </w:tc>
      </w:tr>
      <w:tr>
        <w:trPr>
          <w:trHeight w:val="347" w:hRule="exact"/>
        </w:trPr>
        <w:tc>
          <w:tcPr>
            <w:tcW w:w="266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除税前盈利</w:t>
            </w:r>
          </w:p>
        </w:tc>
        <w:tc>
          <w:tcPr>
            <w:tcW w:w="1166"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56,101</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86,629</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-1,614</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69,899</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156,235</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120,838</w:t>
            </w:r>
          </w:p>
        </w:tc>
      </w:tr>
      <w:tr>
        <w:trPr>
          <w:trHeight w:val="348" w:hRule="exact"/>
        </w:trPr>
        <w:tc>
          <w:tcPr>
            <w:tcW w:w="266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税项</w:t>
            </w:r>
          </w:p>
        </w:tc>
        <w:tc>
          <w:tcPr>
            <w:tcW w:w="1166"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10,770</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17,594</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-6,283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11,026</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26,070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21,901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2663"/>
        <w:gridCol w:w="1165"/>
        <w:gridCol w:w="1165"/>
        <w:gridCol w:w="1166"/>
        <w:gridCol w:w="1166"/>
        <w:gridCol w:w="1165"/>
        <w:gridCol w:w="1166"/>
      </w:tblGrid>
      <w:tr>
        <w:trPr>
          <w:trHeight w:val="347" w:hRule="exact"/>
        </w:trPr>
        <w:tc>
          <w:tcPr>
            <w:tcW w:w="266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归属于母公司股东的当期利润</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50,520</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71,066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22,103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60,827</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116,334</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86,295</w:t>
            </w:r>
          </w:p>
        </w:tc>
      </w:tr>
      <w:tr>
        <w:trPr>
          <w:trHeight w:val="347" w:hRule="exact"/>
        </w:trPr>
        <w:tc>
          <w:tcPr>
            <w:tcW w:w="266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-5,190</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-2,030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-17,435</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-1,954</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13,832</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12,643</w:t>
            </w:r>
          </w:p>
        </w:tc>
      </w:tr>
      <w:tr>
        <w:trPr>
          <w:trHeight w:val="347" w:hRule="exact"/>
        </w:trPr>
        <w:tc>
          <w:tcPr>
            <w:tcW w:w="266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z w:val="18"/>
              </w:rPr>
              <w:t>0.26</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0.35</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0.11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0.29</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0.56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0.41</w:t>
            </w:r>
          </w:p>
        </w:tc>
      </w:tr>
      <w:tr>
        <w:trPr>
          <w:trHeight w:val="348" w:hRule="exact"/>
        </w:trPr>
        <w:tc>
          <w:tcPr>
            <w:tcW w:w="266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3.62%</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5.11%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4.50%</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8.59%</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6.63%</w:t>
            </w:r>
          </w:p>
        </w:tc>
      </w:tr>
    </w:tbl>
    <w:p>
      <w:pPr>
        <w:tabs>
          <w:tab w:pos="8791" w:val="left" w:leader="none"/>
        </w:tabs>
        <w:spacing w:before="35"/>
        <w:ind w:left="5227" w:right="0" w:firstLine="0"/>
        <w:jc w:val="left"/>
        <w:rPr>
          <w:rFonts w:ascii="宋体" w:hAnsi="宋体" w:cs="宋体" w:eastAsia="宋体" w:hint="default"/>
          <w:sz w:val="20"/>
          <w:szCs w:val="20"/>
        </w:rPr>
      </w:pPr>
      <w:r>
        <w:rPr>
          <w:rFonts w:ascii="宋体" w:hAnsi="宋体" w:cs="宋体" w:eastAsia="宋体" w:hint="default"/>
          <w:spacing w:val="-1"/>
          <w:sz w:val="20"/>
          <w:szCs w:val="20"/>
        </w:rPr>
        <w:t>截至</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31</w:t>
      </w:r>
      <w:r>
        <w:rPr>
          <w:rFonts w:ascii="宋体" w:hAnsi="宋体" w:cs="宋体" w:eastAsia="宋体" w:hint="default"/>
          <w:spacing w:val="-1"/>
          <w:sz w:val="20"/>
          <w:szCs w:val="20"/>
        </w:rPr>
        <w:t>日止年度</w:t>
        <w:tab/>
        <w:t>单位：万元</w:t>
      </w:r>
    </w:p>
    <w:p>
      <w:pPr>
        <w:spacing w:line="240" w:lineRule="auto" w:before="7"/>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2393"/>
        <w:gridCol w:w="1210"/>
        <w:gridCol w:w="1211"/>
        <w:gridCol w:w="1211"/>
        <w:gridCol w:w="1211"/>
        <w:gridCol w:w="1211"/>
        <w:gridCol w:w="1211"/>
      </w:tblGrid>
      <w:tr>
        <w:trPr>
          <w:trHeight w:val="342" w:hRule="exact"/>
        </w:trPr>
        <w:tc>
          <w:tcPr>
            <w:tcW w:w="2393" w:type="dxa"/>
            <w:tcBorders>
              <w:top w:val="single" w:sz="6" w:space="0" w:color="000000"/>
              <w:left w:val="single" w:sz="6" w:space="0" w:color="000000"/>
              <w:bottom w:val="single" w:sz="6" w:space="0" w:color="000000"/>
              <w:right w:val="single" w:sz="6" w:space="0" w:color="000000"/>
            </w:tcBorders>
            <w:shd w:val="clear" w:color="auto" w:fill="C0C0C0"/>
          </w:tcPr>
          <w:p>
            <w:pPr/>
          </w:p>
        </w:tc>
        <w:tc>
          <w:tcPr>
            <w:tcW w:w="121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2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3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2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2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2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3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p>
        </w:tc>
        <w:tc>
          <w:tcPr>
            <w:tcW w:w="12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3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p>
        </w:tc>
      </w:tr>
      <w:tr>
        <w:trPr>
          <w:trHeight w:val="346" w:hRule="exact"/>
        </w:trPr>
        <w:tc>
          <w:tcPr>
            <w:tcW w:w="239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10"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5,682,203</w:t>
            </w:r>
          </w:p>
        </w:tc>
        <w:tc>
          <w:tcPr>
            <w:tcW w:w="121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4,752,188</w:t>
            </w:r>
          </w:p>
        </w:tc>
        <w:tc>
          <w:tcPr>
            <w:tcW w:w="121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4,772,542</w:t>
            </w:r>
          </w:p>
        </w:tc>
        <w:tc>
          <w:tcPr>
            <w:tcW w:w="121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4,563,083</w:t>
            </w:r>
          </w:p>
        </w:tc>
        <w:tc>
          <w:tcPr>
            <w:tcW w:w="121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3,507,713</w:t>
            </w:r>
          </w:p>
        </w:tc>
        <w:tc>
          <w:tcPr>
            <w:tcW w:w="121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2,812,613</w:t>
            </w:r>
          </w:p>
        </w:tc>
      </w:tr>
      <w:tr>
        <w:trPr>
          <w:trHeight w:val="347" w:hRule="exact"/>
        </w:trPr>
        <w:tc>
          <w:tcPr>
            <w:tcW w:w="239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总负债</w:t>
            </w:r>
          </w:p>
        </w:tc>
        <w:tc>
          <w:tcPr>
            <w:tcW w:w="1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4,247,396</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3,288,353</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3,338,000</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3,064,305</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1,981,693</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1,371,842</w:t>
            </w:r>
          </w:p>
        </w:tc>
      </w:tr>
      <w:tr>
        <w:trPr>
          <w:trHeight w:val="347" w:hRule="exact"/>
        </w:trPr>
        <w:tc>
          <w:tcPr>
            <w:tcW w:w="239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43,073</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59,847</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58,592</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145,915</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172,441</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173,570</w:t>
            </w:r>
          </w:p>
        </w:tc>
      </w:tr>
      <w:tr>
        <w:trPr>
          <w:trHeight w:val="348" w:hRule="exact"/>
        </w:trPr>
        <w:tc>
          <w:tcPr>
            <w:tcW w:w="239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1,391,734</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1,403,989</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1,375,950</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1,352,862</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1,353,579</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1,267,202</w:t>
            </w:r>
          </w:p>
        </w:tc>
      </w:tr>
      <w:tr>
        <w:trPr>
          <w:trHeight w:val="347" w:hRule="exact"/>
        </w:trPr>
        <w:tc>
          <w:tcPr>
            <w:tcW w:w="239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流动资产净值（负债净额）</w:t>
            </w:r>
          </w:p>
        </w:tc>
        <w:tc>
          <w:tcPr>
            <w:tcW w:w="1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-452,549</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-106,347</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24,638</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-268,280</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-107,760</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347,612</w:t>
            </w:r>
          </w:p>
        </w:tc>
      </w:tr>
      <w:tr>
        <w:trPr>
          <w:trHeight w:val="347" w:hRule="exact"/>
        </w:trPr>
        <w:tc>
          <w:tcPr>
            <w:tcW w:w="239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总资产减流动负债</w:t>
            </w:r>
          </w:p>
        </w:tc>
        <w:tc>
          <w:tcPr>
            <w:tcW w:w="1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2,872,637</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2,823,321</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2,775,419</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2,571,188</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2,241,506</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2,106,131</w:t>
            </w:r>
          </w:p>
        </w:tc>
      </w:tr>
    </w:tbl>
    <w:p>
      <w:pPr>
        <w:spacing w:line="240" w:lineRule="auto" w:before="2"/>
        <w:rPr>
          <w:rFonts w:ascii="宋体" w:hAnsi="宋体" w:cs="宋体" w:eastAsia="宋体" w:hint="default"/>
          <w:sz w:val="18"/>
          <w:szCs w:val="18"/>
        </w:rPr>
      </w:pPr>
    </w:p>
    <w:p>
      <w:pPr>
        <w:pStyle w:val="Heading2"/>
        <w:spacing w:line="240" w:lineRule="auto" w:before="26"/>
        <w:ind w:right="147"/>
        <w:jc w:val="left"/>
        <w:rPr>
          <w:b w:val="0"/>
          <w:bCs w:val="0"/>
        </w:rPr>
      </w:pPr>
      <w:r>
        <w:rPr/>
        <w:t>四、非经常性损益项目及金额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7"/>
        <w:jc w:val="left"/>
      </w:pPr>
      <w:r>
        <w:rPr/>
        <w:t>√ 适用 □ 不适用</w:t>
      </w:r>
    </w:p>
    <w:p>
      <w:pPr>
        <w:pStyle w:val="BodyText"/>
        <w:spacing w:line="240" w:lineRule="auto" w:before="116"/>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17"/>
        <w:gridCol w:w="1272"/>
        <w:gridCol w:w="1260"/>
        <w:gridCol w:w="1260"/>
        <w:gridCol w:w="748"/>
      </w:tblGrid>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65,276,190.37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-6,367,477.99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26,092,788.22</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w:t>
            </w:r>
            <w:r>
              <w:rPr>
                <w:rFonts w:ascii="宋体" w:hAnsi="宋体" w:cs="宋体" w:eastAsia="宋体" w:hint="default"/>
                <w:sz w:val="18"/>
                <w:szCs w:val="18"/>
              </w:rPr>
              <w:t> 标准定额或定量享受的政府补助除外）</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260,000,612.10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174,947,619.19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235,157,521.57</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82,833,581.81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企业取得子公司、联营企业及合营企业的投资成本小于取得投资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时应享有被投资单位可辨认净资产公允价值产生的收益</w:t>
            </w:r>
          </w:p>
        </w:tc>
        <w:tc>
          <w:tcPr>
            <w:tcW w:w="1272" w:type="dxa"/>
            <w:tcBorders>
              <w:top w:val="single" w:sz="4" w:space="0" w:color="000000"/>
              <w:left w:val="single" w:sz="10" w:space="0" w:color="D3D3D3"/>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2,408,368.37</w:t>
            </w:r>
          </w:p>
        </w:tc>
        <w:tc>
          <w:tcPr>
            <w:tcW w:w="1260"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33"/>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采用公允价值模式进行后续计量的消耗性生物资产公允价值变 动产生的损益</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6,856,815.32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11,221,828.76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47,882,076.87</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1,725,797.17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268,577.19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941,444.43</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49,781,358.66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299,225,913.46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114,342,091.81</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81,221,136.75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98,299,197.38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40,604,179.01</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10,494,478.78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78,920,448.13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2,999,020.98</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374,758,739.90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304,485,183.47</w:t>
            </w:r>
          </w:p>
        </w:tc>
        <w:tc>
          <w:tcPr>
            <w:tcW w:w="126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380,812,722.91</w:t>
            </w:r>
          </w:p>
        </w:tc>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7"/>
        </w:rPr>
        <w:t>号——非经常性损益》定义界定的非经常性损益项目，以及把《公</w:t>
      </w:r>
      <w:r>
        <w:rPr/>
      </w:r>
    </w:p>
    <w:p>
      <w:pPr>
        <w:pStyle w:val="BodyText"/>
        <w:spacing w:line="302" w:lineRule="auto" w:before="61"/>
        <w:ind w:right="138" w:hanging="1"/>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69"/>
        <w:ind w:right="147"/>
        <w:jc w:val="left"/>
      </w:pPr>
      <w:r>
        <w:rPr/>
        <w:t>□ 适用 √ 不适用</w:t>
      </w:r>
    </w:p>
    <w:p>
      <w:pPr>
        <w:pStyle w:val="BodyText"/>
        <w:spacing w:line="300" w:lineRule="auto" w:before="116"/>
        <w:ind w:right="13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627"/>
        <w:jc w:val="center"/>
        <w:rPr>
          <w:b w:val="0"/>
          <w:bCs w:val="0"/>
        </w:rPr>
      </w:pPr>
      <w:bookmarkStart w:name="_bookmark3" w:id="4"/>
      <w:bookmarkEnd w:id="4"/>
      <w:r>
        <w:rPr>
          <w:b w:val="0"/>
          <w:bCs w:val="0"/>
        </w:rPr>
      </w:r>
      <w:r>
        <w:rPr/>
        <w:t>第四节</w:t>
      </w:r>
      <w:r>
        <w:rPr>
          <w:spacing w:val="-6"/>
        </w:rPr>
        <w:t> </w:t>
      </w:r>
      <w:r>
        <w:rPr/>
        <w:t>董事长报告</w:t>
      </w:r>
      <w:r>
        <w:rPr>
          <w:b w:val="0"/>
          <w:bCs w:val="0"/>
        </w:rPr>
      </w:r>
    </w:p>
    <w:p>
      <w:pPr>
        <w:spacing w:line="240" w:lineRule="auto" w:before="8"/>
        <w:rPr>
          <w:rFonts w:ascii="宋体" w:hAnsi="宋体" w:cs="宋体" w:eastAsia="宋体" w:hint="default"/>
          <w:b/>
          <w:bCs/>
          <w:sz w:val="42"/>
          <w:szCs w:val="42"/>
        </w:rPr>
      </w:pPr>
    </w:p>
    <w:p>
      <w:pPr>
        <w:pStyle w:val="BodyText"/>
        <w:spacing w:line="240" w:lineRule="auto"/>
        <w:ind w:right="182"/>
        <w:jc w:val="left"/>
      </w:pPr>
      <w:r>
        <w:rPr/>
        <w:t>尊敬的各位股东：</w:t>
      </w:r>
    </w:p>
    <w:p>
      <w:pPr>
        <w:pStyle w:val="BodyText"/>
        <w:spacing w:line="302" w:lineRule="auto" w:before="115"/>
        <w:ind w:left="153" w:right="182" w:firstLine="360"/>
        <w:jc w:val="left"/>
      </w:pPr>
      <w:r>
        <w:rPr/>
        <w:t>本人向各位股东欣然提呈本公司截至</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日之财政年度报告，并谨此代表董事会向各位股东对本公司的关 心和支持表示诚挚的谢意。</w:t>
      </w:r>
    </w:p>
    <w:p>
      <w:pPr>
        <w:pStyle w:val="BodyText"/>
        <w:spacing w:line="316" w:lineRule="auto" w:before="69"/>
        <w:ind w:left="153" w:right="91" w:firstLine="360"/>
        <w:jc w:val="left"/>
      </w:pPr>
      <w:r>
        <w:rPr/>
        <w:t>报告期内，一方面受宏观经济增速趋缓影响，造纸行业需求持续偏弱；另一方面造纸行业过去几年新增产能集中释放， 致使当前产能阶段性饱和与过剩，行业竞争异常激烈，造纸行业盈利处于较低水平，公司经营面临的困难前所未有。</w:t>
      </w:r>
    </w:p>
    <w:p>
      <w:pPr>
        <w:pStyle w:val="BodyText"/>
        <w:spacing w:line="312" w:lineRule="auto" w:before="18"/>
        <w:ind w:left="153" w:right="188" w:firstLine="360"/>
        <w:jc w:val="both"/>
      </w:pPr>
      <w:r>
        <w:rPr>
          <w:spacing w:val="-2"/>
        </w:rPr>
        <w:t>同时，</w:t>
      </w:r>
      <w:r>
        <w:rPr>
          <w:rFonts w:ascii="Times New Roman" w:hAnsi="Times New Roman" w:cs="Times New Roman" w:eastAsia="Times New Roman" w:hint="default"/>
          <w:spacing w:val="-2"/>
        </w:rPr>
        <w:t>2014</w:t>
      </w:r>
      <w:r>
        <w:rPr>
          <w:spacing w:val="-2"/>
        </w:rPr>
        <w:t>年对于造纸行业来说，也是改革创新的关键年，我国造纸行业正进入转型升级发展的新阶段。淘汰落后产能</w:t>
      </w:r>
      <w:r>
        <w:rPr/>
        <w:t> </w:t>
      </w:r>
      <w:r>
        <w:rPr>
          <w:spacing w:val="-2"/>
        </w:rPr>
        <w:t>和日趋严格的环保政策迫使部分中小企业退出市场，从而在一定程度上缓解了新增产能对行业供给造成的压力，有利于提升</w:t>
      </w:r>
      <w:r>
        <w:rPr>
          <w:spacing w:val="-64"/>
        </w:rPr>
        <w:t> </w:t>
      </w:r>
      <w:r>
        <w:rPr>
          <w:spacing w:val="-64"/>
        </w:rPr>
      </w:r>
      <w:r>
        <w:rPr>
          <w:spacing w:val="-2"/>
        </w:rPr>
        <w:t>行业集中度，促进大型纸业的健康、长远发展。同时，受宏观经济影响，原材料价格在低位振荡，缓解了企业的经营成本压</w:t>
      </w:r>
      <w:r>
        <w:rPr>
          <w:spacing w:val="-67"/>
        </w:rPr>
        <w:t> </w:t>
      </w:r>
      <w:r>
        <w:rPr>
          <w:spacing w:val="-67"/>
        </w:rPr>
      </w:r>
      <w:r>
        <w:rPr/>
        <w:t>力。</w:t>
      </w:r>
    </w:p>
    <w:p>
      <w:pPr>
        <w:pStyle w:val="BodyText"/>
        <w:spacing w:line="316" w:lineRule="auto" w:before="63"/>
        <w:ind w:left="153" w:right="188" w:firstLine="352"/>
        <w:jc w:val="both"/>
      </w:pPr>
      <w:r>
        <w:rPr>
          <w:color w:val="2A2A2A"/>
          <w:spacing w:val="-2"/>
        </w:rPr>
        <w:t>本报告期，公司明确提出“打造团队、严细管理、业务精湛、创出佳绩”的年度工作方针，并强化执行力，狠抓工作落</w:t>
      </w:r>
      <w:r>
        <w:rPr>
          <w:color w:val="2A2A2A"/>
        </w:rPr>
        <w:t> </w:t>
      </w:r>
      <w:r>
        <w:rPr>
          <w:color w:val="2A2A2A"/>
          <w:spacing w:val="-2"/>
        </w:rPr>
        <w:t>实。公司以市场为导向，不断调整产品结构，加大高附加值、高档次产品的生产比例，向“高端定位，生产一流产品”的思</w:t>
      </w:r>
      <w:r>
        <w:rPr>
          <w:color w:val="2A2A2A"/>
          <w:spacing w:val="-68"/>
        </w:rPr>
        <w:t> </w:t>
      </w:r>
      <w:r>
        <w:rPr>
          <w:color w:val="2A2A2A"/>
          <w:spacing w:val="-68"/>
        </w:rPr>
      </w:r>
      <w:r>
        <w:rPr>
          <w:color w:val="2A2A2A"/>
          <w:spacing w:val="-2"/>
        </w:rPr>
        <w:t>想转变。全年完成产品结构调整30余项，热敏纸、格拉辛纸、环保书写纸等一系列新产品成功推向市场，赢得了良好的社会</w:t>
      </w:r>
      <w:r>
        <w:rPr>
          <w:color w:val="2A2A2A"/>
          <w:spacing w:val="-64"/>
        </w:rPr>
        <w:t> </w:t>
      </w:r>
      <w:r>
        <w:rPr>
          <w:color w:val="2A2A2A"/>
          <w:spacing w:val="-64"/>
        </w:rPr>
      </w:r>
      <w:r>
        <w:rPr>
          <w:color w:val="2A2A2A"/>
        </w:rPr>
        <w:t>品牌效应。</w:t>
      </w:r>
      <w:r>
        <w:rPr/>
      </w:r>
    </w:p>
    <w:p>
      <w:pPr>
        <w:pStyle w:val="BodyText"/>
        <w:spacing w:line="307" w:lineRule="auto" w:before="57"/>
        <w:ind w:left="153" w:right="91" w:firstLine="360"/>
        <w:jc w:val="left"/>
      </w:pPr>
      <w:r>
        <w:rPr>
          <w:spacing w:val="-4"/>
        </w:rPr>
        <w:t>报告期内，公司通过抓好节点管控与考核，严格质量与成本控制，确保了寿光晨鸣热敏纸改造、武汉晨鸣格拉辛纸改造、</w:t>
      </w:r>
      <w:r>
        <w:rPr/>
        <w:t> 湛江晨鸣</w:t>
      </w:r>
      <w:r>
        <w:rPr>
          <w:spacing w:val="-41"/>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万吨纸杯原纸和寿光晨鸣铁路支线等项目按时竣工投产、运行，在公司调整结构、降低成本、提高效益等方面 发挥了重要作用，随着热敏纸、格拉辛纸、</w:t>
      </w:r>
      <w:r>
        <w:rPr>
          <w:rFonts w:ascii="Times New Roman" w:hAnsi="Times New Roman" w:cs="Times New Roman" w:eastAsia="Times New Roman" w:hint="default"/>
        </w:rPr>
        <w:t>“</w:t>
      </w:r>
      <w:r>
        <w:rPr/>
        <w:t>森爱之心</w:t>
      </w:r>
      <w:r>
        <w:rPr>
          <w:rFonts w:ascii="Times New Roman" w:hAnsi="Times New Roman" w:cs="Times New Roman" w:eastAsia="Times New Roman" w:hint="default"/>
        </w:rPr>
        <w:t>”</w:t>
      </w:r>
      <w:r>
        <w:rPr/>
        <w:t>生活用纸等系列产品相继推向市场，公司主动应对市场的能力进一步 增强。</w:t>
      </w:r>
    </w:p>
    <w:p>
      <w:pPr>
        <w:pStyle w:val="BodyText"/>
        <w:spacing w:line="319" w:lineRule="auto" w:before="65"/>
        <w:ind w:left="153" w:right="182" w:firstLine="360"/>
        <w:jc w:val="left"/>
      </w:pPr>
      <w:r>
        <w:rPr>
          <w:color w:val="2A2A2A"/>
          <w:spacing w:val="-2"/>
        </w:rPr>
        <w:t>报告期内，通过设立融资租赁公司、财务公司，以及参股互联网金融公司，公司金融板块初见成效，为公司开辟了新的</w:t>
      </w:r>
      <w:r>
        <w:rPr>
          <w:color w:val="2A2A2A"/>
        </w:rPr>
        <w:t> 效益增长点。</w:t>
      </w:r>
      <w:r>
        <w:rPr/>
      </w:r>
    </w:p>
    <w:p>
      <w:pPr>
        <w:pStyle w:val="BodyText"/>
        <w:spacing w:line="316" w:lineRule="auto" w:before="55"/>
        <w:ind w:left="153" w:right="91" w:firstLine="360"/>
        <w:jc w:val="left"/>
      </w:pPr>
      <w:r>
        <w:rPr>
          <w:color w:val="2A2A2A"/>
          <w:spacing w:val="-4"/>
        </w:rPr>
        <w:t>产品结构的调整为企业转型发展注入了新的活力，精细化管理的持续推进更是让企业突破发展瓶颈，释放出蓬勃的生机，</w:t>
      </w:r>
      <w:r>
        <w:rPr>
          <w:color w:val="2A2A2A"/>
        </w:rPr>
        <w:t> 多元化发展为公司增加新的利润增长点，加速推动公司向更高、更快、更强的国际一流纸企迈进。</w:t>
      </w:r>
      <w:r>
        <w:rPr/>
      </w:r>
    </w:p>
    <w:p>
      <w:pPr>
        <w:spacing w:line="240" w:lineRule="auto" w:before="10"/>
        <w:rPr>
          <w:rFonts w:ascii="宋体" w:hAnsi="宋体" w:cs="宋体" w:eastAsia="宋体" w:hint="default"/>
          <w:sz w:val="20"/>
          <w:szCs w:val="20"/>
        </w:rPr>
      </w:pPr>
    </w:p>
    <w:p>
      <w:pPr>
        <w:pStyle w:val="Heading2"/>
        <w:spacing w:line="240" w:lineRule="auto"/>
        <w:ind w:right="182"/>
        <w:jc w:val="left"/>
        <w:rPr>
          <w:b w:val="0"/>
          <w:bCs w:val="0"/>
        </w:rPr>
      </w:pPr>
      <w:r>
        <w:rPr/>
        <w:t>一、经营业绩</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1" w:firstLine="360"/>
        <w:jc w:val="left"/>
      </w:pPr>
      <w:r>
        <w:rPr/>
        <w:t>报告期内，公司完成机制纸销量</w:t>
      </w:r>
      <w:r>
        <w:rPr>
          <w:spacing w:val="-46"/>
        </w:rPr>
        <w:t> </w:t>
      </w:r>
      <w:r>
        <w:rPr>
          <w:rFonts w:ascii="Times New Roman" w:hAnsi="Times New Roman" w:cs="Times New Roman" w:eastAsia="Times New Roman" w:hint="default"/>
        </w:rPr>
        <w:t>419</w:t>
      </w:r>
      <w:r>
        <w:rPr>
          <w:rFonts w:ascii="Times New Roman" w:hAnsi="Times New Roman" w:cs="Times New Roman" w:eastAsia="Times New Roman" w:hint="default"/>
          <w:spacing w:val="-1"/>
        </w:rPr>
        <w:t> </w:t>
      </w:r>
      <w:r>
        <w:rPr/>
        <w:t>万吨，同比增长</w:t>
      </w:r>
      <w:r>
        <w:rPr>
          <w:spacing w:val="-46"/>
        </w:rPr>
        <w:t> </w:t>
      </w:r>
      <w:r>
        <w:rPr>
          <w:rFonts w:ascii="Times New Roman" w:hAnsi="Times New Roman" w:cs="Times New Roman" w:eastAsia="Times New Roman" w:hint="default"/>
        </w:rPr>
        <w:t>0.86%</w:t>
      </w:r>
      <w:r>
        <w:rPr/>
        <w:t>；公司实现营业收入人民币</w:t>
      </w:r>
      <w:r>
        <w:rPr>
          <w:spacing w:val="-46"/>
        </w:rPr>
        <w:t> </w:t>
      </w:r>
      <w:r>
        <w:rPr>
          <w:rFonts w:ascii="Times New Roman" w:hAnsi="Times New Roman" w:cs="Times New Roman" w:eastAsia="Times New Roman" w:hint="default"/>
        </w:rPr>
        <w:t>191.02</w:t>
      </w:r>
      <w:r>
        <w:rPr>
          <w:rFonts w:ascii="Times New Roman" w:hAnsi="Times New Roman" w:cs="Times New Roman" w:eastAsia="Times New Roman" w:hint="default"/>
          <w:spacing w:val="-1"/>
        </w:rPr>
        <w:t> </w:t>
      </w:r>
      <w:r>
        <w:rPr/>
        <w:t>亿元，同比降低</w:t>
      </w:r>
      <w:r>
        <w:rPr>
          <w:spacing w:val="-46"/>
        </w:rPr>
        <w:t> </w:t>
      </w:r>
      <w:r>
        <w:rPr>
          <w:rFonts w:ascii="Times New Roman" w:hAnsi="Times New Roman" w:cs="Times New Roman" w:eastAsia="Times New Roman" w:hint="default"/>
        </w:rPr>
        <w:t>6.31%</w:t>
      </w:r>
      <w:r>
        <w:rPr/>
        <w:t>； 营业成本人民币</w:t>
      </w:r>
      <w:r>
        <w:rPr>
          <w:spacing w:val="-39"/>
        </w:rPr>
        <w:t> </w:t>
      </w:r>
      <w:r>
        <w:rPr>
          <w:rFonts w:ascii="Times New Roman" w:hAnsi="Times New Roman" w:cs="Times New Roman" w:eastAsia="Times New Roman" w:hint="default"/>
        </w:rPr>
        <w:t>153.23</w:t>
      </w:r>
      <w:r>
        <w:rPr>
          <w:rFonts w:ascii="Times New Roman" w:hAnsi="Times New Roman" w:cs="Times New Roman" w:eastAsia="Times New Roman" w:hint="default"/>
          <w:spacing w:val="6"/>
        </w:rPr>
        <w:t> </w:t>
      </w:r>
      <w:r>
        <w:rPr/>
        <w:t>亿元，同比降低</w:t>
      </w:r>
      <w:r>
        <w:rPr>
          <w:spacing w:val="-39"/>
        </w:rPr>
        <w:t> </w:t>
      </w:r>
      <w:r>
        <w:rPr>
          <w:rFonts w:ascii="Times New Roman" w:hAnsi="Times New Roman" w:cs="Times New Roman" w:eastAsia="Times New Roman" w:hint="default"/>
        </w:rPr>
        <w:t>7.98%</w:t>
      </w:r>
      <w:r>
        <w:rPr/>
        <w:t>；实现利润总额及归属于母公司所有者的净利润分别为人民币</w:t>
      </w:r>
      <w:r>
        <w:rPr>
          <w:spacing w:val="-39"/>
        </w:rPr>
        <w:t> </w:t>
      </w:r>
      <w:r>
        <w:rPr>
          <w:rFonts w:ascii="Times New Roman" w:hAnsi="Times New Roman" w:cs="Times New Roman" w:eastAsia="Times New Roman" w:hint="default"/>
        </w:rPr>
        <w:t>5.61</w:t>
      </w:r>
      <w:r>
        <w:rPr>
          <w:rFonts w:ascii="Times New Roman" w:hAnsi="Times New Roman" w:cs="Times New Roman" w:eastAsia="Times New Roman" w:hint="default"/>
          <w:spacing w:val="5"/>
        </w:rPr>
        <w:t> </w:t>
      </w:r>
      <w:r>
        <w:rPr/>
        <w:t>亿元、人 民币</w:t>
      </w:r>
      <w:r>
        <w:rPr>
          <w:spacing w:val="-46"/>
        </w:rPr>
        <w:t> </w:t>
      </w:r>
      <w:r>
        <w:rPr>
          <w:rFonts w:ascii="Times New Roman" w:hAnsi="Times New Roman" w:cs="Times New Roman" w:eastAsia="Times New Roman" w:hint="default"/>
        </w:rPr>
        <w:t>5.05</w:t>
      </w:r>
      <w:r>
        <w:rPr>
          <w:rFonts w:ascii="Times New Roman" w:hAnsi="Times New Roman" w:cs="Times New Roman" w:eastAsia="Times New Roman" w:hint="default"/>
          <w:spacing w:val="-1"/>
        </w:rPr>
        <w:t> </w:t>
      </w:r>
      <w:r>
        <w:rPr/>
        <w:t>亿元，同比降低</w:t>
      </w:r>
      <w:r>
        <w:rPr>
          <w:spacing w:val="-46"/>
        </w:rPr>
        <w:t> </w:t>
      </w:r>
      <w:r>
        <w:rPr>
          <w:rFonts w:ascii="Times New Roman" w:hAnsi="Times New Roman" w:cs="Times New Roman" w:eastAsia="Times New Roman" w:hint="default"/>
        </w:rPr>
        <w:t>35.24%</w:t>
      </w:r>
      <w:r>
        <w:rPr/>
        <w:t>和</w:t>
      </w:r>
      <w:r>
        <w:rPr>
          <w:spacing w:val="-46"/>
        </w:rPr>
        <w:t> </w:t>
      </w:r>
      <w:r>
        <w:rPr>
          <w:rFonts w:ascii="Times New Roman" w:hAnsi="Times New Roman" w:cs="Times New Roman" w:eastAsia="Times New Roman" w:hint="default"/>
        </w:rPr>
        <w:t>28.91%</w:t>
      </w:r>
      <w:r>
        <w:rPr/>
        <w:t>。</w:t>
      </w:r>
    </w:p>
    <w:p>
      <w:pPr>
        <w:spacing w:line="240" w:lineRule="auto" w:before="3"/>
        <w:rPr>
          <w:rFonts w:ascii="宋体" w:hAnsi="宋体" w:cs="宋体" w:eastAsia="宋体" w:hint="default"/>
          <w:sz w:val="20"/>
          <w:szCs w:val="20"/>
        </w:rPr>
      </w:pPr>
    </w:p>
    <w:p>
      <w:pPr>
        <w:pStyle w:val="Heading2"/>
        <w:spacing w:line="240" w:lineRule="auto"/>
        <w:ind w:right="182"/>
        <w:jc w:val="left"/>
        <w:rPr>
          <w:b w:val="0"/>
          <w:bCs w:val="0"/>
        </w:rPr>
      </w:pPr>
      <w:r>
        <w:rPr/>
        <w:t>二、公司治理</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90" w:firstLine="360"/>
        <w:jc w:val="left"/>
      </w:pPr>
      <w:r>
        <w:rPr>
          <w:spacing w:val="-2"/>
        </w:rPr>
        <w:t>报告期内，公司按照《公司法》、《证券法》、《上市公司治理准则》、《深圳证券交易所股票上市规则》、《香港联</w:t>
      </w:r>
      <w:r>
        <w:rPr/>
        <w:t> 合交易所上市规则》和中国证监会有关规定的要求规范运作，在实践中不断健全和完善公司法人治理结构、规范公司运作。 董事会认为公司治理的实际情况与《上市公司治理准则》等规范性文件的规定和要求基本相符。</w:t>
      </w:r>
    </w:p>
    <w:p>
      <w:pPr>
        <w:pStyle w:val="BodyText"/>
        <w:spacing w:line="319" w:lineRule="auto" w:before="56"/>
        <w:ind w:right="182" w:firstLine="360"/>
        <w:jc w:val="left"/>
      </w:pPr>
      <w:r>
        <w:rPr>
          <w:spacing w:val="-2"/>
        </w:rPr>
        <w:t>报告期内，董事会着力从完善公司治理入手，规范公司运行。根据监管规定，适时完善公司治理制度，修订完善了《重</w:t>
      </w:r>
      <w:r>
        <w:rPr/>
        <w:t> 大交易决策制度》、《公司章程》修订案等管理制度。</w:t>
      </w:r>
    </w:p>
    <w:p>
      <w:pPr>
        <w:pStyle w:val="BodyText"/>
        <w:spacing w:line="319" w:lineRule="auto" w:before="55"/>
        <w:ind w:right="182" w:firstLine="360"/>
        <w:jc w:val="left"/>
      </w:pPr>
      <w:r>
        <w:rPr>
          <w:spacing w:val="-2"/>
        </w:rPr>
        <w:t>通过严格执行内部控制的相关制度，促进了公司的规范运作和健康发展，保护了投资者合法权益，公司治理总体情况与</w:t>
      </w:r>
      <w:r>
        <w:rPr/>
        <w:t> 中国证监会的要求不存在差异，随着公司的发展，公司规范运作状况及内部控制水平将不断提升。</w:t>
      </w:r>
    </w:p>
    <w:p>
      <w:pPr>
        <w:spacing w:after="0" w:line="319"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82"/>
        <w:jc w:val="left"/>
        <w:rPr>
          <w:b w:val="0"/>
          <w:bCs w:val="0"/>
        </w:rPr>
      </w:pPr>
      <w:r>
        <w:rPr/>
        <w:t>三、股息分配</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87" w:firstLine="360"/>
        <w:jc w:val="both"/>
      </w:pPr>
      <w:r>
        <w:rPr>
          <w:spacing w:val="-2"/>
        </w:rPr>
        <w:t>追求企业价值最大化是公司长期坚持的目标，公司一贯重视股东的利益和回报。基于公司</w:t>
      </w:r>
      <w:r>
        <w:rPr>
          <w:rFonts w:ascii="Times New Roman" w:hAnsi="Times New Roman" w:cs="Times New Roman" w:eastAsia="Times New Roman" w:hint="default"/>
          <w:spacing w:val="-2"/>
        </w:rPr>
        <w:t>2014</w:t>
      </w:r>
      <w:r>
        <w:rPr>
          <w:spacing w:val="-2"/>
        </w:rPr>
        <w:t>年度实现的经营业绩以及</w:t>
      </w:r>
      <w:r>
        <w:rPr/>
        <w:t> </w:t>
      </w:r>
      <w:r>
        <w:rPr>
          <w:spacing w:val="-2"/>
        </w:rPr>
        <w:t>考虑公司整体财务状况和现金流情况，董事会建议</w:t>
      </w:r>
      <w:r>
        <w:rPr>
          <w:rFonts w:ascii="Times New Roman" w:hAnsi="Times New Roman" w:cs="Times New Roman" w:eastAsia="Times New Roman" w:hint="default"/>
          <w:spacing w:val="-2"/>
        </w:rPr>
        <w:t>2014</w:t>
      </w:r>
      <w:r>
        <w:rPr>
          <w:spacing w:val="-2"/>
        </w:rPr>
        <w:t>年度利润分配预案为：以分红派息股权登记日股份数为基数，向全体</w:t>
      </w:r>
      <w:r>
        <w:rPr>
          <w:spacing w:val="-62"/>
        </w:rPr>
        <w:t> </w:t>
      </w:r>
      <w:r>
        <w:rPr>
          <w:spacing w:val="-62"/>
        </w:rPr>
      </w:r>
      <w:r>
        <w:rPr/>
        <w:t>股东每</w:t>
      </w:r>
      <w:r>
        <w:rPr>
          <w:rFonts w:ascii="Times New Roman" w:hAnsi="Times New Roman" w:cs="Times New Roman" w:eastAsia="Times New Roman" w:hint="default"/>
        </w:rPr>
        <w:t>10</w:t>
      </w:r>
      <w:r>
        <w:rPr/>
        <w:t>股派发人民币现金红利</w:t>
      </w:r>
      <w:r>
        <w:rPr>
          <w:rFonts w:ascii="Times New Roman" w:hAnsi="Times New Roman" w:cs="Times New Roman" w:eastAsia="Times New Roman" w:hint="default"/>
        </w:rPr>
        <w:t>1.40</w:t>
      </w:r>
      <w:r>
        <w:rPr/>
        <w:t>元（含税）。以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日公司总股份</w:t>
      </w:r>
      <w:r>
        <w:rPr>
          <w:rFonts w:ascii="Times New Roman" w:hAnsi="Times New Roman" w:cs="Times New Roman" w:eastAsia="Times New Roman" w:hint="default"/>
        </w:rPr>
        <w:t>1,936,405,467</w:t>
      </w:r>
      <w:r>
        <w:rPr/>
        <w:t>股计算，</w:t>
      </w:r>
      <w:r>
        <w:rPr>
          <w:rFonts w:ascii="Times New Roman" w:hAnsi="Times New Roman" w:cs="Times New Roman" w:eastAsia="Times New Roman" w:hint="default"/>
        </w:rPr>
        <w:t>2014</w:t>
      </w:r>
      <w:r>
        <w:rPr/>
        <w:t>年度共派发人民</w:t>
      </w:r>
      <w:r>
        <w:rPr>
          <w:spacing w:val="-85"/>
        </w:rPr>
        <w:t> </w:t>
      </w:r>
      <w:r>
        <w:rPr>
          <w:spacing w:val="-85"/>
        </w:rPr>
      </w:r>
      <w:r>
        <w:rPr/>
        <w:t>币现金红利</w:t>
      </w:r>
      <w:r>
        <w:rPr>
          <w:rFonts w:ascii="Times New Roman" w:hAnsi="Times New Roman" w:cs="Times New Roman" w:eastAsia="Times New Roman" w:hint="default"/>
        </w:rPr>
        <w:t>271,096,765.38</w:t>
      </w:r>
      <w:r>
        <w:rPr/>
        <w:t>元（含税），占</w:t>
      </w:r>
      <w:r>
        <w:rPr>
          <w:rFonts w:ascii="Times New Roman" w:hAnsi="Times New Roman" w:cs="Times New Roman" w:eastAsia="Times New Roman" w:hint="default"/>
        </w:rPr>
        <w:t>2014</w:t>
      </w:r>
      <w:r>
        <w:rPr/>
        <w:t>年按照企业会计准则编制的合并报表中归属于上市公司股东的净利润的比率</w:t>
      </w:r>
      <w:r>
        <w:rPr>
          <w:spacing w:val="-46"/>
        </w:rPr>
        <w:t> </w:t>
      </w:r>
      <w:r>
        <w:rPr/>
        <w:t>为</w:t>
      </w:r>
      <w:r>
        <w:rPr>
          <w:rFonts w:ascii="Times New Roman" w:hAnsi="Times New Roman" w:cs="Times New Roman" w:eastAsia="Times New Roman" w:hint="default"/>
        </w:rPr>
        <w:t>53.66%</w:t>
      </w:r>
      <w:r>
        <w:rPr/>
        <w:t>，利润分配后的余额滚存以后年度分配。公司将一如既往的致力于公司未来的长远发展，以更优异的成绩为股东</w:t>
      </w:r>
      <w:r>
        <w:rPr>
          <w:spacing w:val="-24"/>
        </w:rPr>
        <w:t> </w:t>
      </w:r>
      <w:r>
        <w:rPr>
          <w:spacing w:val="-24"/>
        </w:rPr>
      </w:r>
      <w:r>
        <w:rPr/>
        <w:t>创造最佳回报。</w:t>
      </w:r>
    </w:p>
    <w:p>
      <w:pPr>
        <w:spacing w:line="240" w:lineRule="auto" w:before="10"/>
        <w:rPr>
          <w:rFonts w:ascii="宋体" w:hAnsi="宋体" w:cs="宋体" w:eastAsia="宋体" w:hint="default"/>
          <w:sz w:val="21"/>
          <w:szCs w:val="21"/>
        </w:rPr>
      </w:pPr>
    </w:p>
    <w:p>
      <w:pPr>
        <w:pStyle w:val="Heading2"/>
        <w:spacing w:line="240" w:lineRule="auto"/>
        <w:ind w:right="182"/>
        <w:jc w:val="left"/>
        <w:rPr>
          <w:b w:val="0"/>
          <w:bCs w:val="0"/>
        </w:rPr>
      </w:pPr>
      <w:r>
        <w:rPr/>
        <w:t>四、未来发展</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91" w:firstLine="360"/>
        <w:jc w:val="left"/>
      </w:pPr>
      <w:r>
        <w:rPr>
          <w:spacing w:val="-2"/>
        </w:rPr>
        <w:t>公司所处的行业为轻工造纸业，行业景气度与宏观经济增速高度相关。近年来，一方面受宏观经济增速趋缓影响，造纸</w:t>
      </w:r>
      <w:r>
        <w:rPr/>
        <w:t> </w:t>
      </w:r>
      <w:r>
        <w:rPr>
          <w:spacing w:val="-4"/>
        </w:rPr>
        <w:t>行业需求持续偏弱；另一方面造纸行业过去几年新增产能集中释放，致使当前部分纸种产能阶段性过剩，行业竞争异常激烈，</w:t>
      </w:r>
      <w:r>
        <w:rPr>
          <w:spacing w:val="-44"/>
        </w:rPr>
        <w:t> </w:t>
      </w:r>
      <w:r>
        <w:rPr>
          <w:spacing w:val="-44"/>
        </w:rPr>
      </w:r>
      <w:r>
        <w:rPr>
          <w:spacing w:val="-2"/>
        </w:rPr>
        <w:t>造纸行业整体盈利水平在低位徘徊，但从长远看，造纸行业所面临的发展条件在逐步向好，2015年是“十二五”规划的最后</w:t>
      </w:r>
      <w:r>
        <w:rPr>
          <w:spacing w:val="-62"/>
        </w:rPr>
        <w:t> </w:t>
      </w:r>
      <w:r>
        <w:rPr>
          <w:spacing w:val="-62"/>
        </w:rPr>
      </w:r>
      <w:r>
        <w:rPr>
          <w:spacing w:val="-2"/>
        </w:rPr>
        <w:t>一年，造纸行业淘汰落后产能和日趋严格的环保政策迫使部分中小企业退出市场，从而在一定程度上缓解了新增产能对行业</w:t>
      </w:r>
      <w:r>
        <w:rPr>
          <w:spacing w:val="-64"/>
        </w:rPr>
        <w:t> </w:t>
      </w:r>
      <w:r>
        <w:rPr>
          <w:spacing w:val="-64"/>
        </w:rPr>
      </w:r>
      <w:r>
        <w:rPr>
          <w:spacing w:val="-2"/>
        </w:rPr>
        <w:t>供给造成的压力，有利于提升行业集中度，促进大型纸业的健康、长远发展。同时，受宏观经济影响，原材料价格在低位振</w:t>
      </w:r>
      <w:r>
        <w:rPr>
          <w:spacing w:val="-68"/>
        </w:rPr>
        <w:t> </w:t>
      </w:r>
      <w:r>
        <w:rPr>
          <w:spacing w:val="-68"/>
        </w:rPr>
      </w:r>
      <w:r>
        <w:rPr/>
        <w:t>荡，缓解了企业的经营成本压力。</w:t>
      </w:r>
    </w:p>
    <w:p>
      <w:pPr>
        <w:pStyle w:val="BodyText"/>
        <w:spacing w:line="319" w:lineRule="auto" w:before="55"/>
        <w:ind w:right="91" w:firstLine="360"/>
        <w:jc w:val="left"/>
      </w:pPr>
      <w:r>
        <w:rPr>
          <w:spacing w:val="-2"/>
        </w:rPr>
        <w:t>面对日趋激烈的行业竞争，公司凭借强大的企业实力，提高设备和技术水平，丰富产品结构，提高产品档次，重点研发</w:t>
      </w:r>
      <w:r>
        <w:rPr/>
        <w:t> </w:t>
      </w:r>
      <w:r>
        <w:rPr>
          <w:spacing w:val="-4"/>
        </w:rPr>
        <w:t>高端制品，赢得竞争力。</w:t>
      </w:r>
      <w:r>
        <w:rPr>
          <w:color w:val="2A2A2A"/>
          <w:spacing w:val="-4"/>
        </w:rPr>
        <w:t>产品结构的调整为企业转型发展注入了新的活力，精细化管理的持续推进更是让企业突破发展瓶颈，</w:t>
      </w:r>
      <w:r>
        <w:rPr>
          <w:color w:val="2A2A2A"/>
          <w:spacing w:val="-44"/>
        </w:rPr>
        <w:t> </w:t>
      </w:r>
      <w:r>
        <w:rPr>
          <w:color w:val="2A2A2A"/>
          <w:spacing w:val="-44"/>
        </w:rPr>
      </w:r>
      <w:r>
        <w:rPr>
          <w:color w:val="2A2A2A"/>
          <w:spacing w:val="-2"/>
        </w:rPr>
        <w:t>释放出蓬勃的生机；多元化发展为公司增加了新的利润增长点，加速推动公司向更高、更快、更强的国际一流纸企迈进。随</w:t>
      </w:r>
      <w:r>
        <w:rPr>
          <w:color w:val="2A2A2A"/>
          <w:spacing w:val="-66"/>
        </w:rPr>
        <w:t> </w:t>
      </w:r>
      <w:r>
        <w:rPr>
          <w:color w:val="2A2A2A"/>
          <w:spacing w:val="-66"/>
        </w:rPr>
      </w:r>
      <w:r>
        <w:rPr>
          <w:color w:val="2A2A2A"/>
        </w:rPr>
        <w:t>着经济形势好转，行业逐渐复苏，公司业绩将会出现稳步增长。</w:t>
      </w:r>
      <w:r>
        <w:rPr/>
      </w:r>
    </w:p>
    <w:p>
      <w:pPr>
        <w:pStyle w:val="BodyText"/>
        <w:spacing w:line="319" w:lineRule="auto" w:before="56"/>
        <w:ind w:right="188" w:firstLine="360"/>
        <w:jc w:val="both"/>
      </w:pPr>
      <w:r>
        <w:rPr>
          <w:spacing w:val="-2"/>
        </w:rPr>
        <w:t>2015年是公司积极适应经济发展“新常态”，加快转型升级、着力提高运行质量的一年。公司将继续贯彻落实“打造团</w:t>
      </w:r>
      <w:r>
        <w:rPr/>
        <w:t> </w:t>
      </w:r>
      <w:r>
        <w:rPr>
          <w:spacing w:val="-2"/>
        </w:rPr>
        <w:t>队、严细管理、业务精湛、创出佳绩”的工作方针，通过强化团队建设、基础管理、经营重点、生产管理、采购效益、项目</w:t>
      </w:r>
      <w:r>
        <w:rPr>
          <w:spacing w:val="-71"/>
        </w:rPr>
        <w:t> </w:t>
      </w:r>
      <w:r>
        <w:rPr>
          <w:spacing w:val="-71"/>
        </w:rPr>
      </w:r>
      <w:r>
        <w:rPr/>
        <w:t>进度、金融效益、三产运营管理8个方面的措施，全面提高企业运行质量，形成主业突出、多元发展、绿色环保、管理规范</w:t>
      </w:r>
      <w:r>
        <w:rPr>
          <w:spacing w:val="-83"/>
        </w:rPr>
        <w:t> </w:t>
      </w:r>
      <w:r>
        <w:rPr>
          <w:spacing w:val="-83"/>
        </w:rPr>
      </w:r>
      <w:r>
        <w:rPr/>
        <w:t>的发展态势，努力打造成为最具成长性的一流企业。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68" w:lineRule="auto" w:before="121"/>
        <w:ind w:left="7767" w:right="791"/>
        <w:jc w:val="right"/>
        <w:rPr>
          <w:b w:val="0"/>
          <w:bCs w:val="0"/>
        </w:rPr>
      </w:pPr>
      <w:r>
        <w:rPr/>
        <w:t>陈洪国</w:t>
      </w:r>
      <w:r>
        <w:rPr>
          <w:spacing w:val="1"/>
          <w:w w:val="99"/>
        </w:rPr>
        <w:t> </w:t>
      </w:r>
      <w:r>
        <w:rPr/>
        <w:t>董事长</w:t>
      </w:r>
      <w:r>
        <w:rPr>
          <w:b w:val="0"/>
          <w:bCs w:val="0"/>
        </w:rPr>
      </w:r>
    </w:p>
    <w:p>
      <w:pPr>
        <w:pStyle w:val="Heading2"/>
        <w:spacing w:line="240" w:lineRule="auto" w:before="10"/>
        <w:ind w:left="7767" w:right="191"/>
        <w:jc w:val="right"/>
        <w:rPr>
          <w:b w:val="0"/>
          <w:bCs w:val="0"/>
        </w:rPr>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w:t>
      </w:r>
      <w:r>
        <w:rPr>
          <w:b w:val="0"/>
          <w:bCs w:val="0"/>
        </w:rPr>
      </w:r>
    </w:p>
    <w:p>
      <w:pPr>
        <w:spacing w:after="0" w:line="240" w:lineRule="auto"/>
        <w:jc w:val="right"/>
        <w:sectPr>
          <w:pgSz w:w="11910" w:h="16840"/>
          <w:pgMar w:header="747" w:footer="982" w:top="1060" w:bottom="1180" w:left="98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right="3627"/>
        <w:jc w:val="center"/>
        <w:rPr>
          <w:b w:val="0"/>
          <w:bCs w:val="0"/>
        </w:rPr>
      </w:pPr>
      <w:bookmarkStart w:name="_bookmark4" w:id="5"/>
      <w:bookmarkEnd w:id="5"/>
      <w:r>
        <w:rPr>
          <w:b w:val="0"/>
          <w:bCs w:val="0"/>
        </w:rPr>
      </w:r>
      <w:r>
        <w:rPr/>
        <w:t>第五节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82"/>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0" w:firstLine="360"/>
        <w:jc w:val="left"/>
      </w:pPr>
      <w:r>
        <w:rPr/>
        <w:t>报告期内，一方面受宏观经济增速趋缓影响，造纸行业需求持续偏弱；另一方面造纸行业过去几年新增产能集中释放， </w:t>
      </w:r>
      <w:r>
        <w:rPr>
          <w:spacing w:val="-4"/>
        </w:rPr>
        <w:t>致使当前产能阶段性饱和与过剩，行业竞争异常激烈，产品价格持续走低，企业利润空间收窄，造纸行业盈利处于较低水平。</w:t>
      </w:r>
    </w:p>
    <w:p>
      <w:pPr>
        <w:pStyle w:val="BodyText"/>
        <w:spacing w:line="300" w:lineRule="auto" w:before="18"/>
        <w:ind w:right="182" w:firstLine="360"/>
        <w:jc w:val="left"/>
      </w:pPr>
      <w:r>
        <w:rPr/>
        <w:t>本报告期，公司实现营业收入人民币</w:t>
      </w:r>
      <w:r>
        <w:rPr>
          <w:rFonts w:ascii="Times New Roman" w:hAnsi="Times New Roman" w:cs="Times New Roman" w:eastAsia="Times New Roman" w:hint="default"/>
        </w:rPr>
        <w:t>1,910,167.71</w:t>
      </w:r>
      <w:r>
        <w:rPr/>
        <w:t>万元，比上年同期降低</w:t>
      </w:r>
      <w:r>
        <w:rPr>
          <w:rFonts w:ascii="Times New Roman" w:hAnsi="Times New Roman" w:cs="Times New Roman" w:eastAsia="Times New Roman" w:hint="default"/>
        </w:rPr>
        <w:t>6.31%</w:t>
      </w:r>
      <w:r>
        <w:rPr/>
        <w:t>；营业成本人民币</w:t>
      </w:r>
      <w:r>
        <w:rPr>
          <w:rFonts w:ascii="Times New Roman" w:hAnsi="Times New Roman" w:cs="Times New Roman" w:eastAsia="Times New Roman" w:hint="default"/>
        </w:rPr>
        <w:t>1,532,310.28</w:t>
      </w:r>
      <w:r>
        <w:rPr/>
        <w:t>万元，比 </w:t>
      </w:r>
      <w:r>
        <w:rPr>
          <w:spacing w:val="-1"/>
        </w:rPr>
        <w:t>上年同期降低</w:t>
      </w:r>
      <w:r>
        <w:rPr>
          <w:rFonts w:ascii="Times New Roman" w:hAnsi="Times New Roman" w:cs="Times New Roman" w:eastAsia="Times New Roman" w:hint="default"/>
          <w:spacing w:val="-1"/>
        </w:rPr>
        <w:t>7.98%</w:t>
      </w:r>
      <w:r>
        <w:rPr>
          <w:spacing w:val="-1"/>
        </w:rPr>
        <w:t>；实现利润总额及归属于母公司所有者的净利润分别为人民币</w:t>
      </w:r>
      <w:r>
        <w:rPr>
          <w:rFonts w:ascii="Times New Roman" w:hAnsi="Times New Roman" w:cs="Times New Roman" w:eastAsia="Times New Roman" w:hint="default"/>
          <w:spacing w:val="-1"/>
        </w:rPr>
        <w:t>56,100.83</w:t>
      </w:r>
      <w:r>
        <w:rPr>
          <w:spacing w:val="-1"/>
        </w:rPr>
        <w:t>万元、人民币</w:t>
      </w:r>
      <w:r>
        <w:rPr>
          <w:rFonts w:ascii="Times New Roman" w:hAnsi="Times New Roman" w:cs="Times New Roman" w:eastAsia="Times New Roman" w:hint="default"/>
          <w:spacing w:val="-1"/>
        </w:rPr>
        <w:t>50,520.44</w:t>
      </w:r>
      <w:r>
        <w:rPr>
          <w:spacing w:val="-1"/>
        </w:rPr>
        <w:t>万元，同</w:t>
      </w:r>
      <w:r>
        <w:rPr>
          <w:spacing w:val="-42"/>
        </w:rPr>
        <w:t> </w:t>
      </w:r>
      <w:r>
        <w:rPr>
          <w:spacing w:val="-42"/>
        </w:rPr>
      </w:r>
      <w:r>
        <w:rPr/>
        <w:t>比降低</w:t>
      </w:r>
      <w:r>
        <w:rPr>
          <w:rFonts w:ascii="Times New Roman" w:hAnsi="Times New Roman" w:cs="Times New Roman" w:eastAsia="Times New Roman" w:hint="default"/>
        </w:rPr>
        <w:t>35.24%</w:t>
      </w:r>
      <w:r>
        <w:rPr/>
        <w:t>和</w:t>
      </w:r>
      <w:r>
        <w:rPr>
          <w:rFonts w:ascii="Times New Roman" w:hAnsi="Times New Roman" w:cs="Times New Roman" w:eastAsia="Times New Roman" w:hint="default"/>
        </w:rPr>
        <w:t>28.91%</w:t>
      </w:r>
      <w:r>
        <w:rPr/>
        <w:t>。</w:t>
      </w:r>
    </w:p>
    <w:p>
      <w:pPr>
        <w:pStyle w:val="BodyText"/>
        <w:spacing w:line="314" w:lineRule="auto" w:before="13"/>
        <w:ind w:right="188" w:firstLine="360"/>
        <w:jc w:val="both"/>
      </w:pPr>
      <w:r>
        <w:rPr>
          <w:spacing w:val="-2"/>
        </w:rPr>
        <w:t>当前造纸行业产能已基本趋于稳定，化解过剩产能已成为当下行业亟需解决的首要问题。</w:t>
      </w:r>
      <w:r>
        <w:rPr>
          <w:rFonts w:ascii="Times New Roman" w:hAnsi="Times New Roman" w:cs="Times New Roman" w:eastAsia="Times New Roman" w:hint="default"/>
          <w:spacing w:val="-2"/>
        </w:rPr>
        <w:t>2015</w:t>
      </w:r>
      <w:r>
        <w:rPr>
          <w:spacing w:val="-2"/>
        </w:rPr>
        <w:t>年对于造纸行业来说，是</w:t>
      </w:r>
      <w:r>
        <w:rPr/>
        <w:t> </w:t>
      </w:r>
      <w:r>
        <w:rPr>
          <w:spacing w:val="-2"/>
        </w:rPr>
        <w:t>改革创新的关键年，我国造纸行业正进入转型升级发展的新阶段。淘汰落后产能和日趋严格的环保政策迫使部分中小企业退</w:t>
      </w:r>
      <w:r>
        <w:rPr>
          <w:spacing w:val="-64"/>
        </w:rPr>
        <w:t> </w:t>
      </w:r>
      <w:r>
        <w:rPr>
          <w:spacing w:val="-64"/>
        </w:rPr>
      </w:r>
      <w:r>
        <w:rPr>
          <w:spacing w:val="-2"/>
        </w:rPr>
        <w:t>出市场，从而在一定程度上缓解了新增产能对行业供给造成的压力。对于大型造纸企业而言，充分利用资金、技术和规模优</w:t>
      </w:r>
      <w:r>
        <w:rPr>
          <w:spacing w:val="-66"/>
        </w:rPr>
        <w:t> </w:t>
      </w:r>
      <w:r>
        <w:rPr>
          <w:spacing w:val="-66"/>
        </w:rPr>
      </w:r>
      <w:r>
        <w:rPr>
          <w:spacing w:val="-2"/>
        </w:rPr>
        <w:t>势，实现增长方式的转变，有望获得新的市场份额。同时，受造纸行业需求较弱的影响，原材料价格在低位振荡，缓解了企</w:t>
      </w:r>
      <w:r>
        <w:rPr>
          <w:spacing w:val="-68"/>
        </w:rPr>
        <w:t> </w:t>
      </w:r>
      <w:r>
        <w:rPr>
          <w:spacing w:val="-68"/>
        </w:rPr>
      </w:r>
      <w:r>
        <w:rPr>
          <w:spacing w:val="-2"/>
        </w:rPr>
        <w:t>业的经营成本压力。落后产能的淘汰将为造纸行业的发展扫清障碍，而先进产能的补充和替代将给造纸行业带来新鲜的血液</w:t>
      </w:r>
      <w:r>
        <w:rPr>
          <w:spacing w:val="-64"/>
        </w:rPr>
        <w:t> </w:t>
      </w:r>
      <w:r>
        <w:rPr>
          <w:spacing w:val="-64"/>
        </w:rPr>
      </w:r>
      <w:r>
        <w:rPr/>
        <w:t>和动力，这有利于提升行业集中度，形成良好的行业循环。我国造纸行业正在完成着它的</w:t>
      </w:r>
      <w:r>
        <w:rPr>
          <w:rFonts w:ascii="Times New Roman" w:hAnsi="Times New Roman" w:cs="Times New Roman" w:eastAsia="Times New Roman" w:hint="default"/>
        </w:rPr>
        <w:t>“</w:t>
      </w:r>
      <w:r>
        <w:rPr/>
        <w:t>涅磐重生</w:t>
      </w:r>
      <w:r>
        <w:rPr>
          <w:rFonts w:ascii="Times New Roman" w:hAnsi="Times New Roman" w:cs="Times New Roman" w:eastAsia="Times New Roman" w:hint="default"/>
        </w:rPr>
        <w:t>”</w:t>
      </w:r>
      <w:r>
        <w:rPr/>
        <w:t>之路。</w:t>
      </w:r>
    </w:p>
    <w:p>
      <w:pPr>
        <w:pStyle w:val="BodyText"/>
        <w:spacing w:line="309" w:lineRule="auto" w:before="1"/>
        <w:ind w:left="153" w:right="91" w:firstLine="360"/>
        <w:jc w:val="left"/>
      </w:pPr>
      <w:r>
        <w:rPr>
          <w:color w:val="2A2A2A"/>
          <w:spacing w:val="-3"/>
        </w:rPr>
        <w:t>报告期初，公司明确提出</w:t>
      </w:r>
      <w:r>
        <w:rPr>
          <w:rFonts w:ascii="Times New Roman" w:hAnsi="Times New Roman" w:cs="Times New Roman" w:eastAsia="Times New Roman" w:hint="default"/>
          <w:color w:val="2A2A2A"/>
          <w:spacing w:val="-3"/>
        </w:rPr>
        <w:t>“</w:t>
      </w:r>
      <w:r>
        <w:rPr>
          <w:color w:val="2A2A2A"/>
          <w:spacing w:val="-3"/>
        </w:rPr>
        <w:t>打造团队、严细管理、业务精湛、创出佳绩</w:t>
      </w:r>
      <w:r>
        <w:rPr>
          <w:rFonts w:ascii="Times New Roman" w:hAnsi="Times New Roman" w:cs="Times New Roman" w:eastAsia="Times New Roman" w:hint="default"/>
          <w:color w:val="2A2A2A"/>
          <w:spacing w:val="-3"/>
        </w:rPr>
        <w:t>”</w:t>
      </w:r>
      <w:r>
        <w:rPr>
          <w:color w:val="2A2A2A"/>
          <w:spacing w:val="-3"/>
        </w:rPr>
        <w:t>的年度工作方针，并强化执行力，狠抓工作落实。</w:t>
      </w:r>
      <w:r>
        <w:rPr>
          <w:color w:val="2A2A2A"/>
        </w:rPr>
        <w:t> 报告期内，公司对现有管理制度梳理完善，抓好团队建设，加强严细管理，完善激励机制，进一步调动干部员工的积极性。 </w:t>
      </w:r>
      <w:r>
        <w:rPr>
          <w:color w:val="2A2A2A"/>
          <w:spacing w:val="-2"/>
        </w:rPr>
        <w:t>通过优化产品结构，增加高效益区域投放；完善绩效考核方案，充分激发销售积极性；通过研究市场，及时制定合适的销售</w:t>
      </w:r>
      <w:r>
        <w:rPr>
          <w:color w:val="2A2A2A"/>
          <w:spacing w:val="-66"/>
        </w:rPr>
        <w:t> </w:t>
      </w:r>
      <w:r>
        <w:rPr>
          <w:color w:val="2A2A2A"/>
          <w:spacing w:val="-66"/>
        </w:rPr>
      </w:r>
      <w:r>
        <w:rPr>
          <w:color w:val="2A2A2A"/>
        </w:rPr>
        <w:t>策略等措施来降低库存，赢得市场主动；创新研发，加大新产品推广力度，针对</w:t>
      </w:r>
      <w:r>
        <w:rPr>
          <w:rFonts w:ascii="Times New Roman" w:hAnsi="Times New Roman" w:cs="Times New Roman" w:eastAsia="Times New Roman" w:hint="default"/>
          <w:color w:val="2A2A2A"/>
        </w:rPr>
        <w:t>“</w:t>
      </w:r>
      <w:r>
        <w:rPr>
          <w:color w:val="2A2A2A"/>
        </w:rPr>
        <w:t>森爱之心</w:t>
      </w:r>
      <w:r>
        <w:rPr>
          <w:rFonts w:ascii="Times New Roman" w:hAnsi="Times New Roman" w:cs="Times New Roman" w:eastAsia="Times New Roman" w:hint="default"/>
          <w:color w:val="2A2A2A"/>
        </w:rPr>
        <w:t>”</w:t>
      </w:r>
      <w:r>
        <w:rPr>
          <w:color w:val="2A2A2A"/>
        </w:rPr>
        <w:t>生活纸、热敏纸、格拉辛纸等高 附加值产品建立了专业的销售队伍，增加公司收益。</w:t>
      </w:r>
      <w:r>
        <w:rPr/>
      </w:r>
    </w:p>
    <w:p>
      <w:pPr>
        <w:pStyle w:val="BodyText"/>
        <w:spacing w:line="312" w:lineRule="auto" w:before="24"/>
        <w:ind w:left="153" w:right="188" w:firstLine="360"/>
        <w:jc w:val="both"/>
      </w:pPr>
      <w:r>
        <w:rPr>
          <w:color w:val="2A2A2A"/>
          <w:spacing w:val="-2"/>
        </w:rPr>
        <w:t>报告期内，公司摒弃过去只注重成本管控的思路做法，改变公司效益提升受限的不利局面，蓄力进军高端纸品市场。把</w:t>
      </w:r>
      <w:r>
        <w:rPr>
          <w:color w:val="2A2A2A"/>
        </w:rPr>
        <w:t> </w:t>
      </w:r>
      <w:r>
        <w:rPr>
          <w:color w:val="2A2A2A"/>
          <w:spacing w:val="-2"/>
        </w:rPr>
        <w:t>强化基础管理、加快创新步伐作为企业快速响应市场动态变化的必要手段。围绕效益这一中心</w:t>
      </w:r>
      <w:r>
        <w:rPr>
          <w:rFonts w:ascii="Times New Roman" w:hAnsi="Times New Roman" w:cs="Times New Roman" w:eastAsia="Times New Roman" w:hint="default"/>
          <w:color w:val="2A2A2A"/>
          <w:spacing w:val="-2"/>
        </w:rPr>
        <w:t>“</w:t>
      </w:r>
      <w:r>
        <w:rPr>
          <w:color w:val="2A2A2A"/>
          <w:spacing w:val="-2"/>
        </w:rPr>
        <w:t>深耕细作</w:t>
      </w:r>
      <w:r>
        <w:rPr>
          <w:rFonts w:ascii="Times New Roman" w:hAnsi="Times New Roman" w:cs="Times New Roman" w:eastAsia="Times New Roman" w:hint="default"/>
          <w:color w:val="2A2A2A"/>
          <w:spacing w:val="-2"/>
        </w:rPr>
        <w:t>”</w:t>
      </w:r>
      <w:r>
        <w:rPr>
          <w:color w:val="2A2A2A"/>
          <w:spacing w:val="-2"/>
        </w:rPr>
        <w:t>，着力推进精细化</w:t>
      </w:r>
      <w:r>
        <w:rPr>
          <w:color w:val="2A2A2A"/>
          <w:spacing w:val="-45"/>
        </w:rPr>
        <w:t> </w:t>
      </w:r>
      <w:r>
        <w:rPr>
          <w:color w:val="2A2A2A"/>
          <w:spacing w:val="-45"/>
        </w:rPr>
      </w:r>
      <w:r>
        <w:rPr>
          <w:color w:val="2A2A2A"/>
          <w:spacing w:val="-2"/>
        </w:rPr>
        <w:t>管理，不断优化产品结构调整，确保了生产的高效运行。公司以市场为导向，不断调整产品结构，加大高附加值、高档次产</w:t>
      </w:r>
      <w:r>
        <w:rPr>
          <w:color w:val="2A2A2A"/>
          <w:spacing w:val="-68"/>
        </w:rPr>
        <w:t> </w:t>
      </w:r>
      <w:r>
        <w:rPr>
          <w:color w:val="2A2A2A"/>
          <w:spacing w:val="-68"/>
        </w:rPr>
      </w:r>
      <w:r>
        <w:rPr>
          <w:color w:val="2A2A2A"/>
          <w:spacing w:val="-2"/>
        </w:rPr>
        <w:t>品的生产比例，向</w:t>
      </w:r>
      <w:r>
        <w:rPr>
          <w:rFonts w:ascii="Times New Roman" w:hAnsi="Times New Roman" w:cs="Times New Roman" w:eastAsia="Times New Roman" w:hint="default"/>
          <w:color w:val="2A2A2A"/>
          <w:spacing w:val="-2"/>
        </w:rPr>
        <w:t>“</w:t>
      </w:r>
      <w:r>
        <w:rPr>
          <w:color w:val="2A2A2A"/>
          <w:spacing w:val="-2"/>
        </w:rPr>
        <w:t>高端定位，生产一流产品</w:t>
      </w:r>
      <w:r>
        <w:rPr>
          <w:rFonts w:ascii="Times New Roman" w:hAnsi="Times New Roman" w:cs="Times New Roman" w:eastAsia="Times New Roman" w:hint="default"/>
          <w:color w:val="2A2A2A"/>
          <w:spacing w:val="-2"/>
        </w:rPr>
        <w:t>”</w:t>
      </w:r>
      <w:r>
        <w:rPr>
          <w:color w:val="2A2A2A"/>
          <w:spacing w:val="-2"/>
        </w:rPr>
        <w:t>的思想转变。全年完成产品结构调整</w:t>
      </w:r>
      <w:r>
        <w:rPr>
          <w:rFonts w:ascii="Times New Roman" w:hAnsi="Times New Roman" w:cs="Times New Roman" w:eastAsia="Times New Roman" w:hint="default"/>
          <w:color w:val="2A2A2A"/>
          <w:spacing w:val="-2"/>
        </w:rPr>
        <w:t>30</w:t>
      </w:r>
      <w:r>
        <w:rPr>
          <w:color w:val="2A2A2A"/>
          <w:spacing w:val="-2"/>
        </w:rPr>
        <w:t>余项，热敏纸、格拉辛纸、环保书写纸</w:t>
      </w:r>
      <w:r>
        <w:rPr>
          <w:color w:val="2A2A2A"/>
          <w:spacing w:val="-43"/>
        </w:rPr>
        <w:t> </w:t>
      </w:r>
      <w:r>
        <w:rPr>
          <w:color w:val="2A2A2A"/>
          <w:spacing w:val="-43"/>
        </w:rPr>
      </w:r>
      <w:r>
        <w:rPr>
          <w:color w:val="2A2A2A"/>
          <w:spacing w:val="-2"/>
        </w:rPr>
        <w:t>等一系列新产品成功推向市场，赢得了良好的社会品牌效应。一些国家级刊物、世界知名企业的印刷产品纷纷采用我公司产</w:t>
      </w:r>
      <w:r>
        <w:rPr>
          <w:color w:val="2A2A2A"/>
          <w:spacing w:val="-66"/>
        </w:rPr>
        <w:t> </w:t>
      </w:r>
      <w:r>
        <w:rPr>
          <w:color w:val="2A2A2A"/>
          <w:spacing w:val="-66"/>
        </w:rPr>
      </w:r>
      <w:r>
        <w:rPr>
          <w:color w:val="2A2A2A"/>
        </w:rPr>
        <w:t>品。</w:t>
      </w:r>
      <w:r>
        <w:rPr/>
      </w:r>
    </w:p>
    <w:p>
      <w:pPr>
        <w:pStyle w:val="BodyText"/>
        <w:spacing w:line="307" w:lineRule="auto" w:before="22"/>
        <w:ind w:left="153" w:right="91" w:firstLine="360"/>
        <w:jc w:val="left"/>
      </w:pPr>
      <w:r>
        <w:rPr>
          <w:color w:val="2A2A2A"/>
          <w:spacing w:val="-4"/>
        </w:rPr>
        <w:t>报告期内，公司通过抓好节点管控与考核，严格质量与成本控制，确保了寿光晨鸣热敏纸改造、武汉晨鸣格拉辛纸改造、</w:t>
      </w:r>
      <w:r>
        <w:rPr>
          <w:color w:val="2A2A2A"/>
        </w:rPr>
        <w:t> </w:t>
      </w:r>
      <w:r>
        <w:rPr>
          <w:color w:val="2A2A2A"/>
          <w:spacing w:val="-2"/>
        </w:rPr>
        <w:t>湛江晨鸣</w:t>
      </w:r>
      <w:r>
        <w:rPr>
          <w:rFonts w:ascii="Times New Roman" w:hAnsi="Times New Roman" w:cs="Times New Roman" w:eastAsia="Times New Roman" w:hint="default"/>
          <w:color w:val="2A2A2A"/>
          <w:spacing w:val="-2"/>
        </w:rPr>
        <w:t>18</w:t>
      </w:r>
      <w:r>
        <w:rPr>
          <w:color w:val="2A2A2A"/>
          <w:spacing w:val="-2"/>
        </w:rPr>
        <w:t>万吨纸杯原纸和寿光晨鸣铁路支线等项目按时竣工投产、运行，在公司调整结构、降低成本、提高效益等方面发</w:t>
      </w:r>
      <w:r>
        <w:rPr>
          <w:color w:val="2A2A2A"/>
          <w:spacing w:val="-64"/>
        </w:rPr>
        <w:t> </w:t>
      </w:r>
      <w:r>
        <w:rPr>
          <w:color w:val="2A2A2A"/>
          <w:spacing w:val="-64"/>
        </w:rPr>
      </w:r>
      <w:r>
        <w:rPr>
          <w:color w:val="2A2A2A"/>
        </w:rPr>
        <w:t>挥了重要作用，随着热敏纸、格拉辛纸、</w:t>
      </w:r>
      <w:r>
        <w:rPr>
          <w:rFonts w:ascii="Times New Roman" w:hAnsi="Times New Roman" w:cs="Times New Roman" w:eastAsia="Times New Roman" w:hint="default"/>
          <w:color w:val="2A2A2A"/>
        </w:rPr>
        <w:t>“</w:t>
      </w:r>
      <w:r>
        <w:rPr>
          <w:color w:val="2A2A2A"/>
        </w:rPr>
        <w:t>森爱之心</w:t>
      </w:r>
      <w:r>
        <w:rPr>
          <w:rFonts w:ascii="Times New Roman" w:hAnsi="Times New Roman" w:cs="Times New Roman" w:eastAsia="Times New Roman" w:hint="default"/>
          <w:color w:val="2A2A2A"/>
        </w:rPr>
        <w:t>”</w:t>
      </w:r>
      <w:r>
        <w:rPr>
          <w:color w:val="2A2A2A"/>
        </w:rPr>
        <w:t>生活用纸等系列产品相继推向市场，公司主动应对市场的能力进一步增 </w:t>
      </w:r>
      <w:r>
        <w:rPr>
          <w:color w:val="2A2A2A"/>
          <w:spacing w:val="-2"/>
        </w:rPr>
        <w:t>强。江西晨鸣</w:t>
      </w:r>
      <w:r>
        <w:rPr>
          <w:rFonts w:ascii="Times New Roman" w:hAnsi="Times New Roman" w:cs="Times New Roman" w:eastAsia="Times New Roman" w:hint="default"/>
          <w:color w:val="2A2A2A"/>
          <w:spacing w:val="-2"/>
        </w:rPr>
        <w:t>35</w:t>
      </w:r>
      <w:r>
        <w:rPr>
          <w:color w:val="2A2A2A"/>
          <w:spacing w:val="-2"/>
        </w:rPr>
        <w:t>万吨高档包装纸、湛江晨鸣</w:t>
      </w:r>
      <w:r>
        <w:rPr>
          <w:rFonts w:ascii="Times New Roman" w:hAnsi="Times New Roman" w:cs="Times New Roman" w:eastAsia="Times New Roman" w:hint="default"/>
          <w:color w:val="2A2A2A"/>
          <w:spacing w:val="-2"/>
        </w:rPr>
        <w:t>19</w:t>
      </w:r>
      <w:r>
        <w:rPr>
          <w:color w:val="2A2A2A"/>
          <w:spacing w:val="-2"/>
        </w:rPr>
        <w:t>万吨高档文化纸、黄冈晨鸣林浆纸一体化、寿光本埠</w:t>
      </w:r>
      <w:r>
        <w:rPr>
          <w:rFonts w:ascii="Times New Roman" w:hAnsi="Times New Roman" w:cs="Times New Roman" w:eastAsia="Times New Roman" w:hint="default"/>
          <w:color w:val="2A2A2A"/>
          <w:spacing w:val="-2"/>
        </w:rPr>
        <w:t>40</w:t>
      </w:r>
      <w:r>
        <w:rPr>
          <w:color w:val="2A2A2A"/>
          <w:spacing w:val="-2"/>
        </w:rPr>
        <w:t>万吨化学木浆、海城海</w:t>
      </w:r>
      <w:r>
        <w:rPr>
          <w:color w:val="2A2A2A"/>
          <w:spacing w:val="-60"/>
        </w:rPr>
        <w:t> </w:t>
      </w:r>
      <w:r>
        <w:rPr>
          <w:color w:val="2A2A2A"/>
          <w:spacing w:val="-60"/>
        </w:rPr>
      </w:r>
      <w:r>
        <w:rPr>
          <w:color w:val="2A2A2A"/>
          <w:spacing w:val="-4"/>
        </w:rPr>
        <w:t>鸣菱镁矿开采、广东慧锐海岸线综合治理、武汉万兴房地产等在建项目按计划稳步推进，加快了公司的结构调整和转型升级，</w:t>
      </w:r>
      <w:r>
        <w:rPr>
          <w:color w:val="2A2A2A"/>
          <w:spacing w:val="-44"/>
        </w:rPr>
        <w:t> </w:t>
      </w:r>
      <w:r>
        <w:rPr>
          <w:color w:val="2A2A2A"/>
          <w:spacing w:val="-44"/>
        </w:rPr>
      </w:r>
      <w:r>
        <w:rPr>
          <w:color w:val="2A2A2A"/>
        </w:rPr>
        <w:t>将进一步增强公司的综合竞争力。</w:t>
      </w:r>
      <w:r>
        <w:rPr/>
      </w:r>
    </w:p>
    <w:p>
      <w:pPr>
        <w:pStyle w:val="BodyText"/>
        <w:spacing w:line="316" w:lineRule="auto" w:before="26"/>
        <w:ind w:left="153" w:right="189" w:firstLine="360"/>
        <w:jc w:val="both"/>
      </w:pPr>
      <w:r>
        <w:rPr>
          <w:color w:val="2A2A2A"/>
          <w:spacing w:val="-2"/>
        </w:rPr>
        <w:t>报告期内，通过设立融资租赁公司、财务公司，以及参股互联网金融公司，公司金融板块初见成效，为公司开辟了新的</w:t>
      </w:r>
      <w:r>
        <w:rPr>
          <w:color w:val="2A2A2A"/>
        </w:rPr>
        <w:t> </w:t>
      </w:r>
      <w:r>
        <w:rPr>
          <w:color w:val="2A2A2A"/>
          <w:spacing w:val="-2"/>
        </w:rPr>
        <w:t>效益增长点。其中，融资租赁公司不仅在对内服务上具有更高的融资效率，在对外经营上也具有更强的盈利能力，相比传统</w:t>
      </w:r>
      <w:r>
        <w:rPr>
          <w:color w:val="2A2A2A"/>
          <w:spacing w:val="-66"/>
        </w:rPr>
        <w:t> </w:t>
      </w:r>
      <w:r>
        <w:rPr>
          <w:color w:val="2A2A2A"/>
          <w:spacing w:val="-66"/>
        </w:rPr>
      </w:r>
      <w:r>
        <w:rPr>
          <w:color w:val="2A2A2A"/>
          <w:spacing w:val="-2"/>
        </w:rPr>
        <w:t>造纸业务无疑盈利能力更强、业绩弹性更大。财务公司当前开展的主要业务目的是提高集团内部的资金效率，随着新的业务</w:t>
      </w:r>
      <w:r>
        <w:rPr>
          <w:color w:val="2A2A2A"/>
          <w:spacing w:val="-66"/>
        </w:rPr>
        <w:t> </w:t>
      </w:r>
      <w:r>
        <w:rPr>
          <w:color w:val="2A2A2A"/>
          <w:spacing w:val="-66"/>
        </w:rPr>
      </w:r>
      <w:r>
        <w:rPr>
          <w:color w:val="2A2A2A"/>
        </w:rPr>
        <w:t>获批落地，财务公司将在对外股权、有价证券投资等方面取得进展，为业绩增长提供新动力。</w:t>
      </w:r>
      <w:r>
        <w:rPr/>
      </w:r>
    </w:p>
    <w:p>
      <w:pPr>
        <w:pStyle w:val="BodyText"/>
        <w:spacing w:line="316" w:lineRule="auto" w:before="18"/>
        <w:ind w:left="153" w:right="91" w:firstLine="360"/>
        <w:jc w:val="left"/>
      </w:pPr>
      <w:r>
        <w:rPr>
          <w:color w:val="2A2A2A"/>
          <w:spacing w:val="-4"/>
        </w:rPr>
        <w:t>产品结构的调整为企业转型发展注入了新的活力，精细化管理的持续推进更是让企业突破发展瓶颈，释放出蓬勃的生机，</w:t>
      </w:r>
      <w:r>
        <w:rPr>
          <w:color w:val="2A2A2A"/>
        </w:rPr>
        <w:t> 多元化发展为公司增加新的利润增长点，加速推动公司向更高、更快、更强的国际一流纸企迈进。</w:t>
      </w:r>
      <w:r>
        <w:rPr/>
      </w:r>
    </w:p>
    <w:p>
      <w:pPr>
        <w:spacing w:after="0" w:line="316"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182"/>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2"/>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3136"/>
        <w:jc w:val="left"/>
      </w:pPr>
      <w:r>
        <w:rPr/>
        <w:t>公司回顾总结前期披露的发展战略和经营计划在报告期内的进展情况 请参考本章节第一部分、概述。 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338" w:lineRule="auto" w:before="2"/>
        <w:ind w:right="783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主要经营模式的变化情况</w:t>
      </w:r>
    </w:p>
    <w:p>
      <w:pPr>
        <w:pStyle w:val="BodyText"/>
        <w:spacing w:line="240" w:lineRule="auto" w:before="43"/>
        <w:ind w:right="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82"/>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91" w:firstLine="359"/>
        <w:jc w:val="left"/>
      </w:pPr>
      <w:r>
        <w:rPr>
          <w:spacing w:val="-3"/>
        </w:rPr>
        <w:t>报告期内，公司完成机制纸产量</w:t>
      </w:r>
      <w:r>
        <w:rPr>
          <w:rFonts w:ascii="Times New Roman" w:hAnsi="Times New Roman" w:cs="Times New Roman" w:eastAsia="Times New Roman" w:hint="default"/>
          <w:spacing w:val="-3"/>
        </w:rPr>
        <w:t>426</w:t>
      </w:r>
      <w:r>
        <w:rPr>
          <w:spacing w:val="-3"/>
        </w:rPr>
        <w:t>万吨，比去年同期增加</w:t>
      </w:r>
      <w:r>
        <w:rPr>
          <w:rFonts w:ascii="Times New Roman" w:hAnsi="Times New Roman" w:cs="Times New Roman" w:eastAsia="Times New Roman" w:hint="default"/>
          <w:spacing w:val="-3"/>
        </w:rPr>
        <w:t>16</w:t>
      </w:r>
      <w:r>
        <w:rPr>
          <w:spacing w:val="-3"/>
        </w:rPr>
        <w:t>万吨，增长</w:t>
      </w:r>
      <w:r>
        <w:rPr>
          <w:rFonts w:ascii="Times New Roman" w:hAnsi="Times New Roman" w:cs="Times New Roman" w:eastAsia="Times New Roman" w:hint="default"/>
          <w:spacing w:val="-3"/>
        </w:rPr>
        <w:t>3.96%</w:t>
      </w:r>
      <w:r>
        <w:rPr>
          <w:spacing w:val="-3"/>
        </w:rPr>
        <w:t>；销量</w:t>
      </w:r>
      <w:r>
        <w:rPr>
          <w:rFonts w:ascii="Times New Roman" w:hAnsi="Times New Roman" w:cs="Times New Roman" w:eastAsia="Times New Roman" w:hint="default"/>
          <w:spacing w:val="-3"/>
        </w:rPr>
        <w:t>419</w:t>
      </w:r>
      <w:r>
        <w:rPr>
          <w:spacing w:val="-3"/>
        </w:rPr>
        <w:t>万吨，比去年同期增加</w:t>
      </w:r>
      <w:r>
        <w:rPr>
          <w:rFonts w:ascii="Times New Roman" w:hAnsi="Times New Roman" w:cs="Times New Roman" w:eastAsia="Times New Roman" w:hint="default"/>
          <w:spacing w:val="-3"/>
        </w:rPr>
        <w:t>3.6</w:t>
      </w:r>
      <w:r>
        <w:rPr>
          <w:spacing w:val="-3"/>
        </w:rPr>
        <w:t>万吨，</w:t>
      </w:r>
      <w:r>
        <w:rPr/>
        <w:t> 增长</w:t>
      </w:r>
      <w:r>
        <w:rPr>
          <w:rFonts w:ascii="Times New Roman" w:hAnsi="Times New Roman" w:cs="Times New Roman" w:eastAsia="Times New Roman" w:hint="default"/>
        </w:rPr>
        <w:t>0.86%</w:t>
      </w:r>
      <w:r>
        <w:rPr/>
        <w:t>；实现主营业务收入人民币</w:t>
      </w:r>
      <w:r>
        <w:rPr>
          <w:rFonts w:ascii="Times New Roman" w:hAnsi="Times New Roman" w:cs="Times New Roman" w:eastAsia="Times New Roman" w:hint="default"/>
        </w:rPr>
        <w:t>1,899,842.29</w:t>
      </w:r>
      <w:r>
        <w:rPr/>
        <w:t>万元，比去年同期减少人民币</w:t>
      </w:r>
      <w:r>
        <w:rPr>
          <w:rFonts w:ascii="Times New Roman" w:hAnsi="Times New Roman" w:cs="Times New Roman" w:eastAsia="Times New Roman" w:hint="default"/>
        </w:rPr>
        <w:t>115,437.27</w:t>
      </w:r>
      <w:r>
        <w:rPr/>
        <w:t>万元，降低</w:t>
      </w:r>
      <w:r>
        <w:rPr>
          <w:rFonts w:ascii="Times New Roman" w:hAnsi="Times New Roman" w:cs="Times New Roman" w:eastAsia="Times New Roman" w:hint="default"/>
        </w:rPr>
        <w:t>5.73%</w:t>
      </w:r>
      <w:r>
        <w:rPr/>
        <w:t>。 公司实物销售收入是否大于劳务收入</w:t>
      </w:r>
    </w:p>
    <w:p>
      <w:pPr>
        <w:pStyle w:val="BodyText"/>
        <w:spacing w:line="240" w:lineRule="auto" w:before="58"/>
        <w:ind w:right="1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5"/>
        <w:gridCol w:w="1583"/>
        <w:gridCol w:w="1606"/>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5"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1595" w:type="dxa"/>
            <w:vMerge/>
            <w:tcBorders>
              <w:left w:val="single" w:sz="4" w:space="0" w:color="000000"/>
              <w:right w:val="single" w:sz="13" w:space="0" w:color="D3D3D3"/>
            </w:tcBorders>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w:t>
            </w:r>
          </w:p>
        </w:tc>
      </w:tr>
      <w:tr>
        <w:trPr>
          <w:trHeight w:val="402" w:hRule="exact"/>
        </w:trPr>
        <w:tc>
          <w:tcPr>
            <w:tcW w:w="1595" w:type="dxa"/>
            <w:vMerge/>
            <w:tcBorders>
              <w:left w:val="single" w:sz="4" w:space="0" w:color="000000"/>
              <w:bottom w:val="single" w:sz="4" w:space="0" w:color="000000"/>
              <w:right w:val="single" w:sz="13" w:space="0" w:color="D3D3D3"/>
            </w:tcBorders>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17.95%</w:t>
            </w:r>
          </w:p>
        </w:tc>
      </w:tr>
    </w:tbl>
    <w:p>
      <w:pPr>
        <w:pStyle w:val="BodyText"/>
        <w:spacing w:line="240" w:lineRule="auto" w:before="51"/>
        <w:ind w:right="182"/>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right="783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公司重大的在手订单情况</w:t>
      </w:r>
    </w:p>
    <w:p>
      <w:pPr>
        <w:pStyle w:val="BodyText"/>
        <w:spacing w:line="338" w:lineRule="auto" w:before="43"/>
        <w:ind w:right="549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40" w:lineRule="auto" w:before="42"/>
        <w:ind w:right="801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1,420,196,436.94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w:t>
            </w:r>
          </w:p>
        </w:tc>
      </w:tr>
    </w:tbl>
    <w:p>
      <w:pPr>
        <w:pStyle w:val="BodyText"/>
        <w:spacing w:line="240" w:lineRule="auto" w:before="51"/>
        <w:ind w:right="18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4610"/>
        <w:gridCol w:w="2084"/>
        <w:gridCol w:w="208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0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46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INTERNATIONAL </w:t>
            </w:r>
            <w:r>
              <w:rPr>
                <w:rFonts w:ascii="Times New Roman"/>
                <w:sz w:val="18"/>
              </w:rPr>
              <w:t>FOREST PRODUCTS</w:t>
            </w:r>
            <w:r>
              <w:rPr>
                <w:rFonts w:ascii="Times New Roman"/>
                <w:spacing w:val="-2"/>
                <w:sz w:val="18"/>
              </w:rPr>
              <w:t> </w:t>
            </w:r>
            <w:r>
              <w:rPr>
                <w:rFonts w:ascii="Times New Roman"/>
                <w:spacing w:val="-3"/>
                <w:sz w:val="18"/>
              </w:rPr>
              <w:t>CORPORATION</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399,448,051.38</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46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上海姚记扑克股份有限公司</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347,429,451.05</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46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安徽时代物资股份有限公司</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291,246,150.87</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46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广州启润纸业有限公司</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205,159,983.53</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46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SUN HING </w:t>
            </w:r>
            <w:r>
              <w:rPr>
                <w:rFonts w:ascii="Times New Roman"/>
                <w:spacing w:val="-4"/>
                <w:sz w:val="18"/>
              </w:rPr>
              <w:t>PAPER COMPANY</w:t>
            </w:r>
            <w:r>
              <w:rPr>
                <w:rFonts w:ascii="Times New Roman"/>
                <w:spacing w:val="-7"/>
                <w:sz w:val="18"/>
              </w:rPr>
              <w:t> </w:t>
            </w:r>
            <w:r>
              <w:rPr>
                <w:rFonts w:ascii="Times New Roman"/>
                <w:sz w:val="18"/>
              </w:rPr>
              <w:t>LIMITED</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176,912,800.11</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2"/>
        <w:gridCol w:w="4598"/>
        <w:gridCol w:w="2084"/>
        <w:gridCol w:w="208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0" w:right="0"/>
              <w:jc w:val="left"/>
              <w:rPr>
                <w:rFonts w:ascii="Times New Roman" w:hAnsi="Times New Roman" w:cs="Times New Roman" w:eastAsia="Times New Roman" w:hint="default"/>
                <w:sz w:val="18"/>
                <w:szCs w:val="18"/>
              </w:rPr>
            </w:pPr>
            <w:r>
              <w:rPr>
                <w:rFonts w:ascii="Times New Roman"/>
                <w:sz w:val="18"/>
              </w:rPr>
              <w:t>1,420,196,436.94</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7"/>
        <w:jc w:val="left"/>
      </w:pPr>
      <w:r>
        <w:rPr/>
        <w:t>行业分类</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584"/>
        <w:gridCol w:w="1440"/>
        <w:gridCol w:w="1440"/>
        <w:gridCol w:w="1440"/>
        <w:gridCol w:w="931"/>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8,270,309,911.65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8,583,818,150.47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56.89%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798,497,976.35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750,553,780.31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4.97%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146,157,235.36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196,062,500.42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1,710,914,100.72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1,968,304,028.05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-1.32%</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2,364,613,555.39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2,285,170,540.42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15.14%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1.06%</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1,300,267,209.62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1,304,715,360.94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14,590,759,989.08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15,088,624,360.61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285,462,227.22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82.28%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950,923,905.71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84.23%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27,982,337.63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90,305,114.81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10,256,856.25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33,117,524.88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3,090,405.29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725,994.07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0.83%</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1,270,455.70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808,268.78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18,857,391.98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53,068,781.97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0.73%</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346,919,674.07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1,128,949,590.22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140,409,930.75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168,137,137.30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82.39%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-4.81%</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4,532,363.38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2,411,328.71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1.32%</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6,756,070.59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7,425,294.19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18,611,421.65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15,233,571.16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2.82%</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2,424,223.60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2,069,485.59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8,247,964.35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8,792,137.98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180,981,974.32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204,068,954.93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47"/>
        <w:jc w:val="left"/>
      </w:pPr>
      <w:r>
        <w:rPr/>
        <w:t>产品分类</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轻涂纸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286,492,598.75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403,151,069.97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w:t>
            </w:r>
          </w:p>
        </w:tc>
      </w:tr>
      <w:tr>
        <w:trPr>
          <w:trHeight w:val="403" w:hRule="exact"/>
        </w:trPr>
        <w:tc>
          <w:tcPr>
            <w:tcW w:w="1369" w:type="dxa"/>
            <w:vMerge/>
            <w:tcBorders>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37,727,682.94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43,101,737.46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nil" w:sz="6" w:space="0" w:color="auto"/>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5,873,965.87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9,700,447.50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83,705,242.97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106,700,158.31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131,760,400.13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162,546,030.80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57,312,115.16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71,944,219.52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602,872,005.81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797,143,663.55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1,431,120,330.70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1,214,355,314.27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117,995,749.14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100,689,154.79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31,482,403.02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31,483,824.40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307,530,040.63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291,066,793.05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253,441,402.97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245,562,795.30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220,156,629.20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218,190,658.91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2,361,726,555.66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2,101,348,540.72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书写纸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109,740,963.17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149,910,988.47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5,193,423.62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10,907,314.44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1,549,293.17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3,413,557.43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16,740,303.39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30,077,128.15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13,648,365.90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33,090,532.19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13,088,908.93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21,803,390.81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-0.57%</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159,961,258.19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249,202,911.49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新闻纸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568,322,353.02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771,076,094.95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54,356,715.72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70,407,567.04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2,599,692.29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3,102,670.61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89,496,873.96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135,995,525.13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23,593,647.04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23,578,983.71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78,021,226.40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98,992,990.19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816,390,508.43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1,103,153,831.64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箱板纸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429,621,351.03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504,717,758.73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49,048,109.98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50,755,273.73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4,542,028.90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6,288,010.63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111,667,466.62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149,627,956.09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59,923,191.98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56,329,994.64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60,805,160.82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47,623,145.79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715,607,309.32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815,342,139.62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831,217,330.55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1,100,225,284.60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nil" w:sz="6" w:space="0" w:color="auto"/>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132,949,669.39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75,261,256.47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10,949,647.02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42,515,456.75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142,437,643.87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260,320,599.03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315,737,844.04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130,815,953.92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11.96%</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187,061,558.40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128,908,644.65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1,620,353,693.26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1,738,047,195.43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静电纸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795,083,818.48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957,819,100.57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79,203,023.64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80,479,976.88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15,260,381.41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17,797,747.75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106,137,537.57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122,190,311.18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143,218,565.70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156,499,910.35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170,473,764.42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161,740,629.39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1,309,377,091.22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1,496,527,676.12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1,585,739,644.72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1,698,992,285.99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168,330,214.28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173,117,736.81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30,933,196.98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38,811,650.49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416,226,099.23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497,682,186.82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1,115,632,506.76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1,123,166,129.58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285,975,072.90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331,667,388.72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-0.65%</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3,602,836,734.87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3,863,437,378.40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其他机制纸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2,179,994,585.57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1,750,554,092.69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157,515,932.11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140,766,220.97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41,222,937.00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45,331,938.71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421,947,392.20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352,474,902.16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354,280,591.75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395,378,019.07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246,673,393.68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239,915,850.05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3,401,634,832.32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2,924,421,023.65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47"/>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2,678,073,327.38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17.49%</w:t>
            </w:r>
          </w:p>
        </w:tc>
      </w:tr>
    </w:tbl>
    <w:p>
      <w:pPr>
        <w:pStyle w:val="BodyText"/>
        <w:spacing w:line="240" w:lineRule="auto" w:before="51"/>
        <w:ind w:right="147"/>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right="147"/>
        <w:jc w:val="left"/>
      </w:pPr>
      <w:r>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07"/>
        <w:gridCol w:w="2894"/>
        <w:gridCol w:w="2878"/>
        <w:gridCol w:w="2866"/>
      </w:tblGrid>
      <w:tr>
        <w:trPr>
          <w:trHeight w:val="402" w:hRule="exact"/>
        </w:trPr>
        <w:tc>
          <w:tcPr>
            <w:tcW w:w="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8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93"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w:t>
            </w:r>
          </w:p>
        </w:tc>
        <w:tc>
          <w:tcPr>
            <w:tcW w:w="28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江西煤业销售有限责任公司</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0" w:right="0"/>
              <w:jc w:val="left"/>
              <w:rPr>
                <w:rFonts w:ascii="Times New Roman" w:hAnsi="Times New Roman" w:cs="Times New Roman" w:eastAsia="Times New Roman" w:hint="default"/>
                <w:sz w:val="18"/>
                <w:szCs w:val="18"/>
              </w:rPr>
            </w:pPr>
            <w:r>
              <w:rPr>
                <w:rFonts w:ascii="Times New Roman"/>
                <w:sz w:val="18"/>
              </w:rPr>
              <w:t>662,833,621.30</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1"/>
        <w:gridCol w:w="2890"/>
        <w:gridCol w:w="2878"/>
        <w:gridCol w:w="2878"/>
      </w:tblGrid>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04"/>
              <w:jc w:val="right"/>
              <w:rPr>
                <w:rFonts w:ascii="Times New Roman" w:hAnsi="Times New Roman" w:cs="Times New Roman" w:eastAsia="Times New Roman" w:hint="default"/>
                <w:sz w:val="18"/>
                <w:szCs w:val="18"/>
              </w:rPr>
            </w:pPr>
            <w:r>
              <w:rPr>
                <w:rFonts w:ascii="Times New Roman"/>
                <w:sz w:val="18"/>
              </w:rPr>
              <w:t>2</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广东乐朋商贸有限公司</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564,931,903.79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04"/>
              <w:jc w:val="right"/>
              <w:rPr>
                <w:rFonts w:ascii="Times New Roman" w:hAnsi="Times New Roman" w:cs="Times New Roman" w:eastAsia="Times New Roman" w:hint="default"/>
                <w:sz w:val="18"/>
                <w:szCs w:val="18"/>
              </w:rPr>
            </w:pPr>
            <w:r>
              <w:rPr>
                <w:rFonts w:ascii="Times New Roman"/>
                <w:sz w:val="18"/>
              </w:rPr>
              <w:t>3</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湛江明俐商贸有限公司</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492,844,126.50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04"/>
              <w:jc w:val="right"/>
              <w:rPr>
                <w:rFonts w:ascii="Times New Roman" w:hAnsi="Times New Roman" w:cs="Times New Roman" w:eastAsia="Times New Roman" w:hint="default"/>
                <w:sz w:val="18"/>
                <w:szCs w:val="18"/>
              </w:rPr>
            </w:pPr>
            <w:r>
              <w:rPr>
                <w:rFonts w:ascii="Times New Roman"/>
                <w:sz w:val="18"/>
              </w:rPr>
              <w:t>4</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山东和信化工集团有限公司</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488,485,049.02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04"/>
              <w:jc w:val="right"/>
              <w:rPr>
                <w:rFonts w:ascii="Times New Roman" w:hAnsi="Times New Roman" w:cs="Times New Roman" w:eastAsia="Times New Roman" w:hint="default"/>
                <w:sz w:val="18"/>
                <w:szCs w:val="18"/>
              </w:rPr>
            </w:pPr>
            <w:r>
              <w:rPr>
                <w:rFonts w:ascii="Times New Roman"/>
                <w:sz w:val="18"/>
              </w:rPr>
              <w:t>5</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满洲里金发贸易有限公司</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468,978,626.77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87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2,678,073,327.38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17.49%</w:t>
            </w:r>
          </w:p>
        </w:tc>
      </w:tr>
    </w:tbl>
    <w:p>
      <w:pPr>
        <w:spacing w:line="240" w:lineRule="auto" w:before="2"/>
        <w:rPr>
          <w:rFonts w:ascii="宋体" w:hAnsi="宋体" w:cs="宋体" w:eastAsia="宋体" w:hint="default"/>
          <w:sz w:val="19"/>
          <w:szCs w:val="19"/>
        </w:rPr>
      </w:pPr>
    </w:p>
    <w:p>
      <w:pPr>
        <w:pStyle w:val="Heading4"/>
        <w:spacing w:line="240" w:lineRule="auto" w:before="35"/>
        <w:ind w:right="182"/>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098"/>
        <w:gridCol w:w="2346"/>
        <w:gridCol w:w="2341"/>
        <w:gridCol w:w="1660"/>
      </w:tblGrid>
      <w:tr>
        <w:trPr>
          <w:trHeight w:val="348" w:hRule="exact"/>
        </w:trPr>
        <w:tc>
          <w:tcPr>
            <w:tcW w:w="30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715" w:right="0"/>
              <w:jc w:val="left"/>
              <w:rPr>
                <w:rFonts w:ascii="宋体" w:hAnsi="宋体" w:cs="宋体" w:eastAsia="宋体" w:hint="default"/>
                <w:sz w:val="18"/>
                <w:szCs w:val="18"/>
              </w:rPr>
            </w:pPr>
            <w:r>
              <w:rPr>
                <w:rFonts w:ascii="宋体" w:hAnsi="宋体" w:cs="宋体" w:eastAsia="宋体" w:hint="default"/>
                <w:sz w:val="18"/>
                <w:szCs w:val="18"/>
              </w:rPr>
              <w:t>本年累计数</w:t>
            </w:r>
          </w:p>
        </w:tc>
        <w:tc>
          <w:tcPr>
            <w:tcW w:w="23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712" w:right="0"/>
              <w:jc w:val="left"/>
              <w:rPr>
                <w:rFonts w:ascii="宋体" w:hAnsi="宋体" w:cs="宋体" w:eastAsia="宋体" w:hint="default"/>
                <w:sz w:val="18"/>
                <w:szCs w:val="18"/>
              </w:rPr>
            </w:pPr>
            <w:r>
              <w:rPr>
                <w:rFonts w:ascii="宋体" w:hAnsi="宋体" w:cs="宋体" w:eastAsia="宋体" w:hint="default"/>
                <w:sz w:val="18"/>
                <w:szCs w:val="18"/>
              </w:rPr>
              <w:t>上年累计数</w:t>
            </w:r>
          </w:p>
        </w:tc>
        <w:tc>
          <w:tcPr>
            <w:tcW w:w="16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07"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6"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1,148,055,535.23</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1,129,145,035.51</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1.67%</w:t>
            </w:r>
          </w:p>
        </w:tc>
      </w:tr>
      <w:tr>
        <w:trPr>
          <w:trHeight w:val="427"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1,160,542,907.39</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1,198,704,556.00</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-3.18%</w:t>
            </w:r>
          </w:p>
        </w:tc>
      </w:tr>
      <w:tr>
        <w:trPr>
          <w:trHeight w:val="427"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1,229,259,157.47</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930,604,174.96</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32.09%</w:t>
            </w:r>
          </w:p>
        </w:tc>
      </w:tr>
      <w:tr>
        <w:trPr>
          <w:trHeight w:val="427"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59,540,362.11</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24,104,912.81</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147.01%</w:t>
            </w:r>
          </w:p>
        </w:tc>
      </w:tr>
      <w:tr>
        <w:trPr>
          <w:trHeight w:val="427"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107,699,410.64</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175,938,431.91</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-38.79%</w:t>
            </w:r>
          </w:p>
        </w:tc>
      </w:tr>
    </w:tbl>
    <w:p>
      <w:pPr>
        <w:pStyle w:val="BodyText"/>
        <w:spacing w:line="240" w:lineRule="auto" w:before="10"/>
        <w:ind w:right="182"/>
        <w:jc w:val="left"/>
      </w:pPr>
      <w:r>
        <w:rPr/>
        <w:t>（</w:t>
      </w:r>
      <w:r>
        <w:rPr>
          <w:rFonts w:ascii="Times New Roman" w:hAnsi="Times New Roman" w:cs="Times New Roman" w:eastAsia="Times New Roman" w:hint="default"/>
        </w:rPr>
        <w:t>1</w:t>
      </w:r>
      <w:r>
        <w:rPr/>
        <w:t>）财务费用</w:t>
      </w:r>
      <w:r>
        <w:rPr>
          <w:rFonts w:ascii="Times New Roman" w:hAnsi="Times New Roman" w:cs="Times New Roman" w:eastAsia="Times New Roman" w:hint="default"/>
        </w:rPr>
        <w:t>2014</w:t>
      </w:r>
      <w:r>
        <w:rPr/>
        <w:t>年度比上年数增加</w:t>
      </w:r>
      <w:r>
        <w:rPr>
          <w:rFonts w:ascii="Times New Roman" w:hAnsi="Times New Roman" w:cs="Times New Roman" w:eastAsia="Times New Roman" w:hint="default"/>
        </w:rPr>
        <w:t>32.09%</w:t>
      </w:r>
      <w:r>
        <w:rPr/>
        <w:t>，其主要原因是人民币贬值，汇兑损失增加，利息费用增加等因素。</w:t>
      </w:r>
    </w:p>
    <w:p>
      <w:pPr>
        <w:pStyle w:val="BodyText"/>
        <w:spacing w:line="240" w:lineRule="auto" w:before="62"/>
        <w:ind w:right="182"/>
        <w:jc w:val="left"/>
      </w:pPr>
      <w:r>
        <w:rPr/>
        <w:t>（</w:t>
      </w:r>
      <w:r>
        <w:rPr>
          <w:rFonts w:ascii="Times New Roman" w:hAnsi="Times New Roman" w:cs="Times New Roman" w:eastAsia="Times New Roman" w:hint="default"/>
        </w:rPr>
        <w:t>2</w:t>
      </w:r>
      <w:r>
        <w:rPr/>
        <w:t>）资产减值损失</w:t>
      </w:r>
      <w:r>
        <w:rPr>
          <w:rFonts w:ascii="Times New Roman" w:hAnsi="Times New Roman" w:cs="Times New Roman" w:eastAsia="Times New Roman" w:hint="default"/>
        </w:rPr>
        <w:t>2014</w:t>
      </w:r>
      <w:r>
        <w:rPr/>
        <w:t>年度比上年数增加</w:t>
      </w:r>
      <w:r>
        <w:rPr>
          <w:rFonts w:ascii="Times New Roman" w:hAnsi="Times New Roman" w:cs="Times New Roman" w:eastAsia="Times New Roman" w:hint="default"/>
        </w:rPr>
        <w:t>147.01%</w:t>
      </w:r>
      <w:r>
        <w:rPr/>
        <w:t>，其主要原因是应收账款增加，提取的坏账准备增加。</w:t>
      </w:r>
    </w:p>
    <w:p>
      <w:pPr>
        <w:pStyle w:val="BodyText"/>
        <w:spacing w:line="240" w:lineRule="auto" w:before="62"/>
        <w:ind w:right="182"/>
        <w:jc w:val="left"/>
      </w:pPr>
      <w:r>
        <w:rPr/>
        <w:t>（</w:t>
      </w:r>
      <w:r>
        <w:rPr>
          <w:rFonts w:ascii="Times New Roman" w:hAnsi="Times New Roman" w:cs="Times New Roman" w:eastAsia="Times New Roman" w:hint="default"/>
        </w:rPr>
        <w:t>3</w:t>
      </w:r>
      <w:r>
        <w:rPr/>
        <w:t>）所得税费用</w:t>
      </w:r>
      <w:r>
        <w:rPr>
          <w:rFonts w:ascii="Times New Roman" w:hAnsi="Times New Roman" w:cs="Times New Roman" w:eastAsia="Times New Roman" w:hint="default"/>
        </w:rPr>
        <w:t>2014</w:t>
      </w:r>
      <w:r>
        <w:rPr/>
        <w:t>年度比上年数减少</w:t>
      </w:r>
      <w:r>
        <w:rPr>
          <w:rFonts w:ascii="Times New Roman" w:hAnsi="Times New Roman" w:cs="Times New Roman" w:eastAsia="Times New Roman" w:hint="default"/>
        </w:rPr>
        <w:t>38.79%</w:t>
      </w:r>
      <w:r>
        <w:rPr/>
        <w:t>，其主要原因是受市场和汇率等因素的影响，公司盈利水平同比降低。</w:t>
      </w:r>
    </w:p>
    <w:p>
      <w:pPr>
        <w:spacing w:line="240" w:lineRule="auto" w:before="12"/>
        <w:rPr>
          <w:rFonts w:ascii="宋体" w:hAnsi="宋体" w:cs="宋体" w:eastAsia="宋体" w:hint="default"/>
          <w:sz w:val="25"/>
          <w:szCs w:val="25"/>
        </w:rPr>
      </w:pPr>
    </w:p>
    <w:p>
      <w:pPr>
        <w:pStyle w:val="Heading4"/>
        <w:spacing w:line="240" w:lineRule="auto"/>
        <w:ind w:right="182"/>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3" w:right="182" w:firstLine="360"/>
        <w:jc w:val="left"/>
      </w:pPr>
      <w:r>
        <w:rPr>
          <w:rFonts w:ascii="Times New Roman" w:hAnsi="Times New Roman" w:cs="Times New Roman" w:eastAsia="Times New Roman" w:hint="default"/>
          <w:spacing w:val="-1"/>
        </w:rPr>
        <w:t>2014</w:t>
      </w:r>
      <w:r>
        <w:rPr>
          <w:spacing w:val="-1"/>
        </w:rPr>
        <w:t>年度研发支出总额</w:t>
      </w:r>
      <w:r>
        <w:rPr>
          <w:rFonts w:ascii="Times New Roman" w:hAnsi="Times New Roman" w:cs="Times New Roman" w:eastAsia="Times New Roman" w:hint="default"/>
          <w:spacing w:val="-1"/>
        </w:rPr>
        <w:t>46,982.65</w:t>
      </w:r>
      <w:r>
        <w:rPr>
          <w:spacing w:val="-1"/>
        </w:rPr>
        <w:t>万元，较上年同期</w:t>
      </w:r>
      <w:r>
        <w:rPr>
          <w:rFonts w:ascii="Times New Roman" w:hAnsi="Times New Roman" w:cs="Times New Roman" w:eastAsia="Times New Roman" w:hint="default"/>
          <w:spacing w:val="-1"/>
        </w:rPr>
        <w:t>37,926.12</w:t>
      </w:r>
      <w:r>
        <w:rPr>
          <w:spacing w:val="-1"/>
        </w:rPr>
        <w:t>万元增加</w:t>
      </w:r>
      <w:r>
        <w:rPr>
          <w:rFonts w:ascii="Times New Roman" w:hAnsi="Times New Roman" w:cs="Times New Roman" w:eastAsia="Times New Roman" w:hint="default"/>
          <w:spacing w:val="-1"/>
        </w:rPr>
        <w:t>9,056.53</w:t>
      </w:r>
      <w:r>
        <w:rPr>
          <w:spacing w:val="-1"/>
        </w:rPr>
        <w:t>万元，增幅</w:t>
      </w:r>
      <w:r>
        <w:rPr>
          <w:rFonts w:ascii="Times New Roman" w:hAnsi="Times New Roman" w:cs="Times New Roman" w:eastAsia="Times New Roman" w:hint="default"/>
          <w:spacing w:val="-1"/>
        </w:rPr>
        <w:t>23.88%</w:t>
      </w:r>
      <w:r>
        <w:rPr>
          <w:spacing w:val="-1"/>
        </w:rPr>
        <w:t>，研发支出占净资产的</w:t>
      </w:r>
      <w:r>
        <w:rPr/>
        <w:t> 比率</w:t>
      </w:r>
      <w:r>
        <w:rPr>
          <w:rFonts w:ascii="Times New Roman" w:hAnsi="Times New Roman" w:cs="Times New Roman" w:eastAsia="Times New Roman" w:hint="default"/>
        </w:rPr>
        <w:t>3.27%</w:t>
      </w:r>
      <w:r>
        <w:rPr/>
        <w:t>较上年同期</w:t>
      </w:r>
      <w:r>
        <w:rPr>
          <w:rFonts w:ascii="Times New Roman" w:hAnsi="Times New Roman" w:cs="Times New Roman" w:eastAsia="Times New Roman" w:hint="default"/>
        </w:rPr>
        <w:t>2.59%</w:t>
      </w:r>
      <w:r>
        <w:rPr/>
        <w:t>增加</w:t>
      </w:r>
      <w:r>
        <w:rPr>
          <w:rFonts w:ascii="Times New Roman" w:hAnsi="Times New Roman" w:cs="Times New Roman" w:eastAsia="Times New Roman" w:hint="default"/>
        </w:rPr>
        <w:t>0.68%</w:t>
      </w:r>
      <w:r>
        <w:rPr/>
        <w:t>，研发支出占营业收入的比率</w:t>
      </w:r>
      <w:r>
        <w:rPr>
          <w:rFonts w:ascii="Times New Roman" w:hAnsi="Times New Roman" w:cs="Times New Roman" w:eastAsia="Times New Roman" w:hint="default"/>
        </w:rPr>
        <w:t>2.46%</w:t>
      </w:r>
      <w:r>
        <w:rPr/>
        <w:t>较上年同期</w:t>
      </w:r>
      <w:r>
        <w:rPr>
          <w:rFonts w:ascii="Times New Roman" w:hAnsi="Times New Roman" w:cs="Times New Roman" w:eastAsia="Times New Roman" w:hint="default"/>
        </w:rPr>
        <w:t>1.86%</w:t>
      </w:r>
      <w:r>
        <w:rPr/>
        <w:t>增加</w:t>
      </w:r>
      <w:r>
        <w:rPr>
          <w:rFonts w:ascii="Times New Roman" w:hAnsi="Times New Roman" w:cs="Times New Roman" w:eastAsia="Times New Roman" w:hint="default"/>
        </w:rPr>
        <w:t>0.60%</w:t>
      </w:r>
      <w:r>
        <w:rPr/>
        <w:t>。</w:t>
      </w:r>
    </w:p>
    <w:p>
      <w:pPr>
        <w:pStyle w:val="BodyText"/>
        <w:spacing w:line="307" w:lineRule="auto" w:before="50"/>
        <w:ind w:right="91" w:firstLine="419"/>
        <w:jc w:val="left"/>
      </w:pP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发展进入收官阶段，我公司积极开展新产品新技术的研发工作，推进产品结构调整，先后开展了</w:t>
      </w:r>
      <w:r>
        <w:rPr>
          <w:spacing w:val="1"/>
        </w:rPr>
        <w:t> </w:t>
      </w:r>
      <w:r>
        <w:rPr/>
        <w:t>生物造纸技术（国家</w:t>
      </w:r>
      <w:r>
        <w:rPr>
          <w:rFonts w:ascii="Times New Roman" w:hAnsi="Times New Roman" w:cs="Times New Roman" w:eastAsia="Times New Roman" w:hint="default"/>
        </w:rPr>
        <w:t>863</w:t>
      </w:r>
      <w:r>
        <w:rPr/>
        <w:t>科技攻关项目）、省创新项目耐久性不干胶原纸、高档格拉辛纸、高强度牛皮卡纸、高档热敏收银</w:t>
      </w:r>
      <w:r>
        <w:rPr>
          <w:spacing w:val="-83"/>
        </w:rPr>
        <w:t> </w:t>
      </w:r>
      <w:r>
        <w:rPr>
          <w:spacing w:val="-83"/>
        </w:rPr>
      </w:r>
      <w:r>
        <w:rPr>
          <w:spacing w:val="-4"/>
        </w:rPr>
        <w:t>纸技术开发及镭射纸、淋膜原纸、无荧光涂布牛卡纸和涂布纸速效施胶技术等新产品、新技术的研发工作，优化了产品结构，</w:t>
      </w:r>
      <w:r>
        <w:rPr>
          <w:spacing w:val="-46"/>
        </w:rPr>
        <w:t> </w:t>
      </w:r>
      <w:r>
        <w:rPr>
          <w:spacing w:val="-46"/>
        </w:rPr>
      </w:r>
      <w:r>
        <w:rPr/>
        <w:t>提升了产品质量，增强了市场竞争力，为公司的新发展注入了新的活力。</w:t>
      </w:r>
    </w:p>
    <w:p>
      <w:pPr>
        <w:spacing w:line="240" w:lineRule="auto" w:before="1"/>
        <w:rPr>
          <w:rFonts w:ascii="宋体" w:hAnsi="宋体" w:cs="宋体" w:eastAsia="宋体" w:hint="default"/>
          <w:sz w:val="23"/>
          <w:szCs w:val="23"/>
        </w:rPr>
      </w:pPr>
    </w:p>
    <w:p>
      <w:pPr>
        <w:pStyle w:val="Heading4"/>
        <w:spacing w:line="240" w:lineRule="auto"/>
        <w:ind w:right="182"/>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57"/>
        <w:gridCol w:w="2242"/>
        <w:gridCol w:w="2228"/>
        <w:gridCol w:w="2230"/>
      </w:tblGrid>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17,924,508,169.86</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20,363,176,118.78</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-11.98%</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16,939,108,434.01</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19,240,559,317.87</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-11.96%</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985,399,735.85</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1,122,616,800.91</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-12.22%</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1,022,916,113.63</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1,926,791,350.79</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-46.91%</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4,096,185,535.33</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3,837,739,389.14</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-3,073,269,421.70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-1,910,948,038.35</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-60.82%</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25,487,820,197.15</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23,126,276,064.56</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68"/>
        <w:gridCol w:w="2242"/>
        <w:gridCol w:w="2228"/>
        <w:gridCol w:w="2230"/>
      </w:tblGrid>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23,159,468,612.66</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23,958,313,170.73</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2,328,351,584.49</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-832,037,106.17</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379.84%</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249,563,932.34</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-1,617,017,256.49</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115.43%</w:t>
            </w:r>
          </w:p>
        </w:tc>
      </w:tr>
    </w:tbl>
    <w:p>
      <w:pPr>
        <w:pStyle w:val="BodyText"/>
        <w:spacing w:line="240" w:lineRule="auto" w:before="51"/>
        <w:ind w:right="147"/>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147"/>
        <w:jc w:val="left"/>
      </w:pPr>
      <w:r>
        <w:rPr/>
        <w:t>（</w:t>
      </w:r>
      <w:r>
        <w:rPr>
          <w:rFonts w:ascii="Times New Roman" w:hAnsi="Times New Roman" w:cs="Times New Roman" w:eastAsia="Times New Roman" w:hint="default"/>
        </w:rPr>
        <w:t>1</w:t>
      </w:r>
      <w:r>
        <w:rPr/>
        <w:t>）经营活动产生的现金流量净额比上年同期减少</w:t>
      </w:r>
      <w:r>
        <w:rPr>
          <w:rFonts w:ascii="Times New Roman" w:hAnsi="Times New Roman" w:cs="Times New Roman" w:eastAsia="Times New Roman" w:hint="default"/>
        </w:rPr>
        <w:t>12.22%</w:t>
      </w:r>
      <w:r>
        <w:rPr/>
        <w:t>，其主要原因是机制纸价格下降，导致现金流入减少。</w:t>
      </w:r>
    </w:p>
    <w:p>
      <w:pPr>
        <w:pStyle w:val="BodyText"/>
        <w:spacing w:line="240" w:lineRule="auto" w:before="102"/>
        <w:ind w:right="147"/>
        <w:jc w:val="left"/>
      </w:pPr>
      <w:r>
        <w:rPr/>
        <w:t>（</w:t>
      </w:r>
      <w:r>
        <w:rPr>
          <w:rFonts w:ascii="Times New Roman" w:hAnsi="Times New Roman" w:cs="Times New Roman" w:eastAsia="Times New Roman" w:hint="default"/>
        </w:rPr>
        <w:t>2</w:t>
      </w:r>
      <w:r>
        <w:rPr/>
        <w:t>）投资活动产生的现金流量净额比上年同期减少</w:t>
      </w:r>
      <w:r>
        <w:rPr>
          <w:rFonts w:ascii="Times New Roman" w:hAnsi="Times New Roman" w:cs="Times New Roman" w:eastAsia="Times New Roman" w:hint="default"/>
        </w:rPr>
        <w:t>60.82%</w:t>
      </w:r>
      <w:r>
        <w:rPr/>
        <w:t>，其主要原因是收到的搬迁补偿款和股权转让款减少。</w:t>
      </w:r>
    </w:p>
    <w:p>
      <w:pPr>
        <w:pStyle w:val="BodyText"/>
        <w:spacing w:line="338" w:lineRule="auto" w:before="103"/>
        <w:ind w:right="1295"/>
        <w:jc w:val="left"/>
      </w:pPr>
      <w:r>
        <w:rPr/>
        <w:t>（</w:t>
      </w:r>
      <w:r>
        <w:rPr>
          <w:rFonts w:ascii="Times New Roman" w:hAnsi="Times New Roman" w:cs="Times New Roman" w:eastAsia="Times New Roman" w:hint="default"/>
        </w:rPr>
        <w:t>3</w:t>
      </w:r>
      <w:r>
        <w:rPr/>
        <w:t>）筹资活动产生的现金流量净额比上年同期增加</w:t>
      </w:r>
      <w:r>
        <w:rPr>
          <w:rFonts w:ascii="Times New Roman" w:hAnsi="Times New Roman" w:cs="Times New Roman" w:eastAsia="Times New Roman" w:hint="default"/>
        </w:rPr>
        <w:t>379.84%</w:t>
      </w:r>
      <w:r>
        <w:rPr/>
        <w:t>，其主要原因是公司项目投入等导致借款增加。 报告期内公司经营活动的现金流量与本年度净利润存在重大差异的原因说明</w:t>
      </w:r>
    </w:p>
    <w:p>
      <w:pPr>
        <w:pStyle w:val="BodyText"/>
        <w:spacing w:line="240" w:lineRule="auto" w:before="42"/>
        <w:ind w:right="147"/>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47"/>
        <w:jc w:val="left"/>
        <w:rPr>
          <w:b w:val="0"/>
          <w:bCs w:val="0"/>
        </w:rPr>
      </w:pPr>
      <w:r>
        <w:rPr/>
        <w:t>三、主营业务构成情况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75"/>
        <w:gridCol w:w="1712"/>
        <w:gridCol w:w="1619"/>
        <w:gridCol w:w="1080"/>
        <w:gridCol w:w="1256"/>
        <w:gridCol w:w="1439"/>
        <w:gridCol w:w="1212"/>
      </w:tblGrid>
      <w:tr>
        <w:trPr>
          <w:trHeight w:val="714" w:hRule="exact"/>
        </w:trPr>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3" w:right="80"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53" w:right="83"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9" w:right="60"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1"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17,975,118,165.42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14,590,759,989.08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-3.30%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1.53%</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513,786,969.44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346,919,674.07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-66.18%</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-69.27%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6.79%</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225,322,331.60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180,981,974.32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4.23%</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化工用品</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59,945,519.46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54,847,129.21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酒店</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26,793,066.32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5,434,372.02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-26.24%</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-36.73%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3.36%</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197,456,816.45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97,210,468.84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76.59%</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56.04%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6.48%</w:t>
            </w:r>
          </w:p>
        </w:tc>
      </w:tr>
      <w:tr>
        <w:trPr>
          <w:trHeight w:val="401"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轻涂纸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693,819,246.02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602,872,005.81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13.11%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-27.68%</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-24.37%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-3.80%</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2,967,684,563.34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2,361,726,555.66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15.33%</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12.39%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书写纸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211,560,370.68</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159,961,258.19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-31.26%</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-35.81%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5.37%</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4,428,510,204.03</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3,602,836,734.87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18.64%</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4.42%</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新闻纸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1,091,419,636.72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816,390,508.43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-27.32%</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-25.99%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-1.34%</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箱板纸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754,167,430.95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715,607,309.32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-12.23%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5.48%</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1,991,690,191.45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1,620,353,693.26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18.64%</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-0.95%</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静电纸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1,742,073,088.67</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1,309,377,091.22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24.84%</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-12.51%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3.32%</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其他机制纸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4,094,193,433.56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3,401,634,832.32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16.42%</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16.32%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513,786,969.44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346,919,674.07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-66.18%</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-69.27%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6.79%</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225,322,331.60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180,981,974.32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4.23%</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化工用品</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59,945,519.46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54,847,129.21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酒店</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26,793,066.32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5,434,372.02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-26.24%</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-36.73%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375"/>
        <w:gridCol w:w="1712"/>
        <w:gridCol w:w="1619"/>
        <w:gridCol w:w="1080"/>
        <w:gridCol w:w="1256"/>
        <w:gridCol w:w="1439"/>
        <w:gridCol w:w="1212"/>
      </w:tblGrid>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197,456,816.45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97,210,468.84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76.59%</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56.04%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6.48%</w:t>
            </w:r>
          </w:p>
        </w:tc>
      </w:tr>
      <w:tr>
        <w:trPr>
          <w:trHeight w:val="402"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14,552,115,907.65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11,488,109,021.61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2.99%</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其他国家和地区</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3,423,002,257.77</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3,102,650,967.47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25.24%</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w:t>
            </w:r>
          </w:p>
        </w:tc>
      </w:tr>
    </w:tbl>
    <w:p>
      <w:pPr>
        <w:pStyle w:val="BodyText"/>
        <w:spacing w:line="240" w:lineRule="auto" w:before="51"/>
        <w:ind w:right="182"/>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18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82"/>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82"/>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49"/>
        <w:gridCol w:w="1440"/>
        <w:gridCol w:w="720"/>
        <w:gridCol w:w="1440"/>
        <w:gridCol w:w="720"/>
        <w:gridCol w:w="720"/>
        <w:gridCol w:w="3420"/>
      </w:tblGrid>
      <w:tr>
        <w:trPr>
          <w:trHeight w:val="201" w:hRule="exact"/>
        </w:trPr>
        <w:tc>
          <w:tcPr>
            <w:tcW w:w="1249" w:type="dxa"/>
            <w:vMerge w:val="restart"/>
            <w:tcBorders>
              <w:top w:val="single" w:sz="4" w:space="0" w:color="000000"/>
              <w:left w:val="single" w:sz="4" w:space="0" w:color="000000"/>
              <w:right w:val="single" w:sz="4" w:space="0" w:color="000000"/>
            </w:tcBorders>
            <w:shd w:val="clear" w:color="auto" w:fill="D3D3D3"/>
          </w:tcPr>
          <w:p>
            <w:pPr/>
          </w:p>
        </w:tc>
        <w:tc>
          <w:tcPr>
            <w:tcW w:w="216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6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3420" w:type="dxa"/>
            <w:vMerge w:val="restart"/>
            <w:tcBorders>
              <w:top w:val="single" w:sz="4" w:space="0" w:color="000000"/>
              <w:left w:val="single" w:sz="4" w:space="0" w:color="000000"/>
              <w:right w:val="single" w:sz="4" w:space="0" w:color="000000"/>
            </w:tcBorders>
            <w:shd w:val="clear" w:color="auto" w:fill="D3D3D3"/>
          </w:tcPr>
          <w:p>
            <w:pPr/>
          </w:p>
        </w:tc>
      </w:tr>
      <w:tr>
        <w:trPr>
          <w:trHeight w:val="179" w:hRule="exact"/>
        </w:trPr>
        <w:tc>
          <w:tcPr>
            <w:tcW w:w="1249" w:type="dxa"/>
            <w:vMerge/>
            <w:tcBorders>
              <w:left w:val="single" w:sz="4" w:space="0" w:color="000000"/>
              <w:bottom w:val="nil" w:sz="6" w:space="0" w:color="auto"/>
              <w:right w:val="single" w:sz="4" w:space="0" w:color="000000"/>
            </w:tcBorders>
            <w:shd w:val="clear" w:color="auto" w:fill="D3D3D3"/>
          </w:tcPr>
          <w:p>
            <w:pPr/>
          </w:p>
        </w:tc>
        <w:tc>
          <w:tcPr>
            <w:tcW w:w="2160" w:type="dxa"/>
            <w:gridSpan w:val="2"/>
            <w:vMerge/>
            <w:tcBorders>
              <w:left w:val="single" w:sz="4" w:space="0" w:color="000000"/>
              <w:bottom w:val="single" w:sz="4" w:space="0" w:color="000000"/>
              <w:right w:val="single" w:sz="4" w:space="0" w:color="000000"/>
            </w:tcBorders>
            <w:shd w:val="clear" w:color="auto" w:fill="D3D3D3"/>
          </w:tcPr>
          <w:p>
            <w:pPr/>
          </w:p>
        </w:tc>
        <w:tc>
          <w:tcPr>
            <w:tcW w:w="2160" w:type="dxa"/>
            <w:gridSpan w:val="2"/>
            <w:vMerge/>
            <w:tcBorders>
              <w:left w:val="single" w:sz="4" w:space="0" w:color="000000"/>
              <w:bottom w:val="single" w:sz="4" w:space="0" w:color="000000"/>
              <w:right w:val="single" w:sz="4" w:space="0" w:color="000000"/>
            </w:tcBorders>
            <w:shd w:val="clear" w:color="auto" w:fill="D3D3D3"/>
          </w:tcPr>
          <w:p>
            <w:pPr/>
          </w:p>
        </w:tc>
        <w:tc>
          <w:tcPr>
            <w:tcW w:w="720"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3420" w:type="dxa"/>
            <w:vMerge/>
            <w:tcBorders>
              <w:left w:val="single" w:sz="4" w:space="0" w:color="000000"/>
              <w:bottom w:val="nil" w:sz="6" w:space="0" w:color="auto"/>
              <w:right w:val="single" w:sz="4" w:space="0" w:color="000000"/>
            </w:tcBorders>
            <w:shd w:val="clear" w:color="auto" w:fill="D3D3D3"/>
          </w:tcPr>
          <w:p>
            <w:pPr/>
          </w:p>
        </w:tc>
      </w:tr>
      <w:tr>
        <w:trPr>
          <w:trHeight w:val="184" w:hRule="exact"/>
        </w:trPr>
        <w:tc>
          <w:tcPr>
            <w:tcW w:w="1249" w:type="dxa"/>
            <w:vMerge w:val="restart"/>
            <w:tcBorders>
              <w:top w:val="nil" w:sz="6" w:space="0" w:color="auto"/>
              <w:left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83" w:right="84"/>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83" w:right="84"/>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20" w:type="dxa"/>
            <w:vMerge/>
            <w:tcBorders>
              <w:left w:val="single" w:sz="4" w:space="0" w:color="000000"/>
              <w:right w:val="single" w:sz="4" w:space="0" w:color="000000"/>
            </w:tcBorders>
            <w:shd w:val="clear" w:color="auto" w:fill="D3D3D3"/>
          </w:tcPr>
          <w:p>
            <w:pPr/>
          </w:p>
        </w:tc>
        <w:tc>
          <w:tcPr>
            <w:tcW w:w="34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6" w:hRule="exact"/>
        </w:trPr>
        <w:tc>
          <w:tcPr>
            <w:tcW w:w="1249" w:type="dxa"/>
            <w:vMerge/>
            <w:tcBorders>
              <w:left w:val="single" w:sz="4" w:space="0" w:color="000000"/>
              <w:bottom w:val="nil" w:sz="6" w:space="0" w:color="auto"/>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tcBorders>
              <w:left w:val="single" w:sz="4" w:space="0" w:color="000000"/>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tcBorders>
              <w:left w:val="single" w:sz="4" w:space="0" w:color="000000"/>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3420" w:type="dxa"/>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1249" w:type="dxa"/>
            <w:vMerge w:val="restart"/>
            <w:tcBorders>
              <w:top w:val="nil" w:sz="6" w:space="0" w:color="auto"/>
              <w:left w:val="single" w:sz="4" w:space="0" w:color="000000"/>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720" w:type="dxa"/>
            <w:vMerge/>
            <w:tcBorders>
              <w:left w:val="single" w:sz="4" w:space="0" w:color="000000"/>
              <w:bottom w:val="nil" w:sz="6" w:space="0" w:color="auto"/>
              <w:right w:val="single" w:sz="4" w:space="0" w:color="000000"/>
            </w:tcBorders>
            <w:shd w:val="clear" w:color="auto" w:fill="D3D3D3"/>
          </w:tcPr>
          <w:p>
            <w:pPr/>
          </w:p>
        </w:tc>
        <w:tc>
          <w:tcPr>
            <w:tcW w:w="3420" w:type="dxa"/>
            <w:vMerge w:val="restart"/>
            <w:tcBorders>
              <w:top w:val="nil" w:sz="6" w:space="0" w:color="auto"/>
              <w:left w:val="single" w:sz="4" w:space="0" w:color="000000"/>
              <w:right w:val="single" w:sz="4" w:space="0" w:color="000000"/>
            </w:tcBorders>
            <w:shd w:val="clear" w:color="auto" w:fill="D3D3D3"/>
          </w:tcPr>
          <w:p>
            <w:pPr/>
          </w:p>
        </w:tc>
      </w:tr>
      <w:tr>
        <w:trPr>
          <w:trHeight w:val="173" w:hRule="exact"/>
        </w:trPr>
        <w:tc>
          <w:tcPr>
            <w:tcW w:w="1249"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3420"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5,475,658,186.10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9.64%</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2,547,729,794.24</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5.36%</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4.28%</w:t>
            </w:r>
          </w:p>
        </w:tc>
        <w:tc>
          <w:tcPr>
            <w:tcW w:w="3420"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主要原因是公司开具银行承兑汇票、保函和</w:t>
            </w:r>
            <w:r>
              <w:rPr>
                <w:rFonts w:ascii="宋体" w:hAnsi="宋体" w:cs="宋体" w:eastAsia="宋体" w:hint="default"/>
                <w:sz w:val="18"/>
                <w:szCs w:val="18"/>
              </w:rPr>
              <w:t> 申请贷款存入的保证金存款增加。</w:t>
            </w:r>
          </w:p>
        </w:tc>
      </w:tr>
      <w:tr>
        <w:trPr>
          <w:trHeight w:val="392" w:hRule="exact"/>
        </w:trPr>
        <w:tc>
          <w:tcPr>
            <w:tcW w:w="12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40" w:type="dxa"/>
            <w:vMerge/>
            <w:tcBorders>
              <w:left w:val="single" w:sz="10" w:space="0" w:color="D3D3D3"/>
              <w:right w:val="single" w:sz="4" w:space="0" w:color="000000"/>
            </w:tcBorders>
          </w:tcPr>
          <w:p>
            <w:pPr/>
          </w:p>
        </w:tc>
        <w:tc>
          <w:tcPr>
            <w:tcW w:w="72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3420" w:type="dxa"/>
            <w:vMerge/>
            <w:tcBorders>
              <w:left w:val="single" w:sz="4" w:space="0" w:color="000000"/>
              <w:right w:val="single" w:sz="4" w:space="0" w:color="000000"/>
            </w:tcBorders>
          </w:tcPr>
          <w:p>
            <w:pPr/>
          </w:p>
        </w:tc>
      </w:tr>
      <w:tr>
        <w:trPr>
          <w:trHeight w:val="161" w:hRule="exact"/>
        </w:trPr>
        <w:tc>
          <w:tcPr>
            <w:tcW w:w="12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vMerge/>
            <w:tcBorders>
              <w:left w:val="single" w:sz="10" w:space="0" w:color="D3D3D3"/>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3420" w:type="dxa"/>
            <w:vMerge/>
            <w:tcBorders>
              <w:left w:val="single" w:sz="4" w:space="0" w:color="000000"/>
              <w:bottom w:val="single" w:sz="4" w:space="0" w:color="000000"/>
              <w:right w:val="single" w:sz="4" w:space="0" w:color="000000"/>
            </w:tcBorders>
          </w:tcPr>
          <w:p>
            <w:pPr/>
          </w:p>
        </w:tc>
      </w:tr>
      <w:tr>
        <w:trPr>
          <w:trHeight w:val="402" w:hRule="exact"/>
        </w:trPr>
        <w:tc>
          <w:tcPr>
            <w:tcW w:w="1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3,489,409,369.20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3,102,643,083.54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-0.39%</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主要原因是公司年末销量增加。</w:t>
            </w:r>
          </w:p>
        </w:tc>
      </w:tr>
      <w:tr>
        <w:trPr>
          <w:trHeight w:val="317"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3" w:right="0"/>
              <w:jc w:val="left"/>
              <w:rPr>
                <w:rFonts w:ascii="Times New Roman" w:hAnsi="Times New Roman" w:cs="Times New Roman" w:eastAsia="Times New Roman" w:hint="default"/>
                <w:sz w:val="18"/>
                <w:szCs w:val="18"/>
              </w:rPr>
            </w:pPr>
            <w:r>
              <w:rPr>
                <w:rFonts w:ascii="Times New Roman"/>
                <w:sz w:val="18"/>
              </w:rPr>
              <w:t>36,087,848.12</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0.06%</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32,216,789.33</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0.07%</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-0.01%</w:t>
            </w:r>
          </w:p>
        </w:tc>
        <w:tc>
          <w:tcPr>
            <w:tcW w:w="3420"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主要原因是公司新增对寿光晨鸣汇森新型 建材有限公司和江西晨鸣港务有限公司的 股权投资。</w:t>
            </w:r>
          </w:p>
        </w:tc>
      </w:tr>
      <w:tr>
        <w:trPr>
          <w:trHeight w:val="392" w:hRule="exact"/>
        </w:trPr>
        <w:tc>
          <w:tcPr>
            <w:tcW w:w="12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40" w:type="dxa"/>
            <w:vMerge/>
            <w:tcBorders>
              <w:left w:val="single" w:sz="10" w:space="0" w:color="D3D3D3"/>
              <w:right w:val="single" w:sz="4" w:space="0" w:color="000000"/>
            </w:tcBorders>
          </w:tcPr>
          <w:p>
            <w:pPr/>
          </w:p>
        </w:tc>
        <w:tc>
          <w:tcPr>
            <w:tcW w:w="72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3420" w:type="dxa"/>
            <w:vMerge/>
            <w:tcBorders>
              <w:left w:val="single" w:sz="4" w:space="0" w:color="000000"/>
              <w:right w:val="single" w:sz="4" w:space="0" w:color="000000"/>
            </w:tcBorders>
          </w:tcPr>
          <w:p>
            <w:pPr/>
          </w:p>
        </w:tc>
      </w:tr>
      <w:tr>
        <w:trPr>
          <w:trHeight w:val="317" w:hRule="exact"/>
        </w:trPr>
        <w:tc>
          <w:tcPr>
            <w:tcW w:w="12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vMerge/>
            <w:tcBorders>
              <w:left w:val="single" w:sz="10" w:space="0" w:color="D3D3D3"/>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3420" w:type="dxa"/>
            <w:vMerge/>
            <w:tcBorders>
              <w:left w:val="single" w:sz="4" w:space="0" w:color="000000"/>
              <w:bottom w:val="single" w:sz="4" w:space="0" w:color="000000"/>
              <w:right w:val="single" w:sz="4" w:space="0" w:color="000000"/>
            </w:tcBorders>
          </w:tcPr>
          <w:p>
            <w:pPr/>
          </w:p>
        </w:tc>
      </w:tr>
      <w:tr>
        <w:trPr>
          <w:trHeight w:val="473"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24,744,731,705.04</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43.55%</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21,181,647,488.39</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44.57%</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-1.02%</w:t>
            </w:r>
          </w:p>
        </w:tc>
        <w:tc>
          <w:tcPr>
            <w:tcW w:w="3420"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主要原因是吉林晨鸣环保迁建项目、武汉晨</w:t>
            </w:r>
            <w:r>
              <w:rPr>
                <w:rFonts w:ascii="宋体" w:hAnsi="宋体" w:cs="宋体" w:eastAsia="宋体" w:hint="default"/>
                <w:sz w:val="18"/>
                <w:szCs w:val="18"/>
              </w:rPr>
              <w:t> 鸣生活纸和特种纸项目、湛江晨鸣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 </w:t>
            </w:r>
            <w:r>
              <w:rPr>
                <w:rFonts w:ascii="宋体" w:hAnsi="宋体" w:cs="宋体" w:eastAsia="宋体" w:hint="default"/>
                <w:spacing w:val="-3"/>
                <w:sz w:val="18"/>
                <w:szCs w:val="18"/>
              </w:rPr>
              <w:t>纸杯原纸项目、美伦纸业造纸助剂项目等完</w:t>
            </w:r>
            <w:r>
              <w:rPr>
                <w:rFonts w:ascii="宋体" w:hAnsi="宋体" w:cs="宋体" w:eastAsia="宋体" w:hint="default"/>
                <w:sz w:val="18"/>
                <w:szCs w:val="18"/>
              </w:rPr>
              <w:t> 工转资增加。</w:t>
            </w:r>
          </w:p>
        </w:tc>
      </w:tr>
      <w:tr>
        <w:trPr>
          <w:trHeight w:val="392" w:hRule="exact"/>
        </w:trPr>
        <w:tc>
          <w:tcPr>
            <w:tcW w:w="12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40" w:type="dxa"/>
            <w:vMerge/>
            <w:tcBorders>
              <w:left w:val="single" w:sz="10" w:space="0" w:color="D3D3D3"/>
              <w:right w:val="single" w:sz="4" w:space="0" w:color="000000"/>
            </w:tcBorders>
          </w:tcPr>
          <w:p>
            <w:pPr/>
          </w:p>
        </w:tc>
        <w:tc>
          <w:tcPr>
            <w:tcW w:w="72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3420" w:type="dxa"/>
            <w:vMerge/>
            <w:tcBorders>
              <w:left w:val="single" w:sz="4" w:space="0" w:color="000000"/>
              <w:right w:val="single" w:sz="4" w:space="0" w:color="000000"/>
            </w:tcBorders>
          </w:tcPr>
          <w:p>
            <w:pPr/>
          </w:p>
        </w:tc>
      </w:tr>
      <w:tr>
        <w:trPr>
          <w:trHeight w:val="473" w:hRule="exact"/>
        </w:trPr>
        <w:tc>
          <w:tcPr>
            <w:tcW w:w="12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vMerge/>
            <w:tcBorders>
              <w:left w:val="single" w:sz="10" w:space="0" w:color="D3D3D3"/>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3420" w:type="dxa"/>
            <w:vMerge/>
            <w:tcBorders>
              <w:left w:val="single" w:sz="4" w:space="0" w:color="000000"/>
              <w:bottom w:val="single" w:sz="4" w:space="0" w:color="000000"/>
              <w:right w:val="single" w:sz="4" w:space="0" w:color="000000"/>
            </w:tcBorders>
          </w:tcPr>
          <w:p>
            <w:pPr/>
          </w:p>
        </w:tc>
      </w:tr>
      <w:tr>
        <w:trPr>
          <w:trHeight w:val="473"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3,709,270,828.53</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6.53%</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5,266,031,817.60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11.08%</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-4.55%</w:t>
            </w:r>
          </w:p>
        </w:tc>
        <w:tc>
          <w:tcPr>
            <w:tcW w:w="3420"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主要原因是吉林晨鸣环保迁建项目、武汉晨</w:t>
            </w:r>
            <w:r>
              <w:rPr>
                <w:rFonts w:ascii="宋体" w:hAnsi="宋体" w:cs="宋体" w:eastAsia="宋体" w:hint="default"/>
                <w:sz w:val="18"/>
                <w:szCs w:val="18"/>
              </w:rPr>
              <w:t> 鸣生活纸和特种纸项目、湛江晨鸣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 </w:t>
            </w:r>
            <w:r>
              <w:rPr>
                <w:rFonts w:ascii="宋体" w:hAnsi="宋体" w:cs="宋体" w:eastAsia="宋体" w:hint="default"/>
                <w:spacing w:val="-3"/>
                <w:sz w:val="18"/>
                <w:szCs w:val="18"/>
              </w:rPr>
              <w:t>纸杯原纸项目、美伦纸业造纸助剂项目等完</w:t>
            </w:r>
            <w:r>
              <w:rPr>
                <w:rFonts w:ascii="宋体" w:hAnsi="宋体" w:cs="宋体" w:eastAsia="宋体" w:hint="default"/>
                <w:sz w:val="18"/>
                <w:szCs w:val="18"/>
              </w:rPr>
              <w:t> 工转资减少。</w:t>
            </w:r>
          </w:p>
        </w:tc>
      </w:tr>
      <w:tr>
        <w:trPr>
          <w:trHeight w:val="392" w:hRule="exact"/>
        </w:trPr>
        <w:tc>
          <w:tcPr>
            <w:tcW w:w="12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40" w:type="dxa"/>
            <w:vMerge/>
            <w:tcBorders>
              <w:left w:val="single" w:sz="10" w:space="0" w:color="D3D3D3"/>
              <w:right w:val="single" w:sz="4" w:space="0" w:color="000000"/>
            </w:tcBorders>
          </w:tcPr>
          <w:p>
            <w:pPr/>
          </w:p>
        </w:tc>
        <w:tc>
          <w:tcPr>
            <w:tcW w:w="72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3420" w:type="dxa"/>
            <w:vMerge/>
            <w:tcBorders>
              <w:left w:val="single" w:sz="4" w:space="0" w:color="000000"/>
              <w:right w:val="single" w:sz="4" w:space="0" w:color="000000"/>
            </w:tcBorders>
          </w:tcPr>
          <w:p>
            <w:pPr/>
          </w:p>
        </w:tc>
      </w:tr>
      <w:tr>
        <w:trPr>
          <w:trHeight w:val="473" w:hRule="exact"/>
        </w:trPr>
        <w:tc>
          <w:tcPr>
            <w:tcW w:w="12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vMerge/>
            <w:tcBorders>
              <w:left w:val="single" w:sz="10" w:space="0" w:color="D3D3D3"/>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3420" w:type="dxa"/>
            <w:vMerge/>
            <w:tcBorders>
              <w:left w:val="single" w:sz="4" w:space="0" w:color="000000"/>
              <w:bottom w:val="single" w:sz="4" w:space="0" w:color="000000"/>
              <w:right w:val="single" w:sz="4" w:space="0" w:color="000000"/>
            </w:tcBorders>
          </w:tcPr>
          <w:p>
            <w:pPr/>
          </w:p>
        </w:tc>
      </w:tr>
      <w:tr>
        <w:trPr>
          <w:trHeight w:val="714" w:hRule="exact"/>
        </w:trPr>
        <w:tc>
          <w:tcPr>
            <w:tcW w:w="124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3,047,541,556.15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2,870,443,681.49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-0.68%</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主要原因是年末收到以票据结算的应收款 项增加。</w:t>
            </w:r>
          </w:p>
        </w:tc>
      </w:tr>
      <w:tr>
        <w:trPr>
          <w:trHeight w:val="402" w:hRule="exact"/>
        </w:trPr>
        <w:tc>
          <w:tcPr>
            <w:tcW w:w="124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1,838,017,454.90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1,589,021,331.24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主要原因是公司年末增加原材料预付款。</w:t>
            </w:r>
          </w:p>
        </w:tc>
      </w:tr>
      <w:tr>
        <w:trPr>
          <w:trHeight w:val="1338" w:hRule="exact"/>
        </w:trPr>
        <w:tc>
          <w:tcPr>
            <w:tcW w:w="124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1,776,467,886.07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1,331,900,749.84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0.33%</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主要原因是公司之子公司武汉晨鸣增加了 对非合并范围内关联方武汉晨鸣万兴置业 有限公司的借款和新增融资租赁公司一年 内到期的售后回租款。</w:t>
            </w:r>
          </w:p>
        </w:tc>
      </w:tr>
      <w:tr>
        <w:trPr>
          <w:trHeight w:val="1027" w:hRule="exact"/>
        </w:trPr>
        <w:tc>
          <w:tcPr>
            <w:tcW w:w="124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 w:right="145"/>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83,260,425.53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主要原因是公司收回对潍坊新业资本投资 有限公司和上海林嘉纸电子商务有限公司 的股权投资。</w:t>
            </w:r>
          </w:p>
        </w:tc>
      </w:tr>
    </w:tbl>
    <w:p>
      <w:pPr>
        <w:spacing w:after="0" w:line="319" w:lineRule="auto"/>
        <w:jc w:val="both"/>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249" w:type="dxa"/>
        <w:tblLayout w:type="fixed"/>
        <w:tblCellMar>
          <w:top w:w="0" w:type="dxa"/>
          <w:left w:w="0" w:type="dxa"/>
          <w:bottom w:w="0" w:type="dxa"/>
          <w:right w:w="0" w:type="dxa"/>
        </w:tblCellMar>
        <w:tblLook w:val="01E0"/>
      </w:tblPr>
      <w:tblGrid>
        <w:gridCol w:w="1260"/>
        <w:gridCol w:w="1440"/>
        <w:gridCol w:w="720"/>
        <w:gridCol w:w="1440"/>
        <w:gridCol w:w="720"/>
        <w:gridCol w:w="720"/>
        <w:gridCol w:w="3420"/>
      </w:tblGrid>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1,420,598,667.99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2.50%</w:t>
            </w: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2.50%</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主要原因是公司之子公司香港晨鸣新成立 的山东晨鸣融资租赁有限公司新增融资租 赁业务。</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22,955,982.38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63,968,067.62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主要原因是吉林晨鸣环保迁建项目转资。</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递延所得税资 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620,267,636.44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507,653,388.38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0.02%</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主要原因是受市场影响，部分公司暂时亏损</w:t>
            </w:r>
            <w:r>
              <w:rPr>
                <w:rFonts w:ascii="宋体" w:hAnsi="宋体" w:cs="宋体" w:eastAsia="宋体" w:hint="default"/>
                <w:sz w:val="18"/>
                <w:szCs w:val="18"/>
              </w:rPr>
              <w:t> 计提递延所得税资产。</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其他非流动资 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1,094,124,242.00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1.93%</w:t>
            </w: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1.93%</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主要原因是公司新增对外委托贷款。</w:t>
            </w:r>
          </w:p>
        </w:tc>
      </w:tr>
    </w:tbl>
    <w:p>
      <w:pPr>
        <w:spacing w:line="240" w:lineRule="auto" w:before="2"/>
        <w:rPr>
          <w:rFonts w:ascii="宋体" w:hAnsi="宋体" w:cs="宋体" w:eastAsia="宋体" w:hint="default"/>
          <w:sz w:val="19"/>
          <w:szCs w:val="19"/>
        </w:rPr>
      </w:pPr>
    </w:p>
    <w:p>
      <w:pPr>
        <w:pStyle w:val="Heading4"/>
        <w:spacing w:line="240" w:lineRule="auto" w:before="35"/>
        <w:ind w:left="254"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50"/>
        <w:jc w:val="right"/>
      </w:pPr>
      <w:r>
        <w:rPr/>
        <w:t>单位：元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368"/>
        <w:gridCol w:w="1512"/>
        <w:gridCol w:w="715"/>
        <w:gridCol w:w="1445"/>
        <w:gridCol w:w="812"/>
        <w:gridCol w:w="798"/>
        <w:gridCol w:w="3250"/>
      </w:tblGrid>
      <w:tr>
        <w:trPr>
          <w:trHeight w:val="381"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325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2" w:hRule="exact"/>
        </w:trPr>
        <w:tc>
          <w:tcPr>
            <w:tcW w:w="1368" w:type="dxa"/>
            <w:vMerge w:val="restart"/>
            <w:tcBorders>
              <w:top w:val="nil" w:sz="6" w:space="0" w:color="auto"/>
              <w:left w:val="single" w:sz="4" w:space="0" w:color="000000"/>
              <w:right w:val="single" w:sz="4" w:space="0" w:color="000000"/>
            </w:tcBorders>
            <w:shd w:val="clear" w:color="auto" w:fill="D3D3D3"/>
          </w:tcPr>
          <w:p>
            <w:pPr/>
          </w:p>
        </w:tc>
        <w:tc>
          <w:tcPr>
            <w:tcW w:w="151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81" w:right="8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45"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220" w:right="41"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3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2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108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4" w:hRule="exact"/>
        </w:trPr>
        <w:tc>
          <w:tcPr>
            <w:tcW w:w="1368" w:type="dxa"/>
            <w:vMerge/>
            <w:tcBorders>
              <w:left w:val="single" w:sz="4" w:space="0" w:color="000000"/>
              <w:bottom w:val="nil" w:sz="6" w:space="0" w:color="auto"/>
              <w:right w:val="single" w:sz="4" w:space="0" w:color="000000"/>
            </w:tcBorders>
            <w:shd w:val="clear" w:color="auto" w:fill="D3D3D3"/>
          </w:tcPr>
          <w:p>
            <w:pPr/>
          </w:p>
        </w:tc>
        <w:tc>
          <w:tcPr>
            <w:tcW w:w="15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5" w:type="dxa"/>
            <w:vMerge/>
            <w:tcBorders>
              <w:left w:val="single" w:sz="4" w:space="0" w:color="000000"/>
              <w:right w:val="single" w:sz="4" w:space="0" w:color="000000"/>
            </w:tcBorders>
            <w:shd w:val="clear" w:color="auto" w:fill="D3D3D3"/>
          </w:tcPr>
          <w:p>
            <w:pPr/>
          </w:p>
        </w:tc>
        <w:tc>
          <w:tcPr>
            <w:tcW w:w="14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12"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3250"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368" w:type="dxa"/>
            <w:vMerge w:val="restart"/>
            <w:tcBorders>
              <w:top w:val="nil" w:sz="6" w:space="0" w:color="auto"/>
              <w:left w:val="single" w:sz="4" w:space="0" w:color="000000"/>
              <w:right w:val="single" w:sz="4" w:space="0" w:color="000000"/>
            </w:tcBorders>
            <w:shd w:val="clear" w:color="auto" w:fill="D3D3D3"/>
          </w:tcPr>
          <w:p>
            <w:pPr/>
          </w:p>
        </w:tc>
        <w:tc>
          <w:tcPr>
            <w:tcW w:w="1512" w:type="dxa"/>
            <w:vMerge/>
            <w:tcBorders>
              <w:left w:val="single" w:sz="4" w:space="0" w:color="000000"/>
              <w:bottom w:val="nil" w:sz="6" w:space="0" w:color="auto"/>
              <w:right w:val="single" w:sz="4" w:space="0" w:color="000000"/>
            </w:tcBorders>
            <w:shd w:val="clear" w:color="auto" w:fill="D3D3D3"/>
          </w:tcPr>
          <w:p>
            <w:pPr/>
          </w:p>
        </w:tc>
        <w:tc>
          <w:tcPr>
            <w:tcW w:w="715" w:type="dxa"/>
            <w:vMerge/>
            <w:tcBorders>
              <w:left w:val="single" w:sz="4" w:space="0" w:color="000000"/>
              <w:right w:val="single" w:sz="4" w:space="0" w:color="000000"/>
            </w:tcBorders>
            <w:shd w:val="clear" w:color="auto" w:fill="D3D3D3"/>
          </w:tcPr>
          <w:p>
            <w:pPr/>
          </w:p>
        </w:tc>
        <w:tc>
          <w:tcPr>
            <w:tcW w:w="1445"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
        </w:tc>
        <w:tc>
          <w:tcPr>
            <w:tcW w:w="3250"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512" w:type="dxa"/>
            <w:tcBorders>
              <w:top w:val="nil" w:sz="6" w:space="0" w:color="auto"/>
              <w:left w:val="single" w:sz="4" w:space="0" w:color="000000"/>
              <w:bottom w:val="single" w:sz="4" w:space="0" w:color="000000"/>
              <w:right w:val="single" w:sz="4" w:space="0" w:color="000000"/>
            </w:tcBorders>
            <w:shd w:val="clear" w:color="auto" w:fill="D3D3D3"/>
          </w:tcPr>
          <w:p>
            <w:pPr/>
          </w:p>
        </w:tc>
        <w:tc>
          <w:tcPr>
            <w:tcW w:w="715" w:type="dxa"/>
            <w:vMerge/>
            <w:tcBorders>
              <w:left w:val="single" w:sz="4" w:space="0" w:color="000000"/>
              <w:bottom w:val="single" w:sz="4" w:space="0" w:color="000000"/>
              <w:right w:val="single" w:sz="4" w:space="0" w:color="000000"/>
            </w:tcBorders>
            <w:shd w:val="clear" w:color="auto" w:fill="D3D3D3"/>
          </w:tcPr>
          <w:p>
            <w:pPr/>
          </w:p>
        </w:tc>
        <w:tc>
          <w:tcPr>
            <w:tcW w:w="1445"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3250"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2"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20,470,296,592.92</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36.03%</w:t>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9,818,885,237.85</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20.66%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15.37%</w:t>
            </w:r>
          </w:p>
        </w:tc>
        <w:tc>
          <w:tcPr>
            <w:tcW w:w="325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5"/>
              <w:jc w:val="left"/>
              <w:rPr>
                <w:rFonts w:ascii="宋体" w:hAnsi="宋体" w:cs="宋体" w:eastAsia="宋体" w:hint="default"/>
                <w:sz w:val="18"/>
                <w:szCs w:val="18"/>
              </w:rPr>
            </w:pPr>
            <w:r>
              <w:rPr>
                <w:rFonts w:ascii="宋体" w:hAnsi="宋体" w:cs="宋体" w:eastAsia="宋体" w:hint="default"/>
                <w:sz w:val="18"/>
                <w:szCs w:val="18"/>
              </w:rPr>
              <w:t>主要原因是公司在建工程投资增加及产 能、经营规模扩大，流动资金需求增大。</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12" w:type="dxa"/>
            <w:vMerge/>
            <w:tcBorders>
              <w:left w:val="single" w:sz="10" w:space="0" w:color="D3D3D3"/>
              <w:right w:val="single" w:sz="4" w:space="0" w:color="000000"/>
            </w:tcBorders>
          </w:tcPr>
          <w:p>
            <w:pPr/>
          </w:p>
        </w:tc>
        <w:tc>
          <w:tcPr>
            <w:tcW w:w="715"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3250" w:type="dxa"/>
            <w:vMerge/>
            <w:tcBorders>
              <w:left w:val="single" w:sz="4" w:space="0" w:color="000000"/>
              <w:right w:val="single" w:sz="4" w:space="0" w:color="000000"/>
            </w:tcBorders>
          </w:tcPr>
          <w:p>
            <w:pPr/>
          </w:p>
        </w:tc>
      </w:tr>
      <w:tr>
        <w:trPr>
          <w:trHeight w:val="162"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2" w:type="dxa"/>
            <w:vMerge/>
            <w:tcBorders>
              <w:left w:val="single" w:sz="10" w:space="0" w:color="D3D3D3"/>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3250"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4,378,290,245.19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3,723,865,807.90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是公司增加长期融资金额。</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1,598,110,792.85</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290,403,790.59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5"/>
              <w:jc w:val="left"/>
              <w:rPr>
                <w:rFonts w:ascii="宋体" w:hAnsi="宋体" w:cs="宋体" w:eastAsia="宋体" w:hint="default"/>
                <w:sz w:val="18"/>
                <w:szCs w:val="18"/>
              </w:rPr>
            </w:pPr>
            <w:r>
              <w:rPr>
                <w:rFonts w:ascii="宋体" w:hAnsi="宋体" w:cs="宋体" w:eastAsia="宋体" w:hint="default"/>
                <w:sz w:val="18"/>
                <w:szCs w:val="18"/>
              </w:rPr>
              <w:t>主要原因是公司开具银行承兑汇票支付 货款增加。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3,408,366,113.93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2,695,169,927.14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主要原因是公司加大原材料采购。</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270,056,726.88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0.48%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442,432,261.58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3"/>
                <w:sz w:val="18"/>
                <w:szCs w:val="18"/>
              </w:rPr>
              <w:t>主要原因是受市场竞争加剧影响，公司收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到的预付款减少</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153,926,042.30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0.27%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130,271,812.18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5"/>
              <w:jc w:val="left"/>
              <w:rPr>
                <w:rFonts w:ascii="宋体" w:hAnsi="宋体" w:cs="宋体" w:eastAsia="宋体" w:hint="default"/>
                <w:sz w:val="18"/>
                <w:szCs w:val="18"/>
              </w:rPr>
            </w:pPr>
            <w:r>
              <w:rPr>
                <w:rFonts w:ascii="宋体" w:hAnsi="宋体" w:cs="宋体" w:eastAsia="宋体" w:hint="default"/>
                <w:sz w:val="18"/>
                <w:szCs w:val="18"/>
              </w:rPr>
              <w:t>主要原因是公司应付未付的领导年薪增 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应交税金</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161,100,088.94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130,192,936.87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25"/>
              <w:jc w:val="left"/>
              <w:rPr>
                <w:rFonts w:ascii="宋体" w:hAnsi="宋体" w:cs="宋体" w:eastAsia="宋体" w:hint="default"/>
                <w:sz w:val="18"/>
                <w:szCs w:val="18"/>
              </w:rPr>
            </w:pPr>
            <w:r>
              <w:rPr>
                <w:rFonts w:ascii="宋体" w:hAnsi="宋体" w:cs="宋体" w:eastAsia="宋体" w:hint="default"/>
                <w:sz w:val="18"/>
                <w:szCs w:val="18"/>
              </w:rPr>
              <w:t>主要原因是公司应交未交的增值税增加。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783,790,884.61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486,836,595.89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0.36%</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5"/>
              <w:jc w:val="left"/>
              <w:rPr>
                <w:rFonts w:ascii="宋体" w:hAnsi="宋体" w:cs="宋体" w:eastAsia="宋体" w:hint="default"/>
                <w:sz w:val="18"/>
                <w:szCs w:val="18"/>
              </w:rPr>
            </w:pPr>
            <w:r>
              <w:rPr>
                <w:rFonts w:ascii="宋体" w:hAnsi="宋体" w:cs="宋体" w:eastAsia="宋体" w:hint="default"/>
                <w:sz w:val="18"/>
                <w:szCs w:val="18"/>
              </w:rPr>
              <w:t>主要原因是公司向寿光晨鸣控股有限公 司借款。</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1,099,968,900.00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1,287,804,452.66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-0.77%</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55"/>
              <w:jc w:val="left"/>
              <w:rPr>
                <w:rFonts w:ascii="宋体" w:hAnsi="宋体" w:cs="宋体" w:eastAsia="宋体" w:hint="default"/>
                <w:sz w:val="18"/>
                <w:szCs w:val="18"/>
              </w:rPr>
            </w:pPr>
            <w:r>
              <w:rPr>
                <w:rFonts w:ascii="宋体" w:hAnsi="宋体" w:cs="宋体" w:eastAsia="宋体" w:hint="default"/>
                <w:sz w:val="18"/>
                <w:szCs w:val="18"/>
              </w:rPr>
              <w:t>主要原因是香港晨鸣人民币债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亿元到 期已偿还。</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12"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3,853,488,888.90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8.11%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-8.11%</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主要原因是公司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亿短期融资券到期偿 还。</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161,983,516.66</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0.29%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971,805,561.39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5"/>
              <w:jc w:val="left"/>
              <w:rPr>
                <w:rFonts w:ascii="宋体" w:hAnsi="宋体" w:cs="宋体" w:eastAsia="宋体" w:hint="default"/>
                <w:sz w:val="18"/>
                <w:szCs w:val="18"/>
              </w:rPr>
            </w:pPr>
            <w:r>
              <w:rPr>
                <w:rFonts w:ascii="宋体" w:hAnsi="宋体" w:cs="宋体" w:eastAsia="宋体" w:hint="default"/>
                <w:sz w:val="18"/>
                <w:szCs w:val="18"/>
              </w:rPr>
              <w:t>主要原因是吉林晨鸣和武汉晨鸣环保迁 建项目完工，将剩余资金转入递延收益。</w:t>
            </w:r>
          </w:p>
        </w:tc>
      </w:tr>
    </w:tbl>
    <w:p>
      <w:pPr>
        <w:spacing w:line="240" w:lineRule="auto" w:before="2"/>
        <w:rPr>
          <w:rFonts w:ascii="宋体" w:hAnsi="宋体" w:cs="宋体" w:eastAsia="宋体" w:hint="default"/>
          <w:sz w:val="19"/>
          <w:szCs w:val="19"/>
        </w:rPr>
      </w:pPr>
    </w:p>
    <w:p>
      <w:pPr>
        <w:pStyle w:val="Heading4"/>
        <w:spacing w:line="240" w:lineRule="auto" w:before="35"/>
        <w:ind w:left="254"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254" w:right="0"/>
        <w:jc w:val="left"/>
      </w:pPr>
      <w:r>
        <w:rPr/>
        <w:t>√ 适用 □ 不适用</w:t>
      </w:r>
    </w:p>
    <w:p>
      <w:pPr>
        <w:pStyle w:val="BodyText"/>
        <w:spacing w:line="240" w:lineRule="auto" w:before="116"/>
        <w:ind w:left="0" w:right="249"/>
        <w:jc w:val="right"/>
      </w:pPr>
      <w:r>
        <w:rPr/>
        <w:t>单位：元</w:t>
      </w:r>
    </w:p>
    <w:p>
      <w:pPr>
        <w:spacing w:after="0" w:line="240" w:lineRule="auto"/>
        <w:jc w:val="right"/>
        <w:sectPr>
          <w:pgSz w:w="11910" w:h="16840"/>
          <w:pgMar w:header="747" w:footer="982" w:top="1060" w:bottom="1180" w:left="880" w:right="880"/>
        </w:sectPr>
      </w:pP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332"/>
        <w:gridCol w:w="1315"/>
        <w:gridCol w:w="1175"/>
        <w:gridCol w:w="1578"/>
        <w:gridCol w:w="775"/>
        <w:gridCol w:w="1181"/>
        <w:gridCol w:w="1172"/>
        <w:gridCol w:w="1318"/>
      </w:tblGrid>
      <w:tr>
        <w:trPr>
          <w:trHeight w:val="714" w:hRule="exact"/>
        </w:trPr>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3" w:right="4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4" w:right="61"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2" w:right="20"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2"/>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3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514"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1,317,141,123.77</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6,856,815.32</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195,900,457.48</w:t>
            </w:r>
          </w:p>
        </w:tc>
        <w:tc>
          <w:tcPr>
            <w:tcW w:w="7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165,058,534.84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81,468,244.47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1,407,588,229.46</w:t>
            </w:r>
          </w:p>
        </w:tc>
      </w:tr>
      <w:tr>
        <w:trPr>
          <w:trHeight w:val="402" w:hRule="exact"/>
        </w:trPr>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1,317,141,123.77</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6,856,815.32</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195,900,457.48</w:t>
            </w:r>
          </w:p>
        </w:tc>
        <w:tc>
          <w:tcPr>
            <w:tcW w:w="7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165,058,534.84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81,468,244.47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1,407,588,229.46</w:t>
            </w:r>
          </w:p>
        </w:tc>
      </w:tr>
      <w:tr>
        <w:trPr>
          <w:trHeight w:val="402" w:hRule="exact"/>
        </w:trPr>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214" w:right="130"/>
        <w:jc w:val="left"/>
      </w:pPr>
      <w:r>
        <w:rPr/>
        <w:t>报告期内公司主要资产计量属性是否发生重大变化</w:t>
      </w:r>
    </w:p>
    <w:p>
      <w:pPr>
        <w:pStyle w:val="BodyText"/>
        <w:spacing w:line="240" w:lineRule="auto" w:before="117"/>
        <w:ind w:left="214" w:right="130"/>
        <w:jc w:val="left"/>
      </w:pPr>
      <w:r>
        <w:rPr/>
        <w:t>□ 是 √ 否</w:t>
      </w:r>
    </w:p>
    <w:p>
      <w:pPr>
        <w:spacing w:line="240" w:lineRule="auto" w:before="10"/>
        <w:rPr>
          <w:rFonts w:ascii="宋体" w:hAnsi="宋体" w:cs="宋体" w:eastAsia="宋体" w:hint="default"/>
          <w:sz w:val="26"/>
          <w:szCs w:val="26"/>
        </w:rPr>
      </w:pPr>
    </w:p>
    <w:p>
      <w:pPr>
        <w:pStyle w:val="Heading4"/>
        <w:spacing w:line="240" w:lineRule="auto"/>
        <w:ind w:left="214" w:right="130"/>
        <w:jc w:val="left"/>
        <w:rPr>
          <w:b w:val="0"/>
          <w:bCs w:val="0"/>
        </w:rPr>
      </w:pPr>
      <w:r>
        <w:rPr>
          <w:rFonts w:ascii="Times New Roman" w:hAnsi="Times New Roman" w:cs="Times New Roman" w:eastAsia="Times New Roman" w:hint="default"/>
        </w:rPr>
        <w:t>4</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13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214" w:right="130"/>
        <w:jc w:val="left"/>
        <w:rPr>
          <w:b w:val="0"/>
          <w:bCs w:val="0"/>
        </w:rPr>
      </w:pPr>
      <w:r>
        <w:rPr/>
        <w:t>五、核心竞争力分析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214" w:right="130" w:firstLine="360"/>
        <w:jc w:val="left"/>
      </w:pPr>
      <w:r>
        <w:rPr/>
        <w:t>公司是以造林、制浆、造纸为主业的大型企业集团，全国唯一一家</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H</w:t>
      </w:r>
      <w:r>
        <w:rPr/>
        <w:t>三种股票上市公司。与同行业其他企业相</w:t>
      </w:r>
      <w:r>
        <w:rPr>
          <w:spacing w:val="1"/>
        </w:rPr>
        <w:t> </w:t>
      </w:r>
      <w:r>
        <w:rPr/>
        <w:t>比，本公司具有以下优势：</w:t>
      </w:r>
    </w:p>
    <w:p>
      <w:pPr>
        <w:pStyle w:val="BodyText"/>
        <w:spacing w:line="309" w:lineRule="auto" w:before="68"/>
        <w:ind w:left="214" w:right="130" w:firstLine="360"/>
        <w:jc w:val="left"/>
      </w:pPr>
      <w:r>
        <w:rPr>
          <w:spacing w:val="-2"/>
        </w:rPr>
        <w:t>（</w:t>
      </w:r>
      <w:r>
        <w:rPr>
          <w:rFonts w:ascii="Times New Roman" w:hAnsi="Times New Roman" w:cs="Times New Roman" w:eastAsia="Times New Roman" w:hint="default"/>
          <w:spacing w:val="-2"/>
        </w:rPr>
        <w:t>1</w:t>
      </w:r>
      <w:r>
        <w:rPr>
          <w:spacing w:val="-2"/>
        </w:rPr>
        <w:t>）规模优势。作为中国最大的国有控股造纸企业，通过多年的发展，公司目前已形成年产浆纸超过</w:t>
      </w:r>
      <w:r>
        <w:rPr>
          <w:rFonts w:ascii="Times New Roman" w:hAnsi="Times New Roman" w:cs="Times New Roman" w:eastAsia="Times New Roman" w:hint="default"/>
          <w:spacing w:val="-2"/>
        </w:rPr>
        <w:t>800</w:t>
      </w:r>
      <w:r>
        <w:rPr>
          <w:spacing w:val="-2"/>
        </w:rPr>
        <w:t>万吨的生产能</w:t>
      </w:r>
      <w:r>
        <w:rPr/>
        <w:t> </w:t>
      </w:r>
      <w:r>
        <w:rPr>
          <w:spacing w:val="-4"/>
        </w:rPr>
        <w:t>力，具备与国际造纸企业相抗衡的规模。大规模集中生产使公司具有明显的规模经济效益，这不仅体现在产品的制造成本上，</w:t>
      </w:r>
      <w:r>
        <w:rPr>
          <w:spacing w:val="-44"/>
        </w:rPr>
        <w:t> </w:t>
      </w:r>
      <w:r>
        <w:rPr>
          <w:spacing w:val="-44"/>
        </w:rPr>
      </w:r>
      <w:r>
        <w:rPr/>
        <w:t>同时在原材料采购、产品定价、行业政策制订等方面都具有很强的市场影响力。</w:t>
      </w:r>
    </w:p>
    <w:p>
      <w:pPr>
        <w:pStyle w:val="BodyText"/>
        <w:spacing w:line="314" w:lineRule="auto" w:before="63"/>
        <w:ind w:left="214" w:right="130" w:firstLine="360"/>
        <w:jc w:val="left"/>
      </w:pPr>
      <w:r>
        <w:rPr/>
        <w:t>（</w:t>
      </w:r>
      <w:r>
        <w:rPr>
          <w:rFonts w:ascii="Times New Roman" w:hAnsi="Times New Roman" w:cs="Times New Roman" w:eastAsia="Times New Roman" w:hint="default"/>
        </w:rPr>
        <w:t>2</w:t>
      </w:r>
      <w:r>
        <w:rPr/>
        <w:t>）产品优势。公司在产品规模迅速扩大的同时，产品结构也在不断优化。近年来，公司先后建设了高档铜版纸、高 </w:t>
      </w:r>
      <w:r>
        <w:rPr>
          <w:spacing w:val="-2"/>
        </w:rPr>
        <w:t>档低定量涂布纸、高档白牛卡纸、高档双胶纸等生产线，引进国际领先的技术装备，产品技术含量和附加值较高，毛利率水</w:t>
      </w:r>
      <w:r>
        <w:rPr>
          <w:spacing w:val="-66"/>
        </w:rPr>
        <w:t> </w:t>
      </w:r>
      <w:r>
        <w:rPr>
          <w:spacing w:val="-66"/>
        </w:rPr>
      </w:r>
      <w:r>
        <w:rPr/>
        <w:t>平较高。公司产品结构已由过去的普通胶版纸为主发展成为拥有包括静电纸、双胶纸、轻涂纸、新闻纸、铜版纸、白卡纸、 </w:t>
      </w:r>
      <w:r>
        <w:rPr>
          <w:spacing w:val="-4"/>
        </w:rPr>
        <w:t>生活纸等产品系列的造纸企业，成为中国造纸行业中产品品种最多、最全的公司。未来公司高档产品的比重还将进一步提升。</w:t>
      </w:r>
      <w:r>
        <w:rPr>
          <w:spacing w:val="-44"/>
        </w:rPr>
        <w:t> </w:t>
      </w:r>
      <w:r>
        <w:rPr>
          <w:spacing w:val="-44"/>
        </w:rPr>
      </w:r>
      <w:r>
        <w:rPr/>
        <w:t>多元化、高档化的产品结构不仅使得公司抵御市场风险的能力大大增强，还可以使公司保持相对较强的盈利能力。</w:t>
      </w:r>
    </w:p>
    <w:p>
      <w:pPr>
        <w:pStyle w:val="BodyText"/>
        <w:spacing w:line="307" w:lineRule="auto" w:before="59"/>
        <w:ind w:left="214" w:right="220" w:firstLine="360"/>
        <w:jc w:val="left"/>
      </w:pPr>
      <w:r>
        <w:rPr/>
        <w:t>（</w:t>
      </w:r>
      <w:r>
        <w:rPr>
          <w:rFonts w:ascii="Times New Roman" w:hAnsi="Times New Roman" w:cs="Times New Roman" w:eastAsia="Times New Roman" w:hint="default"/>
        </w:rPr>
        <w:t>3</w:t>
      </w:r>
      <w:r>
        <w:rPr/>
        <w:t>）技术装备优势。公司总体技术装备具有世界先进水平，主要生产设备均引进国际知名的芬兰美卓、奥斯龙、德国 福伊特、奥地利安德里兹和美国</w:t>
      </w:r>
      <w:r>
        <w:rPr>
          <w:rFonts w:ascii="Times New Roman" w:hAnsi="Times New Roman" w:cs="Times New Roman" w:eastAsia="Times New Roman" w:hint="default"/>
        </w:rPr>
        <w:t>ABB</w:t>
      </w:r>
      <w:r>
        <w:rPr/>
        <w:t>等厂家产品。公司采用的技术装备集中体现了当今造纸工业技术密集、机电一体的特 </w:t>
      </w:r>
      <w:r>
        <w:rPr>
          <w:spacing w:val="-2"/>
        </w:rPr>
        <w:t>点。浆料系统的除气技术、湿部化学技术、纸页智能横向控制技术、涂料制备技术、自由喷射上料涂布技术、多压区压力平</w:t>
      </w:r>
      <w:r>
        <w:rPr>
          <w:spacing w:val="-68"/>
        </w:rPr>
        <w:t> </w:t>
      </w:r>
      <w:r>
        <w:rPr>
          <w:spacing w:val="-68"/>
        </w:rPr>
      </w:r>
      <w:r>
        <w:rPr/>
        <w:t>衡压光技术及自主开发的工艺流程，都达到或超过了国际先进水平。</w:t>
      </w:r>
    </w:p>
    <w:p>
      <w:pPr>
        <w:pStyle w:val="BodyText"/>
        <w:spacing w:line="312" w:lineRule="auto" w:before="64"/>
        <w:ind w:left="214" w:right="130" w:firstLine="360"/>
        <w:jc w:val="left"/>
      </w:pPr>
      <w:r>
        <w:rPr/>
        <w:t>（</w:t>
      </w:r>
      <w:r>
        <w:rPr>
          <w:rFonts w:ascii="Times New Roman" w:hAnsi="Times New Roman" w:cs="Times New Roman" w:eastAsia="Times New Roman" w:hint="default"/>
        </w:rPr>
        <w:t>4</w:t>
      </w:r>
      <w:r>
        <w:rPr/>
        <w:t>）科研创新优势。公司发挥自身强大的科研优势，以国家级企业技术中心和博士后科研工作站为依托，构建完善的 知识产权体系，不断加大技术创新能力和科研开发力度，积极开发科技含量高、附加值高的新产品和企业专有技术。同时， </w:t>
      </w:r>
      <w:r>
        <w:rPr>
          <w:spacing w:val="-2"/>
        </w:rPr>
        <w:t>晨鸣纸业技术中心积极与高等院校、科研单位和国际先进企业进行技术合作，形成了立足国内，辐射国际先进造纸研究基地</w:t>
      </w:r>
      <w:r>
        <w:rPr>
          <w:spacing w:val="-66"/>
        </w:rPr>
        <w:t> </w:t>
      </w:r>
      <w:r>
        <w:rPr>
          <w:spacing w:val="-66"/>
        </w:rPr>
      </w:r>
      <w:r>
        <w:rPr/>
        <w:t>的研究开发网络，有力保证了公司在国内同行业科研中的领先地位。</w:t>
      </w:r>
    </w:p>
    <w:p>
      <w:pPr>
        <w:pStyle w:val="BodyText"/>
        <w:spacing w:line="300" w:lineRule="auto" w:before="63"/>
        <w:ind w:left="214" w:right="150" w:firstLine="360"/>
        <w:jc w:val="left"/>
      </w:pPr>
      <w:r>
        <w:rPr/>
        <w:t>（</w:t>
      </w:r>
      <w:r>
        <w:rPr>
          <w:rFonts w:ascii="Times New Roman" w:hAnsi="Times New Roman" w:cs="Times New Roman" w:eastAsia="Times New Roman" w:hint="default"/>
        </w:rPr>
        <w:t>5</w:t>
      </w:r>
      <w:r>
        <w:rPr/>
        <w:t>）综合成本优势。公司拥有较为突出的综合成本优势，主要体现在：一是公司通过严格的管理，优化了生产线运作 水平，较大幅度减少了跑、冒、滴、漏等资源浪费，公司吨纸能耗也控制在较低的水平；二是公司走</w:t>
      </w:r>
      <w:r>
        <w:rPr>
          <w:rFonts w:ascii="Times New Roman" w:hAnsi="Times New Roman" w:cs="Times New Roman" w:eastAsia="Times New Roman" w:hint="default"/>
        </w:rPr>
        <w:t>“</w:t>
      </w:r>
      <w:r>
        <w:rPr/>
        <w:t>林浆纸一体化</w:t>
      </w:r>
      <w:r>
        <w:rPr>
          <w:rFonts w:ascii="Times New Roman" w:hAnsi="Times New Roman" w:cs="Times New Roman" w:eastAsia="Times New Roman" w:hint="default"/>
        </w:rPr>
        <w:t>”</w:t>
      </w:r>
      <w:r>
        <w:rPr/>
        <w:t>道路， 目前已建成近</w:t>
      </w:r>
      <w:r>
        <w:rPr>
          <w:rFonts w:ascii="Times New Roman" w:hAnsi="Times New Roman" w:cs="Times New Roman" w:eastAsia="Times New Roman" w:hint="default"/>
        </w:rPr>
        <w:t>200</w:t>
      </w:r>
      <w:r>
        <w:rPr/>
        <w:t>万亩的林地，同时建成了多条先进的制浆生产线，加大对主要原材料的供应建设；三是公司通过兴建自备 电厂来保证公司能源供应，降低了成本。</w:t>
      </w:r>
    </w:p>
    <w:p>
      <w:pPr>
        <w:pStyle w:val="BodyText"/>
        <w:spacing w:line="314" w:lineRule="auto" w:before="70"/>
        <w:ind w:left="214" w:right="230" w:firstLine="360"/>
        <w:jc w:val="both"/>
      </w:pPr>
      <w:r>
        <w:rPr/>
        <w:t>（</w:t>
      </w:r>
      <w:r>
        <w:rPr>
          <w:rFonts w:ascii="Times New Roman" w:hAnsi="Times New Roman" w:cs="Times New Roman" w:eastAsia="Times New Roman" w:hint="default"/>
        </w:rPr>
        <w:t>6</w:t>
      </w:r>
      <w:r>
        <w:rPr/>
        <w:t>）资金优势。造纸行业是资金密集型行业，资金是影响造纸行业发展最为重要的要素之一。公司具有良好的盈利能 </w:t>
      </w:r>
      <w:r>
        <w:rPr>
          <w:spacing w:val="-2"/>
        </w:rPr>
        <w:t>力和资信状况，长期与银行保持较为稳定的合作关系，使公司具有较为通畅的融资能力。公司近年来充分借助间接融资渠道</w:t>
      </w:r>
      <w:r>
        <w:rPr>
          <w:spacing w:val="-66"/>
        </w:rPr>
        <w:t> </w:t>
      </w:r>
      <w:r>
        <w:rPr>
          <w:spacing w:val="-66"/>
        </w:rPr>
      </w:r>
      <w:r>
        <w:rPr>
          <w:spacing w:val="-2"/>
        </w:rPr>
        <w:t>加快发展，在借款增加的同时，保持了较高的净资产收益率，提高了公司的盈利水平，较好地发挥财务杠杆优势，符合实现</w:t>
      </w:r>
      <w:r>
        <w:rPr>
          <w:spacing w:val="-66"/>
        </w:rPr>
        <w:t> </w:t>
      </w:r>
      <w:r>
        <w:rPr>
          <w:spacing w:val="-66"/>
        </w:rPr>
      </w:r>
      <w:r>
        <w:rPr>
          <w:spacing w:val="-2"/>
        </w:rPr>
        <w:t>股东财富最大化的财务目标。公司自上市以来一直保持良好的经营业绩，具备较为完善的法人治理结构，公司先后通过境内</w:t>
      </w:r>
      <w:r>
        <w:rPr>
          <w:spacing w:val="-66"/>
        </w:rPr>
        <w:t> </w:t>
      </w:r>
      <w:r>
        <w:rPr>
          <w:spacing w:val="-66"/>
        </w:rPr>
      </w:r>
      <w:r>
        <w:rPr>
          <w:spacing w:val="-2"/>
        </w:rPr>
        <w:t>外证券市场实现多次融资，且融资获取的资金使用效果良好，这也使公司具备了较强的通过证券市场直接融资的能力。财务</w:t>
      </w:r>
    </w:p>
    <w:p>
      <w:pPr>
        <w:spacing w:after="0" w:line="314" w:lineRule="auto"/>
        <w:jc w:val="both"/>
        <w:sectPr>
          <w:pgSz w:w="11910" w:h="16840"/>
          <w:pgMar w:header="747" w:footer="982" w:top="1060" w:bottom="1180" w:left="920" w:right="900"/>
        </w:sectPr>
      </w:pPr>
    </w:p>
    <w:p>
      <w:pPr>
        <w:spacing w:line="240" w:lineRule="auto" w:before="12"/>
        <w:rPr>
          <w:rFonts w:ascii="宋体" w:hAnsi="宋体" w:cs="宋体" w:eastAsia="宋体" w:hint="default"/>
          <w:sz w:val="25"/>
          <w:szCs w:val="25"/>
        </w:rPr>
      </w:pPr>
      <w:r>
        <w:rPr/>
        <w:pict>
          <v:group style="position:absolute;margin-left:461.940002pt;margin-top:410.730011pt;width:71.8pt;height:20.75pt;mso-position-horizontal-relative:page;mso-position-vertical-relative:page;z-index:-1129576" coordorigin="9239,8215" coordsize="1436,415">
            <v:group style="position:absolute;left:9250;top:8226;width:2;height:392" coordorigin="9250,8226" coordsize="2,392">
              <v:shape style="position:absolute;left:9250;top:8226;width:2;height:392" coordorigin="9250,8226" coordsize="0,392" path="m9250,8226l9250,8618e" filled="false" stroked="true" strokeweight="1.140pt" strokecolor="#ffffff">
                <v:path arrowok="t"/>
              </v:shape>
            </v:group>
            <v:group style="position:absolute;left:9262;top:8226;width:1413;height:392" coordorigin="9262,8226" coordsize="1413,392">
              <v:shape style="position:absolute;left:9262;top:8226;width:1413;height:392" coordorigin="9262,8226" coordsize="1413,392" path="m9262,8617l10674,8617,10674,8226,9262,8226,9262,8617xe" filled="true" fillcolor="#ffffff" stroked="false">
                <v:path arrowok="t"/>
                <v:fill type="solid"/>
              </v:shape>
            </v:group>
            <w10:wrap type="none"/>
          </v:group>
        </w:pict>
      </w:r>
      <w:r>
        <w:rPr/>
        <w:pict>
          <v:group style="position:absolute;margin-left:461.940002pt;margin-top:594.299988pt;width:73pt;height:28pt;mso-position-horizontal-relative:page;mso-position-vertical-relative:page;z-index:-1129552" coordorigin="9239,11886" coordsize="1460,560">
            <v:group style="position:absolute;left:9250;top:12042;width:2;height:392" coordorigin="9250,12042" coordsize="2,392">
              <v:shape style="position:absolute;left:9250;top:12042;width:2;height:392" coordorigin="9250,12042" coordsize="0,392" path="m9250,12042l9250,12434e" filled="false" stroked="true" strokeweight="1.140pt" strokecolor="#ffffff">
                <v:path arrowok="t"/>
              </v:shape>
            </v:group>
            <v:group style="position:absolute;left:9239;top:11886;width:1460;height:156" coordorigin="9239,11886" coordsize="1460,156">
              <v:shape style="position:absolute;left:9239;top:11886;width:1460;height:156" coordorigin="9239,11886" coordsize="1460,156" path="m9239,12042l10698,12042,10698,11886,9239,11886,9239,12042xe" filled="true" fillcolor="#ffffff" stroked="false">
                <v:path arrowok="t"/>
                <v:fill type="solid"/>
              </v:shape>
            </v:group>
            <v:group style="position:absolute;left:9262;top:12042;width:1413;height:392" coordorigin="9262,12042" coordsize="1413,392">
              <v:shape style="position:absolute;left:9262;top:12042;width:1413;height:392" coordorigin="9262,12042" coordsize="1413,392" path="m9262,12433l10674,12433,10674,12042,9262,12042,9262,12433xe" filled="true" fillcolor="#ffffff" stroked="false">
                <v:path arrowok="t"/>
                <v:fill type="solid"/>
              </v:shape>
            </v:group>
            <w10:wrap type="none"/>
          </v:group>
        </w:pict>
      </w:r>
    </w:p>
    <w:p>
      <w:pPr>
        <w:pStyle w:val="BodyText"/>
        <w:spacing w:line="240" w:lineRule="auto" w:before="44"/>
        <w:ind w:left="153" w:right="147"/>
        <w:jc w:val="left"/>
      </w:pPr>
      <w:r>
        <w:rPr/>
        <w:t>公司与融资租赁公司的开业，使公司获得了一条全新的多元化发展之路。</w:t>
      </w:r>
    </w:p>
    <w:p>
      <w:pPr>
        <w:pStyle w:val="BodyText"/>
        <w:spacing w:line="309" w:lineRule="auto" w:before="76"/>
        <w:ind w:right="149" w:firstLine="359"/>
        <w:jc w:val="both"/>
      </w:pPr>
      <w:r>
        <w:rPr/>
        <w:t>（</w:t>
      </w:r>
      <w:r>
        <w:rPr>
          <w:rFonts w:ascii="Times New Roman" w:hAnsi="Times New Roman" w:cs="Times New Roman" w:eastAsia="Times New Roman" w:hint="default"/>
        </w:rPr>
        <w:t>7</w:t>
      </w:r>
      <w:r>
        <w:rPr/>
        <w:t>）环保治理能力优势。多年来，公司上下牢固树立起了</w:t>
      </w:r>
      <w:r>
        <w:rPr>
          <w:rFonts w:ascii="Times New Roman" w:hAnsi="Times New Roman" w:cs="Times New Roman" w:eastAsia="Times New Roman" w:hint="default"/>
        </w:rPr>
        <w:t>“</w:t>
      </w:r>
      <w:r>
        <w:rPr/>
        <w:t>规模膨胀、环保先行</w:t>
      </w:r>
      <w:r>
        <w:rPr>
          <w:rFonts w:ascii="Times New Roman" w:hAnsi="Times New Roman" w:cs="Times New Roman" w:eastAsia="Times New Roman" w:hint="default"/>
        </w:rPr>
        <w:t>”</w:t>
      </w:r>
      <w:r>
        <w:rPr/>
        <w:t>的发展意识，做到一手抓环保，一手 </w:t>
      </w:r>
      <w:r>
        <w:rPr>
          <w:spacing w:val="-2"/>
        </w:rPr>
        <w:t>抓生产，保证经济效益和环保效益同步提高。公司及控股子公司近年来投资建设了碱回收系统、中段水处理系统、白水回收</w:t>
      </w:r>
      <w:r>
        <w:rPr>
          <w:spacing w:val="-66"/>
        </w:rPr>
        <w:t> </w:t>
      </w:r>
      <w:r>
        <w:rPr>
          <w:spacing w:val="-66"/>
        </w:rPr>
      </w:r>
      <w:r>
        <w:rPr/>
        <w:t>系统、黑液综合利用系统、脱硫脱硝系统以及污水处理厂等污染治理设施，保证了环保设施适应公司的快速扩张速度。</w:t>
      </w:r>
    </w:p>
    <w:p>
      <w:pPr>
        <w:spacing w:line="240" w:lineRule="auto" w:before="2"/>
        <w:rPr>
          <w:rFonts w:ascii="宋体" w:hAnsi="宋体" w:cs="宋体" w:eastAsia="宋体" w:hint="default"/>
          <w:sz w:val="21"/>
          <w:szCs w:val="21"/>
        </w:rPr>
      </w:pPr>
    </w:p>
    <w:p>
      <w:pPr>
        <w:pStyle w:val="Heading2"/>
        <w:spacing w:line="240" w:lineRule="auto"/>
        <w:ind w:right="147"/>
        <w:jc w:val="left"/>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00"/>
        <w:gridCol w:w="488"/>
        <w:gridCol w:w="3190"/>
        <w:gridCol w:w="1722"/>
        <w:gridCol w:w="1469"/>
      </w:tblGrid>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4" w:right="0"/>
              <w:jc w:val="left"/>
              <w:rPr>
                <w:rFonts w:ascii="Times New Roman" w:hAnsi="Times New Roman" w:cs="Times New Roman" w:eastAsia="Times New Roman" w:hint="default"/>
                <w:sz w:val="18"/>
                <w:szCs w:val="18"/>
              </w:rPr>
            </w:pPr>
            <w:r>
              <w:rPr>
                <w:rFonts w:ascii="Times New Roman"/>
                <w:sz w:val="18"/>
              </w:rPr>
              <w:t>6,714,267,162.28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519,337,235.00</w:t>
            </w:r>
          </w:p>
        </w:tc>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1,192.85%</w:t>
            </w:r>
          </w:p>
        </w:tc>
      </w:tr>
      <w:tr>
        <w:trPr>
          <w:trHeight w:val="401"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54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8" w:right="98"/>
              <w:jc w:val="left"/>
              <w:rPr>
                <w:rFonts w:ascii="宋体" w:hAnsi="宋体" w:cs="宋体" w:eastAsia="宋体" w:hint="default"/>
                <w:sz w:val="18"/>
                <w:szCs w:val="18"/>
              </w:rPr>
            </w:pPr>
            <w:r>
              <w:rPr>
                <w:rFonts w:ascii="宋体" w:hAnsi="宋体" w:cs="宋体" w:eastAsia="宋体" w:hint="default"/>
                <w:sz w:val="18"/>
                <w:szCs w:val="18"/>
              </w:rPr>
              <w:t>上市公司占被投 资公司权益比例</w:t>
            </w:r>
          </w:p>
        </w:tc>
      </w:tr>
      <w:tr>
        <w:trPr>
          <w:trHeight w:val="71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5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融资租赁业务；经营性租赁业务；向国内外购买租赁财产；租赁财产</w:t>
            </w:r>
            <w:r>
              <w:rPr>
                <w:rFonts w:ascii="宋体" w:hAnsi="宋体" w:cs="宋体" w:eastAsia="宋体" w:hint="default"/>
                <w:sz w:val="18"/>
                <w:szCs w:val="18"/>
              </w:rPr>
              <w:t> 的残值处理及维修；租赁交易咨询。</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寿光晨鸣汇森新型建材有限公司</w:t>
            </w:r>
          </w:p>
        </w:tc>
        <w:tc>
          <w:tcPr>
            <w:tcW w:w="5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制造、销售：脱硫石膏、建筑石膏粉、石膏板、石膏砌块、轻钢龙骨</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tabs>
                <w:tab w:pos="879" w:val="left" w:leader="none"/>
              </w:tabs>
              <w:spacing w:line="240" w:lineRule="auto" w:before="51"/>
              <w:ind w:left="-124"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50.00%</w:t>
            </w:r>
          </w:p>
        </w:tc>
      </w:tr>
      <w:tr>
        <w:trPr>
          <w:trHeight w:val="1650"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山东晨鸣投资有限公司</w:t>
            </w:r>
          </w:p>
        </w:tc>
        <w:tc>
          <w:tcPr>
            <w:tcW w:w="5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在中国政府鼓励和允许外商投资的领域依法进行投资；在外汇管理部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门的同意和监督下，在其所投资企业之间平衡外汇；协助其所投资的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企业寻求贷款及提供担保；为其投资者提供咨询服务，为其关联公司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提供与投资有关的市场信息、投资政策等咨询服务；承接外国公司和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其母公司之关联公司的服务外包业务。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吉林晨鸣新型墙体材料有限公司</w:t>
            </w:r>
          </w:p>
        </w:tc>
        <w:tc>
          <w:tcPr>
            <w:tcW w:w="5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新型墙体材料的生产与销售、粉煤灰的综合利用。</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晨鸣林业有限公司</w:t>
            </w:r>
          </w:p>
        </w:tc>
        <w:tc>
          <w:tcPr>
            <w:tcW w:w="5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林木种植、苗木培育、木材加工销售、林副产品加工销售。</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青岛晨鸣国际物流有限公司</w:t>
            </w:r>
          </w:p>
        </w:tc>
        <w:tc>
          <w:tcPr>
            <w:tcW w:w="5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货物运输、汽车维护、 货物仓储、装卸、国际货运代理服务。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山东晨鸣集团财务有限公司</w:t>
            </w:r>
          </w:p>
        </w:tc>
        <w:tc>
          <w:tcPr>
            <w:tcW w:w="5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经中国银行业监督委员会批准的金融服务业务。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5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pacing w:val="-5"/>
                <w:sz w:val="18"/>
                <w:szCs w:val="18"/>
              </w:rPr>
              <w:t>原料林基地建设及木材经营收购；纸浆及相关产品制造、生产、加工</w:t>
            </w:r>
            <w:r>
              <w:rPr>
                <w:rFonts w:ascii="宋体" w:hAnsi="宋体" w:cs="宋体" w:eastAsia="宋体" w:hint="default"/>
                <w:sz w:val="18"/>
                <w:szCs w:val="18"/>
              </w:rPr>
              <w:t> 销售、项目建设及相关进出口业务。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789"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江西晨鸣港务有限公司</w:t>
            </w:r>
          </w:p>
        </w:tc>
        <w:tc>
          <w:tcPr>
            <w:tcW w:w="5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从事货物装卸、仓储经营。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5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有关纸业产品的进出口贸易及市场调研等。</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r>
      <w:tr>
        <w:trPr>
          <w:trHeight w:val="1026"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5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both"/>
              <w:rPr>
                <w:rFonts w:ascii="宋体" w:hAnsi="宋体" w:cs="宋体" w:eastAsia="宋体" w:hint="default"/>
                <w:sz w:val="18"/>
                <w:szCs w:val="18"/>
              </w:rPr>
            </w:pPr>
            <w:r>
              <w:rPr>
                <w:rFonts w:ascii="宋体" w:hAnsi="宋体" w:cs="宋体" w:eastAsia="宋体" w:hint="default"/>
                <w:sz w:val="18"/>
                <w:szCs w:val="18"/>
              </w:rPr>
              <w:t>生产、销售：铜版纸、纸板、纸制品、造纸原料、造纸机械；销售： </w:t>
            </w:r>
            <w:r>
              <w:rPr>
                <w:rFonts w:ascii="宋体" w:hAnsi="宋体" w:cs="宋体" w:eastAsia="宋体" w:hint="default"/>
                <w:spacing w:val="-2"/>
                <w:sz w:val="18"/>
                <w:szCs w:val="18"/>
              </w:rPr>
              <w:t>纤维饲料、胚芽、蛋白粉；经营国家允许范围内的货物、技术进出口</w:t>
            </w:r>
            <w:r>
              <w:rPr>
                <w:rFonts w:ascii="宋体" w:hAnsi="宋体" w:cs="宋体" w:eastAsia="宋体" w:hint="default"/>
                <w:sz w:val="18"/>
                <w:szCs w:val="18"/>
              </w:rPr>
              <w:t> 业务。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73pt;height:15.6pt;mso-position-horizontal-relative:char;mso-position-vertical-relative:line" coordorigin="0,0" coordsize="1460,312">
                  <v:group style="position:absolute;left:0;top:0;width:1460;height:312" coordorigin="0,0" coordsize="1460,312">
                    <v:shape style="position:absolute;left:0;top:0;width:1460;height:312" coordorigin="0,0" coordsize="1460,312" path="m0,312l1459,312,1459,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76"/>
        <w:gridCol w:w="880"/>
        <w:gridCol w:w="870"/>
        <w:gridCol w:w="870"/>
        <w:gridCol w:w="870"/>
        <w:gridCol w:w="869"/>
        <w:gridCol w:w="869"/>
        <w:gridCol w:w="869"/>
        <w:gridCol w:w="869"/>
        <w:gridCol w:w="869"/>
        <w:gridCol w:w="856"/>
      </w:tblGrid>
      <w:tr>
        <w:trPr>
          <w:trHeight w:val="714" w:hRule="exact"/>
        </w:trPr>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34" w:firstLine="46"/>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6"/>
                <w:sz w:val="18"/>
                <w:szCs w:val="18"/>
              </w:rPr>
              <w:t>成本（元）</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67" w:firstLine="46"/>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期初持股</w:t>
            </w:r>
          </w:p>
          <w:p>
            <w:pPr>
              <w:pStyle w:val="TableParagraph"/>
              <w:spacing w:line="240" w:lineRule="auto" w:before="77"/>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8" w:firstLine="45"/>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7"/>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 w:right="68"/>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 w:right="68"/>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9"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026"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山东晨鸣 集团财务 有限公司</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341" w:right="0"/>
              <w:jc w:val="left"/>
              <w:rPr>
                <w:rFonts w:ascii="Times New Roman" w:hAnsi="Times New Roman" w:cs="Times New Roman" w:eastAsia="Times New Roman" w:hint="default"/>
                <w:sz w:val="18"/>
                <w:szCs w:val="18"/>
              </w:rPr>
            </w:pPr>
            <w:r>
              <w:rPr>
                <w:rFonts w:ascii="Times New Roman"/>
                <w:sz w:val="18"/>
              </w:rPr>
              <w:t>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1,274,741,</w:t>
            </w:r>
          </w:p>
          <w:p>
            <w:pPr>
              <w:pStyle w:val="TableParagraph"/>
              <w:spacing w:line="240" w:lineRule="auto" w:before="106"/>
              <w:ind w:left="339" w:right="0"/>
              <w:jc w:val="left"/>
              <w:rPr>
                <w:rFonts w:ascii="Times New Roman" w:hAnsi="Times New Roman" w:cs="Times New Roman" w:eastAsia="Times New Roman" w:hint="default"/>
                <w:sz w:val="18"/>
                <w:szCs w:val="18"/>
              </w:rPr>
            </w:pPr>
            <w:r>
              <w:rPr>
                <w:rFonts w:ascii="Times New Roman"/>
                <w:sz w:val="18"/>
              </w:rPr>
              <w:t>873.93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6,713,646.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13"/>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6"/>
              <w:jc w:val="center"/>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7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341" w:right="0"/>
              <w:jc w:val="left"/>
              <w:rPr>
                <w:rFonts w:ascii="Times New Roman" w:hAnsi="Times New Roman" w:cs="Times New Roman" w:eastAsia="Times New Roman" w:hint="default"/>
                <w:sz w:val="18"/>
                <w:szCs w:val="18"/>
              </w:rPr>
            </w:pPr>
            <w:r>
              <w:rPr>
                <w:rFonts w:ascii="Times New Roman"/>
                <w:sz w:val="18"/>
              </w:rPr>
              <w:t>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1,274,741,</w:t>
            </w:r>
          </w:p>
          <w:p>
            <w:pPr>
              <w:pStyle w:val="TableParagraph"/>
              <w:spacing w:line="240" w:lineRule="auto" w:before="106"/>
              <w:ind w:left="339" w:right="0"/>
              <w:jc w:val="left"/>
              <w:rPr>
                <w:rFonts w:ascii="Times New Roman" w:hAnsi="Times New Roman" w:cs="Times New Roman" w:eastAsia="Times New Roman" w:hint="default"/>
                <w:sz w:val="18"/>
                <w:szCs w:val="18"/>
              </w:rPr>
            </w:pPr>
            <w:r>
              <w:rPr>
                <w:rFonts w:ascii="Times New Roman"/>
                <w:sz w:val="18"/>
              </w:rPr>
              <w:t>873.93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6,713,646.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公司报告期不存在证券投资。</w:t>
      </w:r>
    </w:p>
    <w:p>
      <w:pPr>
        <w:spacing w:line="240" w:lineRule="auto" w:before="10"/>
        <w:rPr>
          <w:rFonts w:ascii="宋体" w:hAnsi="宋体" w:cs="宋体" w:eastAsia="宋体" w:hint="default"/>
          <w:sz w:val="26"/>
          <w:szCs w:val="26"/>
        </w:rPr>
      </w:pPr>
    </w:p>
    <w:p>
      <w:pPr>
        <w:pStyle w:val="Heading4"/>
        <w:spacing w:line="240" w:lineRule="auto"/>
        <w:ind w:right="147"/>
        <w:jc w:val="left"/>
        <w:rPr>
          <w:b w:val="0"/>
          <w:bCs w:val="0"/>
        </w:rPr>
      </w:pP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公司报告期未持有其他上市公司股权。</w:t>
      </w:r>
    </w:p>
    <w:p>
      <w:pPr>
        <w:spacing w:line="240" w:lineRule="auto" w:before="10"/>
        <w:rPr>
          <w:rFonts w:ascii="宋体" w:hAnsi="宋体" w:cs="宋体" w:eastAsia="宋体" w:hint="default"/>
          <w:sz w:val="26"/>
          <w:szCs w:val="26"/>
        </w:rPr>
      </w:pPr>
    </w:p>
    <w:p>
      <w:pPr>
        <w:pStyle w:val="Heading4"/>
        <w:spacing w:line="240" w:lineRule="auto"/>
        <w:ind w:right="147"/>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公司报告期不存在委托理财。</w:t>
      </w:r>
    </w:p>
    <w:p>
      <w:pPr>
        <w:spacing w:line="240" w:lineRule="auto" w:before="10"/>
        <w:rPr>
          <w:rFonts w:ascii="宋体" w:hAnsi="宋体" w:cs="宋体" w:eastAsia="宋体" w:hint="default"/>
          <w:sz w:val="26"/>
          <w:szCs w:val="26"/>
        </w:rPr>
      </w:pPr>
    </w:p>
    <w:p>
      <w:pPr>
        <w:pStyle w:val="Heading4"/>
        <w:spacing w:line="240" w:lineRule="auto"/>
        <w:ind w:right="147"/>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公司报告期不存在衍生品投资。</w:t>
      </w:r>
    </w:p>
    <w:p>
      <w:pPr>
        <w:spacing w:line="240" w:lineRule="auto" w:before="10"/>
        <w:rPr>
          <w:rFonts w:ascii="宋体" w:hAnsi="宋体" w:cs="宋体" w:eastAsia="宋体" w:hint="default"/>
          <w:sz w:val="26"/>
          <w:szCs w:val="26"/>
        </w:rPr>
      </w:pPr>
    </w:p>
    <w:p>
      <w:pPr>
        <w:pStyle w:val="Heading4"/>
        <w:spacing w:line="240" w:lineRule="auto"/>
        <w:ind w:right="147"/>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908"/>
        <w:gridCol w:w="719"/>
        <w:gridCol w:w="1082"/>
        <w:gridCol w:w="900"/>
        <w:gridCol w:w="2879"/>
        <w:gridCol w:w="1206"/>
      </w:tblGrid>
      <w:tr>
        <w:trPr>
          <w:trHeight w:val="714"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贷款对象</w:t>
            </w:r>
          </w:p>
        </w:tc>
        <w:tc>
          <w:tcPr>
            <w:tcW w:w="7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3" w:right="83" w:hanging="90"/>
              <w:jc w:val="left"/>
              <w:rPr>
                <w:rFonts w:ascii="宋体" w:hAnsi="宋体" w:cs="宋体" w:eastAsia="宋体" w:hint="default"/>
                <w:sz w:val="18"/>
                <w:szCs w:val="18"/>
              </w:rPr>
            </w:pPr>
            <w:r>
              <w:rPr>
                <w:rFonts w:ascii="宋体" w:hAnsi="宋体" w:cs="宋体" w:eastAsia="宋体" w:hint="default"/>
                <w:sz w:val="18"/>
                <w:szCs w:val="18"/>
              </w:rPr>
              <w:t>是否关 联方</w:t>
            </w:r>
          </w:p>
        </w:tc>
        <w:tc>
          <w:tcPr>
            <w:tcW w:w="1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28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3" w:right="0"/>
              <w:jc w:val="left"/>
              <w:rPr>
                <w:rFonts w:ascii="宋体" w:hAnsi="宋体" w:cs="宋体" w:eastAsia="宋体" w:hint="default"/>
                <w:sz w:val="18"/>
                <w:szCs w:val="18"/>
              </w:rPr>
            </w:pPr>
            <w:r>
              <w:rPr>
                <w:rFonts w:ascii="宋体" w:hAnsi="宋体" w:cs="宋体" w:eastAsia="宋体" w:hint="default"/>
                <w:sz w:val="18"/>
                <w:szCs w:val="18"/>
              </w:rPr>
              <w:t>担保人或抵押物</w:t>
            </w:r>
          </w:p>
        </w:tc>
        <w:tc>
          <w:tcPr>
            <w:tcW w:w="1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7" w:right="56" w:hanging="360"/>
              <w:jc w:val="left"/>
              <w:rPr>
                <w:rFonts w:ascii="宋体" w:hAnsi="宋体" w:cs="宋体" w:eastAsia="宋体" w:hint="default"/>
                <w:sz w:val="18"/>
                <w:szCs w:val="18"/>
              </w:rPr>
            </w:pPr>
            <w:r>
              <w:rPr>
                <w:rFonts w:ascii="宋体" w:hAnsi="宋体" w:cs="宋体" w:eastAsia="宋体" w:hint="default"/>
                <w:sz w:val="18"/>
                <w:szCs w:val="18"/>
              </w:rPr>
              <w:t>贷款对象资金 用途</w:t>
            </w:r>
          </w:p>
        </w:tc>
      </w:tr>
      <w:tr>
        <w:trPr>
          <w:trHeight w:val="1026"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寿光市金财公有资产经营有限公司</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w:t>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以寿光市基础设施建设资金管理中 心持有的寿光市金财公有资产经营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股权作为质押担保。</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1"/>
              <w:jc w:val="both"/>
              <w:rPr>
                <w:rFonts w:ascii="宋体" w:hAnsi="宋体" w:cs="宋体" w:eastAsia="宋体" w:hint="default"/>
                <w:sz w:val="18"/>
                <w:szCs w:val="18"/>
              </w:rPr>
            </w:pPr>
            <w:r>
              <w:rPr>
                <w:rFonts w:ascii="宋体" w:hAnsi="宋体" w:cs="宋体" w:eastAsia="宋体" w:hint="default"/>
                <w:sz w:val="18"/>
                <w:szCs w:val="18"/>
              </w:rPr>
              <w:t>城乡基础设施 的建设、投资 和经营。</w:t>
            </w:r>
          </w:p>
        </w:tc>
      </w:tr>
      <w:tr>
        <w:trPr>
          <w:trHeight w:val="40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江西晨鸣纸业有限公司</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5.60%</w:t>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宋体" w:hAnsi="宋体" w:cs="宋体" w:eastAsia="宋体" w:hint="default"/>
                <w:sz w:val="18"/>
                <w:szCs w:val="18"/>
              </w:rPr>
              <w:t>补充流动资金</w:t>
            </w:r>
          </w:p>
        </w:tc>
      </w:tr>
      <w:tr>
        <w:trPr>
          <w:trHeight w:val="402"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200" w:hRule="exact"/>
        </w:trPr>
        <w:tc>
          <w:tcPr>
            <w:tcW w:w="2908" w:type="dxa"/>
            <w:tcBorders>
              <w:top w:val="single" w:sz="4" w:space="0" w:color="000000"/>
              <w:left w:val="single" w:sz="4" w:space="0" w:color="000000"/>
              <w:bottom w:val="nil" w:sz="6" w:space="0" w:color="auto"/>
              <w:right w:val="single" w:sz="4" w:space="0" w:color="000000"/>
            </w:tcBorders>
            <w:shd w:val="clear" w:color="auto" w:fill="D3D3D3"/>
          </w:tcPr>
          <w:p>
            <w:pPr/>
          </w:p>
        </w:tc>
        <w:tc>
          <w:tcPr>
            <w:tcW w:w="6786" w:type="dxa"/>
            <w:gridSpan w:val="5"/>
            <w:vMerge w:val="restart"/>
            <w:tcBorders>
              <w:top w:val="single" w:sz="4" w:space="0" w:color="000000"/>
              <w:left w:val="single" w:sz="9" w:space="0" w:color="D3D3D3"/>
              <w:right w:val="single" w:sz="4" w:space="0" w:color="000000"/>
            </w:tcBorders>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02" w:hRule="exact"/>
        </w:trPr>
        <w:tc>
          <w:tcPr>
            <w:tcW w:w="290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委托贷款审批董事会公告披露日期</w:t>
            </w:r>
          </w:p>
        </w:tc>
        <w:tc>
          <w:tcPr>
            <w:tcW w:w="6786" w:type="dxa"/>
            <w:gridSpan w:val="5"/>
            <w:vMerge/>
            <w:tcBorders>
              <w:left w:val="single" w:sz="9" w:space="0" w:color="D3D3D3"/>
              <w:bottom w:val="single" w:sz="4" w:space="0" w:color="000000"/>
              <w:right w:val="single" w:sz="4" w:space="0" w:color="000000"/>
            </w:tcBorders>
          </w:tcPr>
          <w:p>
            <w:pPr/>
          </w:p>
        </w:tc>
      </w:tr>
      <w:tr>
        <w:trPr>
          <w:trHeight w:val="190" w:hRule="exact"/>
        </w:trPr>
        <w:tc>
          <w:tcPr>
            <w:tcW w:w="2908" w:type="dxa"/>
            <w:vMerge/>
            <w:tcBorders>
              <w:left w:val="single" w:sz="4" w:space="0" w:color="000000"/>
              <w:bottom w:val="nil" w:sz="6" w:space="0" w:color="auto"/>
              <w:right w:val="single" w:sz="4" w:space="0" w:color="000000"/>
            </w:tcBorders>
            <w:shd w:val="clear" w:color="auto" w:fill="D3D3D3"/>
          </w:tcPr>
          <w:p>
            <w:pPr/>
          </w:p>
        </w:tc>
        <w:tc>
          <w:tcPr>
            <w:tcW w:w="6786" w:type="dxa"/>
            <w:gridSpan w:val="5"/>
            <w:vMerge w:val="restart"/>
            <w:tcBorders>
              <w:top w:val="single" w:sz="4" w:space="0" w:color="000000"/>
              <w:left w:val="single" w:sz="9" w:space="0" w:color="D3D3D3"/>
              <w:right w:val="single" w:sz="4" w:space="0" w:color="000000"/>
            </w:tcBorders>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12" w:hRule="exact"/>
        </w:trPr>
        <w:tc>
          <w:tcPr>
            <w:tcW w:w="2908" w:type="dxa"/>
            <w:tcBorders>
              <w:top w:val="nil" w:sz="6" w:space="0" w:color="auto"/>
              <w:left w:val="single" w:sz="4" w:space="0" w:color="000000"/>
              <w:bottom w:val="single" w:sz="4" w:space="0" w:color="000000"/>
              <w:right w:val="single" w:sz="4" w:space="0" w:color="000000"/>
            </w:tcBorders>
            <w:shd w:val="clear" w:color="auto" w:fill="D3D3D3"/>
          </w:tcPr>
          <w:p>
            <w:pPr/>
          </w:p>
        </w:tc>
        <w:tc>
          <w:tcPr>
            <w:tcW w:w="6786" w:type="dxa"/>
            <w:gridSpan w:val="5"/>
            <w:vMerge/>
            <w:tcBorders>
              <w:left w:val="single" w:sz="9" w:space="0" w:color="D3D3D3"/>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896"/>
        <w:gridCol w:w="6797"/>
      </w:tblGrid>
      <w:tr>
        <w:trPr>
          <w:trHeight w:val="332" w:hRule="exact"/>
        </w:trPr>
        <w:tc>
          <w:tcPr>
            <w:tcW w:w="2896" w:type="dxa"/>
            <w:tcBorders>
              <w:top w:val="single" w:sz="6" w:space="0" w:color="000000"/>
              <w:left w:val="nil" w:sz="6" w:space="0" w:color="auto"/>
              <w:bottom w:val="single" w:sz="4" w:space="0" w:color="000000"/>
              <w:right w:val="nil" w:sz="6" w:space="0" w:color="auto"/>
            </w:tcBorders>
          </w:tcPr>
          <w:p>
            <w:pPr/>
          </w:p>
        </w:tc>
        <w:tc>
          <w:tcPr>
            <w:tcW w:w="6797"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2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委托贷款审批股东会公告披露日期</w:t>
            </w:r>
          </w:p>
        </w:tc>
        <w:tc>
          <w:tcPr>
            <w:tcW w:w="679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9"/>
          <w:szCs w:val="19"/>
        </w:rPr>
      </w:pPr>
    </w:p>
    <w:p>
      <w:pPr>
        <w:pStyle w:val="Heading4"/>
        <w:spacing w:line="240" w:lineRule="auto" w:before="35"/>
        <w:ind w:left="134" w:right="140"/>
        <w:jc w:val="left"/>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34" w:right="140"/>
        <w:jc w:val="left"/>
      </w:pPr>
      <w:r>
        <w:rPr/>
        <w:t>主要子公司、参股公司情况</w:t>
      </w:r>
    </w:p>
    <w:p>
      <w:pPr>
        <w:pStyle w:val="BodyText"/>
        <w:spacing w:line="240" w:lineRule="auto" w:before="117"/>
        <w:ind w:left="0" w:right="149"/>
        <w:jc w:val="right"/>
      </w:pPr>
      <w:r>
        <w:rPr/>
        <w:t>单位：万元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952"/>
        <w:gridCol w:w="1080"/>
        <w:gridCol w:w="943"/>
        <w:gridCol w:w="943"/>
        <w:gridCol w:w="943"/>
        <w:gridCol w:w="1001"/>
        <w:gridCol w:w="943"/>
        <w:gridCol w:w="1001"/>
        <w:gridCol w:w="943"/>
        <w:gridCol w:w="944"/>
      </w:tblGrid>
      <w:tr>
        <w:trPr>
          <w:trHeight w:val="714" w:hRule="exact"/>
        </w:trPr>
        <w:tc>
          <w:tcPr>
            <w:tcW w:w="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5" w:right="107"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湛江晨鸣 浆纸有限 责任公司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造纸</w:t>
            </w:r>
          </w:p>
        </w:tc>
        <w:tc>
          <w:tcPr>
            <w:tcW w:w="94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pacing w:val="41"/>
                <w:sz w:val="18"/>
                <w:szCs w:val="18"/>
              </w:rPr>
              <w:t>浆、双胶</w:t>
            </w:r>
            <w:r>
              <w:rPr>
                <w:rFonts w:ascii="宋体" w:hAnsi="宋体" w:cs="宋体" w:eastAsia="宋体" w:hint="default"/>
                <w:spacing w:val="-35"/>
                <w:sz w:val="18"/>
                <w:szCs w:val="18"/>
              </w:rPr>
              <w:t> </w:t>
            </w:r>
            <w:r>
              <w:rPr>
                <w:rFonts w:ascii="宋体" w:hAnsi="宋体" w:cs="宋体" w:eastAsia="宋体" w:hint="default"/>
                <w:spacing w:val="-3"/>
                <w:sz w:val="18"/>
                <w:szCs w:val="18"/>
              </w:rPr>
              <w:t>纸、静电纸</w:t>
            </w:r>
          </w:p>
        </w:tc>
        <w:tc>
          <w:tcPr>
            <w:tcW w:w="94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right="23"/>
              <w:jc w:val="right"/>
              <w:rPr>
                <w:rFonts w:ascii="宋体" w:hAnsi="宋体" w:cs="宋体" w:eastAsia="宋体" w:hint="default"/>
                <w:sz w:val="18"/>
                <w:szCs w:val="18"/>
              </w:rPr>
            </w:pPr>
            <w:r>
              <w:rPr>
                <w:rFonts w:ascii="宋体" w:hAnsi="宋体" w:cs="宋体" w:eastAsia="宋体" w:hint="default"/>
                <w:sz w:val="18"/>
                <w:szCs w:val="18"/>
              </w:rPr>
              <w:t>元</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1,305,169.27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344,726.54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420,120.75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44,788.04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39,024.45</w:t>
            </w:r>
          </w:p>
        </w:tc>
      </w:tr>
      <w:tr>
        <w:trPr>
          <w:trHeight w:val="1026"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山东晨鸣 纸业销售 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纸品贸易</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纸品销售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929,924.97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15,954.37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1,465,099.04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5,192.89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3,565.20</w:t>
            </w:r>
          </w:p>
        </w:tc>
      </w:tr>
      <w:tr>
        <w:trPr>
          <w:trHeight w:val="1338"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晨鸣（香 港）有限公 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纸品贸易</w:t>
            </w:r>
          </w:p>
        </w:tc>
        <w:tc>
          <w:tcPr>
            <w:tcW w:w="94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纸品销售、 </w:t>
            </w:r>
            <w:r>
              <w:rPr>
                <w:rFonts w:ascii="宋体" w:hAnsi="宋体" w:cs="宋体" w:eastAsia="宋体" w:hint="default"/>
                <w:spacing w:val="41"/>
                <w:sz w:val="18"/>
                <w:szCs w:val="18"/>
              </w:rPr>
              <w:t>原材料进</w:t>
            </w:r>
            <w:r>
              <w:rPr>
                <w:rFonts w:ascii="宋体" w:hAnsi="宋体" w:cs="宋体" w:eastAsia="宋体" w:hint="default"/>
                <w:spacing w:val="-35"/>
                <w:sz w:val="18"/>
                <w:szCs w:val="18"/>
              </w:rPr>
              <w:t> </w:t>
            </w:r>
            <w:r>
              <w:rPr>
                <w:rFonts w:ascii="宋体" w:hAnsi="宋体" w:cs="宋体" w:eastAsia="宋体" w:hint="default"/>
                <w:spacing w:val="-3"/>
                <w:sz w:val="18"/>
                <w:szCs w:val="18"/>
              </w:rPr>
              <w:t>口、来料加</w:t>
            </w:r>
            <w:r>
              <w:rPr>
                <w:rFonts w:ascii="宋体" w:hAnsi="宋体" w:cs="宋体" w:eastAsia="宋体" w:hint="default"/>
                <w:sz w:val="18"/>
                <w:szCs w:val="18"/>
              </w:rPr>
              <w:t> 工</w:t>
            </w:r>
          </w:p>
        </w:tc>
        <w:tc>
          <w:tcPr>
            <w:tcW w:w="94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2,990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40" w:lineRule="auto" w:before="63"/>
              <w:ind w:right="23"/>
              <w:jc w:val="right"/>
              <w:rPr>
                <w:rFonts w:ascii="宋体" w:hAnsi="宋体" w:cs="宋体" w:eastAsia="宋体" w:hint="default"/>
                <w:sz w:val="18"/>
                <w:szCs w:val="18"/>
              </w:rPr>
            </w:pPr>
            <w:r>
              <w:rPr>
                <w:rFonts w:ascii="宋体" w:hAnsi="宋体" w:cs="宋体" w:eastAsia="宋体" w:hint="default"/>
                <w:sz w:val="18"/>
                <w:szCs w:val="18"/>
              </w:rPr>
              <w:t>元</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949,932.63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39,679.59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665,838.49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14,961.28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12,498.66</w:t>
            </w:r>
          </w:p>
        </w:tc>
      </w:tr>
      <w:tr>
        <w:trPr>
          <w:trHeight w:val="1026"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江西晨鸣 纸业有限 责任公司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造纸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3"/>
                <w:sz w:val="18"/>
                <w:szCs w:val="18"/>
              </w:rPr>
              <w:t>双胶纸、涂</w:t>
            </w:r>
            <w:r>
              <w:rPr>
                <w:rFonts w:ascii="宋体" w:hAnsi="宋体" w:cs="宋体" w:eastAsia="宋体" w:hint="default"/>
                <w:sz w:val="18"/>
                <w:szCs w:val="18"/>
              </w:rPr>
              <w:t> 布纸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27,200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万美</w:t>
            </w:r>
          </w:p>
          <w:p>
            <w:pPr>
              <w:pStyle w:val="TableParagraph"/>
              <w:spacing w:line="240" w:lineRule="auto" w:before="63"/>
              <w:ind w:right="23"/>
              <w:jc w:val="right"/>
              <w:rPr>
                <w:rFonts w:ascii="宋体" w:hAnsi="宋体" w:cs="宋体" w:eastAsia="宋体" w:hint="default"/>
                <w:sz w:val="18"/>
                <w:szCs w:val="18"/>
              </w:rPr>
            </w:pPr>
            <w:r>
              <w:rPr>
                <w:rFonts w:ascii="宋体" w:hAnsi="宋体" w:cs="宋体" w:eastAsia="宋体" w:hint="default"/>
                <w:sz w:val="18"/>
                <w:szCs w:val="18"/>
              </w:rPr>
              <w:t>元</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523,346.50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207,254.45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151,965.29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934.25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8,430.95</w:t>
            </w:r>
          </w:p>
        </w:tc>
      </w:tr>
      <w:tr>
        <w:trPr>
          <w:trHeight w:val="1026"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寿光美伦 纸业有限 责任公司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造纸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铜版纸、白</w:t>
            </w:r>
            <w:r>
              <w:rPr>
                <w:rFonts w:ascii="宋体" w:hAnsi="宋体" w:cs="宋体" w:eastAsia="宋体" w:hint="default"/>
                <w:sz w:val="18"/>
                <w:szCs w:val="18"/>
              </w:rPr>
              <w:t> </w:t>
            </w:r>
            <w:r>
              <w:rPr>
                <w:rFonts w:ascii="宋体" w:hAnsi="宋体" w:cs="宋体" w:eastAsia="宋体" w:hint="default"/>
                <w:spacing w:val="-3"/>
                <w:sz w:val="18"/>
                <w:szCs w:val="18"/>
              </w:rPr>
              <w:t>牛卡纸、生</w:t>
            </w:r>
            <w:r>
              <w:rPr>
                <w:rFonts w:ascii="宋体" w:hAnsi="宋体" w:cs="宋体" w:eastAsia="宋体" w:hint="default"/>
                <w:sz w:val="18"/>
                <w:szCs w:val="18"/>
              </w:rPr>
              <w:t> 活纸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right="23"/>
              <w:jc w:val="right"/>
              <w:rPr>
                <w:rFonts w:ascii="宋体" w:hAnsi="宋体" w:cs="宋体" w:eastAsia="宋体" w:hint="default"/>
                <w:sz w:val="18"/>
                <w:szCs w:val="18"/>
              </w:rPr>
            </w:pPr>
            <w:r>
              <w:rPr>
                <w:rFonts w:ascii="宋体" w:hAnsi="宋体" w:cs="宋体" w:eastAsia="宋体" w:hint="default"/>
                <w:sz w:val="18"/>
                <w:szCs w:val="18"/>
              </w:rPr>
              <w:t>元</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1,305,390.26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377,413.12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496,844.62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-14,378.53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-8,564.43</w:t>
            </w:r>
          </w:p>
        </w:tc>
      </w:tr>
      <w:tr>
        <w:trPr>
          <w:trHeight w:val="1338"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武汉晨鸣 汉阳纸业 股份有限 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造纸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both"/>
              <w:rPr>
                <w:rFonts w:ascii="宋体" w:hAnsi="宋体" w:cs="宋体" w:eastAsia="宋体" w:hint="default"/>
                <w:sz w:val="18"/>
                <w:szCs w:val="18"/>
              </w:rPr>
            </w:pPr>
            <w:r>
              <w:rPr>
                <w:rFonts w:ascii="宋体" w:hAnsi="宋体" w:cs="宋体" w:eastAsia="宋体" w:hint="default"/>
                <w:spacing w:val="-3"/>
                <w:sz w:val="18"/>
                <w:szCs w:val="18"/>
              </w:rPr>
              <w:t>书写纸、新</w:t>
            </w:r>
            <w:r>
              <w:rPr>
                <w:rFonts w:ascii="宋体" w:hAnsi="宋体" w:cs="宋体" w:eastAsia="宋体" w:hint="default"/>
                <w:sz w:val="18"/>
                <w:szCs w:val="18"/>
              </w:rPr>
              <w:t> </w:t>
            </w:r>
            <w:r>
              <w:rPr>
                <w:rFonts w:ascii="宋体" w:hAnsi="宋体" w:cs="宋体" w:eastAsia="宋体" w:hint="default"/>
                <w:spacing w:val="-3"/>
                <w:sz w:val="18"/>
                <w:szCs w:val="18"/>
              </w:rPr>
              <w:t>闻纸、生活</w:t>
            </w:r>
            <w:r>
              <w:rPr>
                <w:rFonts w:ascii="宋体" w:hAnsi="宋体" w:cs="宋体" w:eastAsia="宋体" w:hint="default"/>
                <w:sz w:val="18"/>
                <w:szCs w:val="18"/>
              </w:rPr>
              <w:t> 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21,136.70</w:t>
            </w:r>
          </w:p>
          <w:p>
            <w:pPr>
              <w:pStyle w:val="TableParagraph"/>
              <w:spacing w:line="240" w:lineRule="auto" w:before="65"/>
              <w:ind w:left="54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297,864.42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34,901.23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92,848.50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-15,914.27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-10,645.70</w:t>
            </w:r>
          </w:p>
        </w:tc>
      </w:tr>
    </w:tbl>
    <w:p>
      <w:pPr>
        <w:pStyle w:val="BodyText"/>
        <w:spacing w:line="240" w:lineRule="auto" w:before="51"/>
        <w:ind w:left="134" w:right="140"/>
        <w:jc w:val="left"/>
      </w:pPr>
      <w:r>
        <w:rPr/>
        <w:t>主要子公司、参股公司情况说明</w:t>
      </w:r>
    </w:p>
    <w:p>
      <w:pPr>
        <w:pStyle w:val="BodyText"/>
        <w:spacing w:line="297" w:lineRule="auto" w:before="113"/>
        <w:ind w:left="134" w:right="140" w:firstLine="360"/>
        <w:jc w:val="left"/>
      </w:pPr>
      <w:r>
        <w:rPr>
          <w:rFonts w:ascii="Times New Roman" w:hAnsi="Times New Roman" w:cs="Times New Roman" w:eastAsia="Times New Roman" w:hint="default"/>
        </w:rPr>
        <w:t>1</w:t>
      </w:r>
      <w:r>
        <w:rPr/>
        <w:t>、武汉晨鸣特种纸和生活纸转资，处于市场开发阶段，产品毛利率相对较低；美伦铜版纸毛利增加和山东晨鸣通过实 物（电厂三期）对其进行注资，降低了成本，亏损减少。</w:t>
      </w:r>
    </w:p>
    <w:p>
      <w:pPr>
        <w:pStyle w:val="BodyText"/>
        <w:spacing w:line="297" w:lineRule="auto" w:before="75"/>
        <w:ind w:left="133" w:right="141" w:firstLine="360"/>
        <w:jc w:val="left"/>
      </w:pPr>
      <w:r>
        <w:rPr>
          <w:rFonts w:ascii="Times New Roman" w:hAnsi="Times New Roman" w:cs="Times New Roman" w:eastAsia="Times New Roman" w:hint="default"/>
        </w:rPr>
        <w:t>2</w:t>
      </w:r>
      <w:r>
        <w:rPr/>
        <w:t>、湛江晨鸣主要产品商品浆和高档双胶纸市场较好，毛利率高，收益较好。但是，财务费用同比增长导致净利润有所 下降；江西晨鸣受宏观经济影响，纸品毛利较去年有所下降，但是通过处置非流动资产取得了较大的收益。</w:t>
      </w:r>
    </w:p>
    <w:p>
      <w:pPr>
        <w:pStyle w:val="BodyText"/>
        <w:spacing w:line="304" w:lineRule="auto" w:before="76"/>
        <w:ind w:left="133" w:right="141" w:firstLine="360"/>
        <w:jc w:val="left"/>
      </w:pPr>
      <w:r>
        <w:rPr>
          <w:rFonts w:ascii="Times New Roman" w:hAnsi="Times New Roman" w:cs="Times New Roman" w:eastAsia="Times New Roman" w:hint="default"/>
        </w:rPr>
        <w:t>3</w:t>
      </w:r>
      <w:r>
        <w:rPr/>
        <w:t>、香港晨鸣投资设立全资子公司融资租赁公司，盈利状况良好；销售公司利息费用和应收账款提取的坏账增加，导致 利润降低。</w:t>
      </w:r>
    </w:p>
    <w:p>
      <w:pPr>
        <w:pStyle w:val="BodyText"/>
        <w:spacing w:line="240" w:lineRule="auto" w:before="67"/>
        <w:ind w:left="133" w:right="140"/>
        <w:jc w:val="left"/>
      </w:pPr>
      <w:r>
        <w:rPr/>
        <w:t>报告期内取得和处置子公司的情况</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2392"/>
        <w:gridCol w:w="4268"/>
        <w:gridCol w:w="1440"/>
        <w:gridCol w:w="1468"/>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报告期内取得和 处置子公司方式</w:t>
            </w:r>
          </w:p>
        </w:tc>
        <w:tc>
          <w:tcPr>
            <w:tcW w:w="14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68" w:right="97" w:hanging="270"/>
              <w:jc w:val="left"/>
              <w:rPr>
                <w:rFonts w:ascii="宋体" w:hAnsi="宋体" w:cs="宋体" w:eastAsia="宋体" w:hint="default"/>
                <w:sz w:val="18"/>
                <w:szCs w:val="18"/>
              </w:rPr>
            </w:pPr>
            <w:r>
              <w:rPr>
                <w:rFonts w:ascii="宋体" w:hAnsi="宋体" w:cs="宋体" w:eastAsia="宋体" w:hint="default"/>
                <w:sz w:val="18"/>
                <w:szCs w:val="18"/>
              </w:rPr>
              <w:t>对整体生产和业 绩的影响</w:t>
            </w:r>
          </w:p>
        </w:tc>
      </w:tr>
      <w:tr>
        <w:trPr>
          <w:trHeight w:val="6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为推进公司多元化发展，进一步拓展公司业务范围， 增强公司整体实力和综合竞争力，培育公司新的利润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利润为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8,408.34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w:t>
            </w:r>
          </w:p>
        </w:tc>
      </w:tr>
    </w:tbl>
    <w:p>
      <w:pPr>
        <w:spacing w:after="0" w:line="240" w:lineRule="auto"/>
        <w:jc w:val="left"/>
        <w:rPr>
          <w:rFonts w:ascii="宋体" w:hAnsi="宋体" w:cs="宋体" w:eastAsia="宋体" w:hint="default"/>
          <w:sz w:val="18"/>
          <w:szCs w:val="18"/>
        </w:rPr>
        <w:sectPr>
          <w:pgSz w:w="11910" w:h="16840"/>
          <w:pgMar w:header="747" w:footer="982" w:top="1060" w:bottom="1180" w:left="100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4268"/>
        <w:gridCol w:w="1440"/>
        <w:gridCol w:w="1468"/>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增长点。</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山东晨鸣投资有限公司</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2"/>
              <w:jc w:val="both"/>
              <w:rPr>
                <w:rFonts w:ascii="宋体" w:hAnsi="宋体" w:cs="宋体" w:eastAsia="宋体" w:hint="default"/>
                <w:sz w:val="18"/>
                <w:szCs w:val="18"/>
              </w:rPr>
            </w:pPr>
            <w:r>
              <w:rPr>
                <w:rFonts w:ascii="宋体" w:hAnsi="宋体" w:cs="宋体" w:eastAsia="宋体" w:hint="default"/>
                <w:sz w:val="18"/>
                <w:szCs w:val="18"/>
              </w:rPr>
              <w:t>为推进公司多元化发展，进一步拓展公司业务范围， 增强公司整体实力和综合竞争力，培育公司新的利润 增长点。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 为</w:t>
            </w:r>
            <w:r>
              <w:rPr>
                <w:rFonts w:ascii="Times New Roman" w:hAnsi="Times New Roman" w:cs="Times New Roman" w:eastAsia="Times New Roman" w:hint="default"/>
                <w:sz w:val="18"/>
                <w:szCs w:val="18"/>
              </w:rPr>
              <w:t>-13.45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山东晨鸣集团财务有限公司</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2"/>
              <w:jc w:val="both"/>
              <w:rPr>
                <w:rFonts w:ascii="宋体" w:hAnsi="宋体" w:cs="宋体" w:eastAsia="宋体" w:hint="default"/>
                <w:sz w:val="18"/>
                <w:szCs w:val="18"/>
              </w:rPr>
            </w:pPr>
            <w:r>
              <w:rPr>
                <w:rFonts w:ascii="宋体" w:hAnsi="宋体" w:cs="宋体" w:eastAsia="宋体" w:hint="default"/>
                <w:sz w:val="18"/>
                <w:szCs w:val="18"/>
              </w:rPr>
              <w:t>为加强集团资金集中管理、提高资金使用效率，进一 步提升集团的资金结算、管理与投融资水平，降低融 资成本。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w:t>
            </w:r>
          </w:p>
          <w:p>
            <w:pPr>
              <w:pStyle w:val="TableParagraph"/>
              <w:spacing w:line="302" w:lineRule="auto" w:before="61"/>
              <w:ind w:left="22" w:right="128"/>
              <w:jc w:val="left"/>
              <w:rPr>
                <w:rFonts w:ascii="宋体" w:hAnsi="宋体" w:cs="宋体" w:eastAsia="宋体" w:hint="default"/>
                <w:sz w:val="18"/>
                <w:szCs w:val="18"/>
              </w:rPr>
            </w:pPr>
            <w:r>
              <w:rPr>
                <w:rFonts w:ascii="宋体" w:hAnsi="宋体" w:cs="宋体" w:eastAsia="宋体" w:hint="default"/>
                <w:sz w:val="18"/>
                <w:szCs w:val="18"/>
              </w:rPr>
              <w:t>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671.36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青岛晨鸣国际物流有限公司</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2"/>
              <w:jc w:val="both"/>
              <w:rPr>
                <w:rFonts w:ascii="宋体" w:hAnsi="宋体" w:cs="宋体" w:eastAsia="宋体" w:hint="default"/>
                <w:sz w:val="18"/>
                <w:szCs w:val="18"/>
              </w:rPr>
            </w:pPr>
            <w:r>
              <w:rPr>
                <w:rFonts w:ascii="宋体" w:hAnsi="宋体" w:cs="宋体" w:eastAsia="宋体" w:hint="default"/>
                <w:sz w:val="18"/>
                <w:szCs w:val="18"/>
              </w:rPr>
              <w:t>为推进公司多元化发展，进一步拓展公司业务范围， 增强公司整体实力和综合竞争力，培育公司新的利润 增长点。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83"/>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年业绩无 影响。</w:t>
            </w:r>
          </w:p>
        </w:tc>
      </w:tr>
      <w:tr>
        <w:trPr>
          <w:trHeight w:val="165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晨鸣林业有限公司</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2"/>
              <w:jc w:val="both"/>
              <w:rPr>
                <w:rFonts w:ascii="宋体" w:hAnsi="宋体" w:cs="宋体" w:eastAsia="宋体" w:hint="default"/>
                <w:sz w:val="18"/>
                <w:szCs w:val="18"/>
              </w:rPr>
            </w:pPr>
            <w:r>
              <w:rPr>
                <w:rFonts w:ascii="宋体" w:hAnsi="宋体" w:cs="宋体" w:eastAsia="宋体" w:hint="default"/>
                <w:sz w:val="18"/>
                <w:szCs w:val="18"/>
              </w:rPr>
              <w:t>根据公司林浆纸一体化的发展战略，为更好地提高公 司林业板块的组织化和专业化程度，更好地实施科技 兴林，从而进一步拉长林业产业链条和提高林业建设 的科技含量，增加林业板块的经济价值，最大程度地 增强公司的市场竞争力和盈利能力。</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 为</w:t>
            </w:r>
            <w:r>
              <w:rPr>
                <w:rFonts w:ascii="Times New Roman" w:hAnsi="Times New Roman" w:cs="Times New Roman" w:eastAsia="Times New Roman" w:hint="default"/>
                <w:sz w:val="18"/>
                <w:szCs w:val="18"/>
              </w:rPr>
              <w:t>-127.78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吉林晨鸣新型墙体材料有限 公司</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left"/>
              <w:rPr>
                <w:rFonts w:ascii="宋体" w:hAnsi="宋体" w:cs="宋体" w:eastAsia="宋体" w:hint="default"/>
                <w:sz w:val="18"/>
                <w:szCs w:val="18"/>
              </w:rPr>
            </w:pPr>
            <w:r>
              <w:rPr>
                <w:rFonts w:ascii="宋体" w:hAnsi="宋体" w:cs="宋体" w:eastAsia="宋体" w:hint="default"/>
                <w:spacing w:val="-1"/>
                <w:sz w:val="18"/>
                <w:szCs w:val="18"/>
              </w:rPr>
              <w:t>加强资源综合利用，积极响应国家资源综合利用政策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同时适应当地市场需求。</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71.55pt;height:28pt;mso-position-horizontal-relative:char;mso-position-vertical-relative:line" coordorigin="0,0" coordsize="1431,560">
                  <v:group style="position:absolute;left:11;top:156;width:2;height:392" coordorigin="11,156" coordsize="2,392">
                    <v:shape style="position:absolute;left:11;top:156;width:2;height:392" coordorigin="11,156" coordsize="0,392" path="m11,156l11,548e" filled="false" stroked="true" strokeweight="1.139998pt" strokecolor="#ffffff">
                      <v:path arrowok="t"/>
                    </v:shape>
                  </v:group>
                  <v:group style="position:absolute;left:0;top:0;width:1431;height:156" coordorigin="0,0" coordsize="1431,156">
                    <v:shape style="position:absolute;left:0;top:0;width:1431;height:156" coordorigin="0,0" coordsize="1431,156" path="m0,156l1430,156,1430,0,0,0,0,156xe" filled="true" fillcolor="#ffffff" stroked="false">
                      <v:path arrowok="t"/>
                      <v:fill type="solid"/>
                    </v:shape>
                  </v:group>
                  <v:group style="position:absolute;left:23;top:156;width:1384;height:392" coordorigin="23,156" coordsize="1384,392">
                    <v:shape style="position:absolute;left:23;top:156;width:1384;height:392" coordorigin="23,156" coordsize="1384,392" path="m23,547l1406,547,1406,156,23,156,23,547xe" filled="true" fillcolor="#ffffff" stroked="false">
                      <v:path arrowok="t"/>
                      <v:fill type="solid"/>
                    </v:shape>
                  </v:group>
                </v:group>
              </w:pict>
            </w:r>
            <w:r>
              <w:rPr>
                <w:rFonts w:ascii="宋体" w:hAnsi="宋体" w:cs="宋体" w:eastAsia="宋体" w:hint="default"/>
                <w:position w:val="-10"/>
                <w:sz w:val="20"/>
                <w:szCs w:val="20"/>
              </w:rPr>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年业绩无 影响。</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山东晨鸣新力热电有限公司</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2"/>
              <w:jc w:val="both"/>
              <w:rPr>
                <w:rFonts w:ascii="宋体" w:hAnsi="宋体" w:cs="宋体" w:eastAsia="宋体" w:hint="default"/>
                <w:sz w:val="18"/>
                <w:szCs w:val="18"/>
              </w:rPr>
            </w:pPr>
            <w:r>
              <w:rPr>
                <w:rFonts w:ascii="宋体" w:hAnsi="宋体" w:cs="宋体" w:eastAsia="宋体" w:hint="default"/>
                <w:sz w:val="18"/>
                <w:szCs w:val="18"/>
              </w:rPr>
              <w:t>因新力热电设备使用年限已较长，新上脱硫脱硝等环 保设备成本较高，公司将所持新力热电股权进行出售 可增加公司现金流，有利于公司集中资源，发展高端 优势产品，进一步提升公司业绩。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6"/>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p>
            <w:pPr>
              <w:pStyle w:val="TableParagraph"/>
              <w:spacing w:line="871" w:lineRule="exact"/>
              <w:ind w:right="-38"/>
              <w:jc w:val="left"/>
              <w:rPr>
                <w:rFonts w:ascii="宋体" w:hAnsi="宋体" w:cs="宋体" w:eastAsia="宋体" w:hint="default"/>
                <w:sz w:val="20"/>
                <w:szCs w:val="20"/>
              </w:rPr>
            </w:pPr>
            <w:r>
              <w:rPr>
                <w:rFonts w:ascii="宋体" w:hAnsi="宋体" w:cs="宋体" w:eastAsia="宋体" w:hint="default"/>
                <w:position w:val="-16"/>
                <w:sz w:val="20"/>
                <w:szCs w:val="20"/>
              </w:rPr>
              <w:pict>
                <v:group style="width:71.55pt;height:43.6pt;mso-position-horizontal-relative:char;mso-position-vertical-relative:line" coordorigin="0,0" coordsize="1431,872">
                  <v:group style="position:absolute;left:11;top:468;width:2;height:392" coordorigin="11,468" coordsize="2,392">
                    <v:shape style="position:absolute;left:11;top:468;width:2;height:392" coordorigin="11,468" coordsize="0,392" path="m11,468l11,860e" filled="false" stroked="true" strokeweight="1.139998pt" strokecolor="#ffffff">
                      <v:path arrowok="t"/>
                    </v:shape>
                  </v:group>
                  <v:group style="position:absolute;left:0;top:0;width:1431;height:468" coordorigin="0,0" coordsize="1431,468">
                    <v:shape style="position:absolute;left:0;top:0;width:1431;height:468" coordorigin="0,0" coordsize="1431,468" path="m0,468l1430,468,1430,0,0,0,0,468xe" filled="true" fillcolor="#ffffff" stroked="false">
                      <v:path arrowok="t"/>
                      <v:fill type="solid"/>
                    </v:shape>
                  </v:group>
                  <v:group style="position:absolute;left:23;top:468;width:1384;height:392" coordorigin="23,468" coordsize="1384,392">
                    <v:shape style="position:absolute;left:23;top:468;width:1384;height:392" coordorigin="23,468" coordsize="1384,392" path="m23,859l1406,859,1406,468,23,468,23,859xe" filled="true" fillcolor="#ffffff" stroked="false">
                      <v:path arrowok="t"/>
                      <v:fill type="solid"/>
                    </v:shape>
                  </v:group>
                </v:group>
              </w:pict>
            </w:r>
            <w:r>
              <w:rPr>
                <w:rFonts w:ascii="宋体" w:hAnsi="宋体" w:cs="宋体" w:eastAsia="宋体" w:hint="default"/>
                <w:position w:val="-1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处置损失为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851.69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寿光市晨鸣天园林业有限公 司</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为整合资源，提升整体经济效益。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年业绩无 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寿光恒丰仓储有限公司</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为整合资源，提升整体经济效益。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年业绩无 影响。</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4</w:t>
      </w:r>
      <w:r>
        <w:rPr/>
        <w:t>、非募集资金投资的重大项目情况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4"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3"/>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sz w:val="18"/>
                <w:szCs w:val="18"/>
              </w:rPr>
              <w:t>项目收益情况</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江西晨鸣</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 吨高档包装纸 项目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79,692.67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91,955.21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未完工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87"/>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万吨高级文 化纸项目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66,518.44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95,014.34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未完工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7"/>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黄冈晨鸣林纸 一体化项目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348,510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18,875.45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31,954.99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未完工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7"/>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783,010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165,086.56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218,924.54</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182"/>
        <w:jc w:val="left"/>
        <w:rPr>
          <w:b w:val="0"/>
          <w:bCs w:val="0"/>
        </w:rPr>
      </w:pPr>
      <w:r>
        <w:rPr/>
        <w:t>七、</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月经营业绩的预计</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82"/>
        <w:jc w:val="left"/>
      </w:pPr>
      <w:r>
        <w:rPr/>
        <w:t>预测年初至下一报告期期末的累计净利润可能为亏损或者与上年同期相比发生大幅度变动的警示及原因说明</w:t>
      </w:r>
    </w:p>
    <w:p>
      <w:pPr>
        <w:pStyle w:val="BodyText"/>
        <w:spacing w:line="240" w:lineRule="auto" w:before="116"/>
        <w:ind w:right="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82"/>
        <w:jc w:val="left"/>
        <w:rPr>
          <w:b w:val="0"/>
          <w:bCs w:val="0"/>
        </w:rPr>
      </w:pPr>
      <w:r>
        <w:rPr/>
        <w:t>八、公司控制的特殊目的主体情况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82"/>
        <w:jc w:val="left"/>
        <w:rPr>
          <w:b w:val="0"/>
          <w:bCs w:val="0"/>
        </w:rPr>
      </w:pPr>
      <w:r>
        <w:rPr/>
        <w:t>九、公司未来发展的展望</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515" w:right="182"/>
        <w:jc w:val="left"/>
        <w:rPr>
          <w:b w:val="0"/>
          <w:bCs w:val="0"/>
        </w:rPr>
      </w:pPr>
      <w:r>
        <w:rPr/>
        <w:t>（一）行业竞争格局和发展趋势</w:t>
      </w:r>
      <w:r>
        <w:rPr>
          <w:b w:val="0"/>
          <w:bCs w:val="0"/>
        </w:rPr>
      </w:r>
    </w:p>
    <w:p>
      <w:pPr>
        <w:pStyle w:val="BodyText"/>
        <w:spacing w:line="316" w:lineRule="auto" w:before="62"/>
        <w:ind w:right="91" w:firstLine="360"/>
        <w:jc w:val="left"/>
      </w:pPr>
      <w:r>
        <w:rPr>
          <w:spacing w:val="-2"/>
        </w:rPr>
        <w:t>公司所处的行业为轻工造纸业，行业景气度与宏观经济增速高度相关。近年来，一方面受宏观经济增速趋缓影响，造纸</w:t>
      </w:r>
      <w:r>
        <w:rPr/>
        <w:t> </w:t>
      </w:r>
      <w:r>
        <w:rPr>
          <w:spacing w:val="-4"/>
        </w:rPr>
        <w:t>行业需求持续偏弱；另一方面造纸行业过去几年新增产能集中释放，致使当前部分纸种产能阶段性过剩，行业竞争异常激烈，</w:t>
      </w:r>
      <w:r>
        <w:rPr>
          <w:spacing w:val="-44"/>
        </w:rPr>
        <w:t> </w:t>
      </w:r>
      <w:r>
        <w:rPr>
          <w:spacing w:val="-44"/>
        </w:rPr>
      </w:r>
      <w:r>
        <w:rPr/>
        <w:t>产品价格持续走低，企业利润空间收窄。</w:t>
      </w:r>
    </w:p>
    <w:p>
      <w:pPr>
        <w:pStyle w:val="BodyText"/>
        <w:spacing w:line="312" w:lineRule="auto" w:before="18"/>
        <w:ind w:left="153" w:right="188" w:firstLine="360"/>
        <w:jc w:val="both"/>
      </w:pPr>
      <w:r>
        <w:rPr>
          <w:spacing w:val="-2"/>
        </w:rPr>
        <w:t>但从长远看，造纸行业所面临的发展条件在逐步向好。当前造纸行业产能已基本趋于稳定，化解过剩产能已成为当下行</w:t>
      </w:r>
      <w:r>
        <w:rPr/>
        <w:t> </w:t>
      </w:r>
      <w:r>
        <w:rPr>
          <w:spacing w:val="-5"/>
        </w:rPr>
        <w:t>业亟需解决的首要问题。</w:t>
      </w:r>
      <w:r>
        <w:rPr>
          <w:rFonts w:ascii="Times New Roman" w:hAnsi="Times New Roman" w:cs="Times New Roman" w:eastAsia="Times New Roman" w:hint="default"/>
          <w:spacing w:val="-5"/>
        </w:rPr>
        <w:t>2014</w:t>
      </w:r>
      <w:r>
        <w:rPr>
          <w:spacing w:val="-5"/>
        </w:rPr>
        <w:t>年对于造纸行业来说，是改革创新的关键年，我国造纸行业正进入转型升级发展的新阶段。</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2"/>
        </w:rPr>
        <w:t>年是</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规划的最后一年，造纸行业淘汰落后产能和日趋严格的环保政策迫使部分中小企业退出市场，从而在一定程度</w:t>
      </w:r>
      <w:r>
        <w:rPr>
          <w:spacing w:val="-45"/>
        </w:rPr>
        <w:t> </w:t>
      </w:r>
      <w:r>
        <w:rPr>
          <w:spacing w:val="-45"/>
        </w:rPr>
      </w:r>
      <w:r>
        <w:rPr>
          <w:spacing w:val="-2"/>
        </w:rPr>
        <w:t>上缓解了新增产能对行业供给造成的压力，有利于企业的自主提价行为。对于大型造纸企业而言，充分利用资金、技术和规</w:t>
      </w:r>
      <w:r>
        <w:rPr>
          <w:spacing w:val="-66"/>
        </w:rPr>
        <w:t> </w:t>
      </w:r>
      <w:r>
        <w:rPr>
          <w:spacing w:val="-66"/>
        </w:rPr>
      </w:r>
      <w:r>
        <w:rPr>
          <w:spacing w:val="-2"/>
        </w:rPr>
        <w:t>模优势，实现增长方式的转变，有望获得新的市场份额。同时，受造纸行业需求较弱的影响，原材料价格在低位振荡，缓解</w:t>
      </w:r>
      <w:r>
        <w:rPr>
          <w:spacing w:val="-68"/>
        </w:rPr>
        <w:t> </w:t>
      </w:r>
      <w:r>
        <w:rPr>
          <w:spacing w:val="-68"/>
        </w:rPr>
      </w:r>
      <w:r>
        <w:rPr>
          <w:spacing w:val="-2"/>
        </w:rPr>
        <w:t>了企业的经营成本压力。落后产能的淘汰将为造纸行业的发展扫清障碍，而先进产能的补充和替代将给造纸行业带来新鲜的</w:t>
      </w:r>
      <w:r>
        <w:rPr>
          <w:spacing w:val="-64"/>
        </w:rPr>
        <w:t> </w:t>
      </w:r>
      <w:r>
        <w:rPr>
          <w:spacing w:val="-64"/>
        </w:rPr>
      </w:r>
      <w:r>
        <w:rPr/>
        <w:t>血液和动力，这有利于提升行业集中度，形成良好的行业循环。</w:t>
      </w:r>
    </w:p>
    <w:p>
      <w:pPr>
        <w:pStyle w:val="BodyText"/>
        <w:spacing w:line="316" w:lineRule="auto" w:before="63"/>
        <w:ind w:left="153" w:right="91" w:firstLine="360"/>
        <w:jc w:val="left"/>
      </w:pPr>
      <w:r>
        <w:rPr>
          <w:spacing w:val="-2"/>
        </w:rPr>
        <w:t>面对日趋激烈的行业竞争，公司凭借强大的企业实力，提高设备和技术水平，丰富产品结构，提高产品档次，重点研发</w:t>
      </w:r>
      <w:r>
        <w:rPr/>
        <w:t> </w:t>
      </w:r>
      <w:r>
        <w:rPr>
          <w:spacing w:val="-4"/>
        </w:rPr>
        <w:t>高端制品，赢得竞争力。产品结构的调整为企业转型发展注入了新的活力，精细化管理的持续推进更是让企业突破发展瓶颈，</w:t>
      </w:r>
      <w:r>
        <w:rPr>
          <w:spacing w:val="-44"/>
        </w:rPr>
        <w:t> </w:t>
      </w:r>
      <w:r>
        <w:rPr>
          <w:spacing w:val="-44"/>
        </w:rPr>
      </w:r>
      <w:r>
        <w:rPr>
          <w:spacing w:val="-2"/>
        </w:rPr>
        <w:t>释放出蓬勃的生机；多元化发展为公司增加了新的利润增长点，加速推动公司向更高、更快、更强的国际一流纸企迈进。随</w:t>
      </w:r>
      <w:r>
        <w:rPr>
          <w:spacing w:val="-66"/>
        </w:rPr>
        <w:t> </w:t>
      </w:r>
      <w:r>
        <w:rPr>
          <w:spacing w:val="-66"/>
        </w:rPr>
      </w:r>
      <w:r>
        <w:rPr/>
        <w:t>着经济形势好转，行业逐渐复苏，公司业绩将会出现稳步增长。</w:t>
      </w:r>
    </w:p>
    <w:p>
      <w:pPr>
        <w:spacing w:line="240" w:lineRule="auto" w:before="4"/>
        <w:rPr>
          <w:rFonts w:ascii="宋体" w:hAnsi="宋体" w:cs="宋体" w:eastAsia="宋体" w:hint="default"/>
          <w:sz w:val="26"/>
          <w:szCs w:val="26"/>
        </w:rPr>
      </w:pPr>
    </w:p>
    <w:p>
      <w:pPr>
        <w:pStyle w:val="Heading4"/>
        <w:spacing w:line="240" w:lineRule="auto"/>
        <w:ind w:left="515" w:right="182"/>
        <w:jc w:val="left"/>
        <w:rPr>
          <w:b w:val="0"/>
          <w:bCs w:val="0"/>
        </w:rPr>
      </w:pPr>
      <w:r>
        <w:rPr/>
        <w:t>（二）公司发展战略</w:t>
      </w:r>
      <w:r>
        <w:rPr>
          <w:b w:val="0"/>
          <w:bCs w:val="0"/>
        </w:rPr>
      </w:r>
    </w:p>
    <w:p>
      <w:pPr>
        <w:pStyle w:val="BodyText"/>
        <w:spacing w:line="307" w:lineRule="auto" w:before="103"/>
        <w:ind w:left="153" w:right="91" w:firstLine="360"/>
        <w:jc w:val="left"/>
      </w:pPr>
      <w:r>
        <w:rPr/>
        <w:t>企业秉承</w:t>
      </w:r>
      <w:r>
        <w:rPr>
          <w:rFonts w:ascii="Times New Roman" w:hAnsi="Times New Roman" w:cs="Times New Roman" w:eastAsia="Times New Roman" w:hint="default"/>
        </w:rPr>
        <w:t>“</w:t>
      </w:r>
      <w:r>
        <w:rPr/>
        <w:t>创新、引领、国际化</w:t>
      </w:r>
      <w:r>
        <w:rPr>
          <w:rFonts w:ascii="Times New Roman" w:hAnsi="Times New Roman" w:cs="Times New Roman" w:eastAsia="Times New Roman" w:hint="default"/>
        </w:rPr>
        <w:t>”</w:t>
      </w:r>
      <w:r>
        <w:rPr/>
        <w:t>的发展理念，致力于建设绿色生态、可持续发展的国际一流造纸企业。加快转型升级， 进行新一轮战略规划布局，形成主业突出、多元发展、绿色环保、管理规范的发展态势，推进精细化管理，以市场为导向， </w:t>
      </w:r>
      <w:r>
        <w:rPr>
          <w:spacing w:val="-2"/>
        </w:rPr>
        <w:t>不断调整产品结构，加大高附加值、高档次产品的生产比例，向</w:t>
      </w:r>
      <w:r>
        <w:rPr>
          <w:rFonts w:ascii="Times New Roman" w:hAnsi="Times New Roman" w:cs="Times New Roman" w:eastAsia="Times New Roman" w:hint="default"/>
          <w:spacing w:val="-2"/>
        </w:rPr>
        <w:t>“</w:t>
      </w:r>
      <w:r>
        <w:rPr>
          <w:spacing w:val="-2"/>
        </w:rPr>
        <w:t>高端定位，生产一流产品</w:t>
      </w:r>
      <w:r>
        <w:rPr>
          <w:rFonts w:ascii="Times New Roman" w:hAnsi="Times New Roman" w:cs="Times New Roman" w:eastAsia="Times New Roman" w:hint="default"/>
          <w:spacing w:val="-2"/>
        </w:rPr>
        <w:t>”</w:t>
      </w:r>
      <w:r>
        <w:rPr>
          <w:spacing w:val="-2"/>
        </w:rPr>
        <w:t>的思想转变，努力打造成为最具</w:t>
      </w:r>
      <w:r>
        <w:rPr>
          <w:spacing w:val="-46"/>
        </w:rPr>
        <w:t> </w:t>
      </w:r>
      <w:r>
        <w:rPr>
          <w:spacing w:val="-46"/>
        </w:rPr>
      </w:r>
      <w:r>
        <w:rPr/>
        <w:t>成长性的世界一流企业。</w:t>
      </w:r>
    </w:p>
    <w:p>
      <w:pPr>
        <w:spacing w:line="240" w:lineRule="auto" w:before="0"/>
        <w:rPr>
          <w:rFonts w:ascii="宋体" w:hAnsi="宋体" w:cs="宋体" w:eastAsia="宋体" w:hint="default"/>
          <w:sz w:val="18"/>
          <w:szCs w:val="18"/>
        </w:rPr>
      </w:pPr>
    </w:p>
    <w:p>
      <w:pPr>
        <w:pStyle w:val="Heading4"/>
        <w:spacing w:line="240" w:lineRule="auto" w:before="155"/>
        <w:ind w:left="515" w:right="182"/>
        <w:jc w:val="left"/>
        <w:rPr>
          <w:b w:val="0"/>
          <w:bCs w:val="0"/>
        </w:rPr>
      </w:pPr>
      <w:r>
        <w:rPr/>
        <w:t>（三）</w:t>
      </w:r>
      <w:r>
        <w:rPr>
          <w:rFonts w:ascii="Times New Roman" w:hAnsi="Times New Roman" w:cs="Times New Roman" w:eastAsia="Times New Roman" w:hint="default"/>
        </w:rPr>
        <w:t>2015</w:t>
      </w:r>
      <w:r>
        <w:rPr/>
        <w:t>年经营计划</w:t>
      </w:r>
      <w:r>
        <w:rPr>
          <w:b w:val="0"/>
          <w:bCs w:val="0"/>
        </w:rPr>
      </w:r>
    </w:p>
    <w:p>
      <w:pPr>
        <w:pStyle w:val="BodyText"/>
        <w:spacing w:line="302" w:lineRule="auto" w:before="87"/>
        <w:ind w:right="86" w:firstLine="360"/>
        <w:jc w:val="left"/>
      </w:pPr>
      <w:r>
        <w:rPr>
          <w:rFonts w:ascii="Times New Roman" w:hAnsi="Times New Roman" w:cs="Times New Roman" w:eastAsia="Times New Roman" w:hint="default"/>
          <w:spacing w:val="-1"/>
        </w:rPr>
        <w:t>2015</w:t>
      </w:r>
      <w:r>
        <w:rPr>
          <w:spacing w:val="-1"/>
        </w:rPr>
        <w:t>年是公司积极适应经济发展</w:t>
      </w:r>
      <w:r>
        <w:rPr>
          <w:rFonts w:ascii="Times New Roman" w:hAnsi="Times New Roman" w:cs="Times New Roman" w:eastAsia="Times New Roman" w:hint="default"/>
          <w:spacing w:val="-1"/>
        </w:rPr>
        <w:t>“</w:t>
      </w:r>
      <w:r>
        <w:rPr>
          <w:spacing w:val="-1"/>
        </w:rPr>
        <w:t>新常态</w:t>
      </w:r>
      <w:r>
        <w:rPr>
          <w:rFonts w:ascii="Times New Roman" w:hAnsi="Times New Roman" w:cs="Times New Roman" w:eastAsia="Times New Roman" w:hint="default"/>
          <w:spacing w:val="-1"/>
        </w:rPr>
        <w:t>”</w:t>
      </w:r>
      <w:r>
        <w:rPr>
          <w:spacing w:val="-1"/>
        </w:rPr>
        <w:t>，加快转型升级、着力提高运行质量的一年。公司将继续贯彻落实</w:t>
      </w:r>
      <w:r>
        <w:rPr>
          <w:rFonts w:ascii="Times New Roman" w:hAnsi="Times New Roman" w:cs="Times New Roman" w:eastAsia="Times New Roman" w:hint="default"/>
          <w:spacing w:val="-1"/>
        </w:rPr>
        <w:t>“</w:t>
      </w:r>
      <w:r>
        <w:rPr>
          <w:spacing w:val="-1"/>
        </w:rPr>
        <w:t>打造团队、</w:t>
      </w:r>
      <w:r>
        <w:rPr/>
        <w:t> 严细管理、业务精湛、创出佳绩</w:t>
      </w:r>
      <w:r>
        <w:rPr>
          <w:rFonts w:ascii="Times New Roman" w:hAnsi="Times New Roman" w:cs="Times New Roman" w:eastAsia="Times New Roman" w:hint="default"/>
        </w:rPr>
        <w:t>”</w:t>
      </w:r>
      <w:r>
        <w:rPr/>
        <w:t>的工作方针，为实现经营目标，采取以下措施：</w:t>
      </w:r>
    </w:p>
    <w:p>
      <w:pPr>
        <w:pStyle w:val="BodyText"/>
        <w:spacing w:line="302" w:lineRule="auto" w:before="49"/>
        <w:ind w:right="180" w:firstLine="360"/>
        <w:jc w:val="left"/>
      </w:pPr>
      <w:r>
        <w:rPr>
          <w:rFonts w:ascii="Times New Roman" w:hAnsi="Times New Roman" w:cs="Times New Roman" w:eastAsia="Times New Roman" w:hint="default"/>
        </w:rPr>
        <w:t>1</w:t>
      </w:r>
      <w:r>
        <w:rPr/>
        <w:t>、狠抓团队建设。通过组织干部述职、干部测评、培训与考试等措施，完善用人机制，争取使团队建设再上一个新台 阶。</w:t>
      </w:r>
    </w:p>
    <w:p>
      <w:pPr>
        <w:pStyle w:val="BodyText"/>
        <w:spacing w:line="240" w:lineRule="auto" w:before="69"/>
        <w:ind w:left="514" w:right="182"/>
        <w:jc w:val="left"/>
      </w:pPr>
      <w:r>
        <w:rPr>
          <w:rFonts w:ascii="Times New Roman" w:hAnsi="Times New Roman" w:cs="Times New Roman" w:eastAsia="Times New Roman" w:hint="default"/>
        </w:rPr>
        <w:t>2</w:t>
      </w:r>
      <w:r>
        <w:rPr/>
        <w:t>、狠抓基础管理。抓好制度的建立和完善，全面梳理，确保落实。加大制度的检查和考核力度，强化制度的执行。</w:t>
      </w:r>
    </w:p>
    <w:p>
      <w:pPr>
        <w:pStyle w:val="BodyText"/>
        <w:spacing w:line="240" w:lineRule="auto" w:before="102"/>
        <w:ind w:left="514" w:right="182"/>
        <w:jc w:val="left"/>
      </w:pPr>
      <w:r>
        <w:rPr>
          <w:rFonts w:ascii="Times New Roman" w:hAnsi="Times New Roman" w:cs="Times New Roman" w:eastAsia="Times New Roman" w:hint="default"/>
        </w:rPr>
        <w:t>3</w:t>
      </w:r>
      <w:r>
        <w:rPr/>
        <w:t>、狠抓经营重点。重点解决效益管理、风险管控、资金占用、难销产品、海外管理等主要问题，力争有大的改观。</w:t>
      </w:r>
    </w:p>
    <w:p>
      <w:pPr>
        <w:pStyle w:val="BodyText"/>
        <w:spacing w:line="309" w:lineRule="auto" w:before="102"/>
        <w:ind w:right="188" w:firstLine="360"/>
        <w:jc w:val="both"/>
      </w:pPr>
      <w:r>
        <w:rPr>
          <w:rFonts w:ascii="Times New Roman" w:hAnsi="Times New Roman" w:cs="Times New Roman" w:eastAsia="Times New Roman" w:hint="default"/>
        </w:rPr>
        <w:t>4</w:t>
      </w:r>
      <w:r>
        <w:rPr/>
        <w:t>、狠抓生产管理。加强制度完善和执行：对新制定制度的试行情况进行鉴定总结，尽快梳理出需进一步改进的制度加 </w:t>
      </w:r>
      <w:r>
        <w:rPr>
          <w:spacing w:val="-2"/>
        </w:rPr>
        <w:t>以完善，并严格抓好落实。规范设备运行参数：借鉴国内外同类先进机台做法，进行对比调整，做到最佳状态运行。加快产</w:t>
      </w:r>
      <w:r>
        <w:rPr>
          <w:spacing w:val="-68"/>
        </w:rPr>
        <w:t> </w:t>
      </w:r>
      <w:r>
        <w:rPr>
          <w:spacing w:val="-68"/>
        </w:rPr>
      </w:r>
      <w:r>
        <w:rPr>
          <w:spacing w:val="-2"/>
        </w:rPr>
        <w:t>品结构调整：引进高水平技术人才，完成高松白卡纸、食品卡、液体包装纸等新产品开发。以国外先进企业定员为标准，通</w:t>
      </w:r>
    </w:p>
    <w:p>
      <w:pPr>
        <w:spacing w:after="0" w:line="309"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left="153" w:right="182"/>
        <w:jc w:val="left"/>
      </w:pPr>
      <w:r>
        <w:rPr>
          <w:spacing w:val="-2"/>
        </w:rPr>
        <w:t>过岗位合并和自动化改进等措施持续推进定岗定员工作。高度重视环保、安全、防火工作，学习国外先进企业或同行业先进</w:t>
      </w:r>
      <w:r>
        <w:rPr>
          <w:spacing w:val="-66"/>
        </w:rPr>
        <w:t> </w:t>
      </w:r>
      <w:r>
        <w:rPr>
          <w:spacing w:val="-66"/>
        </w:rPr>
      </w:r>
      <w:r>
        <w:rPr/>
        <w:t>经验，力争达到行业一流水平。</w:t>
      </w:r>
    </w:p>
    <w:p>
      <w:pPr>
        <w:pStyle w:val="BodyText"/>
        <w:spacing w:line="309" w:lineRule="auto" w:before="55"/>
        <w:ind w:left="153" w:right="91" w:firstLine="360"/>
        <w:jc w:val="left"/>
      </w:pPr>
      <w:r>
        <w:rPr>
          <w:rFonts w:ascii="Times New Roman" w:hAnsi="Times New Roman" w:cs="Times New Roman" w:eastAsia="Times New Roman" w:hint="default"/>
          <w:spacing w:val="-2"/>
        </w:rPr>
        <w:t>5</w:t>
      </w:r>
      <w:r>
        <w:rPr>
          <w:spacing w:val="-2"/>
        </w:rPr>
        <w:t>、狠抓采购效益。利用寿光晨鸣铁路支线开通的有利条件，对大宗物资加强源头采购，降低采购成本。发挥资金优势，</w:t>
      </w:r>
      <w:r>
        <w:rPr/>
        <w:t> </w:t>
      </w:r>
      <w:r>
        <w:rPr>
          <w:spacing w:val="-2"/>
        </w:rPr>
        <w:t>采取预付货款等方式，降低采购价格，争取最大效益。通过进出口公司加大贸易量，与优质客户建立战略合作关系，控制优</w:t>
      </w:r>
      <w:r>
        <w:rPr>
          <w:spacing w:val="-66"/>
        </w:rPr>
        <w:t> </w:t>
      </w:r>
      <w:r>
        <w:rPr>
          <w:spacing w:val="-66"/>
        </w:rPr>
      </w:r>
      <w:r>
        <w:rPr/>
        <w:t>质货源。强化物流计划管理，优化运行模式，实现物流效益。</w:t>
      </w:r>
    </w:p>
    <w:p>
      <w:pPr>
        <w:pStyle w:val="BodyText"/>
        <w:spacing w:line="300" w:lineRule="auto" w:before="63"/>
        <w:ind w:left="153" w:right="188" w:firstLine="360"/>
        <w:jc w:val="both"/>
      </w:pPr>
      <w:r>
        <w:rPr>
          <w:rFonts w:ascii="Times New Roman" w:hAnsi="Times New Roman" w:cs="Times New Roman" w:eastAsia="Times New Roman" w:hint="default"/>
        </w:rPr>
        <w:t>6</w:t>
      </w:r>
      <w:r>
        <w:rPr/>
        <w:t>、狠抓项目进度。对江西晨鸣</w:t>
      </w:r>
      <w:r>
        <w:rPr>
          <w:rFonts w:ascii="Times New Roman" w:hAnsi="Times New Roman" w:cs="Times New Roman" w:eastAsia="Times New Roman" w:hint="default"/>
        </w:rPr>
        <w:t>35</w:t>
      </w:r>
      <w:r>
        <w:rPr/>
        <w:t>万吨高档包装纸项目、湛江晨鸣</w:t>
      </w:r>
      <w:r>
        <w:rPr>
          <w:rFonts w:ascii="Times New Roman" w:hAnsi="Times New Roman" w:cs="Times New Roman" w:eastAsia="Times New Roman" w:hint="default"/>
        </w:rPr>
        <w:t>19</w:t>
      </w:r>
      <w:r>
        <w:rPr/>
        <w:t>万吨高级文化纸项目等在建项目，抓好节点管控与 </w:t>
      </w:r>
      <w:r>
        <w:rPr>
          <w:spacing w:val="-2"/>
        </w:rPr>
        <w:t>考核，确保按时投产。黄冈晨鸣林纸一体化项目抓紧做好前期工作，年内动工建设。寿光晨鸣</w:t>
      </w:r>
      <w:r>
        <w:rPr>
          <w:rFonts w:ascii="Times New Roman" w:hAnsi="Times New Roman" w:cs="Times New Roman" w:eastAsia="Times New Roman" w:hint="default"/>
          <w:spacing w:val="-2"/>
        </w:rPr>
        <w:t>40</w:t>
      </w:r>
      <w:r>
        <w:rPr>
          <w:spacing w:val="-2"/>
        </w:rPr>
        <w:t>万吨化学木浆项目要积极推</w:t>
      </w:r>
      <w:r>
        <w:rPr>
          <w:spacing w:val="-64"/>
        </w:rPr>
        <w:t> </w:t>
      </w:r>
      <w:r>
        <w:rPr/>
        <w:t>进，迅速取得实质性进展。</w:t>
      </w:r>
    </w:p>
    <w:p>
      <w:pPr>
        <w:pStyle w:val="BodyText"/>
        <w:spacing w:line="302" w:lineRule="auto" w:before="70"/>
        <w:ind w:left="153" w:right="181" w:firstLine="360"/>
        <w:jc w:val="left"/>
      </w:pPr>
      <w:r>
        <w:rPr>
          <w:rFonts w:ascii="Times New Roman" w:hAnsi="Times New Roman" w:cs="Times New Roman" w:eastAsia="Times New Roman" w:hint="default"/>
        </w:rPr>
        <w:t>7</w:t>
      </w:r>
      <w:r>
        <w:rPr/>
        <w:t>、狠抓金融效益。融资租赁公司要严格控制风险，坚持稳中求进。加强财务公司管理，为业绩增长提供新动力。通过 发行优先股等，拓宽融资渠道，降低公司的融资成本、改善公司的负债结构。</w:t>
      </w:r>
    </w:p>
    <w:p>
      <w:pPr>
        <w:pStyle w:val="BodyText"/>
        <w:spacing w:line="302" w:lineRule="auto" w:before="68"/>
        <w:ind w:left="153" w:right="181" w:firstLine="360"/>
        <w:jc w:val="left"/>
      </w:pPr>
      <w:r>
        <w:rPr>
          <w:rFonts w:ascii="Times New Roman" w:hAnsi="Times New Roman" w:cs="Times New Roman" w:eastAsia="Times New Roman" w:hint="default"/>
        </w:rPr>
        <w:t>8</w:t>
      </w:r>
      <w:r>
        <w:rPr/>
        <w:t>、狠抓三产运营。通过做好源头采购，降低原材料采购价格，积极对外开拓业务，进一步完善产业链条等措施，培植 新的效益增长点。</w:t>
      </w:r>
    </w:p>
    <w:p>
      <w:pPr>
        <w:spacing w:line="240" w:lineRule="auto" w:before="0"/>
        <w:rPr>
          <w:rFonts w:ascii="宋体" w:hAnsi="宋体" w:cs="宋体" w:eastAsia="宋体" w:hint="default"/>
          <w:sz w:val="18"/>
          <w:szCs w:val="18"/>
        </w:rPr>
      </w:pPr>
    </w:p>
    <w:p>
      <w:pPr>
        <w:pStyle w:val="Heading4"/>
        <w:spacing w:line="240" w:lineRule="auto" w:before="160"/>
        <w:ind w:left="515" w:right="182"/>
        <w:jc w:val="left"/>
        <w:rPr>
          <w:b w:val="0"/>
          <w:bCs w:val="0"/>
        </w:rPr>
      </w:pPr>
      <w:r>
        <w:rPr/>
        <w:t>（四）未来的资金需求、资金来源及使用计划情况</w:t>
      </w:r>
      <w:r>
        <w:rPr>
          <w:b w:val="0"/>
          <w:bCs w:val="0"/>
        </w:rPr>
      </w:r>
    </w:p>
    <w:p>
      <w:pPr>
        <w:pStyle w:val="BodyText"/>
        <w:spacing w:line="316" w:lineRule="auto" w:before="62"/>
        <w:ind w:right="190" w:firstLine="360"/>
        <w:jc w:val="both"/>
      </w:pPr>
      <w:r>
        <w:rPr>
          <w:spacing w:val="-2"/>
        </w:rPr>
        <w:t>随着公司产业链延伸与业务规模的扩张，部分新建项目因市场原因还未能及时发挥盈利能力，公司的营运资金需求量较</w:t>
      </w:r>
      <w:r>
        <w:rPr/>
        <w:t> 大。为此，公司明确了以下措施：</w:t>
      </w:r>
    </w:p>
    <w:p>
      <w:pPr>
        <w:pStyle w:val="BodyText"/>
        <w:spacing w:line="316" w:lineRule="auto" w:before="53"/>
        <w:ind w:right="270" w:firstLine="360"/>
        <w:jc w:val="left"/>
      </w:pPr>
      <w:r>
        <w:rPr/>
        <w:t>一是通过非公开发行优先股进行融资，一方面能较好满足公司业务发展所带来的资金需求，另一方面发行可计入权益 的优先股亦有助于降低公司资产负债率，改善公司的资本结构，增强公司的抗风险能力。</w:t>
      </w:r>
    </w:p>
    <w:p>
      <w:pPr>
        <w:pStyle w:val="BodyText"/>
        <w:spacing w:line="319" w:lineRule="auto" w:before="58"/>
        <w:ind w:left="153" w:right="271" w:firstLine="360"/>
        <w:jc w:val="left"/>
      </w:pPr>
      <w:r>
        <w:rPr/>
        <w:t>二是建立多元化融资渠道，通过加大直接融资，发行短融、超短融、永续票据等多种融资方式降低公司的融资成本、 改善公司的负债结构，为公司的持续健康发展提供资金保障。</w:t>
      </w:r>
    </w:p>
    <w:p>
      <w:pPr>
        <w:pStyle w:val="BodyText"/>
        <w:spacing w:line="319" w:lineRule="auto" w:before="55"/>
        <w:ind w:left="153" w:right="271" w:firstLine="360"/>
        <w:jc w:val="left"/>
      </w:pPr>
      <w:r>
        <w:rPr/>
        <w:t>三是推进跨境融资进度，充分利用香港市场融资平台，增加香港晨鸣授信额度，通过多币种融资规避汇率风险，提高 资金使用效率等措施，降低财务费用。</w:t>
      </w:r>
    </w:p>
    <w:p>
      <w:pPr>
        <w:pStyle w:val="BodyText"/>
        <w:spacing w:line="319" w:lineRule="auto" w:before="55"/>
        <w:ind w:left="153" w:right="271" w:firstLine="360"/>
        <w:jc w:val="left"/>
      </w:pPr>
      <w:r>
        <w:rPr/>
        <w:t>四是充分发挥财务公司和融资租赁公司的金融优势，拓宽集团融资渠道，稳中求进，为业绩增长提供新动力，开辟公 司新的效益增长点。</w:t>
      </w:r>
    </w:p>
    <w:p>
      <w:pPr>
        <w:pStyle w:val="BodyText"/>
        <w:spacing w:line="319" w:lineRule="auto" w:before="56"/>
        <w:ind w:left="153" w:right="271" w:firstLine="360"/>
        <w:jc w:val="left"/>
      </w:pPr>
      <w:r>
        <w:rPr/>
        <w:t>五是进一步完善国际、国内营销网络，扩大出口销售、加大高效益品种投放，提高经济效益。通过采取硬控措施降低 库存、提高合同履约率等降低资金占用，进一步降低财务成本。加强生活纸管理，使其尽快成为公司新的效益增长点。</w:t>
      </w:r>
    </w:p>
    <w:p>
      <w:pPr>
        <w:spacing w:line="240" w:lineRule="auto" w:before="8"/>
        <w:rPr>
          <w:rFonts w:ascii="宋体" w:hAnsi="宋体" w:cs="宋体" w:eastAsia="宋体" w:hint="default"/>
          <w:sz w:val="26"/>
          <w:szCs w:val="26"/>
        </w:rPr>
      </w:pPr>
    </w:p>
    <w:p>
      <w:pPr>
        <w:pStyle w:val="Heading4"/>
        <w:spacing w:line="240" w:lineRule="auto"/>
        <w:ind w:left="515" w:right="182"/>
        <w:jc w:val="left"/>
        <w:rPr>
          <w:b w:val="0"/>
          <w:bCs w:val="0"/>
        </w:rPr>
      </w:pPr>
      <w:r>
        <w:rPr/>
        <w:t>（五）可能面对的风险及对策</w:t>
      </w:r>
      <w:r>
        <w:rPr>
          <w:b w:val="0"/>
          <w:bCs w:val="0"/>
        </w:rPr>
      </w:r>
    </w:p>
    <w:p>
      <w:pPr>
        <w:pStyle w:val="BodyText"/>
        <w:spacing w:line="357" w:lineRule="auto" w:before="103"/>
        <w:ind w:left="515" w:right="182"/>
        <w:jc w:val="left"/>
      </w:pPr>
      <w:r>
        <w:rPr>
          <w:rFonts w:ascii="宋体" w:hAnsi="宋体" w:cs="宋体" w:eastAsia="宋体" w:hint="default"/>
          <w:b/>
          <w:bCs/>
        </w:rPr>
        <w:t>行业风险</w:t>
      </w:r>
      <w:r>
        <w:rPr>
          <w:rFonts w:ascii="宋体" w:hAnsi="宋体" w:cs="宋体" w:eastAsia="宋体" w:hint="default"/>
          <w:b/>
          <w:bCs/>
          <w:w w:val="99"/>
        </w:rPr>
        <w:t> </w:t>
      </w:r>
      <w:r>
        <w:rPr>
          <w:spacing w:val="-2"/>
        </w:rPr>
        <w:t>造纸行业作为基础原材料工业，造纸行业的盈利能力与经济周期的相关性比较明显，造纸行业随国家宏观经济波动而呈</w:t>
      </w:r>
    </w:p>
    <w:p>
      <w:pPr>
        <w:pStyle w:val="BodyText"/>
        <w:spacing w:line="237" w:lineRule="exact"/>
        <w:ind w:left="153" w:right="182"/>
        <w:jc w:val="left"/>
      </w:pPr>
      <w:r>
        <w:rPr/>
        <w:t>现出一定的波动性和周期性，进而影响纸企的盈利能力。随着国民经济快速增长、经济全球化和中国加入</w:t>
      </w:r>
      <w:r>
        <w:rPr>
          <w:rFonts w:ascii="Times New Roman" w:hAnsi="Times New Roman" w:cs="Times New Roman" w:eastAsia="Times New Roman" w:hint="default"/>
        </w:rPr>
        <w:t>WTO</w:t>
      </w:r>
      <w:r>
        <w:rPr/>
        <w:t>，我国造纸</w:t>
      </w:r>
    </w:p>
    <w:p>
      <w:pPr>
        <w:pStyle w:val="BodyText"/>
        <w:spacing w:line="357" w:lineRule="auto" w:before="64"/>
        <w:ind w:left="515" w:right="1529" w:hanging="362"/>
        <w:jc w:val="left"/>
        <w:rPr>
          <w:rFonts w:ascii="宋体" w:hAnsi="宋体" w:cs="宋体" w:eastAsia="宋体" w:hint="default"/>
        </w:rPr>
      </w:pPr>
      <w:r>
        <w:rPr/>
        <w:t>行业竞争日趋激烈，产能过剩与需求放缓会对公司未来经营业绩产生一定影响。 为此，公司提高设备和技术水平，丰富产品结构，提高产品档次，重点研发高端制品，赢得竞争力。 </w:t>
      </w:r>
      <w:r>
        <w:rPr>
          <w:rFonts w:ascii="宋体" w:hAnsi="宋体" w:cs="宋体" w:eastAsia="宋体" w:hint="default"/>
          <w:b/>
          <w:bCs/>
        </w:rPr>
        <w:t>政策风险</w:t>
      </w:r>
      <w:r>
        <w:rPr>
          <w:rFonts w:ascii="宋体" w:hAnsi="宋体" w:cs="宋体" w:eastAsia="宋体" w:hint="default"/>
        </w:rPr>
      </w:r>
    </w:p>
    <w:p>
      <w:pPr>
        <w:pStyle w:val="BodyText"/>
        <w:spacing w:line="319" w:lineRule="auto" w:before="27"/>
        <w:ind w:left="153" w:right="188" w:firstLine="361"/>
        <w:jc w:val="both"/>
      </w:pPr>
      <w:r>
        <w:rPr>
          <w:spacing w:val="-2"/>
        </w:rPr>
        <w:t>目前，行业已进入重要转型期，过去支撑造纸工业高速发展的模式，现正面临资源和环境方面双重压力。从我国政策导</w:t>
      </w:r>
      <w:r>
        <w:rPr/>
        <w:t> </w:t>
      </w:r>
      <w:r>
        <w:rPr>
          <w:spacing w:val="-2"/>
        </w:rPr>
        <w:t>向来看，我国将通过优化造纸产业布局和原料结构、产品结构，转变增长方式，构建林业和造纸业结合，循环节约的现代造</w:t>
      </w:r>
      <w:r>
        <w:rPr>
          <w:spacing w:val="-66"/>
        </w:rPr>
        <w:t> </w:t>
      </w:r>
      <w:r>
        <w:rPr>
          <w:spacing w:val="-66"/>
        </w:rPr>
      </w:r>
      <w:r>
        <w:rPr/>
        <w:t>纸行业。从行业准入标准、环保标准、节约能源多方位进行产业调控，公司发展将受到政策导向的影响。</w:t>
      </w:r>
    </w:p>
    <w:p>
      <w:pPr>
        <w:pStyle w:val="BodyText"/>
        <w:spacing w:line="357" w:lineRule="auto" w:before="56"/>
        <w:ind w:left="507" w:right="2430" w:firstLine="7"/>
        <w:jc w:val="left"/>
        <w:rPr>
          <w:rFonts w:ascii="宋体" w:hAnsi="宋体" w:cs="宋体" w:eastAsia="宋体" w:hint="default"/>
        </w:rPr>
      </w:pPr>
      <w:r>
        <w:rPr/>
        <w:t>淘汰落后产能以及日趋严格的环保政策将使部分中小企业退出市场，公司有望长期收益。 </w:t>
      </w:r>
      <w:r>
        <w:rPr>
          <w:rFonts w:ascii="宋体" w:hAnsi="宋体" w:cs="宋体" w:eastAsia="宋体" w:hint="default"/>
          <w:b/>
          <w:bCs/>
        </w:rPr>
        <w:t>经营风险</w:t>
      </w:r>
      <w:r>
        <w:rPr>
          <w:rFonts w:ascii="宋体" w:hAnsi="宋体" w:cs="宋体" w:eastAsia="宋体" w:hint="default"/>
        </w:rPr>
      </w:r>
    </w:p>
    <w:p>
      <w:pPr>
        <w:pStyle w:val="BodyText"/>
        <w:spacing w:line="319" w:lineRule="auto" w:before="29"/>
        <w:ind w:left="153" w:right="189" w:firstLine="361"/>
        <w:jc w:val="both"/>
      </w:pPr>
      <w:r>
        <w:rPr>
          <w:spacing w:val="-2"/>
        </w:rPr>
        <w:t>公司生产主要原材料为木浆和废纸。公司产品多为高档纸，且国家鼓励加大木浆使用比例，故木浆占生产成本的比重较</w:t>
      </w:r>
      <w:r>
        <w:rPr/>
        <w:t> </w:t>
      </w:r>
      <w:r>
        <w:rPr>
          <w:spacing w:val="-2"/>
        </w:rPr>
        <w:t>高，原材料价格的波动很大程度上影响公司产品的成本，同时，受近年来行业产能迅速增加的影响，市场竞争日趋激烈，原</w:t>
      </w:r>
      <w:r>
        <w:rPr>
          <w:spacing w:val="-66"/>
        </w:rPr>
        <w:t> </w:t>
      </w:r>
      <w:r>
        <w:rPr>
          <w:spacing w:val="-66"/>
        </w:rPr>
      </w:r>
      <w:r>
        <w:rPr/>
        <w:t>材料价格波动将会对公司的业绩产生影响。</w:t>
      </w:r>
    </w:p>
    <w:p>
      <w:pPr>
        <w:spacing w:after="0" w:line="319"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153" w:right="99" w:firstLine="354"/>
        <w:jc w:val="left"/>
      </w:pPr>
      <w:r>
        <w:rPr>
          <w:spacing w:val="-3"/>
        </w:rPr>
        <w:t>为此，公司坚持走</w:t>
      </w:r>
      <w:r>
        <w:rPr>
          <w:rFonts w:ascii="Times New Roman" w:hAnsi="Times New Roman" w:cs="Times New Roman" w:eastAsia="Times New Roman" w:hint="default"/>
          <w:spacing w:val="-3"/>
        </w:rPr>
        <w:t>“</w:t>
      </w:r>
      <w:r>
        <w:rPr>
          <w:spacing w:val="-3"/>
        </w:rPr>
        <w:t>林浆纸一体化</w:t>
      </w:r>
      <w:r>
        <w:rPr>
          <w:rFonts w:ascii="Times New Roman" w:hAnsi="Times New Roman" w:cs="Times New Roman" w:eastAsia="Times New Roman" w:hint="default"/>
          <w:spacing w:val="-3"/>
        </w:rPr>
        <w:t>”</w:t>
      </w:r>
      <w:r>
        <w:rPr>
          <w:spacing w:val="-3"/>
        </w:rPr>
        <w:t>发展道路，规划建设湛江晨鸣木浆项目、黄冈晨鸣木桨项目以及寿光本埠化学浆项目，</w:t>
      </w:r>
      <w:r>
        <w:rPr/>
        <w:t> 从而摆脱上游资源对公司发展的制约，增强公司的可持续发展能力。</w:t>
      </w:r>
    </w:p>
    <w:p>
      <w:pPr>
        <w:pStyle w:val="BodyText"/>
        <w:spacing w:line="357" w:lineRule="auto" w:before="72"/>
        <w:ind w:left="515" w:right="182"/>
        <w:jc w:val="left"/>
      </w:pPr>
      <w:r>
        <w:rPr>
          <w:rFonts w:ascii="宋体" w:hAnsi="宋体" w:cs="宋体" w:eastAsia="宋体" w:hint="default"/>
          <w:b/>
          <w:bCs/>
        </w:rPr>
        <w:t>环保风险</w:t>
      </w:r>
      <w:r>
        <w:rPr>
          <w:rFonts w:ascii="宋体" w:hAnsi="宋体" w:cs="宋体" w:eastAsia="宋体" w:hint="default"/>
          <w:b/>
          <w:bCs/>
          <w:w w:val="99"/>
        </w:rPr>
        <w:t> </w:t>
      </w:r>
      <w:r>
        <w:rPr>
          <w:spacing w:val="-2"/>
        </w:rPr>
        <w:t>新《环境保护法》已于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日正式生效，造纸行业环保政策频出且日趋严厉，多管齐下进行产业调整，造纸行业</w:t>
      </w:r>
    </w:p>
    <w:p>
      <w:pPr>
        <w:pStyle w:val="BodyText"/>
        <w:spacing w:line="201" w:lineRule="exact"/>
        <w:ind w:left="153" w:right="0"/>
        <w:jc w:val="left"/>
      </w:pPr>
      <w:r>
        <w:rPr/>
        <w:t>进入重要转型发展期，排放标准的提高势必加大公司环保成本，准入标准的提高将导致企业规模扩张趋缓，从而影响生产经</w:t>
      </w:r>
    </w:p>
    <w:p>
      <w:pPr>
        <w:pStyle w:val="BodyText"/>
        <w:spacing w:line="240" w:lineRule="auto" w:before="77"/>
        <w:ind w:left="153" w:right="182"/>
        <w:jc w:val="left"/>
      </w:pPr>
      <w:r>
        <w:rPr/>
        <w:t>营。</w:t>
      </w:r>
    </w:p>
    <w:p>
      <w:pPr>
        <w:pStyle w:val="BodyText"/>
        <w:spacing w:line="302" w:lineRule="auto" w:before="115"/>
        <w:ind w:left="153" w:right="182" w:firstLine="361"/>
        <w:jc w:val="left"/>
      </w:pPr>
      <w:r>
        <w:rPr>
          <w:spacing w:val="-2"/>
        </w:rPr>
        <w:t>公司始终以</w:t>
      </w:r>
      <w:r>
        <w:rPr>
          <w:rFonts w:ascii="Times New Roman" w:hAnsi="Times New Roman" w:cs="Times New Roman" w:eastAsia="Times New Roman" w:hint="default"/>
          <w:spacing w:val="-2"/>
        </w:rPr>
        <w:t>“</w:t>
      </w:r>
      <w:r>
        <w:rPr>
          <w:spacing w:val="-2"/>
        </w:rPr>
        <w:t>节能减排、和谐发展</w:t>
      </w:r>
      <w:r>
        <w:rPr>
          <w:rFonts w:ascii="Times New Roman" w:hAnsi="Times New Roman" w:cs="Times New Roman" w:eastAsia="Times New Roman" w:hint="default"/>
          <w:spacing w:val="-2"/>
        </w:rPr>
        <w:t>”</w:t>
      </w:r>
      <w:r>
        <w:rPr>
          <w:spacing w:val="-2"/>
        </w:rPr>
        <w:t>为目标，公司将大力发展循环经济，以废物交换、循环利用，最大限度地提高资源利</w:t>
      </w:r>
      <w:r>
        <w:rPr/>
        <w:t> 用率，同时加大环保项目建设力度，切实保证公司废弃物的达标排放。</w:t>
      </w:r>
    </w:p>
    <w:p>
      <w:pPr>
        <w:pStyle w:val="BodyText"/>
        <w:spacing w:line="357" w:lineRule="auto" w:before="69"/>
        <w:ind w:left="515" w:right="182"/>
        <w:jc w:val="left"/>
      </w:pPr>
      <w:r>
        <w:rPr>
          <w:rFonts w:ascii="宋体" w:hAnsi="宋体" w:cs="宋体" w:eastAsia="宋体" w:hint="default"/>
          <w:b/>
          <w:bCs/>
        </w:rPr>
        <w:t>汇率风险</w:t>
      </w:r>
      <w:r>
        <w:rPr>
          <w:rFonts w:ascii="宋体" w:hAnsi="宋体" w:cs="宋体" w:eastAsia="宋体" w:hint="default"/>
          <w:b/>
          <w:bCs/>
          <w:w w:val="99"/>
        </w:rPr>
        <w:t> </w:t>
      </w:r>
      <w:r>
        <w:rPr>
          <w:spacing w:val="-2"/>
        </w:rPr>
        <w:t>人民币的币值受国内和国际经济、政治形势和货币供求关系的影响。作为进出口企业，未来人民币针对其他货币的汇率</w:t>
      </w:r>
    </w:p>
    <w:p>
      <w:pPr>
        <w:pStyle w:val="BodyText"/>
        <w:spacing w:line="224" w:lineRule="exact"/>
        <w:ind w:left="153" w:right="0"/>
        <w:jc w:val="left"/>
      </w:pPr>
      <w:r>
        <w:rPr/>
        <w:t>变动将对公司的经营业绩产生一定影响。公司外币交易主要以美元计价，原材料进口、产品出口、拥有美元借款等业务均面</w:t>
      </w:r>
    </w:p>
    <w:p>
      <w:pPr>
        <w:pStyle w:val="BodyText"/>
        <w:spacing w:line="357" w:lineRule="auto" w:before="77"/>
        <w:ind w:left="515" w:right="182" w:hanging="362"/>
        <w:jc w:val="left"/>
      </w:pPr>
      <w:r>
        <w:rPr/>
        <w:t>临一定的汇率变动风险。 </w:t>
      </w:r>
      <w:r>
        <w:rPr>
          <w:spacing w:val="-2"/>
        </w:rPr>
        <w:t>公司财务部门负责监控集团外币交易和外币资产及负债的规模，通过进出口对冲、开立远期信用证、贸易融资以及利率</w:t>
      </w:r>
    </w:p>
    <w:p>
      <w:pPr>
        <w:pStyle w:val="BodyText"/>
        <w:spacing w:line="224" w:lineRule="exact"/>
        <w:ind w:left="153" w:right="182"/>
        <w:jc w:val="left"/>
      </w:pPr>
      <w:r>
        <w:rPr/>
        <w:t>调期等措施规避汇率风险。</w:t>
      </w:r>
    </w:p>
    <w:p>
      <w:pPr>
        <w:spacing w:line="240" w:lineRule="auto" w:before="2"/>
        <w:rPr>
          <w:rFonts w:ascii="宋体" w:hAnsi="宋体" w:cs="宋体" w:eastAsia="宋体" w:hint="default"/>
          <w:sz w:val="25"/>
          <w:szCs w:val="25"/>
        </w:rPr>
      </w:pPr>
    </w:p>
    <w:p>
      <w:pPr>
        <w:pStyle w:val="Heading2"/>
        <w:spacing w:line="240" w:lineRule="auto"/>
        <w:ind w:right="182"/>
        <w:jc w:val="left"/>
        <w:rPr>
          <w:b w:val="0"/>
          <w:bCs w:val="0"/>
        </w:rPr>
      </w:pPr>
      <w:r>
        <w:rPr/>
        <w:t>十、董事会、监事会对会计师事务所本报告期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82"/>
        <w:jc w:val="left"/>
      </w:pPr>
      <w:r>
        <w:rPr/>
        <w:t>瑞华会计师事务所已对本公司</w:t>
      </w:r>
      <w:r>
        <w:rPr>
          <w:rFonts w:ascii="Times New Roman" w:hAnsi="Times New Roman" w:cs="Times New Roman" w:eastAsia="Times New Roman" w:hint="default"/>
        </w:rPr>
        <w:t>2014</w:t>
      </w:r>
      <w:r>
        <w:rPr/>
        <w:t>年度财务报告进行审计，并出具了标准无保留意见的审计报告。</w:t>
      </w:r>
    </w:p>
    <w:p>
      <w:pPr>
        <w:spacing w:line="240" w:lineRule="auto" w:before="1"/>
        <w:rPr>
          <w:rFonts w:ascii="宋体" w:hAnsi="宋体" w:cs="宋体" w:eastAsia="宋体" w:hint="default"/>
          <w:sz w:val="24"/>
          <w:szCs w:val="24"/>
        </w:rPr>
      </w:pPr>
    </w:p>
    <w:p>
      <w:pPr>
        <w:pStyle w:val="Heading2"/>
        <w:spacing w:line="240" w:lineRule="auto"/>
        <w:ind w:right="182"/>
        <w:jc w:val="left"/>
        <w:rPr>
          <w:b w:val="0"/>
          <w:bCs w:val="0"/>
        </w:rPr>
      </w:pPr>
      <w:r>
        <w:rPr/>
        <w:t>十一、与上年度财务报告相比，会计政策、会计估计和核算方法发生变化的情况说明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53" w:right="188" w:firstLine="360"/>
        <w:jc w:val="both"/>
      </w:pPr>
      <w:r>
        <w:rPr>
          <w:rFonts w:ascii="Times New Roman" w:hAnsi="Times New Roman" w:cs="Times New Roman" w:eastAsia="Times New Roman" w:hint="default"/>
        </w:rPr>
        <w:t>2014</w:t>
      </w:r>
      <w:r>
        <w:rPr/>
        <w:t>年初，财政部分别以财会</w:t>
      </w:r>
      <w:r>
        <w:rPr>
          <w:rFonts w:ascii="Times New Roman" w:hAnsi="Times New Roman" w:cs="Times New Roman" w:eastAsia="Times New Roman" w:hint="default"/>
        </w:rPr>
        <w:t>[2014]6</w:t>
      </w:r>
      <w:r>
        <w:rPr/>
        <w:t>号、</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10</w:t>
      </w:r>
      <w:r>
        <w:rPr/>
        <w:t>号、</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14</w:t>
      </w:r>
      <w:r>
        <w:rPr/>
        <w:t>号及</w:t>
      </w:r>
      <w:r>
        <w:rPr>
          <w:rFonts w:ascii="Times New Roman" w:hAnsi="Times New Roman" w:cs="Times New Roman" w:eastAsia="Times New Roman" w:hint="default"/>
        </w:rPr>
        <w:t>16</w:t>
      </w:r>
      <w:r>
        <w:rPr/>
        <w:t>号发布了《企业会计准则第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w:t>
      </w:r>
      <w:r>
        <w:rPr>
          <w:spacing w:val="2"/>
        </w:rPr>
        <w:t> </w:t>
      </w:r>
      <w:r>
        <w:rPr/>
        <w:t>价值计量》、《企业会计准则第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2014</w:t>
      </w:r>
      <w:r>
        <w:rPr/>
        <w:t>年修订）》、《企业会计准则第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w:t>
      </w:r>
      <w:r>
        <w:rPr/>
        <w:t>年修</w:t>
      </w:r>
      <w:r>
        <w:rPr>
          <w:spacing w:val="-83"/>
        </w:rPr>
        <w:t> </w:t>
      </w:r>
      <w:r>
        <w:rPr>
          <w:spacing w:val="-2"/>
        </w:rPr>
        <w:t>订）》、《企业会计准则第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w:t>
      </w:r>
      <w:r>
        <w:rPr>
          <w:rFonts w:ascii="Times New Roman" w:hAnsi="Times New Roman" w:cs="Times New Roman" w:eastAsia="Times New Roman" w:hint="default"/>
          <w:spacing w:val="-2"/>
        </w:rPr>
        <w:t>2014</w:t>
      </w:r>
      <w:r>
        <w:rPr>
          <w:spacing w:val="-2"/>
        </w:rPr>
        <w:t>年修订）》、《企业会计准则第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合营安排》、《企业会计</w:t>
      </w:r>
      <w:r>
        <w:rPr>
          <w:spacing w:val="-64"/>
        </w:rPr>
        <w:t> </w:t>
      </w:r>
      <w:r>
        <w:rPr>
          <w:spacing w:val="-64"/>
        </w:rPr>
      </w:r>
      <w:r>
        <w:rPr/>
        <w:t>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2014</w:t>
      </w:r>
      <w:r>
        <w:rPr/>
        <w:t>年修订）》及《企业会计准则第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36"/>
        </w:rPr>
        <w:t> </w:t>
      </w:r>
      <w:r>
        <w:rPr/>
        <w:t>月</w:t>
      </w:r>
      <w:r>
        <w:rPr>
          <w:rFonts w:ascii="Times New Roman" w:hAnsi="Times New Roman" w:cs="Times New Roman" w:eastAsia="Times New Roman" w:hint="default"/>
        </w:rPr>
        <w:t>1</w:t>
      </w:r>
      <w:r>
        <w:rPr/>
        <w:t>日起在所有执行企业会计准则的企业范围内施行，鼓励在境外上市的企业提前执行。同时，财政部以财会</w:t>
      </w:r>
      <w:r>
        <w:rPr>
          <w:rFonts w:ascii="Times New Roman" w:hAnsi="Times New Roman" w:cs="Times New Roman" w:eastAsia="Times New Roman" w:hint="default"/>
        </w:rPr>
        <w:t>[2014]23</w:t>
      </w:r>
      <w:r>
        <w:rPr/>
        <w:t>号发</w:t>
      </w:r>
      <w:r>
        <w:rPr>
          <w:spacing w:val="-35"/>
        </w:rPr>
        <w:t> </w:t>
      </w:r>
      <w:r>
        <w:rPr>
          <w:spacing w:val="-2"/>
        </w:rPr>
        <w:t>布了《企业会计准则第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2014</w:t>
      </w:r>
      <w:r>
        <w:rPr>
          <w:spacing w:val="-2"/>
        </w:rPr>
        <w:t>年修订）》（以下简称</w:t>
      </w:r>
      <w:r>
        <w:rPr>
          <w:rFonts w:ascii="Times New Roman" w:hAnsi="Times New Roman" w:cs="Times New Roman" w:eastAsia="Times New Roman" w:hint="default"/>
          <w:spacing w:val="-2"/>
        </w:rPr>
        <w:t>“</w:t>
      </w:r>
      <w:r>
        <w:rPr>
          <w:spacing w:val="-2"/>
        </w:rPr>
        <w:t>金融工具列报准则</w:t>
      </w:r>
      <w:r>
        <w:rPr>
          <w:rFonts w:ascii="Times New Roman" w:hAnsi="Times New Roman" w:cs="Times New Roman" w:eastAsia="Times New Roman" w:hint="default"/>
          <w:spacing w:val="-2"/>
        </w:rPr>
        <w:t>”</w:t>
      </w:r>
      <w:r>
        <w:rPr>
          <w:spacing w:val="-2"/>
        </w:rPr>
        <w:t>），要求在</w:t>
      </w:r>
      <w:r>
        <w:rPr>
          <w:rFonts w:ascii="Times New Roman" w:hAnsi="Times New Roman" w:cs="Times New Roman" w:eastAsia="Times New Roman" w:hint="default"/>
          <w:spacing w:val="-2"/>
        </w:rPr>
        <w:t>2014</w:t>
      </w:r>
      <w:r>
        <w:rPr>
          <w:spacing w:val="-2"/>
        </w:rPr>
        <w:t>年年度及以</w:t>
      </w:r>
      <w:r>
        <w:rPr>
          <w:spacing w:val="-35"/>
        </w:rPr>
        <w:t> </w:t>
      </w:r>
      <w:r>
        <w:rPr/>
        <w:t>后期间的财务报告中按照该准则的要求对金融工具进行列报。</w:t>
      </w:r>
    </w:p>
    <w:p>
      <w:pPr>
        <w:pStyle w:val="BodyText"/>
        <w:spacing w:line="300" w:lineRule="auto" w:before="31"/>
        <w:ind w:left="153" w:right="91" w:firstLine="360"/>
        <w:jc w:val="left"/>
      </w:pPr>
      <w:r>
        <w:rPr/>
        <w:t>经本公司第七届董事会第四次会议于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决议通过，本公司于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日开始执行前述除长期股权投资、在 </w:t>
      </w:r>
      <w:r>
        <w:rPr>
          <w:spacing w:val="-2"/>
        </w:rPr>
        <w:t>其他主体中权益的披露、金融工具列报准则以外的</w:t>
      </w:r>
      <w:r>
        <w:rPr>
          <w:rFonts w:ascii="Times New Roman" w:hAnsi="Times New Roman" w:cs="Times New Roman" w:eastAsia="Times New Roman" w:hint="default"/>
          <w:spacing w:val="-2"/>
        </w:rPr>
        <w:t>5</w:t>
      </w:r>
      <w:r>
        <w:rPr>
          <w:spacing w:val="-2"/>
        </w:rPr>
        <w:t>项新颁布或修订的企业会计准则，自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日起执行长期股权投资、</w:t>
      </w:r>
      <w:r>
        <w:rPr>
          <w:spacing w:val="-56"/>
        </w:rPr>
        <w:t> </w:t>
      </w:r>
      <w:r>
        <w:rPr>
          <w:spacing w:val="-2"/>
        </w:rPr>
        <w:t>在其他主体中的权益披露准则，在编制</w:t>
      </w:r>
      <w:r>
        <w:rPr>
          <w:rFonts w:ascii="Times New Roman" w:hAnsi="Times New Roman" w:cs="Times New Roman" w:eastAsia="Times New Roman" w:hint="default"/>
          <w:spacing w:val="-2"/>
        </w:rPr>
        <w:t>2014</w:t>
      </w:r>
      <w:r>
        <w:rPr>
          <w:spacing w:val="-2"/>
        </w:rPr>
        <w:t>年年度财务报告时开始执行金融工具列报准则，本年度，根据后续财政部颁布的</w:t>
      </w:r>
      <w:r>
        <w:rPr>
          <w:spacing w:val="-62"/>
        </w:rPr>
        <w:t> </w:t>
      </w:r>
      <w:r>
        <w:rPr>
          <w:spacing w:val="-62"/>
        </w:rPr>
      </w:r>
      <w:r>
        <w:rPr/>
        <w:t>各准则应用指南和衔接要求进行了调整，对当期和列报前期财务报表项目及金额的影响如下：</w:t>
      </w:r>
    </w:p>
    <w:tbl>
      <w:tblPr>
        <w:tblW w:w="0" w:type="auto"/>
        <w:jc w:val="left"/>
        <w:tblInd w:w="137" w:type="dxa"/>
        <w:tblLayout w:type="fixed"/>
        <w:tblCellMar>
          <w:top w:w="0" w:type="dxa"/>
          <w:left w:w="0" w:type="dxa"/>
          <w:bottom w:w="0" w:type="dxa"/>
          <w:right w:w="0" w:type="dxa"/>
        </w:tblCellMar>
        <w:tblLook w:val="01E0"/>
      </w:tblPr>
      <w:tblGrid>
        <w:gridCol w:w="1024"/>
        <w:gridCol w:w="5466"/>
        <w:gridCol w:w="1621"/>
        <w:gridCol w:w="1547"/>
      </w:tblGrid>
      <w:tr>
        <w:trPr>
          <w:trHeight w:val="659" w:hRule="exact"/>
        </w:trPr>
        <w:tc>
          <w:tcPr>
            <w:tcW w:w="1024"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324" w:right="323"/>
              <w:jc w:val="left"/>
              <w:rPr>
                <w:rFonts w:ascii="宋体" w:hAnsi="宋体" w:cs="宋体" w:eastAsia="宋体" w:hint="default"/>
                <w:sz w:val="18"/>
                <w:szCs w:val="18"/>
              </w:rPr>
            </w:pPr>
            <w:r>
              <w:rPr>
                <w:rFonts w:ascii="宋体" w:hAnsi="宋体" w:cs="宋体" w:eastAsia="宋体" w:hint="default"/>
                <w:sz w:val="18"/>
                <w:szCs w:val="18"/>
              </w:rPr>
              <w:t>准则 名称</w:t>
            </w:r>
          </w:p>
        </w:tc>
        <w:tc>
          <w:tcPr>
            <w:tcW w:w="5466"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2545" w:right="1104" w:hanging="1440"/>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 说明</w:t>
            </w:r>
          </w:p>
        </w:tc>
        <w:tc>
          <w:tcPr>
            <w:tcW w:w="3168"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00" w:lineRule="auto" w:before="20"/>
              <w:ind w:left="945" w:right="20" w:hanging="926"/>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年度相关财务报表 项目的影响金额</w:t>
            </w:r>
          </w:p>
        </w:tc>
      </w:tr>
      <w:tr>
        <w:trPr>
          <w:trHeight w:val="658" w:hRule="exact"/>
        </w:trPr>
        <w:tc>
          <w:tcPr>
            <w:tcW w:w="1024" w:type="dxa"/>
            <w:vMerge/>
            <w:tcBorders>
              <w:left w:val="single" w:sz="6" w:space="0" w:color="000000"/>
              <w:bottom w:val="single" w:sz="6" w:space="0" w:color="000000"/>
              <w:right w:val="single" w:sz="6" w:space="0" w:color="000000"/>
            </w:tcBorders>
            <w:shd w:val="clear" w:color="auto" w:fill="CCCCCC"/>
          </w:tcPr>
          <w:p>
            <w:pPr/>
          </w:p>
        </w:tc>
        <w:tc>
          <w:tcPr>
            <w:tcW w:w="5466" w:type="dxa"/>
            <w:vMerge/>
            <w:tcBorders>
              <w:left w:val="single" w:sz="6" w:space="0" w:color="000000"/>
              <w:bottom w:val="single" w:sz="6" w:space="0" w:color="000000"/>
              <w:right w:val="single" w:sz="6" w:space="0" w:color="000000"/>
            </w:tcBorders>
            <w:shd w:val="clear" w:color="auto" w:fill="CCCCCC"/>
          </w:tcPr>
          <w:p>
            <w:pPr/>
          </w:p>
        </w:tc>
        <w:tc>
          <w:tcPr>
            <w:tcW w:w="162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4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6" w:lineRule="auto" w:before="21"/>
              <w:ind w:left="300" w:right="299" w:firstLine="10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1084" w:hRule="exact"/>
        </w:trPr>
        <w:tc>
          <w:tcPr>
            <w:tcW w:w="1024"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26"/>
              <w:jc w:val="left"/>
              <w:rPr>
                <w:rFonts w:ascii="宋体" w:hAnsi="宋体" w:cs="宋体" w:eastAsia="宋体" w:hint="default"/>
                <w:sz w:val="18"/>
                <w:szCs w:val="18"/>
              </w:rPr>
            </w:pPr>
            <w:r>
              <w:rPr>
                <w:rFonts w:ascii="宋体" w:hAnsi="宋体" w:cs="宋体" w:eastAsia="宋体" w:hint="default"/>
                <w:spacing w:val="20"/>
                <w:sz w:val="18"/>
                <w:szCs w:val="18"/>
              </w:rPr>
              <w:t>《企业会计</w:t>
            </w:r>
            <w:r>
              <w:rPr>
                <w:rFonts w:ascii="宋体" w:hAnsi="宋体" w:cs="宋体" w:eastAsia="宋体" w:hint="default"/>
                <w:spacing w:val="-86"/>
                <w:sz w:val="18"/>
                <w:szCs w:val="18"/>
              </w:rPr>
              <w:t> </w:t>
            </w:r>
            <w:r>
              <w:rPr>
                <w:rFonts w:ascii="宋体" w:hAnsi="宋体" w:cs="宋体" w:eastAsia="宋体" w:hint="default"/>
                <w:spacing w:val="32"/>
                <w:sz w:val="18"/>
                <w:szCs w:val="18"/>
              </w:rPr>
              <w:t>准则第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00" w:lineRule="auto"/>
              <w:ind w:left="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pacing w:val="22"/>
                <w:sz w:val="18"/>
                <w:szCs w:val="18"/>
              </w:rPr>
              <w:t>长期股</w:t>
            </w:r>
            <w:r>
              <w:rPr>
                <w:rFonts w:ascii="宋体" w:hAnsi="宋体" w:cs="宋体" w:eastAsia="宋体" w:hint="default"/>
                <w:spacing w:val="-56"/>
                <w:sz w:val="18"/>
                <w:szCs w:val="18"/>
              </w:rPr>
              <w:t> </w:t>
            </w:r>
            <w:r>
              <w:rPr>
                <w:rFonts w:ascii="宋体" w:hAnsi="宋体" w:cs="宋体" w:eastAsia="宋体" w:hint="default"/>
                <w:sz w:val="18"/>
                <w:szCs w:val="18"/>
              </w:rPr>
              <w:t>权投资》</w:t>
            </w:r>
          </w:p>
        </w:tc>
        <w:tc>
          <w:tcPr>
            <w:tcW w:w="5466" w:type="dxa"/>
            <w:vMerge w:val="restart"/>
            <w:tcBorders>
              <w:top w:val="single" w:sz="6" w:space="0" w:color="000000"/>
              <w:left w:val="single" w:sz="6" w:space="0" w:color="000000"/>
              <w:right w:val="single" w:sz="6" w:space="0" w:color="000000"/>
            </w:tcBorders>
          </w:tcPr>
          <w:p>
            <w:pPr>
              <w:pStyle w:val="TableParagraph"/>
              <w:spacing w:line="307" w:lineRule="auto" w:before="21"/>
              <w:ind w:left="2" w:right="1" w:firstLine="360"/>
              <w:jc w:val="both"/>
              <w:rPr>
                <w:rFonts w:ascii="宋体" w:hAnsi="宋体" w:cs="宋体" w:eastAsia="宋体" w:hint="default"/>
                <w:sz w:val="18"/>
                <w:szCs w:val="18"/>
              </w:rPr>
            </w:pPr>
            <w:r>
              <w:rPr>
                <w:rFonts w:ascii="宋体" w:hAnsi="宋体" w:cs="宋体" w:eastAsia="宋体" w:hint="default"/>
                <w:spacing w:val="-2"/>
                <w:sz w:val="18"/>
                <w:szCs w:val="18"/>
              </w:rPr>
              <w:t>执行《企业会计准则第</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长期股权投资（</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年修订）》之</w:t>
            </w:r>
            <w:r>
              <w:rPr>
                <w:rFonts w:ascii="宋体" w:hAnsi="宋体" w:cs="宋体" w:eastAsia="宋体" w:hint="default"/>
                <w:sz w:val="18"/>
                <w:szCs w:val="18"/>
              </w:rPr>
              <w:t> 前，本公司对被投资单位不具有共同控制或重大影响，并且在活跃市</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场中没有报价、公允价值不能可靠计量的股权投资，作为长期股权投</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资并采用成本法进行核算。执行《企业会计准则第</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长期股权投</w:t>
            </w:r>
            <w:r>
              <w:rPr>
                <w:rFonts w:ascii="宋体" w:hAnsi="宋体" w:cs="宋体" w:eastAsia="宋体" w:hint="default"/>
                <w:spacing w:val="-72"/>
                <w:sz w:val="18"/>
                <w:szCs w:val="18"/>
              </w:rPr>
              <w:t> </w:t>
            </w:r>
            <w:r>
              <w:rPr>
                <w:rFonts w:ascii="宋体" w:hAnsi="宋体" w:cs="宋体" w:eastAsia="宋体" w:hint="default"/>
                <w:sz w:val="18"/>
                <w:szCs w:val="18"/>
              </w:rPr>
              <w:t>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年修订）》后，本公司将对被投资单位不具有共同控制或重</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大影响，并且在活跃市场中没有报价、公允价值不能可靠计量的股权</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83,260,425.53</w:t>
            </w:r>
          </w:p>
        </w:tc>
      </w:tr>
      <w:tr>
        <w:trPr>
          <w:trHeight w:val="823" w:hRule="exact"/>
        </w:trPr>
        <w:tc>
          <w:tcPr>
            <w:tcW w:w="1024" w:type="dxa"/>
            <w:vMerge/>
            <w:tcBorders>
              <w:left w:val="single" w:sz="6" w:space="0" w:color="000000"/>
              <w:bottom w:val="single" w:sz="6" w:space="0" w:color="000000"/>
              <w:right w:val="single" w:sz="6" w:space="0" w:color="000000"/>
            </w:tcBorders>
          </w:tcPr>
          <w:p>
            <w:pPr/>
          </w:p>
        </w:tc>
        <w:tc>
          <w:tcPr>
            <w:tcW w:w="5466" w:type="dxa"/>
            <w:vMerge/>
            <w:tcBorders>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-83,260,425.53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1024"/>
        <w:gridCol w:w="5466"/>
        <w:gridCol w:w="1621"/>
        <w:gridCol w:w="1547"/>
      </w:tblGrid>
      <w:tr>
        <w:trPr>
          <w:trHeight w:val="659" w:hRule="exact"/>
        </w:trPr>
        <w:tc>
          <w:tcPr>
            <w:tcW w:w="1024" w:type="dxa"/>
            <w:tcBorders>
              <w:top w:val="single" w:sz="6" w:space="0" w:color="000000"/>
              <w:left w:val="single" w:sz="6" w:space="0" w:color="000000"/>
              <w:bottom w:val="single" w:sz="6" w:space="0" w:color="000000"/>
              <w:right w:val="single" w:sz="6" w:space="0" w:color="000000"/>
            </w:tcBorders>
          </w:tcPr>
          <w:p>
            <w:pPr/>
          </w:p>
        </w:tc>
        <w:tc>
          <w:tcPr>
            <w:tcW w:w="54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投资作为可供出售金融资产核算。本公司采用追溯调整法对上述会计</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政策变更进行会计处理。</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24"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26"/>
              <w:jc w:val="left"/>
              <w:rPr>
                <w:rFonts w:ascii="宋体" w:hAnsi="宋体" w:cs="宋体" w:eastAsia="宋体" w:hint="default"/>
                <w:sz w:val="18"/>
                <w:szCs w:val="18"/>
              </w:rPr>
            </w:pPr>
            <w:r>
              <w:rPr>
                <w:rFonts w:ascii="宋体" w:hAnsi="宋体" w:cs="宋体" w:eastAsia="宋体" w:hint="default"/>
                <w:spacing w:val="20"/>
                <w:sz w:val="18"/>
                <w:szCs w:val="18"/>
              </w:rPr>
              <w:t>《企业会计</w:t>
            </w:r>
            <w:r>
              <w:rPr>
                <w:rFonts w:ascii="宋体" w:hAnsi="宋体" w:cs="宋体" w:eastAsia="宋体" w:hint="default"/>
                <w:spacing w:val="-86"/>
                <w:sz w:val="18"/>
                <w:szCs w:val="18"/>
              </w:rPr>
              <w:t> </w:t>
            </w:r>
            <w:r>
              <w:rPr>
                <w:rFonts w:ascii="宋体" w:hAnsi="宋体" w:cs="宋体" w:eastAsia="宋体" w:hint="default"/>
                <w:spacing w:val="17"/>
                <w:sz w:val="18"/>
                <w:szCs w:val="18"/>
              </w:rPr>
              <w:t>准则第</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w:t>
            </w:r>
          </w:p>
          <w:p>
            <w:pPr>
              <w:pStyle w:val="TableParagraph"/>
              <w:spacing w:line="300" w:lineRule="auto"/>
              <w:ind w:left="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pacing w:val="22"/>
                <w:sz w:val="18"/>
                <w:szCs w:val="18"/>
              </w:rPr>
              <w:t>财务报</w:t>
            </w:r>
            <w:r>
              <w:rPr>
                <w:rFonts w:ascii="宋体" w:hAnsi="宋体" w:cs="宋体" w:eastAsia="宋体" w:hint="default"/>
                <w:spacing w:val="-56"/>
                <w:sz w:val="18"/>
                <w:szCs w:val="18"/>
              </w:rPr>
              <w:t> </w:t>
            </w:r>
            <w:r>
              <w:rPr>
                <w:rFonts w:ascii="宋体" w:hAnsi="宋体" w:cs="宋体" w:eastAsia="宋体" w:hint="default"/>
                <w:sz w:val="18"/>
                <w:szCs w:val="18"/>
              </w:rPr>
              <w:t>表列报》</w:t>
            </w:r>
          </w:p>
        </w:tc>
        <w:tc>
          <w:tcPr>
            <w:tcW w:w="5466" w:type="dxa"/>
            <w:vMerge w:val="restart"/>
            <w:tcBorders>
              <w:top w:val="single" w:sz="6" w:space="0" w:color="000000"/>
              <w:left w:val="single" w:sz="6" w:space="0" w:color="000000"/>
              <w:right w:val="single" w:sz="6" w:space="0" w:color="000000"/>
            </w:tcBorders>
          </w:tcPr>
          <w:p>
            <w:pPr>
              <w:pStyle w:val="TableParagraph"/>
              <w:spacing w:line="307" w:lineRule="auto" w:before="21"/>
              <w:ind w:left="2" w:right="-2" w:firstLine="360"/>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年修订）》将其</w:t>
            </w:r>
            <w:r>
              <w:rPr>
                <w:rFonts w:ascii="宋体" w:hAnsi="宋体" w:cs="宋体" w:eastAsia="宋体" w:hint="default"/>
                <w:spacing w:val="2"/>
                <w:sz w:val="18"/>
                <w:szCs w:val="18"/>
              </w:rPr>
              <w:t> </w:t>
            </w:r>
            <w:r>
              <w:rPr>
                <w:rFonts w:ascii="宋体" w:hAnsi="宋体" w:cs="宋体" w:eastAsia="宋体" w:hint="default"/>
                <w:sz w:val="18"/>
                <w:szCs w:val="18"/>
              </w:rPr>
              <w:t>他综合收益划分为两类：</w:t>
            </w:r>
            <w:r>
              <w:rPr>
                <w:rFonts w:ascii="Times New Roman" w:hAnsi="Times New Roman" w:cs="Times New Roman" w:eastAsia="Times New Roman" w:hint="default"/>
                <w:sz w:val="18"/>
                <w:szCs w:val="18"/>
              </w:rPr>
              <w:t>(1)</w:t>
            </w:r>
            <w:r>
              <w:rPr>
                <w:rFonts w:ascii="宋体" w:hAnsi="宋体" w:cs="宋体" w:eastAsia="宋体" w:hint="default"/>
                <w:sz w:val="18"/>
                <w:szCs w:val="18"/>
              </w:rPr>
              <w:t>以后会计期间不能重分类进损益的其他综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合收益项目；</w:t>
            </w:r>
            <w:r>
              <w:rPr>
                <w:rFonts w:ascii="Times New Roman" w:hAnsi="Times New Roman" w:cs="Times New Roman" w:eastAsia="Times New Roman" w:hint="default"/>
                <w:sz w:val="18"/>
                <w:szCs w:val="18"/>
              </w:rPr>
              <w:t>(2)</w:t>
            </w:r>
            <w:r>
              <w:rPr>
                <w:rFonts w:ascii="宋体" w:hAnsi="宋体" w:cs="宋体" w:eastAsia="宋体" w:hint="default"/>
                <w:sz w:val="18"/>
                <w:szCs w:val="18"/>
              </w:rPr>
              <w:t>以后会计期间在满足特定条件时将重分类进损益的其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他综合收益项目，同时规范了持有待售、流动性和非流动性等项目的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列报。本财务报表已按该准则的规定进行列报，并对可比年度财务报</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表的列报进行了相应调整。</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16,934,073.59</w:t>
            </w:r>
          </w:p>
        </w:tc>
      </w:tr>
      <w:tr>
        <w:trPr>
          <w:trHeight w:val="347" w:hRule="exact"/>
        </w:trPr>
        <w:tc>
          <w:tcPr>
            <w:tcW w:w="1024" w:type="dxa"/>
            <w:vMerge/>
            <w:tcBorders>
              <w:left w:val="single" w:sz="6" w:space="0" w:color="000000"/>
              <w:right w:val="single" w:sz="6" w:space="0" w:color="000000"/>
            </w:tcBorders>
          </w:tcPr>
          <w:p>
            <w:pPr/>
          </w:p>
        </w:tc>
        <w:tc>
          <w:tcPr>
            <w:tcW w:w="54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-16,934,073.59</w:t>
            </w:r>
          </w:p>
        </w:tc>
      </w:tr>
      <w:tr>
        <w:trPr>
          <w:trHeight w:val="348" w:hRule="exact"/>
        </w:trPr>
        <w:tc>
          <w:tcPr>
            <w:tcW w:w="1024" w:type="dxa"/>
            <w:vMerge/>
            <w:tcBorders>
              <w:left w:val="single" w:sz="6" w:space="0" w:color="000000"/>
              <w:right w:val="single" w:sz="6" w:space="0" w:color="000000"/>
            </w:tcBorders>
          </w:tcPr>
          <w:p>
            <w:pPr/>
          </w:p>
        </w:tc>
        <w:tc>
          <w:tcPr>
            <w:tcW w:w="54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-25,246,647.62</w:t>
            </w:r>
          </w:p>
        </w:tc>
      </w:tr>
      <w:tr>
        <w:trPr>
          <w:trHeight w:val="347" w:hRule="exact"/>
        </w:trPr>
        <w:tc>
          <w:tcPr>
            <w:tcW w:w="1024" w:type="dxa"/>
            <w:vMerge/>
            <w:tcBorders>
              <w:left w:val="single" w:sz="6" w:space="0" w:color="000000"/>
              <w:right w:val="single" w:sz="6" w:space="0" w:color="000000"/>
            </w:tcBorders>
          </w:tcPr>
          <w:p>
            <w:pPr/>
          </w:p>
        </w:tc>
        <w:tc>
          <w:tcPr>
            <w:tcW w:w="54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493,600,712.15</w:t>
            </w:r>
          </w:p>
        </w:tc>
      </w:tr>
      <w:tr>
        <w:trPr>
          <w:trHeight w:val="520" w:hRule="exact"/>
        </w:trPr>
        <w:tc>
          <w:tcPr>
            <w:tcW w:w="1024" w:type="dxa"/>
            <w:vMerge/>
            <w:tcBorders>
              <w:left w:val="single" w:sz="6" w:space="0" w:color="000000"/>
              <w:bottom w:val="single" w:sz="6" w:space="0" w:color="000000"/>
              <w:right w:val="single" w:sz="6" w:space="0" w:color="000000"/>
            </w:tcBorders>
          </w:tcPr>
          <w:p>
            <w:pPr/>
          </w:p>
        </w:tc>
        <w:tc>
          <w:tcPr>
            <w:tcW w:w="5466" w:type="dxa"/>
            <w:vMerge/>
            <w:tcBorders>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
              <w:jc w:val="right"/>
              <w:rPr>
                <w:rFonts w:ascii="Times New Roman" w:hAnsi="Times New Roman" w:cs="Times New Roman" w:eastAsia="Times New Roman" w:hint="default"/>
                <w:sz w:val="18"/>
                <w:szCs w:val="18"/>
              </w:rPr>
            </w:pPr>
            <w:r>
              <w:rPr>
                <w:rFonts w:ascii="Times New Roman"/>
                <w:spacing w:val="-1"/>
                <w:sz w:val="18"/>
              </w:rPr>
              <w:t>-468,354,064.53</w:t>
            </w:r>
          </w:p>
        </w:tc>
      </w:tr>
    </w:tbl>
    <w:p>
      <w:pPr>
        <w:spacing w:line="240" w:lineRule="auto" w:before="2"/>
        <w:rPr>
          <w:rFonts w:ascii="宋体" w:hAnsi="宋体" w:cs="宋体" w:eastAsia="宋体" w:hint="default"/>
          <w:sz w:val="18"/>
          <w:szCs w:val="18"/>
        </w:rPr>
      </w:pPr>
    </w:p>
    <w:p>
      <w:pPr>
        <w:pStyle w:val="Heading2"/>
        <w:spacing w:line="240" w:lineRule="auto" w:before="26"/>
        <w:ind w:right="147"/>
        <w:jc w:val="left"/>
        <w:rPr>
          <w:b w:val="0"/>
          <w:bCs w:val="0"/>
        </w:rPr>
      </w:pPr>
      <w:r>
        <w:rPr/>
        <w:t>十二、报告期内发生重大会计差错更正需追溯重述的情况说明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r>
        <w:rPr/>
        <w:t>公司报告期无重大会计差错更正需追溯重述的情况。</w:t>
      </w:r>
    </w:p>
    <w:p>
      <w:pPr>
        <w:spacing w:line="240" w:lineRule="auto" w:before="13"/>
        <w:rPr>
          <w:rFonts w:ascii="宋体" w:hAnsi="宋体" w:cs="宋体" w:eastAsia="宋体" w:hint="default"/>
          <w:sz w:val="24"/>
          <w:szCs w:val="24"/>
        </w:rPr>
      </w:pPr>
    </w:p>
    <w:p>
      <w:pPr>
        <w:pStyle w:val="Heading2"/>
        <w:spacing w:line="240" w:lineRule="auto"/>
        <w:ind w:right="147"/>
        <w:jc w:val="left"/>
        <w:rPr>
          <w:b w:val="0"/>
          <w:bCs w:val="0"/>
        </w:rPr>
      </w:pPr>
      <w:r>
        <w:rPr/>
        <w:t>十三、与上年度财务报告相比，合并报表范围发生变化的情况说明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 适用 □ 不适用</w:t>
      </w:r>
    </w:p>
    <w:p>
      <w:pPr>
        <w:spacing w:line="300" w:lineRule="auto" w:before="115"/>
        <w:ind w:left="514" w:right="140" w:hanging="9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、与上年相比本年新增合并单位</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家，详细情况如下：</w:t>
      </w:r>
      <w:r>
        <w:rPr>
          <w:rFonts w:ascii="宋体" w:hAnsi="宋体" w:cs="宋体" w:eastAsia="宋体" w:hint="default"/>
          <w:b/>
          <w:bCs/>
          <w:spacing w:val="1"/>
          <w:w w:val="99"/>
          <w:sz w:val="18"/>
          <w:szCs w:val="18"/>
        </w:rPr>
        <w:t> </w:t>
      </w:r>
      <w:r>
        <w:rPr>
          <w:rFonts w:ascii="宋体" w:hAnsi="宋体" w:cs="宋体" w:eastAsia="宋体" w:hint="default"/>
          <w:sz w:val="18"/>
          <w:szCs w:val="18"/>
        </w:rPr>
        <w:t>报告期内，公司通过投资设立新增</w:t>
      </w:r>
      <w:r>
        <w:rPr>
          <w:rFonts w:ascii="Times New Roman" w:hAnsi="Times New Roman" w:cs="Times New Roman" w:eastAsia="Times New Roman" w:hint="default"/>
          <w:sz w:val="18"/>
          <w:szCs w:val="18"/>
        </w:rPr>
        <w:t>6</w:t>
      </w:r>
      <w:r>
        <w:rPr>
          <w:rFonts w:ascii="宋体" w:hAnsi="宋体" w:cs="宋体" w:eastAsia="宋体" w:hint="default"/>
          <w:sz w:val="18"/>
          <w:szCs w:val="18"/>
        </w:rPr>
        <w:t>家公司，分别是山东晨鸣融资租赁有限公司、山东晨鸣投资有限公司、山东晨鸣集</w:t>
      </w:r>
    </w:p>
    <w:p>
      <w:pPr>
        <w:pStyle w:val="BodyText"/>
        <w:spacing w:line="316" w:lineRule="auto" w:before="13"/>
        <w:ind w:left="514" w:right="147" w:hanging="360"/>
        <w:jc w:val="left"/>
      </w:pPr>
      <w:r>
        <w:rPr/>
        <w:t>团财务有限公司、晨鸣林业有限公司、青岛晨鸣国际物流有限公司和吉林晨鸣新型墙体材料有限公司。 </w:t>
      </w:r>
      <w:r>
        <w:rPr>
          <w:spacing w:val="-2"/>
        </w:rPr>
        <w:t>为推进公司多元化发展，进一步拓展公司业务范围，增强公司整体实力和综合竞争力，培育公司新的利润增长点，公司</w:t>
      </w:r>
    </w:p>
    <w:p>
      <w:pPr>
        <w:pStyle w:val="BodyText"/>
        <w:spacing w:line="300" w:lineRule="auto" w:before="18"/>
        <w:ind w:left="153" w:right="331"/>
        <w:jc w:val="left"/>
      </w:pPr>
      <w:r>
        <w:rPr/>
        <w:t>七届董事会第四次临时会议决定通过全资子公司香港晨鸣在境内成立山东晨鸣融资租赁有限公司（以下简称</w:t>
      </w:r>
      <w:r>
        <w:rPr>
          <w:rFonts w:ascii="Times New Roman" w:hAnsi="Times New Roman" w:cs="Times New Roman" w:eastAsia="Times New Roman" w:hint="default"/>
        </w:rPr>
        <w:t>“</w:t>
      </w:r>
      <w:r>
        <w:rPr/>
        <w:t>融资租赁公 司</w:t>
      </w:r>
      <w:r>
        <w:rPr>
          <w:rFonts w:ascii="Times New Roman" w:hAnsi="Times New Roman" w:cs="Times New Roman" w:eastAsia="Times New Roman" w:hint="default"/>
        </w:rPr>
        <w:t>”</w:t>
      </w:r>
      <w:r>
        <w:rPr/>
        <w:t>），实缴注册资本</w:t>
      </w:r>
      <w:r>
        <w:rPr>
          <w:rFonts w:ascii="Times New Roman" w:hAnsi="Times New Roman" w:cs="Times New Roman" w:eastAsia="Times New Roman" w:hint="default"/>
        </w:rPr>
        <w:t>30,000</w:t>
      </w:r>
      <w:r>
        <w:rPr/>
        <w:t>万元，后根据业务的需要逐步增资至</w:t>
      </w:r>
      <w:r>
        <w:rPr>
          <w:rFonts w:ascii="Times New Roman" w:hAnsi="Times New Roman" w:cs="Times New Roman" w:eastAsia="Times New Roman" w:hint="default"/>
        </w:rPr>
        <w:t>270,000</w:t>
      </w:r>
      <w:r>
        <w:rPr/>
        <w:t>万元，自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月份纳入公司合并报表范围。</w:t>
      </w:r>
    </w:p>
    <w:p>
      <w:pPr>
        <w:pStyle w:val="BodyText"/>
        <w:spacing w:line="304" w:lineRule="auto" w:before="13"/>
        <w:ind w:left="153" w:right="147" w:firstLine="360"/>
        <w:jc w:val="left"/>
      </w:pPr>
      <w:r>
        <w:rPr>
          <w:spacing w:val="-2"/>
        </w:rPr>
        <w:t>为推进公司多元化发展，进一步拓展公司业务范围，增强公司整体实力和综合竞争力，培育公司新的利润增长点，公司</w:t>
      </w:r>
      <w:r>
        <w:rPr/>
        <w:t> </w:t>
      </w:r>
      <w:r>
        <w:rPr>
          <w:spacing w:val="-5"/>
        </w:rPr>
        <w:t>七届董事会第四次会议决定由全资子公司晨鸣（香港）有限公司（以下简称</w:t>
      </w:r>
      <w:r>
        <w:rPr>
          <w:rFonts w:ascii="Times New Roman" w:hAnsi="Times New Roman" w:cs="Times New Roman" w:eastAsia="Times New Roman" w:hint="default"/>
          <w:spacing w:val="-5"/>
        </w:rPr>
        <w:t>“</w:t>
      </w:r>
      <w:r>
        <w:rPr>
          <w:spacing w:val="-5"/>
        </w:rPr>
        <w:t>香港晨鸣</w:t>
      </w:r>
      <w:r>
        <w:rPr>
          <w:rFonts w:ascii="Times New Roman" w:hAnsi="Times New Roman" w:cs="Times New Roman" w:eastAsia="Times New Roman" w:hint="default"/>
          <w:spacing w:val="-5"/>
        </w:rPr>
        <w:t>”</w:t>
      </w:r>
      <w:r>
        <w:rPr>
          <w:spacing w:val="-5"/>
        </w:rPr>
        <w:t>）出资设立山东晨鸣投资有限公司（以</w:t>
      </w:r>
      <w:r>
        <w:rPr>
          <w:spacing w:val="-58"/>
        </w:rPr>
        <w:t> </w:t>
      </w:r>
      <w:r>
        <w:rPr>
          <w:spacing w:val="-58"/>
        </w:rPr>
      </w:r>
      <w:r>
        <w:rPr/>
        <w:t>下简称</w:t>
      </w:r>
      <w:r>
        <w:rPr>
          <w:rFonts w:ascii="Times New Roman" w:hAnsi="Times New Roman" w:cs="Times New Roman" w:eastAsia="Times New Roman" w:hint="default"/>
        </w:rPr>
        <w:t>“</w:t>
      </w:r>
      <w:r>
        <w:rPr/>
        <w:t>投资公司</w:t>
      </w:r>
      <w:r>
        <w:rPr>
          <w:rFonts w:ascii="Times New Roman" w:hAnsi="Times New Roman" w:cs="Times New Roman" w:eastAsia="Times New Roman" w:hint="default"/>
        </w:rPr>
        <w:t>”</w:t>
      </w:r>
      <w:r>
        <w:rPr/>
        <w:t>），实缴注册资本</w:t>
      </w:r>
      <w:r>
        <w:rPr>
          <w:rFonts w:ascii="Times New Roman" w:hAnsi="Times New Roman" w:cs="Times New Roman" w:eastAsia="Times New Roman" w:hint="default"/>
        </w:rPr>
        <w:t>20,000</w:t>
      </w:r>
      <w:r>
        <w:rPr/>
        <w:t>万元，自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月份纳入公司合并报表范围；同时公司和全资子公司香港晨鸣 </w:t>
      </w:r>
      <w:r>
        <w:rPr>
          <w:spacing w:val="-2"/>
        </w:rPr>
        <w:t>在境内出资设立青岛晨鸣国际物流有限公司（以下简称</w:t>
      </w:r>
      <w:r>
        <w:rPr>
          <w:rFonts w:ascii="Times New Roman" w:hAnsi="Times New Roman" w:cs="Times New Roman" w:eastAsia="Times New Roman" w:hint="default"/>
          <w:spacing w:val="-2"/>
        </w:rPr>
        <w:t>“</w:t>
      </w:r>
      <w:r>
        <w:rPr>
          <w:spacing w:val="-2"/>
        </w:rPr>
        <w:t>青岛晨鸣</w:t>
      </w:r>
      <w:r>
        <w:rPr>
          <w:rFonts w:ascii="Times New Roman" w:hAnsi="Times New Roman" w:cs="Times New Roman" w:eastAsia="Times New Roman" w:hint="default"/>
          <w:spacing w:val="-2"/>
        </w:rPr>
        <w:t>”</w:t>
      </w:r>
      <w:r>
        <w:rPr>
          <w:spacing w:val="-2"/>
        </w:rPr>
        <w:t>），分别控股</w:t>
      </w:r>
      <w:r>
        <w:rPr>
          <w:rFonts w:ascii="Times New Roman" w:hAnsi="Times New Roman" w:cs="Times New Roman" w:eastAsia="Times New Roman" w:hint="default"/>
          <w:spacing w:val="-2"/>
        </w:rPr>
        <w:t>30%</w:t>
      </w:r>
      <w:r>
        <w:rPr>
          <w:spacing w:val="-2"/>
        </w:rPr>
        <w:t>和</w:t>
      </w:r>
      <w:r>
        <w:rPr>
          <w:rFonts w:ascii="Times New Roman" w:hAnsi="Times New Roman" w:cs="Times New Roman" w:eastAsia="Times New Roman" w:hint="default"/>
          <w:spacing w:val="-2"/>
        </w:rPr>
        <w:t>70%</w:t>
      </w:r>
      <w:r>
        <w:rPr>
          <w:spacing w:val="-2"/>
        </w:rPr>
        <w:t>，实缴注册资本</w:t>
      </w:r>
      <w:r>
        <w:rPr>
          <w:rFonts w:ascii="Times New Roman" w:hAnsi="Times New Roman" w:cs="Times New Roman" w:eastAsia="Times New Roman" w:hint="default"/>
          <w:spacing w:val="-2"/>
        </w:rPr>
        <w:t>300</w:t>
      </w:r>
      <w:r>
        <w:rPr>
          <w:spacing w:val="-2"/>
        </w:rPr>
        <w:t>万元，自</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6"/>
        </w:rPr>
        <w:t> </w:t>
      </w:r>
      <w:r>
        <w:rPr/>
        <w:t>年</w:t>
      </w:r>
      <w:r>
        <w:rPr>
          <w:rFonts w:ascii="Times New Roman" w:hAnsi="Times New Roman" w:cs="Times New Roman" w:eastAsia="Times New Roman" w:hint="default"/>
        </w:rPr>
        <w:t>11</w:t>
      </w:r>
      <w:r>
        <w:rPr/>
        <w:t>月份纳入公司合并报表范围。</w:t>
      </w:r>
    </w:p>
    <w:p>
      <w:pPr>
        <w:pStyle w:val="BodyText"/>
        <w:spacing w:line="300" w:lineRule="auto" w:before="9"/>
        <w:ind w:right="158" w:firstLine="360"/>
        <w:jc w:val="both"/>
      </w:pPr>
      <w:r>
        <w:rPr/>
        <w:t>为了应对当前严峻的市场形势，促进公司多元化发展，公司决定涉足金融行业。</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日，公司收到中国银监会 山东监管局下发的《山东银监局关于山东晨鸣集团财务有限公司开业的批复》（鲁银监准【</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233</w:t>
      </w:r>
      <w:r>
        <w:rPr/>
        <w:t>号），批准成立山东 晨鸣集团财务有限公司（以下简称：财务公司），实缴注册资本</w:t>
      </w:r>
      <w:r>
        <w:rPr>
          <w:rFonts w:ascii="Times New Roman" w:hAnsi="Times New Roman" w:cs="Times New Roman" w:eastAsia="Times New Roman" w:hint="default"/>
        </w:rPr>
        <w:t>100,000</w:t>
      </w:r>
      <w:r>
        <w:rPr/>
        <w:t>万元，自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月份纳入公司合并报表范围。</w:t>
      </w:r>
    </w:p>
    <w:p>
      <w:pPr>
        <w:pStyle w:val="BodyText"/>
        <w:spacing w:line="316" w:lineRule="auto" w:before="13"/>
        <w:ind w:right="149" w:firstLine="360"/>
        <w:jc w:val="both"/>
      </w:pPr>
      <w:r>
        <w:rPr>
          <w:spacing w:val="-2"/>
        </w:rPr>
        <w:t>根据公司林浆纸一体化的发展战略，为更好地提高公司林业板块的组织化和专业化程度，从而进一步拉长林业产业链条</w:t>
      </w:r>
      <w:r>
        <w:rPr/>
        <w:t> </w:t>
      </w:r>
      <w:r>
        <w:rPr>
          <w:spacing w:val="-2"/>
        </w:rPr>
        <w:t>和提高林业建设的科技含量。公司七届董事会第六次会议决定成立晨鸣林业有限公司（以下简称：晨鸣林业），实缴注册资</w:t>
      </w:r>
      <w:r>
        <w:rPr>
          <w:spacing w:val="-65"/>
        </w:rPr>
        <w:t> </w:t>
      </w:r>
      <w:r>
        <w:rPr>
          <w:spacing w:val="-65"/>
        </w:rPr>
      </w:r>
      <w:r>
        <w:rPr/>
        <w:t>本</w:t>
      </w:r>
      <w:r>
        <w:rPr>
          <w:rFonts w:ascii="Times New Roman" w:hAnsi="Times New Roman" w:cs="Times New Roman" w:eastAsia="Times New Roman" w:hint="default"/>
        </w:rPr>
        <w:t>4,500</w:t>
      </w:r>
      <w:r>
        <w:rPr/>
        <w:t>万元，自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月份纳入公司合并报表范围。</w:t>
      </w:r>
    </w:p>
    <w:p>
      <w:pPr>
        <w:pStyle w:val="BodyText"/>
        <w:spacing w:line="309" w:lineRule="auto"/>
        <w:ind w:right="150" w:firstLine="360"/>
        <w:jc w:val="both"/>
      </w:pPr>
      <w:r>
        <w:rPr>
          <w:spacing w:val="-2"/>
        </w:rPr>
        <w:t>为加强资源综合利用，积极响应国家资源综合利用政策，同时适应当地市场需求，决定由公司全资子公司吉林晨鸣纸业</w:t>
      </w:r>
      <w:r>
        <w:rPr/>
        <w:t> </w:t>
      </w:r>
      <w:r>
        <w:rPr>
          <w:spacing w:val="-1"/>
        </w:rPr>
        <w:t>有限责任公司出资成立吉林晨鸣新型墙体材料有限公司（以下简称：吉林墙体），实缴注册资本</w:t>
      </w:r>
      <w:r>
        <w:rPr>
          <w:rFonts w:ascii="Times New Roman" w:hAnsi="Times New Roman" w:cs="Times New Roman" w:eastAsia="Times New Roman" w:hint="default"/>
          <w:spacing w:val="-1"/>
        </w:rPr>
        <w:t>1,000</w:t>
      </w:r>
      <w:r>
        <w:rPr>
          <w:spacing w:val="-1"/>
        </w:rPr>
        <w:t>万元，自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月份</w:t>
      </w:r>
      <w:r>
        <w:rPr>
          <w:spacing w:val="-76"/>
        </w:rPr>
        <w:t> </w:t>
      </w:r>
      <w:r>
        <w:rPr/>
        <w:t>纳入公司合并报表范围。</w:t>
      </w:r>
    </w:p>
    <w:p>
      <w:pPr>
        <w:spacing w:line="240" w:lineRule="auto" w:before="9"/>
        <w:rPr>
          <w:rFonts w:ascii="宋体" w:hAnsi="宋体" w:cs="宋体" w:eastAsia="宋体" w:hint="default"/>
          <w:sz w:val="25"/>
          <w:szCs w:val="25"/>
        </w:rPr>
      </w:pPr>
    </w:p>
    <w:p>
      <w:pPr>
        <w:spacing w:line="300" w:lineRule="auto" w:before="0"/>
        <w:ind w:left="514" w:right="147" w:hanging="9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、与上年相比本年减少合并单位</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家，详细情况如下：</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报告期内，山东晨鸣新力热电有限公司为本期因出售股权而丧失控制权，从而不再纳入合并范围；寿光市晨鸣天园林业</w:t>
      </w:r>
    </w:p>
    <w:p>
      <w:pPr>
        <w:pStyle w:val="BodyText"/>
        <w:spacing w:line="240" w:lineRule="auto" w:before="31"/>
        <w:ind w:right="147"/>
        <w:jc w:val="left"/>
      </w:pPr>
      <w:r>
        <w:rPr/>
        <w:t>有限公司和寿光恒丰仓储有限公司注销，从而不再纳入合并范围。</w:t>
      </w:r>
    </w:p>
    <w:p>
      <w:pPr>
        <w:pStyle w:val="BodyText"/>
        <w:spacing w:line="300" w:lineRule="auto" w:before="76"/>
        <w:ind w:right="147" w:firstLine="36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日，公司召开的第七届董事会第三次临时会议审议通过了</w:t>
      </w:r>
      <w:r>
        <w:rPr>
          <w:rFonts w:ascii="Times New Roman" w:hAnsi="Times New Roman" w:cs="Times New Roman" w:eastAsia="Times New Roman" w:hint="default"/>
        </w:rPr>
        <w:t>“</w:t>
      </w:r>
      <w:r>
        <w:rPr/>
        <w:t>关于出售新力热电股权的议案</w:t>
      </w:r>
      <w:r>
        <w:rPr>
          <w:rFonts w:ascii="Times New Roman" w:hAnsi="Times New Roman" w:cs="Times New Roman" w:eastAsia="Times New Roman" w:hint="default"/>
        </w:rPr>
        <w:t>”</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 </w:t>
      </w:r>
      <w:r>
        <w:rPr>
          <w:spacing w:val="-1"/>
        </w:rPr>
        <w:t>日</w:t>
      </w:r>
      <w:r>
        <w:rPr>
          <w:rFonts w:ascii="Times New Roman" w:hAnsi="Times New Roman" w:cs="Times New Roman" w:eastAsia="Times New Roman" w:hint="default"/>
          <w:spacing w:val="-1"/>
        </w:rPr>
        <w:t>,</w:t>
      </w:r>
      <w:r>
        <w:rPr>
          <w:spacing w:val="-1"/>
        </w:rPr>
        <w:t>晨鸣热电与广东德骏投资有限公司签订了《股权转让合同》，以人民币</w:t>
      </w:r>
      <w:r>
        <w:rPr>
          <w:rFonts w:ascii="Times New Roman" w:hAnsi="Times New Roman" w:cs="Times New Roman" w:eastAsia="Times New Roman" w:hint="default"/>
          <w:spacing w:val="-1"/>
        </w:rPr>
        <w:t>7,619.40</w:t>
      </w:r>
      <w:r>
        <w:rPr>
          <w:spacing w:val="-1"/>
        </w:rPr>
        <w:t>万元向广东德骏投资有限公司转让晨鸣热</w:t>
      </w:r>
      <w:r>
        <w:rPr>
          <w:spacing w:val="-76"/>
        </w:rPr>
        <w:t> </w:t>
      </w:r>
      <w:r>
        <w:rPr>
          <w:spacing w:val="-76"/>
        </w:rPr>
      </w:r>
      <w:r>
        <w:rPr/>
        <w:t>电所持新力热电</w:t>
      </w:r>
      <w:r>
        <w:rPr>
          <w:rFonts w:ascii="Times New Roman" w:hAnsi="Times New Roman" w:cs="Times New Roman" w:eastAsia="Times New Roman" w:hint="default"/>
        </w:rPr>
        <w:t>51%</w:t>
      </w:r>
      <w:r>
        <w:rPr/>
        <w:t>的股权。上述股权转让完成后，公司不再持有新力热电的股权，从而不再纳入合并报表范围。</w:t>
      </w:r>
    </w:p>
    <w:p>
      <w:pPr>
        <w:pStyle w:val="BodyText"/>
        <w:spacing w:line="240" w:lineRule="auto" w:before="53"/>
        <w:ind w:left="514" w:right="0"/>
        <w:jc w:val="left"/>
      </w:pPr>
      <w:r>
        <w:rPr/>
        <w:t>公司为整合资源，提升整体经济效益，根据实际生产经营需要将寿光市晨鸣天园林业有限公司和寿光恒丰仓储有限公司</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182"/>
        <w:jc w:val="left"/>
      </w:pPr>
      <w:r>
        <w:rPr/>
        <w:t>注销，分别自注销之日起，不再纳入合并报表范围。</w:t>
      </w:r>
    </w:p>
    <w:p>
      <w:pPr>
        <w:spacing w:line="240" w:lineRule="auto" w:before="13"/>
        <w:rPr>
          <w:rFonts w:ascii="宋体" w:hAnsi="宋体" w:cs="宋体" w:eastAsia="宋体" w:hint="default"/>
          <w:sz w:val="24"/>
          <w:szCs w:val="24"/>
        </w:rPr>
      </w:pPr>
    </w:p>
    <w:p>
      <w:pPr>
        <w:pStyle w:val="Heading2"/>
        <w:spacing w:line="240" w:lineRule="auto"/>
        <w:ind w:right="182"/>
        <w:jc w:val="left"/>
        <w:rPr>
          <w:b w:val="0"/>
          <w:bCs w:val="0"/>
        </w:rPr>
      </w:pPr>
      <w:r>
        <w:rPr/>
        <w:t>十四、公司利润分配及分红派息情况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182" w:hanging="360"/>
        <w:jc w:val="left"/>
      </w:pPr>
      <w:r>
        <w:rPr/>
        <w:t>报告期内利润分配政策的制定、执行或调整情况 </w:t>
      </w:r>
      <w:r>
        <w:rPr>
          <w:spacing w:val="-2"/>
        </w:rPr>
        <w:t>公司严格按照《公司章程》执行利润分配政策，公司现金分红政策制定及执行均符合《公司章程》的规定和股东大会决</w:t>
      </w:r>
    </w:p>
    <w:p>
      <w:pPr>
        <w:pStyle w:val="BodyText"/>
        <w:spacing w:line="224" w:lineRule="exact"/>
        <w:ind w:right="0"/>
        <w:jc w:val="left"/>
      </w:pPr>
      <w:r>
        <w:rPr/>
        <w:t>议的要求，分红标准和比例明确和清晰，相关的决策程序和机制完备，独立董事的职责明确，能发挥应有的作用，中小股东</w:t>
      </w:r>
    </w:p>
    <w:p>
      <w:pPr>
        <w:pStyle w:val="BodyText"/>
        <w:spacing w:line="240" w:lineRule="auto" w:before="77"/>
        <w:ind w:right="182"/>
        <w:jc w:val="left"/>
      </w:pPr>
      <w:r>
        <w:rPr/>
        <w:t>有充分表达意见和诉求的机会，中小股东的合法权益得到了充分维护。</w:t>
      </w:r>
    </w:p>
    <w:p>
      <w:pPr>
        <w:pStyle w:val="BodyText"/>
        <w:spacing w:line="300" w:lineRule="auto" w:before="116"/>
        <w:ind w:left="153" w:right="85" w:firstLine="360"/>
        <w:jc w:val="left"/>
      </w:pPr>
      <w:r>
        <w:rPr>
          <w:rFonts w:ascii="Times New Roman" w:hAnsi="Times New Roman" w:cs="Times New Roman" w:eastAsia="Times New Roman" w:hint="default"/>
        </w:rPr>
        <w:t>2013</w:t>
      </w:r>
      <w:r>
        <w:rPr/>
        <w:t>年度利润分配方案的执行情况：以权益分派股权登记日公司总股份数</w:t>
      </w:r>
      <w:r>
        <w:rPr>
          <w:rFonts w:ascii="Times New Roman" w:hAnsi="Times New Roman" w:cs="Times New Roman" w:eastAsia="Times New Roman" w:hint="default"/>
        </w:rPr>
        <w:t>1,936,405,467</w:t>
      </w:r>
      <w:r>
        <w:rPr/>
        <w:t>股为基数，向全体股东每</w:t>
      </w:r>
      <w:r>
        <w:rPr>
          <w:rFonts w:ascii="Times New Roman" w:hAnsi="Times New Roman" w:cs="Times New Roman" w:eastAsia="Times New Roman" w:hint="default"/>
        </w:rPr>
        <w:t>10</w:t>
      </w:r>
      <w:r>
        <w:rPr/>
        <w:t>股派 人民币现金红利</w:t>
      </w:r>
      <w:r>
        <w:rPr>
          <w:rFonts w:ascii="Times New Roman" w:hAnsi="Times New Roman" w:cs="Times New Roman" w:eastAsia="Times New Roman" w:hint="default"/>
        </w:rPr>
        <w:t>3</w:t>
      </w:r>
      <w:r>
        <w:rPr/>
        <w:t>元（含税），本次分配共派发人民币现金红利</w:t>
      </w:r>
      <w:r>
        <w:rPr>
          <w:rFonts w:ascii="Times New Roman" w:hAnsi="Times New Roman" w:cs="Times New Roman" w:eastAsia="Times New Roman" w:hint="default"/>
        </w:rPr>
        <w:t>580,921,640.10</w:t>
      </w:r>
      <w:r>
        <w:rPr/>
        <w:t>元（含税）。此次权益分派已于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 </w:t>
      </w:r>
      <w:r>
        <w:rPr>
          <w:spacing w:val="-3"/>
        </w:rPr>
        <w:t>实施完毕。详情请参阅公司于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27</w:t>
      </w:r>
      <w:r>
        <w:rPr>
          <w:spacing w:val="-3"/>
        </w:rPr>
        <w:t>日在香港联交所披露的《派付末期股息及为非居民企业股东代扣代繳企业所得税 </w:t>
      </w:r>
      <w:r>
        <w:rPr/>
        <w:t>》</w:t>
      </w:r>
      <w:r>
        <w:rPr>
          <w:spacing w:val="-88"/>
        </w:rPr>
        <w:t> </w:t>
      </w:r>
      <w:r>
        <w:rPr>
          <w:spacing w:val="-88"/>
        </w:rPr>
      </w:r>
      <w:r>
        <w:rPr/>
        <w:t>公告和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日在巨潮资讯网披露的《</w:t>
      </w:r>
      <w:r>
        <w:rPr>
          <w:rFonts w:ascii="Times New Roman" w:hAnsi="Times New Roman" w:cs="Times New Roman" w:eastAsia="Times New Roman" w:hint="default"/>
        </w:rPr>
        <w:t>2013</w:t>
      </w:r>
      <w:r>
        <w:rPr/>
        <w:t>年年度</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B</w:t>
      </w:r>
      <w:r>
        <w:rPr/>
        <w:t>股权益分派实施公告》。</w:t>
      </w:r>
    </w:p>
    <w:tbl>
      <w:tblPr>
        <w:tblW w:w="0" w:type="auto"/>
        <w:jc w:val="left"/>
        <w:tblInd w:w="160" w:type="dxa"/>
        <w:tblLayout w:type="fixed"/>
        <w:tblCellMar>
          <w:top w:w="0" w:type="dxa"/>
          <w:left w:w="0" w:type="dxa"/>
          <w:bottom w:w="0" w:type="dxa"/>
          <w:right w:w="0" w:type="dxa"/>
        </w:tblCellMar>
        <w:tblLook w:val="01E0"/>
      </w:tblPr>
      <w:tblGrid>
        <w:gridCol w:w="6277"/>
        <w:gridCol w:w="3280"/>
      </w:tblGrid>
      <w:tr>
        <w:trPr>
          <w:trHeight w:val="401"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2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2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2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2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77"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2"/>
              <w:ind w:left="11" w:right="-56"/>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280"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2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5"/>
        <w:ind w:right="182"/>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300" w:lineRule="auto" w:before="102"/>
        <w:ind w:left="514" w:right="182"/>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年度利润分配预案 </w:t>
      </w:r>
      <w:r>
        <w:rPr>
          <w:spacing w:val="-1"/>
        </w:rPr>
        <w:t>以权益分派股权登记日公司总股份数为基数，向全体股东每</w:t>
      </w:r>
      <w:r>
        <w:rPr>
          <w:rFonts w:ascii="Times New Roman" w:hAnsi="Times New Roman" w:cs="Times New Roman" w:eastAsia="Times New Roman" w:hint="default"/>
          <w:spacing w:val="-1"/>
        </w:rPr>
        <w:t>10</w:t>
      </w:r>
      <w:r>
        <w:rPr>
          <w:spacing w:val="-1"/>
        </w:rPr>
        <w:t>股派人民币现金红利</w:t>
      </w:r>
      <w:r>
        <w:rPr>
          <w:rFonts w:ascii="Times New Roman" w:hAnsi="Times New Roman" w:cs="Times New Roman" w:eastAsia="Times New Roman" w:hint="default"/>
          <w:spacing w:val="-1"/>
        </w:rPr>
        <w:t>1.40</w:t>
      </w:r>
      <w:r>
        <w:rPr>
          <w:spacing w:val="-1"/>
        </w:rPr>
        <w:t>元（含税），以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p>
    <w:p>
      <w:pPr>
        <w:pStyle w:val="BodyText"/>
        <w:spacing w:line="300" w:lineRule="auto" w:before="13"/>
        <w:ind w:left="153" w:right="182"/>
        <w:jc w:val="left"/>
      </w:pPr>
      <w:r>
        <w:rPr>
          <w:spacing w:val="-2"/>
        </w:rPr>
        <w:t>公司总股份</w:t>
      </w:r>
      <w:r>
        <w:rPr>
          <w:rFonts w:ascii="Times New Roman" w:hAnsi="Times New Roman" w:cs="Times New Roman" w:eastAsia="Times New Roman" w:hint="default"/>
          <w:spacing w:val="-2"/>
        </w:rPr>
        <w:t>1,936,405,467</w:t>
      </w:r>
      <w:r>
        <w:rPr>
          <w:spacing w:val="-2"/>
        </w:rPr>
        <w:t>股计算，</w:t>
      </w:r>
      <w:r>
        <w:rPr>
          <w:rFonts w:ascii="Times New Roman" w:hAnsi="Times New Roman" w:cs="Times New Roman" w:eastAsia="Times New Roman" w:hint="default"/>
          <w:spacing w:val="-2"/>
        </w:rPr>
        <w:t>2014</w:t>
      </w:r>
      <w:r>
        <w:rPr>
          <w:spacing w:val="-2"/>
        </w:rPr>
        <w:t>年度共派发人民币现金红利</w:t>
      </w:r>
      <w:r>
        <w:rPr>
          <w:rFonts w:ascii="Times New Roman" w:hAnsi="Times New Roman" w:cs="Times New Roman" w:eastAsia="Times New Roman" w:hint="default"/>
          <w:spacing w:val="-2"/>
        </w:rPr>
        <w:t>271,096,765.38</w:t>
      </w:r>
      <w:r>
        <w:rPr>
          <w:spacing w:val="-2"/>
        </w:rPr>
        <w:t>元（含税），占</w:t>
      </w:r>
      <w:r>
        <w:rPr>
          <w:rFonts w:ascii="Times New Roman" w:hAnsi="Times New Roman" w:cs="Times New Roman" w:eastAsia="Times New Roman" w:hint="default"/>
          <w:spacing w:val="-2"/>
        </w:rPr>
        <w:t>2014</w:t>
      </w:r>
      <w:r>
        <w:rPr>
          <w:spacing w:val="-2"/>
        </w:rPr>
        <w:t>年按照企业会计准则编</w:t>
      </w:r>
      <w:r>
        <w:rPr>
          <w:spacing w:val="-39"/>
        </w:rPr>
        <w:t> </w:t>
      </w:r>
      <w:r>
        <w:rPr/>
        <w:t>制的合并报表中归属于上市公司股东的净利润的比率为</w:t>
      </w:r>
      <w:r>
        <w:rPr>
          <w:rFonts w:ascii="Times New Roman" w:hAnsi="Times New Roman" w:cs="Times New Roman" w:eastAsia="Times New Roman" w:hint="default"/>
        </w:rPr>
        <w:t>53.66%</w:t>
      </w:r>
      <w:r>
        <w:rPr/>
        <w:t>。</w:t>
      </w:r>
    </w:p>
    <w:p>
      <w:pPr>
        <w:pStyle w:val="BodyText"/>
        <w:spacing w:line="240" w:lineRule="auto" w:before="13"/>
        <w:ind w:left="513" w:right="182"/>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年度利润分配方案</w:t>
      </w:r>
    </w:p>
    <w:p>
      <w:pPr>
        <w:pStyle w:val="BodyText"/>
        <w:spacing w:line="240" w:lineRule="auto" w:before="62"/>
        <w:ind w:left="513"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日，公司召开</w:t>
      </w:r>
      <w:r>
        <w:rPr>
          <w:rFonts w:ascii="Times New Roman" w:hAnsi="Times New Roman" w:cs="Times New Roman" w:eastAsia="Times New Roman" w:hint="default"/>
        </w:rPr>
        <w:t>2013</w:t>
      </w:r>
      <w:r>
        <w:rPr/>
        <w:t>年度股东大会，审议通过了</w:t>
      </w:r>
      <w:r>
        <w:rPr>
          <w:rFonts w:ascii="Times New Roman" w:hAnsi="Times New Roman" w:cs="Times New Roman" w:eastAsia="Times New Roman" w:hint="default"/>
        </w:rPr>
        <w:t>2013</w:t>
      </w:r>
      <w:r>
        <w:rPr/>
        <w:t>年度利润分配方案：以权益分派股权登记日公司总股份数</w:t>
      </w:r>
    </w:p>
    <w:p>
      <w:pPr>
        <w:pStyle w:val="BodyText"/>
        <w:spacing w:line="240" w:lineRule="auto" w:before="62"/>
        <w:ind w:left="153" w:right="91"/>
        <w:jc w:val="left"/>
        <w:rPr>
          <w:rFonts w:ascii="Times New Roman" w:hAnsi="Times New Roman" w:cs="Times New Roman" w:eastAsia="Times New Roman" w:hint="default"/>
        </w:rPr>
      </w:pPr>
      <w:r>
        <w:rPr>
          <w:rFonts w:ascii="Times New Roman" w:hAnsi="Times New Roman" w:cs="Times New Roman" w:eastAsia="Times New Roman" w:hint="default"/>
        </w:rPr>
        <w:t>1,936,405,467</w:t>
      </w:r>
      <w:r>
        <w:rPr/>
        <w:t>股为基数，向全体股东每</w:t>
      </w:r>
      <w:r>
        <w:rPr>
          <w:rFonts w:ascii="Times New Roman" w:hAnsi="Times New Roman" w:cs="Times New Roman" w:eastAsia="Times New Roman" w:hint="default"/>
        </w:rPr>
        <w:t>10</w:t>
      </w:r>
      <w:r>
        <w:rPr/>
        <w:t>股派人民币现金红利</w:t>
      </w:r>
      <w:r>
        <w:rPr>
          <w:rFonts w:ascii="Times New Roman" w:hAnsi="Times New Roman" w:cs="Times New Roman" w:eastAsia="Times New Roman" w:hint="default"/>
        </w:rPr>
        <w:t>3</w:t>
      </w:r>
      <w:r>
        <w:rPr/>
        <w:t>元（含税），本次分配共派发人民币现金红利</w:t>
      </w:r>
      <w:r>
        <w:rPr>
          <w:rFonts w:ascii="Times New Roman" w:hAnsi="Times New Roman" w:cs="Times New Roman" w:eastAsia="Times New Roman" w:hint="default"/>
        </w:rPr>
        <w:t>580,921,640.10</w:t>
      </w:r>
    </w:p>
    <w:p>
      <w:pPr>
        <w:pStyle w:val="BodyText"/>
        <w:spacing w:line="240" w:lineRule="auto" w:before="62"/>
        <w:ind w:left="153" w:right="182"/>
        <w:jc w:val="left"/>
      </w:pPr>
      <w:r>
        <w:rPr/>
        <w:t>元（含税）。</w:t>
      </w:r>
    </w:p>
    <w:p>
      <w:pPr>
        <w:pStyle w:val="BodyText"/>
        <w:spacing w:line="240" w:lineRule="auto" w:before="76"/>
        <w:ind w:left="513" w:right="182"/>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年度利润分配方案</w:t>
      </w:r>
    </w:p>
    <w:p>
      <w:pPr>
        <w:pStyle w:val="BodyText"/>
        <w:spacing w:line="300" w:lineRule="auto" w:before="62"/>
        <w:ind w:left="153" w:right="169"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2012</w:t>
      </w:r>
      <w:r>
        <w:rPr/>
        <w:t>年度股东大会，审议通过了</w:t>
      </w:r>
      <w:r>
        <w:rPr>
          <w:rFonts w:ascii="Times New Roman" w:hAnsi="Times New Roman" w:cs="Times New Roman" w:eastAsia="Times New Roman" w:hint="default"/>
        </w:rPr>
        <w:t>2012</w:t>
      </w:r>
      <w:r>
        <w:rPr/>
        <w:t>年度利润分配方案，公司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日的注册资本总 额为</w:t>
      </w:r>
      <w:r>
        <w:rPr>
          <w:rFonts w:ascii="Times New Roman" w:hAnsi="Times New Roman" w:cs="Times New Roman" w:eastAsia="Times New Roman" w:hint="default"/>
        </w:rPr>
        <w:t>2,062,045,941</w:t>
      </w:r>
      <w:r>
        <w:rPr/>
        <w:t>股，扣除公司回购</w:t>
      </w:r>
      <w:r>
        <w:rPr>
          <w:rFonts w:ascii="Times New Roman" w:hAnsi="Times New Roman" w:cs="Times New Roman" w:eastAsia="Times New Roman" w:hint="default"/>
        </w:rPr>
        <w:t>B</w:t>
      </w:r>
      <w:r>
        <w:rPr/>
        <w:t>股尚未注销的库存股</w:t>
      </w:r>
      <w:r>
        <w:rPr>
          <w:rFonts w:ascii="Times New Roman" w:hAnsi="Times New Roman" w:cs="Times New Roman" w:eastAsia="Times New Roman" w:hint="default"/>
        </w:rPr>
        <w:t>86,573,974</w:t>
      </w:r>
      <w:r>
        <w:rPr/>
        <w:t>股，因此参与本次分配的股本总额为</w:t>
      </w:r>
      <w:r>
        <w:rPr>
          <w:rFonts w:ascii="Times New Roman" w:hAnsi="Times New Roman" w:cs="Times New Roman" w:eastAsia="Times New Roman" w:hint="default"/>
        </w:rPr>
        <w:t>1,975,471,967</w:t>
      </w:r>
      <w:r>
        <w:rPr/>
        <w:t>股， </w:t>
      </w:r>
      <w:r>
        <w:rPr>
          <w:spacing w:val="-4"/>
        </w:rPr>
        <w:t>以</w:t>
      </w:r>
      <w:r>
        <w:rPr>
          <w:rFonts w:ascii="Times New Roman" w:hAnsi="Times New Roman" w:cs="Times New Roman" w:eastAsia="Times New Roman" w:hint="default"/>
          <w:spacing w:val="-4"/>
        </w:rPr>
        <w:t>1,975,471,967</w:t>
      </w:r>
      <w:r>
        <w:rPr>
          <w:spacing w:val="-4"/>
        </w:rPr>
        <w:t>股为基数，向股东每</w:t>
      </w:r>
      <w:r>
        <w:rPr>
          <w:rFonts w:ascii="Times New Roman" w:hAnsi="Times New Roman" w:cs="Times New Roman" w:eastAsia="Times New Roman" w:hint="default"/>
          <w:spacing w:val="-4"/>
        </w:rPr>
        <w:t>10</w:t>
      </w:r>
      <w:r>
        <w:rPr>
          <w:spacing w:val="-4"/>
        </w:rPr>
        <w:t>股派发现金红利人民币</w:t>
      </w:r>
      <w:r>
        <w:rPr>
          <w:rFonts w:ascii="Times New Roman" w:hAnsi="Times New Roman" w:cs="Times New Roman" w:eastAsia="Times New Roman" w:hint="default"/>
          <w:spacing w:val="-4"/>
        </w:rPr>
        <w:t>0.60</w:t>
      </w:r>
      <w:r>
        <w:rPr>
          <w:spacing w:val="-4"/>
        </w:rPr>
        <w:t>元（含税）。本次分配共派发现金红利人民币</w:t>
      </w:r>
      <w:r>
        <w:rPr>
          <w:rFonts w:ascii="Times New Roman" w:hAnsi="Times New Roman" w:cs="Times New Roman" w:eastAsia="Times New Roman" w:hint="default"/>
          <w:spacing w:val="-4"/>
        </w:rPr>
        <w:t>118,528,318.02</w:t>
      </w:r>
      <w:r>
        <w:rPr>
          <w:rFonts w:ascii="Times New Roman" w:hAnsi="Times New Roman" w:cs="Times New Roman" w:eastAsia="Times New Roman" w:hint="default"/>
          <w:spacing w:val="25"/>
        </w:rPr>
        <w:t> </w:t>
      </w:r>
      <w:r>
        <w:rPr/>
        <w:t>元（含税）。</w:t>
      </w:r>
    </w:p>
    <w:p>
      <w:pPr>
        <w:pStyle w:val="BodyText"/>
        <w:spacing w:line="240" w:lineRule="auto" w:before="72"/>
        <w:ind w:right="182"/>
        <w:jc w:val="left"/>
      </w:pPr>
      <w:r>
        <w:rPr/>
        <w:t>公司近三年现金分红情况表</w:t>
      </w:r>
    </w:p>
    <w:p>
      <w:pPr>
        <w:pStyle w:val="BodyText"/>
        <w:spacing w:line="240" w:lineRule="auto" w:before="116"/>
        <w:ind w:left="7767" w:right="189"/>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161" w:hRule="exact"/>
        </w:trPr>
        <w:tc>
          <w:tcPr>
            <w:tcW w:w="1595" w:type="dxa"/>
            <w:vMerge w:val="restart"/>
            <w:tcBorders>
              <w:top w:val="single" w:sz="4" w:space="0" w:color="000000"/>
              <w:left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2"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2"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5" w:type="dxa"/>
            <w:vMerge/>
            <w:tcBorders>
              <w:left w:val="single" w:sz="4" w:space="0" w:color="000000"/>
              <w:bottom w:val="nil" w:sz="6" w:space="0" w:color="auto"/>
              <w:right w:val="single" w:sz="4" w:space="0" w:color="000000"/>
            </w:tcBorders>
            <w:shd w:val="clear" w:color="auto" w:fill="D3D3D3"/>
          </w:tcPr>
          <w:p>
            <w:pPr/>
          </w:p>
        </w:tc>
        <w:tc>
          <w:tcPr>
            <w:tcW w:w="159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r>
      <w:tr>
        <w:trPr>
          <w:trHeight w:val="391" w:hRule="exact"/>
        </w:trPr>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5"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r>
      <w:tr>
        <w:trPr>
          <w:trHeight w:val="156" w:hRule="exact"/>
        </w:trPr>
        <w:tc>
          <w:tcPr>
            <w:tcW w:w="1595" w:type="dxa"/>
            <w:vMerge w:val="restart"/>
            <w:tcBorders>
              <w:top w:val="nil" w:sz="6" w:space="0" w:color="auto"/>
              <w:left w:val="single" w:sz="4" w:space="0" w:color="000000"/>
              <w:right w:val="single" w:sz="4" w:space="0" w:color="000000"/>
            </w:tcBorders>
            <w:shd w:val="clear" w:color="auto" w:fill="D3D3D3"/>
          </w:tcPr>
          <w:p>
            <w:pPr/>
          </w:p>
        </w:tc>
        <w:tc>
          <w:tcPr>
            <w:tcW w:w="1595" w:type="dxa"/>
            <w:vMerge/>
            <w:tcBorders>
              <w:left w:val="single" w:sz="4" w:space="0" w:color="000000"/>
              <w:bottom w:val="nil" w:sz="6" w:space="0" w:color="auto"/>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r>
      <w:tr>
        <w:trPr>
          <w:trHeight w:val="16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271,096,765.38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505,204,384.73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580,921,640.10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710,655,331.72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118,528,318.02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221,034,822.54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5" w:right="0"/>
              <w:jc w:val="left"/>
              <w:rPr>
                <w:rFonts w:ascii="Times New Roman" w:hAnsi="Times New Roman" w:cs="Times New Roman" w:eastAsia="Times New Roman" w:hint="default"/>
                <w:sz w:val="18"/>
                <w:szCs w:val="18"/>
              </w:rPr>
            </w:pPr>
            <w:r>
              <w:rPr>
                <w:rFonts w:ascii="Times New Roman"/>
                <w:sz w:val="18"/>
              </w:rPr>
              <w:t>53.62%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82"/>
        <w:jc w:val="left"/>
      </w:pPr>
      <w:r>
        <w:rPr/>
        <w:t>公司报告期内盈利且母公司未分配利润为正但未提出现金红利分配预案</w:t>
      </w:r>
    </w:p>
    <w:p>
      <w:pPr>
        <w:pStyle w:val="BodyText"/>
        <w:spacing w:line="240" w:lineRule="auto" w:before="117"/>
        <w:ind w:right="18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82"/>
        <w:jc w:val="left"/>
        <w:rPr>
          <w:b w:val="0"/>
          <w:bCs w:val="0"/>
        </w:rPr>
      </w:pPr>
      <w:r>
        <w:rPr/>
        <w:t>十五、本报告期利润分配及资本公积金转增股本预案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2"/>
        <w:jc w:val="left"/>
      </w:pPr>
      <w:r>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3"/>
        <w:gridCol w:w="5863"/>
      </w:tblGrid>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1,936,405,467</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271,096,765.38</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4,665,921,686.21</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w:t>
            </w:r>
          </w:p>
        </w:tc>
      </w:tr>
      <w:tr>
        <w:trPr>
          <w:trHeight w:val="714"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1"/>
                <w:sz w:val="18"/>
                <w:szCs w:val="18"/>
              </w:rPr>
              <w:t>公司积极推进现金分红方式，在现金流满足公司正常经营和长期发展的前提下，公司应当采取现金方式分配股利。最近三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年以现金方式累计分配的利润应不少于最近三年实现的年均可分配利润的百分之三十。</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3"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年度利润分配预案详细情况请参阅本章节、十四。</w:t>
            </w:r>
          </w:p>
        </w:tc>
      </w:tr>
    </w:tbl>
    <w:p>
      <w:pPr>
        <w:spacing w:line="240" w:lineRule="auto" w:before="2"/>
        <w:rPr>
          <w:rFonts w:ascii="宋体" w:hAnsi="宋体" w:cs="宋体" w:eastAsia="宋体" w:hint="default"/>
          <w:sz w:val="18"/>
          <w:szCs w:val="18"/>
        </w:rPr>
      </w:pPr>
    </w:p>
    <w:p>
      <w:pPr>
        <w:pStyle w:val="Heading2"/>
        <w:spacing w:line="240" w:lineRule="auto" w:before="26"/>
        <w:ind w:right="182"/>
        <w:jc w:val="left"/>
        <w:rPr>
          <w:b w:val="0"/>
          <w:bCs w:val="0"/>
        </w:rPr>
      </w:pPr>
      <w:r>
        <w:rPr/>
        <w:t>十六、社会责任情况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9" w:firstLine="360"/>
        <w:jc w:val="both"/>
      </w:pPr>
      <w:r>
        <w:rPr>
          <w:spacing w:val="-2"/>
        </w:rPr>
        <w:t>公司按照《公司法》、《证券法》、《公司章程》和其他有关法律法规的要求，结合公司实际，建立了规范的法人治理</w:t>
      </w:r>
      <w:r>
        <w:rPr/>
        <w:t> </w:t>
      </w:r>
      <w:r>
        <w:rPr>
          <w:spacing w:val="-2"/>
        </w:rPr>
        <w:t>结构，股东大会、董事会、监事会和总经理负责的经理层权责分明，建立了所有权、经营权分离，决策权、执行权、监督权</w:t>
      </w:r>
      <w:r>
        <w:rPr>
          <w:spacing w:val="-67"/>
        </w:rPr>
        <w:t> </w:t>
      </w:r>
      <w:r>
        <w:rPr>
          <w:spacing w:val="-67"/>
        </w:rPr>
      </w:r>
      <w:r>
        <w:rPr>
          <w:spacing w:val="-2"/>
        </w:rPr>
        <w:t>分立，股东大会、董事会、监事会并存的法人制衡管理机制。严格规定了股东大会、董事会、监事会、总经理的权利、义务</w:t>
      </w:r>
      <w:r>
        <w:rPr>
          <w:spacing w:val="-67"/>
        </w:rPr>
        <w:t> </w:t>
      </w:r>
      <w:r>
        <w:rPr>
          <w:spacing w:val="-67"/>
        </w:rPr>
      </w:r>
      <w:r>
        <w:rPr>
          <w:spacing w:val="-2"/>
        </w:rPr>
        <w:t>及职责范围。公司重视履行社会责任，超越了把利润作为唯一目标的理念，在生产经营和业务发展的过程中，在为股东创造</w:t>
      </w:r>
      <w:r>
        <w:rPr>
          <w:spacing w:val="-66"/>
        </w:rPr>
        <w:t> </w:t>
      </w:r>
      <w:r>
        <w:rPr>
          <w:spacing w:val="-66"/>
        </w:rPr>
      </w:r>
      <w:r>
        <w:rPr>
          <w:spacing w:val="-2"/>
        </w:rPr>
        <w:t>价值的同时，顺应国家和社会的全面发展，努力做到经济效益与社会效益、短期利益与长期利益、自身发展与社会发展相互</w:t>
      </w:r>
      <w:r>
        <w:rPr>
          <w:spacing w:val="-66"/>
        </w:rPr>
        <w:t> </w:t>
      </w:r>
      <w:r>
        <w:rPr>
          <w:spacing w:val="-66"/>
        </w:rPr>
      </w:r>
      <w:r>
        <w:rPr/>
        <w:t>协调，实现公司与员工、公司与社会、公司与环境的健康和谐发展。</w:t>
      </w:r>
    </w:p>
    <w:p>
      <w:pPr>
        <w:pStyle w:val="BodyText"/>
        <w:spacing w:line="314" w:lineRule="auto" w:before="59"/>
        <w:ind w:right="189" w:firstLine="360"/>
        <w:jc w:val="both"/>
      </w:pPr>
      <w:r>
        <w:rPr>
          <w:spacing w:val="-2"/>
        </w:rPr>
        <w:t>公司以打造纸业精品，真诚回报社会为企业使命，以建设国际一流企业为目标，矢志不渝走科学创新发展之路，不断创</w:t>
      </w:r>
      <w:r>
        <w:rPr/>
        <w:t> </w:t>
      </w:r>
      <w:r>
        <w:rPr>
          <w:spacing w:val="-2"/>
        </w:rPr>
        <w:t>新企业管理，提升产品质量，加大新产品研发力度，生产社会需求的高质量、高科技含量的纸业产品，全力打造民族纸业品</w:t>
      </w:r>
      <w:r>
        <w:rPr>
          <w:spacing w:val="-66"/>
        </w:rPr>
        <w:t> </w:t>
      </w:r>
      <w:r>
        <w:rPr>
          <w:spacing w:val="-66"/>
        </w:rPr>
      </w:r>
      <w:r>
        <w:rPr>
          <w:spacing w:val="-2"/>
        </w:rPr>
        <w:t>牌的精品工程，创造环保、质优的社会财富。真诚回报社会，是公司积极履行社会责任的最好诠释，是</w:t>
      </w:r>
      <w:r>
        <w:rPr>
          <w:rFonts w:ascii="Times New Roman" w:hAnsi="Times New Roman" w:cs="Times New Roman" w:eastAsia="Times New Roman" w:hint="default"/>
          <w:spacing w:val="-2"/>
        </w:rPr>
        <w:t>“</w:t>
      </w:r>
      <w:r>
        <w:rPr>
          <w:spacing w:val="-2"/>
        </w:rPr>
        <w:t>打造纸业精品</w:t>
      </w:r>
      <w:r>
        <w:rPr>
          <w:rFonts w:ascii="Times New Roman" w:hAnsi="Times New Roman" w:cs="Times New Roman" w:eastAsia="Times New Roman" w:hint="default"/>
          <w:spacing w:val="-2"/>
        </w:rPr>
        <w:t>”</w:t>
      </w:r>
      <w:r>
        <w:rPr>
          <w:spacing w:val="-2"/>
        </w:rPr>
        <w:t>的高</w:t>
      </w:r>
      <w:r>
        <w:rPr>
          <w:spacing w:val="-47"/>
        </w:rPr>
        <w:t> </w:t>
      </w:r>
      <w:r>
        <w:rPr>
          <w:spacing w:val="-2"/>
        </w:rPr>
        <w:t>层次价值体现。公司在实现利益的同时，坚持发展成果与社会共享，努力追求与社会发展的和谐统一，不断推动社会经济的</w:t>
      </w:r>
      <w:r>
        <w:rPr>
          <w:spacing w:val="-66"/>
        </w:rPr>
        <w:t> </w:t>
      </w:r>
      <w:r>
        <w:rPr>
          <w:spacing w:val="-66"/>
        </w:rPr>
      </w:r>
      <w:r>
        <w:rPr/>
        <w:t>发展和进步，以优异业绩回报社会、奉献社会。</w:t>
      </w:r>
    </w:p>
    <w:p>
      <w:pPr>
        <w:pStyle w:val="BodyText"/>
        <w:spacing w:line="319" w:lineRule="auto" w:before="59"/>
        <w:ind w:right="90" w:firstLine="360"/>
        <w:jc w:val="left"/>
      </w:pPr>
      <w:r>
        <w:rPr>
          <w:spacing w:val="-2"/>
        </w:rPr>
        <w:t>公司致力于建设绿色生态、持续发展的国际一流造纸企业，作为国内造纸龙头企业，公司在多年发展过程中，始终把发</w:t>
      </w:r>
      <w:r>
        <w:rPr/>
        <w:t> 展绿色生态纸业作为自己的目标，积极淘汰落后产能，上马高效、节能、环保的国际一流高端生产线，促进企业转型升级。 同时，高标准、高质量上马环保设施，大力发展原料林基地，都突出体现出了建设绿色生态、发展循环经济这一理念。</w:t>
      </w:r>
    </w:p>
    <w:p>
      <w:pPr>
        <w:pStyle w:val="BodyText"/>
        <w:spacing w:line="312" w:lineRule="auto" w:before="56"/>
        <w:ind w:right="110" w:firstLine="360"/>
        <w:jc w:val="left"/>
      </w:pPr>
      <w:r>
        <w:rPr>
          <w:rFonts w:ascii="Times New Roman" w:hAnsi="Times New Roman" w:cs="Times New Roman" w:eastAsia="Times New Roman" w:hint="default"/>
        </w:rPr>
        <w:t>“</w:t>
      </w:r>
      <w:r>
        <w:rPr/>
        <w:t>诚信双赢，共创未来</w:t>
      </w:r>
      <w:r>
        <w:rPr>
          <w:rFonts w:ascii="Times New Roman" w:hAnsi="Times New Roman" w:cs="Times New Roman" w:eastAsia="Times New Roman" w:hint="default"/>
        </w:rPr>
        <w:t>”</w:t>
      </w:r>
      <w:r>
        <w:rPr/>
        <w:t>是晨鸣人对社会和广大客户最庄严的承诺。是企业适应市场竞争要求，占领市场制高点的法宝， </w:t>
      </w:r>
      <w:r>
        <w:rPr>
          <w:spacing w:val="-2"/>
        </w:rPr>
        <w:t>是企业取得更大发展的基石。晨鸣人始终将诚信作为习惯，将双赢作为方向，将心比心，站在客户的角度考虑问题，坚持诚</w:t>
      </w:r>
      <w:r>
        <w:rPr>
          <w:spacing w:val="-66"/>
        </w:rPr>
        <w:t> </w:t>
      </w:r>
      <w:r>
        <w:rPr>
          <w:spacing w:val="-66"/>
        </w:rPr>
      </w:r>
      <w:r>
        <w:rPr>
          <w:spacing w:val="-2"/>
        </w:rPr>
        <w:t>信管理、诚信经营、诚信服务，发挥品牌效应，不断提升产品质量和服务水平，赢得客户和合作伙伴的真正信任和更长远的</w:t>
      </w:r>
      <w:r>
        <w:rPr>
          <w:spacing w:val="-66"/>
        </w:rPr>
        <w:t> </w:t>
      </w:r>
      <w:r>
        <w:rPr>
          <w:spacing w:val="-66"/>
        </w:rPr>
      </w:r>
      <w:r>
        <w:rPr/>
        <w:t>合作，实现经济效益和社会效益的有效统一。</w:t>
      </w:r>
    </w:p>
    <w:p>
      <w:pPr>
        <w:spacing w:after="0" w:line="312"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2" w:lineRule="auto" w:before="44"/>
        <w:ind w:left="153" w:right="288" w:firstLine="360"/>
        <w:jc w:val="both"/>
      </w:pPr>
      <w:r>
        <w:rPr>
          <w:spacing w:val="-2"/>
        </w:rPr>
        <w:t>公司坚持</w:t>
      </w:r>
      <w:r>
        <w:rPr>
          <w:rFonts w:ascii="Times New Roman" w:hAnsi="Times New Roman" w:cs="Times New Roman" w:eastAsia="Times New Roman" w:hint="default"/>
          <w:spacing w:val="-2"/>
        </w:rPr>
        <w:t>“</w:t>
      </w:r>
      <w:r>
        <w:rPr>
          <w:spacing w:val="-2"/>
        </w:rPr>
        <w:t>诚信为本、共赢共存</w:t>
      </w:r>
      <w:r>
        <w:rPr>
          <w:rFonts w:ascii="Times New Roman" w:hAnsi="Times New Roman" w:cs="Times New Roman" w:eastAsia="Times New Roman" w:hint="default"/>
          <w:spacing w:val="-2"/>
        </w:rPr>
        <w:t>”</w:t>
      </w:r>
      <w:r>
        <w:rPr>
          <w:spacing w:val="-2"/>
        </w:rPr>
        <w:t>的核心价值观，公司坚持以诚信作为发展基石，用诚信打造公司的金字招牌，把品牌信</w:t>
      </w:r>
      <w:r>
        <w:rPr/>
        <w:t> </w:t>
      </w:r>
      <w:r>
        <w:rPr>
          <w:spacing w:val="-2"/>
        </w:rPr>
        <w:t>誉放在经营首位，秉承客户至上、质量第一的原则，不断提高产品质量和提供优质服务，谋求建立一种信任、和谐的社会关</w:t>
      </w:r>
      <w:r>
        <w:rPr>
          <w:spacing w:val="-66"/>
        </w:rPr>
        <w:t> </w:t>
      </w:r>
      <w:r>
        <w:rPr>
          <w:spacing w:val="-66"/>
        </w:rPr>
      </w:r>
      <w:r>
        <w:rPr>
          <w:spacing w:val="-2"/>
        </w:rPr>
        <w:t>系，树立良好的企业形象。公司以高度的社会责任感，投身于民族造纸业的振兴之路，参与市场竞争，寻求发展空间，实现</w:t>
      </w:r>
      <w:r>
        <w:rPr>
          <w:spacing w:val="-68"/>
        </w:rPr>
        <w:t> </w:t>
      </w:r>
      <w:r>
        <w:rPr>
          <w:spacing w:val="-68"/>
        </w:rPr>
      </w:r>
      <w:r>
        <w:rPr/>
        <w:t>与客户、员工、社会的资源共享，互惠互利，实现共同进步、共同发展。达到环境效益、社会效益与经济效益的共赢战略。</w:t>
      </w:r>
    </w:p>
    <w:p>
      <w:pPr>
        <w:pStyle w:val="BodyText"/>
        <w:spacing w:line="304" w:lineRule="auto" w:before="61"/>
        <w:ind w:left="153" w:right="369" w:firstLine="360"/>
        <w:jc w:val="both"/>
      </w:pPr>
      <w:r>
        <w:rPr>
          <w:spacing w:val="-4"/>
        </w:rPr>
        <w:t>公司坚持在为社会创造财富的同时，以为子孙后代留下一片蓝天碧水为理念，实现企业与环境、资源相协调发展，走</w:t>
      </w:r>
      <w:r>
        <w:rPr>
          <w:rFonts w:ascii="Times New Roman" w:hAnsi="Times New Roman" w:cs="Times New Roman" w:eastAsia="Times New Roman" w:hint="default"/>
          <w:spacing w:val="-4"/>
        </w:rPr>
        <w:t>“</w:t>
      </w:r>
      <w:r>
        <w:rPr>
          <w:spacing w:val="-4"/>
        </w:rPr>
        <w:t>林</w:t>
      </w:r>
      <w:r>
        <w:rPr/>
        <w:t> 浆纸一体化</w:t>
      </w:r>
      <w:r>
        <w:rPr>
          <w:rFonts w:ascii="Times New Roman" w:hAnsi="Times New Roman" w:cs="Times New Roman" w:eastAsia="Times New Roman" w:hint="default"/>
        </w:rPr>
        <w:t>”</w:t>
      </w:r>
      <w:r>
        <w:rPr/>
        <w:t>道路，发展循环经济，打造绿色生态纸业，达到人与自然和谐共处，赢得社会的支持和关心，为企业持续健康</w:t>
      </w:r>
      <w:r>
        <w:rPr>
          <w:spacing w:val="-77"/>
        </w:rPr>
        <w:t> </w:t>
      </w:r>
      <w:r>
        <w:rPr>
          <w:spacing w:val="-77"/>
        </w:rPr>
      </w:r>
      <w:r>
        <w:rPr>
          <w:spacing w:val="-1"/>
        </w:rPr>
        <w:t>发展创造有利条件。公司始终坚持</w:t>
      </w:r>
      <w:r>
        <w:rPr>
          <w:rFonts w:ascii="Times New Roman" w:hAnsi="Times New Roman" w:cs="Times New Roman" w:eastAsia="Times New Roman" w:hint="default"/>
          <w:spacing w:val="-1"/>
        </w:rPr>
        <w:t>“</w:t>
      </w:r>
      <w:r>
        <w:rPr>
          <w:spacing w:val="-1"/>
        </w:rPr>
        <w:t>规模膨胀，环保先行</w:t>
      </w:r>
      <w:r>
        <w:rPr>
          <w:rFonts w:ascii="Times New Roman" w:hAnsi="Times New Roman" w:cs="Times New Roman" w:eastAsia="Times New Roman" w:hint="default"/>
          <w:spacing w:val="-1"/>
        </w:rPr>
        <w:t>”</w:t>
      </w:r>
      <w:r>
        <w:rPr>
          <w:spacing w:val="-1"/>
        </w:rPr>
        <w:t>的指导思想，把污染治理作为企业的</w:t>
      </w:r>
      <w:r>
        <w:rPr>
          <w:rFonts w:ascii="Times New Roman" w:hAnsi="Times New Roman" w:cs="Times New Roman" w:eastAsia="Times New Roman" w:hint="default"/>
          <w:spacing w:val="-1"/>
        </w:rPr>
        <w:t>“</w:t>
      </w:r>
      <w:r>
        <w:rPr>
          <w:spacing w:val="-1"/>
        </w:rPr>
        <w:t>生命工程</w:t>
      </w:r>
      <w:r>
        <w:rPr>
          <w:rFonts w:ascii="Times New Roman" w:hAnsi="Times New Roman" w:cs="Times New Roman" w:eastAsia="Times New Roman" w:hint="default"/>
          <w:spacing w:val="-1"/>
        </w:rPr>
        <w:t>”</w:t>
      </w:r>
      <w:r>
        <w:rPr>
          <w:spacing w:val="-1"/>
        </w:rPr>
        <w:t>来抓，紧紧依靠科</w:t>
      </w:r>
      <w:r>
        <w:rPr>
          <w:spacing w:val="-78"/>
        </w:rPr>
        <w:t> </w:t>
      </w:r>
      <w:r>
        <w:rPr>
          <w:spacing w:val="-78"/>
        </w:rPr>
      </w:r>
      <w:r>
        <w:rPr>
          <w:spacing w:val="-2"/>
        </w:rPr>
        <w:t>技创新，全面推行清洁生产和资源循环利用。近年来，累计投资</w:t>
      </w:r>
      <w:r>
        <w:rPr>
          <w:rFonts w:ascii="Times New Roman" w:hAnsi="Times New Roman" w:cs="Times New Roman" w:eastAsia="Times New Roman" w:hint="default"/>
          <w:spacing w:val="-2"/>
        </w:rPr>
        <w:t>30</w:t>
      </w:r>
      <w:r>
        <w:rPr>
          <w:spacing w:val="-2"/>
        </w:rPr>
        <w:t>多亿元，引进当前世界上最先进的环保技术，配套建设了</w:t>
      </w:r>
      <w:r>
        <w:rPr>
          <w:spacing w:val="-64"/>
        </w:rPr>
        <w:t> </w:t>
      </w:r>
      <w:r>
        <w:rPr>
          <w:spacing w:val="-64"/>
        </w:rPr>
      </w:r>
      <w:r>
        <w:rPr/>
        <w:t>碱回收、中段水、中水回用等环保项目。整体治理能力达到日处理</w:t>
      </w:r>
      <w:r>
        <w:rPr>
          <w:rFonts w:ascii="Times New Roman" w:hAnsi="Times New Roman" w:cs="Times New Roman" w:eastAsia="Times New Roman" w:hint="default"/>
        </w:rPr>
        <w:t>450</w:t>
      </w:r>
      <w:r>
        <w:rPr/>
        <w:t>吨自制浆黑液配套</w:t>
      </w:r>
      <w:r>
        <w:rPr>
          <w:rFonts w:ascii="Times New Roman" w:hAnsi="Times New Roman" w:cs="Times New Roman" w:eastAsia="Times New Roman" w:hint="default"/>
        </w:rPr>
        <w:t>3000kWh</w:t>
      </w:r>
      <w:r>
        <w:rPr/>
        <w:t>发电机组的碱回收、日处</w:t>
      </w:r>
      <w:r>
        <w:rPr>
          <w:spacing w:val="-83"/>
        </w:rPr>
        <w:t> </w:t>
      </w:r>
      <w:r>
        <w:rPr>
          <w:spacing w:val="-83"/>
        </w:rPr>
      </w:r>
      <w:r>
        <w:rPr/>
        <w:t>理</w:t>
      </w:r>
      <w:r>
        <w:rPr>
          <w:rFonts w:ascii="Times New Roman" w:hAnsi="Times New Roman" w:cs="Times New Roman" w:eastAsia="Times New Roman" w:hint="default"/>
        </w:rPr>
        <w:t>13.5</w:t>
      </w:r>
      <w:r>
        <w:rPr/>
        <w:t>万立方米中段水、日处理</w:t>
      </w:r>
      <w:r>
        <w:rPr>
          <w:rFonts w:ascii="Times New Roman" w:hAnsi="Times New Roman" w:cs="Times New Roman" w:eastAsia="Times New Roman" w:hint="default"/>
        </w:rPr>
        <w:t>13</w:t>
      </w:r>
      <w:r>
        <w:rPr/>
        <w:t>万方中水回用，各项排放指标优于相关控制标准。公司在全国同行业率先通过</w:t>
      </w:r>
      <w:r>
        <w:rPr>
          <w:rFonts w:ascii="Times New Roman" w:hAnsi="Times New Roman" w:cs="Times New Roman" w:eastAsia="Times New Roman" w:hint="default"/>
        </w:rPr>
        <w:t>ISO14001</w:t>
      </w:r>
      <w:r>
        <w:rPr>
          <w:rFonts w:ascii="Times New Roman" w:hAnsi="Times New Roman" w:cs="Times New Roman" w:eastAsia="Times New Roman" w:hint="default"/>
          <w:spacing w:val="4"/>
        </w:rPr>
        <w:t> </w:t>
      </w:r>
      <w:r>
        <w:rPr>
          <w:spacing w:val="-2"/>
        </w:rPr>
        <w:t>环境管理体系认证，先后荣获山东省环境友好企业、山东省循环经济示范企业、山东省节约增效先进单位、山东省资源综合</w:t>
      </w:r>
      <w:r>
        <w:rPr>
          <w:spacing w:val="-66"/>
        </w:rPr>
        <w:t> </w:t>
      </w:r>
      <w:r>
        <w:rPr>
          <w:spacing w:val="-66"/>
        </w:rPr>
      </w:r>
      <w:r>
        <w:rPr>
          <w:spacing w:val="-2"/>
        </w:rPr>
        <w:t>利用先进单位等荣誉称号，实现了经济效益和环境保护的协调发展、同步提高。公司将进一步加强环保建设，加大科研攻关</w:t>
      </w:r>
      <w:r>
        <w:rPr>
          <w:spacing w:val="-66"/>
        </w:rPr>
        <w:t> </w:t>
      </w:r>
      <w:r>
        <w:rPr>
          <w:spacing w:val="-66"/>
        </w:rPr>
      </w:r>
      <w:r>
        <w:rPr/>
        <w:t>力度，抓好环保设施运行，全面强化监督管理，实现生产、生态同步，企业健康稳定发展。</w:t>
      </w:r>
    </w:p>
    <w:p>
      <w:pPr>
        <w:pStyle w:val="BodyText"/>
        <w:spacing w:line="319" w:lineRule="auto" w:before="67"/>
        <w:ind w:left="153" w:right="151" w:firstLine="360"/>
        <w:jc w:val="left"/>
      </w:pPr>
      <w:r>
        <w:rPr>
          <w:spacing w:val="-2"/>
        </w:rPr>
        <w:t>尚善行善，已经成为公司的一种精神。多年来，在重大的突发自然灾难面前，善举从未缺席。爱心与责任，不仅仅体现</w:t>
      </w:r>
      <w:r>
        <w:rPr/>
        <w:t> </w:t>
      </w:r>
      <w:r>
        <w:rPr>
          <w:spacing w:val="-2"/>
        </w:rPr>
        <w:t>在面对灾难慷慨解囊，积极投身公益事业、回报桑梓也是公司一直追求的心愿。近年来，公司用于慈善的资金额度达到</w:t>
      </w:r>
      <w:r>
        <w:rPr>
          <w:rFonts w:ascii="Times New Roman" w:hAnsi="Times New Roman" w:cs="Times New Roman" w:eastAsia="Times New Roman" w:hint="default"/>
          <w:spacing w:val="-2"/>
        </w:rPr>
        <w:t>2000</w:t>
      </w:r>
      <w:r>
        <w:rPr>
          <w:rFonts w:ascii="Times New Roman" w:hAnsi="Times New Roman" w:cs="Times New Roman" w:eastAsia="Times New Roman" w:hint="default"/>
          <w:spacing w:val="-17"/>
        </w:rPr>
        <w:t> </w:t>
      </w:r>
      <w:r>
        <w:rPr/>
        <w:t>万元以上，公司多次被授予</w:t>
      </w:r>
      <w:r>
        <w:rPr>
          <w:rFonts w:ascii="Times New Roman" w:hAnsi="Times New Roman" w:cs="Times New Roman" w:eastAsia="Times New Roman" w:hint="default"/>
        </w:rPr>
        <w:t>“</w:t>
      </w:r>
      <w:r>
        <w:rPr/>
        <w:t>最具爱心慈善企业</w:t>
      </w:r>
      <w:r>
        <w:rPr>
          <w:rFonts w:ascii="Times New Roman" w:hAnsi="Times New Roman" w:cs="Times New Roman" w:eastAsia="Times New Roman" w:hint="default"/>
        </w:rPr>
        <w:t>”</w:t>
      </w:r>
      <w:r>
        <w:rPr/>
        <w:t>荣誉称号。 上市公司及其子公司是否属于国家环境保护部门规定的重污染行业</w:t>
      </w:r>
    </w:p>
    <w:p>
      <w:pPr>
        <w:pStyle w:val="BodyText"/>
        <w:spacing w:line="360" w:lineRule="auto" w:before="56"/>
        <w:ind w:left="513" w:right="5221" w:hanging="360"/>
        <w:jc w:val="left"/>
      </w:pPr>
      <w:r>
        <w:rPr/>
        <w:t>√ 是 □ 否 □ 不适用 1、报告期内，公司未发生重大的环境问题及整改情况。</w:t>
      </w:r>
    </w:p>
    <w:p>
      <w:pPr>
        <w:pStyle w:val="BodyText"/>
        <w:spacing w:line="240" w:lineRule="auto" w:before="26"/>
        <w:ind w:left="513" w:right="151"/>
        <w:jc w:val="left"/>
      </w:pPr>
      <w:r>
        <w:rPr/>
        <w:t>2、报告期内，公司废水、废气、厂界噪声等主要污染物达标排放。</w:t>
      </w:r>
    </w:p>
    <w:p>
      <w:pPr>
        <w:pStyle w:val="BodyText"/>
        <w:spacing w:line="240" w:lineRule="auto" w:before="116"/>
        <w:ind w:left="513" w:right="151"/>
        <w:jc w:val="left"/>
      </w:pPr>
      <w:r>
        <w:rPr/>
        <w:t>3、报告期内，公司环保设施正常运行。</w:t>
      </w:r>
    </w:p>
    <w:p>
      <w:pPr>
        <w:pStyle w:val="BodyText"/>
        <w:spacing w:line="319" w:lineRule="auto" w:before="116"/>
        <w:ind w:left="153" w:right="368" w:firstLine="360"/>
        <w:jc w:val="both"/>
      </w:pPr>
      <w:r>
        <w:rPr/>
        <w:t>4、报告期内，公司按照《清洁生产促进法》和《环境信息公开办法（试行）》的相关要求，结合本公司实际已编制环 </w:t>
      </w:r>
      <w:r>
        <w:rPr>
          <w:spacing w:val="-2"/>
        </w:rPr>
        <w:t>境污染事故应急预案、危废事故应急预案、放射源事故应急预案。并已在公司网站环保板块及时更新企业主要污染物达标排</w:t>
      </w:r>
      <w:r>
        <w:rPr>
          <w:spacing w:val="-66"/>
        </w:rPr>
        <w:t> </w:t>
      </w:r>
      <w:r>
        <w:rPr>
          <w:spacing w:val="-66"/>
        </w:rPr>
      </w:r>
      <w:r>
        <w:rPr/>
        <w:t>放数据，公司的环保工作历年来一直走在全国同行业的前列。</w:t>
      </w:r>
    </w:p>
    <w:p>
      <w:pPr>
        <w:pStyle w:val="BodyText"/>
        <w:spacing w:line="319" w:lineRule="auto" w:before="55"/>
        <w:ind w:left="153" w:right="368" w:firstLine="360"/>
        <w:jc w:val="both"/>
      </w:pPr>
      <w:r>
        <w:rPr/>
        <w:t>5、报告期内，公司环保设施与生产设施同步稳定运行。目前运行的环保设施主要有厌氧反应器、初沉池、曝气池、二 </w:t>
      </w:r>
      <w:r>
        <w:rPr>
          <w:spacing w:val="-2"/>
        </w:rPr>
        <w:t>沉池、污泥浓缩机、深度处理工程（废水处理）；脱硫脱硝装置、静电除尘器（废气处理）；设施均设立专门岗位，由专人</w:t>
      </w:r>
      <w:r>
        <w:rPr>
          <w:spacing w:val="-71"/>
        </w:rPr>
        <w:t> </w:t>
      </w:r>
      <w:r>
        <w:rPr>
          <w:spacing w:val="-71"/>
        </w:rPr>
      </w:r>
      <w:r>
        <w:rPr/>
        <w:t>管理及维护保养，运行，检修等记录齐全，运行正常。</w:t>
      </w:r>
    </w:p>
    <w:p>
      <w:pPr>
        <w:pStyle w:val="BodyText"/>
        <w:spacing w:line="240" w:lineRule="auto" w:before="56"/>
        <w:ind w:left="153" w:right="151"/>
        <w:jc w:val="left"/>
      </w:pPr>
      <w:r>
        <w:rPr/>
        <w:t>上市公司及其子公司是否存在其他重大社会安全问题</w:t>
      </w:r>
    </w:p>
    <w:p>
      <w:pPr>
        <w:pStyle w:val="BodyText"/>
        <w:spacing w:line="357" w:lineRule="auto" w:before="117"/>
        <w:ind w:left="153" w:right="8011"/>
        <w:jc w:val="left"/>
      </w:pPr>
      <w:r>
        <w:rPr/>
        <w:t>□ 是 √ 否 □ 不适用 报告期内是否被行政处罚</w:t>
      </w:r>
    </w:p>
    <w:p>
      <w:pPr>
        <w:pStyle w:val="BodyText"/>
        <w:spacing w:line="240" w:lineRule="auto" w:before="27"/>
        <w:ind w:left="153" w:right="151"/>
        <w:jc w:val="left"/>
      </w:pPr>
      <w:r>
        <w:rPr/>
        <w:t>□ 是 √ 否 □ 不适用</w:t>
      </w:r>
    </w:p>
    <w:p>
      <w:pPr>
        <w:spacing w:line="240" w:lineRule="auto" w:before="2"/>
        <w:rPr>
          <w:rFonts w:ascii="宋体" w:hAnsi="宋体" w:cs="宋体" w:eastAsia="宋体" w:hint="default"/>
          <w:sz w:val="25"/>
          <w:szCs w:val="25"/>
        </w:rPr>
      </w:pPr>
    </w:p>
    <w:p>
      <w:pPr>
        <w:pStyle w:val="Heading2"/>
        <w:spacing w:line="240" w:lineRule="auto"/>
        <w:ind w:right="151"/>
        <w:jc w:val="left"/>
        <w:rPr>
          <w:b w:val="0"/>
          <w:bCs w:val="0"/>
        </w:rPr>
      </w:pPr>
      <w:r>
        <w:rPr/>
        <w:t>十七、报告期内接待调研、沟通、采访等活动登记表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1"/>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20"/>
        <w:gridCol w:w="1260"/>
        <w:gridCol w:w="1260"/>
        <w:gridCol w:w="1260"/>
        <w:gridCol w:w="2520"/>
        <w:gridCol w:w="1980"/>
      </w:tblGrid>
      <w:tr>
        <w:trPr>
          <w:trHeight w:val="714"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13" w:right="84" w:hanging="630"/>
              <w:jc w:val="left"/>
              <w:rPr>
                <w:rFonts w:ascii="宋体" w:hAnsi="宋体" w:cs="宋体" w:eastAsia="宋体" w:hint="default"/>
                <w:sz w:val="18"/>
                <w:szCs w:val="18"/>
              </w:rPr>
            </w:pPr>
            <w:r>
              <w:rPr>
                <w:rFonts w:ascii="宋体" w:hAnsi="宋体" w:cs="宋体" w:eastAsia="宋体" w:hint="default"/>
                <w:sz w:val="18"/>
                <w:szCs w:val="18"/>
              </w:rPr>
              <w:t>谈论的主要内容及提供 的资料</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易方达基金管理有限公司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公司近期生产经营情况 及行业发展情况</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第一北京投资有限公司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公司近期生产经营情况 及行业发展情况</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76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20"/>
        <w:gridCol w:w="1260"/>
        <w:gridCol w:w="1260"/>
        <w:gridCol w:w="1260"/>
        <w:gridCol w:w="2520"/>
        <w:gridCol w:w="1980"/>
      </w:tblGrid>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4"/>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泰康资产管理有限责任公司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公司近期生产经营情况 及行业发展情况</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4"/>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工银瑞信基金管理有限公司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公司近期生产经营情况 及行业发展情况</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4"/>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上海重阳投资管理有限公司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公司近期生产经营情况 及行业发展情况</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4"/>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光大保德信基金管理有限公司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公司近期生产经营情况 及行业发展情况</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4"/>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东兴证券股份有限公司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公司近期生产经营情况 及行业发展情况</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4"/>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联昌证券有限公司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公司近期生产经营情况 及行业发展情况</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4"/>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里昂证券有限公司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公司近期生产经营情况 及行业发展情况</w:t>
            </w:r>
          </w:p>
        </w:tc>
      </w:tr>
      <w:tr>
        <w:trPr>
          <w:trHeight w:val="402" w:hRule="exact"/>
        </w:trPr>
        <w:tc>
          <w:tcPr>
            <w:tcW w:w="414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7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14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7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14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7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4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7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4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7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151"/>
        <w:jc w:val="left"/>
        <w:rPr>
          <w:b w:val="0"/>
          <w:bCs w:val="0"/>
        </w:rPr>
      </w:pPr>
      <w:r>
        <w:rPr/>
        <w:t>十八、</w:t>
      </w:r>
      <w:r>
        <w:rPr>
          <w:spacing w:val="-2"/>
        </w:rPr>
        <w:t> </w:t>
      </w:r>
      <w:r>
        <w:rPr/>
        <w:t>按香港《证券及期货条例》，董事、监事及最高行政人员之证券权益</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370" w:firstLine="360"/>
        <w:jc w:val="left"/>
      </w:pP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日，公司各董事、监事及最高行政人员在公司或其相联法团（定义见《证券及期货条例》第</w:t>
      </w:r>
      <w:r>
        <w:rPr>
          <w:rFonts w:ascii="Times New Roman" w:hAnsi="Times New Roman" w:cs="Times New Roman" w:eastAsia="Times New Roman" w:hint="default"/>
        </w:rPr>
        <w:t>XV</w:t>
      </w:r>
      <w:r>
        <w:rPr/>
        <w:t>部）持 有的权益，根据《证券及期货条例》第</w:t>
      </w:r>
      <w:r>
        <w:rPr>
          <w:rFonts w:ascii="Times New Roman" w:hAnsi="Times New Roman" w:cs="Times New Roman" w:eastAsia="Times New Roman" w:hint="default"/>
        </w:rPr>
        <w:t>352</w:t>
      </w:r>
      <w:r>
        <w:rPr/>
        <w:t>如下：</w:t>
      </w:r>
    </w:p>
    <w:p>
      <w:pPr>
        <w:spacing w:line="240" w:lineRule="auto" w:before="12"/>
        <w:rPr>
          <w:rFonts w:ascii="宋体" w:hAnsi="宋体" w:cs="宋体" w:eastAsia="宋体" w:hint="default"/>
          <w:sz w:val="29"/>
          <w:szCs w:val="29"/>
        </w:rPr>
      </w:pPr>
    </w:p>
    <w:tbl>
      <w:tblPr>
        <w:tblW w:w="0" w:type="auto"/>
        <w:jc w:val="left"/>
        <w:tblInd w:w="146" w:type="dxa"/>
        <w:tblLayout w:type="fixed"/>
        <w:tblCellMar>
          <w:top w:w="0" w:type="dxa"/>
          <w:left w:w="0" w:type="dxa"/>
          <w:bottom w:w="0" w:type="dxa"/>
          <w:right w:w="0" w:type="dxa"/>
        </w:tblCellMar>
        <w:tblLook w:val="01E0"/>
      </w:tblPr>
      <w:tblGrid>
        <w:gridCol w:w="2252"/>
        <w:gridCol w:w="3476"/>
        <w:gridCol w:w="3929"/>
      </w:tblGrid>
      <w:tr>
        <w:trPr>
          <w:trHeight w:val="427" w:hRule="exact"/>
        </w:trPr>
        <w:tc>
          <w:tcPr>
            <w:tcW w:w="22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4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39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报告期末持有股份（</w:t>
            </w:r>
            <w:r>
              <w:rPr>
                <w:rFonts w:ascii="Times New Roman" w:hAnsi="Times New Roman" w:cs="Times New Roman" w:eastAsia="Times New Roman" w:hint="default"/>
                <w:sz w:val="18"/>
                <w:szCs w:val="18"/>
              </w:rPr>
              <w:t>A</w:t>
            </w:r>
            <w:r>
              <w:rPr>
                <w:rFonts w:ascii="宋体" w:hAnsi="宋体" w:cs="宋体" w:eastAsia="宋体" w:hint="default"/>
                <w:sz w:val="18"/>
                <w:szCs w:val="18"/>
              </w:rPr>
              <w:t>股）数量（股）</w:t>
            </w:r>
          </w:p>
        </w:tc>
      </w:tr>
      <w:tr>
        <w:trPr>
          <w:trHeight w:val="427" w:hRule="exact"/>
        </w:trPr>
        <w:tc>
          <w:tcPr>
            <w:tcW w:w="96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陈洪国</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董事长及总经理</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6,434,527</w:t>
            </w:r>
          </w:p>
        </w:tc>
      </w:tr>
      <w:tr>
        <w:trPr>
          <w:trHeight w:val="426"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执行董事及副董事长</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2,423,640</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李峰</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471,818</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437,433</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628,915</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123,007</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r>
      <w:tr>
        <w:trPr>
          <w:trHeight w:val="426"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w:t>
            </w:r>
          </w:p>
        </w:tc>
      </w:tr>
      <w:tr>
        <w:trPr>
          <w:trHeight w:val="42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76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252"/>
        <w:gridCol w:w="3476"/>
        <w:gridCol w:w="3929"/>
      </w:tblGrid>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w:t>
            </w:r>
          </w:p>
        </w:tc>
      </w:tr>
      <w:tr>
        <w:trPr>
          <w:trHeight w:val="426"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96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39,606</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王菊</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尹启祥</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郭光耀</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right="182"/>
        <w:jc w:val="left"/>
      </w:pPr>
      <w:r>
        <w:rPr/>
        <w:t>相联法团</w:t>
      </w:r>
    </w:p>
    <w:p>
      <w:pPr>
        <w:spacing w:line="240" w:lineRule="auto" w:before="6"/>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414"/>
        <w:gridCol w:w="1060"/>
        <w:gridCol w:w="2846"/>
        <w:gridCol w:w="1483"/>
        <w:gridCol w:w="1188"/>
        <w:gridCol w:w="1667"/>
      </w:tblGrid>
      <w:tr>
        <w:trPr>
          <w:trHeight w:val="773" w:hRule="exact"/>
        </w:trPr>
        <w:tc>
          <w:tcPr>
            <w:tcW w:w="14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28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相联法团名称</w:t>
            </w:r>
          </w:p>
        </w:tc>
        <w:tc>
          <w:tcPr>
            <w:tcW w:w="14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56"/>
              <w:ind w:left="284" w:right="12" w:hanging="270"/>
              <w:jc w:val="left"/>
              <w:rPr>
                <w:rFonts w:ascii="宋体" w:hAnsi="宋体" w:cs="宋体" w:eastAsia="宋体" w:hint="default"/>
                <w:sz w:val="18"/>
                <w:szCs w:val="18"/>
              </w:rPr>
            </w:pPr>
            <w:r>
              <w:rPr>
                <w:rFonts w:ascii="宋体" w:hAnsi="宋体" w:cs="宋体" w:eastAsia="宋体" w:hint="default"/>
                <w:sz w:val="18"/>
                <w:szCs w:val="18"/>
              </w:rPr>
              <w:t>报告期初持有股份 数量（股）</w:t>
            </w:r>
          </w:p>
        </w:tc>
        <w:tc>
          <w:tcPr>
            <w:tcW w:w="11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期内变动</w:t>
            </w:r>
          </w:p>
          <w:p>
            <w:pPr>
              <w:pStyle w:val="TableParagraph"/>
              <w:spacing w:line="240" w:lineRule="auto" w:before="157"/>
              <w:ind w:left="1" w:right="0"/>
              <w:jc w:val="center"/>
              <w:rPr>
                <w:rFonts w:ascii="Times New Roman" w:hAnsi="Times New Roman" w:cs="Times New Roman" w:eastAsia="Times New Roman" w:hint="default"/>
                <w:sz w:val="18"/>
                <w:szCs w:val="18"/>
              </w:rPr>
            </w:pPr>
            <w:r>
              <w:rPr>
                <w:rFonts w:ascii="Times New Roman"/>
                <w:sz w:val="18"/>
              </w:rPr>
              <w:t>+/-</w:t>
            </w:r>
          </w:p>
        </w:tc>
        <w:tc>
          <w:tcPr>
            <w:tcW w:w="16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56"/>
              <w:ind w:left="466" w:right="13" w:hanging="450"/>
              <w:jc w:val="left"/>
              <w:rPr>
                <w:rFonts w:ascii="宋体" w:hAnsi="宋体" w:cs="宋体" w:eastAsia="宋体" w:hint="default"/>
                <w:sz w:val="18"/>
                <w:szCs w:val="18"/>
              </w:rPr>
            </w:pPr>
            <w:r>
              <w:rPr>
                <w:rFonts w:ascii="宋体" w:hAnsi="宋体" w:cs="宋体" w:eastAsia="宋体" w:hint="default"/>
                <w:sz w:val="18"/>
                <w:szCs w:val="18"/>
              </w:rPr>
              <w:t>报告期末持有股份数 量（股）</w:t>
            </w:r>
          </w:p>
        </w:tc>
      </w:tr>
      <w:tr>
        <w:trPr>
          <w:trHeight w:val="428" w:hRule="exact"/>
        </w:trPr>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陈洪国</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2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寿光晨鸣控股有限公司（注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65" w:right="0"/>
              <w:jc w:val="left"/>
              <w:rPr>
                <w:rFonts w:ascii="Times New Roman" w:hAnsi="Times New Roman" w:cs="Times New Roman" w:eastAsia="Times New Roman" w:hint="default"/>
                <w:sz w:val="18"/>
                <w:szCs w:val="18"/>
              </w:rPr>
            </w:pPr>
            <w:r>
              <w:rPr>
                <w:rFonts w:ascii="Times New Roman"/>
                <w:sz w:val="18"/>
              </w:rPr>
              <w:t>231,000,000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9" w:right="0"/>
              <w:jc w:val="left"/>
              <w:rPr>
                <w:rFonts w:ascii="Times New Roman" w:hAnsi="Times New Roman" w:cs="Times New Roman" w:eastAsia="Times New Roman" w:hint="default"/>
                <w:sz w:val="18"/>
                <w:szCs w:val="18"/>
              </w:rPr>
            </w:pPr>
            <w:r>
              <w:rPr>
                <w:rFonts w:ascii="Times New Roman"/>
                <w:sz w:val="18"/>
              </w:rPr>
              <w:t>231,000,000</w:t>
            </w:r>
          </w:p>
        </w:tc>
      </w:tr>
    </w:tbl>
    <w:p>
      <w:pPr>
        <w:pStyle w:val="BodyText"/>
        <w:spacing w:line="338" w:lineRule="auto" w:before="51"/>
        <w:ind w:left="513" w:right="231"/>
        <w:jc w:val="left"/>
      </w:pPr>
      <w:r>
        <w:rPr/>
        <w:t>注</w:t>
      </w:r>
      <w:r>
        <w:rPr>
          <w:rFonts w:ascii="Times New Roman" w:hAnsi="Times New Roman" w:cs="Times New Roman" w:eastAsia="Times New Roman" w:hint="default"/>
        </w:rPr>
        <w:t>1</w:t>
      </w:r>
      <w:r>
        <w:rPr/>
        <w:t>：除其个人持有</w:t>
      </w:r>
      <w:r>
        <w:rPr>
          <w:rFonts w:ascii="Times New Roman" w:hAnsi="Times New Roman" w:cs="Times New Roman" w:eastAsia="Times New Roman" w:hint="default"/>
        </w:rPr>
        <w:t>6,434,527</w:t>
      </w:r>
      <w:r>
        <w:rPr/>
        <w:t>股</w:t>
      </w:r>
      <w:r>
        <w:rPr>
          <w:rFonts w:ascii="Times New Roman" w:hAnsi="Times New Roman" w:cs="Times New Roman" w:eastAsia="Times New Roman" w:hint="default"/>
        </w:rPr>
        <w:t>A</w:t>
      </w:r>
      <w:r>
        <w:rPr/>
        <w:t>股外，陈洪国被视作持有其配偶李雪芹所持有的</w:t>
      </w:r>
      <w:r>
        <w:rPr>
          <w:rFonts w:ascii="Times New Roman" w:hAnsi="Times New Roman" w:cs="Times New Roman" w:eastAsia="Times New Roman" w:hint="default"/>
        </w:rPr>
        <w:t>429,348</w:t>
      </w:r>
      <w:r>
        <w:rPr/>
        <w:t>股</w:t>
      </w:r>
      <w:r>
        <w:rPr>
          <w:rFonts w:ascii="Times New Roman" w:hAnsi="Times New Roman" w:cs="Times New Roman" w:eastAsia="Times New Roman" w:hint="default"/>
        </w:rPr>
        <w:t>A</w:t>
      </w:r>
      <w:r>
        <w:rPr/>
        <w:t>股之权益。 注</w:t>
      </w:r>
      <w:r>
        <w:rPr>
          <w:rFonts w:ascii="Times New Roman" w:hAnsi="Times New Roman" w:cs="Times New Roman" w:eastAsia="Times New Roman" w:hint="default"/>
        </w:rPr>
        <w:t>2</w:t>
      </w:r>
      <w:r>
        <w:rPr/>
        <w:t>：陈洪国及其配偶李雪芹共持有寿光市恒联企业投资有限公司（以下简称</w:t>
      </w:r>
      <w:r>
        <w:rPr>
          <w:rFonts w:ascii="Times New Roman" w:hAnsi="Times New Roman" w:cs="Times New Roman" w:eastAsia="Times New Roman" w:hint="default"/>
        </w:rPr>
        <w:t>“</w:t>
      </w:r>
      <w:r>
        <w:rPr/>
        <w:t>寿光恒联</w:t>
      </w:r>
      <w:r>
        <w:rPr>
          <w:rFonts w:ascii="Times New Roman" w:hAnsi="Times New Roman" w:cs="Times New Roman" w:eastAsia="Times New Roman" w:hint="default"/>
        </w:rPr>
        <w:t>”</w:t>
      </w:r>
      <w:r>
        <w:rPr/>
        <w:t>）</w:t>
      </w:r>
      <w:r>
        <w:rPr>
          <w:rFonts w:ascii="Times New Roman" w:hAnsi="Times New Roman" w:cs="Times New Roman" w:eastAsia="Times New Roman" w:hint="default"/>
        </w:rPr>
        <w:t>43%</w:t>
      </w:r>
      <w:r>
        <w:rPr/>
        <w:t>股权，故寿光恒联被视</w:t>
      </w:r>
    </w:p>
    <w:p>
      <w:pPr>
        <w:pStyle w:val="BodyText"/>
        <w:spacing w:line="230" w:lineRule="exact"/>
        <w:ind w:left="153" w:right="182"/>
        <w:jc w:val="left"/>
      </w:pPr>
      <w:r>
        <w:rPr/>
        <w:t>为由陈洪国所控制，因此寿光恒联持有晨鸣控股之</w:t>
      </w:r>
      <w:r>
        <w:rPr>
          <w:rFonts w:ascii="Times New Roman" w:hAnsi="Times New Roman" w:cs="Times New Roman" w:eastAsia="Times New Roman" w:hint="default"/>
        </w:rPr>
        <w:t>231,000,000</w:t>
      </w:r>
      <w:r>
        <w:rPr/>
        <w:t>股股份（约占晨鸣控股总股本的</w:t>
      </w:r>
      <w:r>
        <w:rPr>
          <w:rFonts w:ascii="Times New Roman" w:hAnsi="Times New Roman" w:cs="Times New Roman" w:eastAsia="Times New Roman" w:hint="default"/>
        </w:rPr>
        <w:t>13.71%</w:t>
      </w:r>
      <w:r>
        <w:rPr/>
        <w:t>）亦被视为由陈洪国</w:t>
      </w:r>
    </w:p>
    <w:p>
      <w:pPr>
        <w:pStyle w:val="BodyText"/>
        <w:spacing w:line="240" w:lineRule="auto" w:before="64"/>
        <w:ind w:left="153" w:right="182"/>
        <w:jc w:val="left"/>
      </w:pPr>
      <w:r>
        <w:rPr/>
        <w:t>持有。</w:t>
      </w:r>
    </w:p>
    <w:p>
      <w:pPr>
        <w:pStyle w:val="BodyText"/>
        <w:spacing w:line="300" w:lineRule="auto" w:before="115"/>
        <w:ind w:left="153" w:right="100" w:firstLine="360"/>
        <w:jc w:val="both"/>
      </w:pPr>
      <w:r>
        <w:rPr>
          <w:spacing w:val="-2"/>
        </w:rPr>
        <w:t>除上述所披露者，于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日，公司各董事、监事及最高行政人员概无在公司或其相关法团的股份、相关股份及</w:t>
      </w:r>
      <w:r>
        <w:rPr/>
        <w:t> 债券证中拥有须记录于公司根据《证券及期货条例》第</w:t>
      </w:r>
      <w:r>
        <w:rPr>
          <w:rFonts w:ascii="Times New Roman" w:hAnsi="Times New Roman" w:cs="Times New Roman" w:eastAsia="Times New Roman" w:hint="default"/>
        </w:rPr>
        <w:t>352</w:t>
      </w:r>
      <w:r>
        <w:rPr/>
        <w:t>条规定须予备存的登记册的权益或淡仓，或根据香港联交所上市 </w:t>
      </w:r>
      <w:r>
        <w:rPr>
          <w:spacing w:val="-3"/>
        </w:rPr>
        <w:t>规则（以下简称</w:t>
      </w:r>
      <w:r>
        <w:rPr>
          <w:rFonts w:ascii="Times New Roman" w:hAnsi="Times New Roman" w:cs="Times New Roman" w:eastAsia="Times New Roman" w:hint="default"/>
          <w:spacing w:val="-3"/>
        </w:rPr>
        <w:t>“</w:t>
      </w:r>
      <w:r>
        <w:rPr>
          <w:spacing w:val="-3"/>
        </w:rPr>
        <w:t>香港上市规则</w:t>
      </w:r>
      <w:r>
        <w:rPr>
          <w:rFonts w:ascii="Times New Roman" w:hAnsi="Times New Roman" w:cs="Times New Roman" w:eastAsia="Times New Roman" w:hint="default"/>
          <w:spacing w:val="-3"/>
        </w:rPr>
        <w:t>”</w:t>
      </w:r>
      <w:r>
        <w:rPr>
          <w:spacing w:val="-3"/>
        </w:rPr>
        <w:t>）附录十《上市公司董事进行证券交易的标准守则》须通知公司及香港联交所的权益或淡仓。</w:t>
      </w:r>
    </w:p>
    <w:p>
      <w:pPr>
        <w:pStyle w:val="BodyText"/>
        <w:spacing w:line="302" w:lineRule="auto" w:before="52"/>
        <w:ind w:right="189" w:firstLine="360"/>
        <w:jc w:val="both"/>
      </w:pPr>
      <w:r>
        <w:rPr>
          <w:spacing w:val="-2"/>
        </w:rPr>
        <w:t>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日，公司各董事、监事及最高行政人员或彼等之配偶或</w:t>
      </w:r>
      <w:r>
        <w:rPr>
          <w:rFonts w:ascii="Times New Roman" w:hAnsi="Times New Roman" w:cs="Times New Roman" w:eastAsia="Times New Roman" w:hint="default"/>
          <w:spacing w:val="-2"/>
        </w:rPr>
        <w:t>18</w:t>
      </w:r>
      <w:r>
        <w:rPr>
          <w:spacing w:val="-2"/>
        </w:rPr>
        <w:t>岁以下的子女概无持有可以认购公司或其相联</w:t>
      </w:r>
      <w:r>
        <w:rPr/>
        <w:t> 法团的股本或债权证之权利，彼等亦无行使任何该等权利。</w:t>
      </w:r>
    </w:p>
    <w:p>
      <w:pPr>
        <w:spacing w:line="240" w:lineRule="auto" w:before="4"/>
        <w:rPr>
          <w:rFonts w:ascii="宋体" w:hAnsi="宋体" w:cs="宋体" w:eastAsia="宋体" w:hint="default"/>
          <w:sz w:val="21"/>
          <w:szCs w:val="21"/>
        </w:rPr>
      </w:pPr>
    </w:p>
    <w:p>
      <w:pPr>
        <w:pStyle w:val="Heading2"/>
        <w:spacing w:line="240" w:lineRule="auto"/>
        <w:ind w:right="182"/>
        <w:jc w:val="left"/>
        <w:rPr>
          <w:b w:val="0"/>
          <w:bCs w:val="0"/>
        </w:rPr>
      </w:pPr>
      <w:r>
        <w:rPr/>
        <w:t>十九、按香港《证券及期货条例》，公司主要股东和其它人士之股份或债券证权益</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90" w:firstLine="360"/>
        <w:jc w:val="both"/>
      </w:pPr>
      <w:r>
        <w:rPr>
          <w:spacing w:val="-5"/>
        </w:rPr>
        <w:t>于</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日，公司董事、监事或最高行政人员以外的人士，在公司股份及相关股份中拥有的权益或淡仓，根据《证</w:t>
      </w:r>
      <w:r>
        <w:rPr>
          <w:spacing w:val="1"/>
        </w:rPr>
        <w:t> </w:t>
      </w:r>
      <w:r>
        <w:rPr/>
        <w:t>券及期货条例》（香港法例第</w:t>
      </w:r>
      <w:r>
        <w:rPr>
          <w:rFonts w:ascii="Times New Roman" w:hAnsi="Times New Roman" w:cs="Times New Roman" w:eastAsia="Times New Roman" w:hint="default"/>
        </w:rPr>
        <w:t>571</w:t>
      </w:r>
      <w:r>
        <w:rPr/>
        <w:t>章）（以下简称《证券及期货条例》）第</w:t>
      </w:r>
      <w:r>
        <w:rPr>
          <w:rFonts w:ascii="Times New Roman" w:hAnsi="Times New Roman" w:cs="Times New Roman" w:eastAsia="Times New Roman" w:hint="default"/>
        </w:rPr>
        <w:t>336</w:t>
      </w:r>
      <w:r>
        <w:rPr/>
        <w:t>条规定须备存的登记册所记录者如下：</w:t>
      </w:r>
    </w:p>
    <w:p>
      <w:pPr>
        <w:spacing w:line="240" w:lineRule="auto" w:before="13"/>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923"/>
        <w:gridCol w:w="2743"/>
        <w:gridCol w:w="1458"/>
        <w:gridCol w:w="1534"/>
      </w:tblGrid>
      <w:tr>
        <w:trPr>
          <w:trHeight w:val="427" w:hRule="exact"/>
        </w:trPr>
        <w:tc>
          <w:tcPr>
            <w:tcW w:w="392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74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2"/>
              <w:ind w:left="734" w:right="0"/>
              <w:jc w:val="left"/>
              <w:rPr>
                <w:rFonts w:ascii="宋体" w:hAnsi="宋体" w:cs="宋体" w:eastAsia="宋体" w:hint="default"/>
                <w:sz w:val="18"/>
                <w:szCs w:val="18"/>
              </w:rPr>
            </w:pPr>
            <w:r>
              <w:rPr>
                <w:rFonts w:ascii="宋体" w:hAnsi="宋体" w:cs="宋体" w:eastAsia="宋体" w:hint="default"/>
                <w:sz w:val="18"/>
                <w:szCs w:val="18"/>
              </w:rPr>
              <w:t>持股数目（股）</w:t>
            </w:r>
          </w:p>
        </w:tc>
        <w:tc>
          <w:tcPr>
            <w:tcW w:w="299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603" w:right="0"/>
              <w:jc w:val="left"/>
              <w:rPr>
                <w:rFonts w:ascii="宋体" w:hAnsi="宋体" w:cs="宋体" w:eastAsia="宋体" w:hint="default"/>
                <w:sz w:val="18"/>
                <w:szCs w:val="18"/>
              </w:rPr>
            </w:pPr>
            <w:r>
              <w:rPr>
                <w:rFonts w:ascii="宋体" w:hAnsi="宋体" w:cs="宋体" w:eastAsia="宋体" w:hint="default"/>
                <w:sz w:val="18"/>
                <w:szCs w:val="18"/>
              </w:rPr>
              <w:t>概约持股百分比（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3923" w:type="dxa"/>
            <w:vMerge/>
            <w:tcBorders>
              <w:left w:val="single" w:sz="6" w:space="0" w:color="000000"/>
              <w:bottom w:val="single" w:sz="6" w:space="0" w:color="000000"/>
              <w:right w:val="single" w:sz="6" w:space="0" w:color="000000"/>
            </w:tcBorders>
            <w:shd w:val="clear" w:color="auto" w:fill="D9D9D9"/>
          </w:tcPr>
          <w:p>
            <w:pPr/>
          </w:p>
        </w:tc>
        <w:tc>
          <w:tcPr>
            <w:tcW w:w="2743" w:type="dxa"/>
            <w:vMerge/>
            <w:tcBorders>
              <w:left w:val="single" w:sz="6" w:space="0" w:color="000000"/>
              <w:bottom w:val="single" w:sz="6" w:space="0" w:color="000000"/>
              <w:right w:val="single" w:sz="6" w:space="0" w:color="000000"/>
            </w:tcBorders>
            <w:shd w:val="clear" w:color="auto" w:fill="D9D9D9"/>
          </w:tcPr>
          <w:p>
            <w:pPr/>
          </w:p>
        </w:tc>
        <w:tc>
          <w:tcPr>
            <w:tcW w:w="14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61" w:right="0"/>
              <w:jc w:val="left"/>
              <w:rPr>
                <w:rFonts w:ascii="宋体" w:hAnsi="宋体" w:cs="宋体" w:eastAsia="宋体" w:hint="default"/>
                <w:sz w:val="18"/>
                <w:szCs w:val="18"/>
              </w:rPr>
            </w:pPr>
            <w:r>
              <w:rPr>
                <w:rFonts w:ascii="宋体" w:hAnsi="宋体" w:cs="宋体" w:eastAsia="宋体" w:hint="default"/>
                <w:sz w:val="18"/>
                <w:szCs w:val="18"/>
              </w:rPr>
              <w:t>占总股本</w:t>
            </w:r>
          </w:p>
        </w:tc>
        <w:tc>
          <w:tcPr>
            <w:tcW w:w="15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99" w:right="0"/>
              <w:jc w:val="left"/>
              <w:rPr>
                <w:rFonts w:ascii="宋体" w:hAnsi="宋体" w:cs="宋体" w:eastAsia="宋体" w:hint="default"/>
                <w:sz w:val="18"/>
                <w:szCs w:val="18"/>
              </w:rPr>
            </w:pPr>
            <w:r>
              <w:rPr>
                <w:rFonts w:ascii="宋体" w:hAnsi="宋体" w:cs="宋体" w:eastAsia="宋体" w:hint="default"/>
                <w:sz w:val="18"/>
                <w:szCs w:val="18"/>
              </w:rPr>
              <w:t>占类别股</w:t>
            </w:r>
          </w:p>
        </w:tc>
      </w:tr>
      <w:tr>
        <w:trPr>
          <w:trHeight w:val="428" w:hRule="exact"/>
        </w:trPr>
        <w:tc>
          <w:tcPr>
            <w:tcW w:w="3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293,003,657A</w:t>
            </w:r>
            <w:r>
              <w:rPr>
                <w:rFonts w:ascii="宋体" w:hAnsi="宋体" w:cs="宋体" w:eastAsia="宋体" w:hint="default"/>
                <w:spacing w:val="-1"/>
                <w:sz w:val="18"/>
                <w:szCs w:val="18"/>
              </w:rPr>
              <w:t>股（</w:t>
            </w:r>
            <w:r>
              <w:rPr>
                <w:rFonts w:ascii="Times New Roman" w:hAnsi="Times New Roman" w:cs="Times New Roman" w:eastAsia="Times New Roman" w:hint="default"/>
                <w:spacing w:val="-1"/>
                <w:sz w:val="18"/>
                <w:szCs w:val="18"/>
              </w:rPr>
              <w:t>L</w:t>
            </w:r>
            <w:r>
              <w:rPr>
                <w:rFonts w:ascii="宋体" w:hAnsi="宋体" w:cs="宋体" w:eastAsia="宋体" w:hint="default"/>
                <w:spacing w:val="-1"/>
                <w:sz w:val="18"/>
                <w:szCs w:val="18"/>
              </w:rPr>
              <w:t>）</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15.13</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26.32</w:t>
            </w:r>
          </w:p>
        </w:tc>
      </w:tr>
      <w:tr>
        <w:trPr>
          <w:trHeight w:val="427" w:hRule="exact"/>
        </w:trPr>
        <w:tc>
          <w:tcPr>
            <w:tcW w:w="3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全国社会保障基金理事会</w:t>
            </w:r>
          </w:p>
        </w:tc>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35,570,000</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H</w:t>
            </w:r>
            <w:r>
              <w:rPr>
                <w:rFonts w:ascii="宋体" w:hAnsi="宋体" w:cs="宋体" w:eastAsia="宋体" w:hint="default"/>
                <w:sz w:val="18"/>
                <w:szCs w:val="18"/>
              </w:rPr>
              <w:t>股（</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1.84</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10.10</w:t>
            </w:r>
          </w:p>
        </w:tc>
      </w:tr>
    </w:tbl>
    <w:p>
      <w:pPr>
        <w:pStyle w:val="BodyText"/>
        <w:tabs>
          <w:tab w:pos="1933" w:val="left" w:leader="none"/>
          <w:tab w:pos="4161" w:val="left" w:leader="none"/>
        </w:tabs>
        <w:spacing w:line="240" w:lineRule="auto" w:before="51"/>
        <w:ind w:right="182"/>
        <w:jc w:val="left"/>
      </w:pPr>
      <w:r>
        <w:rPr>
          <w:rFonts w:ascii="Times New Roman" w:hAnsi="Times New Roman" w:cs="Times New Roman" w:eastAsia="Times New Roman" w:hint="default"/>
        </w:rPr>
        <w:t>(L) –</w:t>
      </w:r>
      <w:r>
        <w:rPr>
          <w:rFonts w:ascii="Times New Roman" w:hAnsi="Times New Roman" w:cs="Times New Roman" w:eastAsia="Times New Roman" w:hint="default"/>
          <w:spacing w:val="27"/>
        </w:rPr>
        <w:t> </w:t>
      </w:r>
      <w:r>
        <w:rPr/>
        <w:t>好仓</w:t>
        <w:tab/>
      </w:r>
      <w:r>
        <w:rPr>
          <w:rFonts w:ascii="Times New Roman" w:hAnsi="Times New Roman" w:cs="Times New Roman" w:eastAsia="Times New Roman" w:hint="default"/>
        </w:rPr>
        <w:t>(S) –</w:t>
      </w:r>
      <w:r>
        <w:rPr>
          <w:rFonts w:ascii="Times New Roman" w:hAnsi="Times New Roman" w:cs="Times New Roman" w:eastAsia="Times New Roman" w:hint="default"/>
          <w:spacing w:val="25"/>
        </w:rPr>
        <w:t> </w:t>
      </w:r>
      <w:r>
        <w:rPr/>
        <w:t>淡仓</w:t>
        <w:tab/>
      </w:r>
      <w:r>
        <w:rPr>
          <w:rFonts w:ascii="Times New Roman" w:hAnsi="Times New Roman" w:cs="Times New Roman" w:eastAsia="Times New Roman" w:hint="default"/>
        </w:rPr>
        <w:t>(P) –</w:t>
      </w:r>
      <w:r>
        <w:rPr>
          <w:rFonts w:ascii="Times New Roman" w:hAnsi="Times New Roman" w:cs="Times New Roman" w:eastAsia="Times New Roman" w:hint="default"/>
          <w:spacing w:val="24"/>
        </w:rPr>
        <w:t> </w:t>
      </w:r>
      <w:r>
        <w:rPr/>
        <w:t>可供借出的股份</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02" w:lineRule="auto"/>
        <w:ind w:left="153" w:right="181" w:firstLine="360"/>
        <w:jc w:val="left"/>
      </w:pPr>
      <w:r>
        <w:rPr/>
        <w:t>除上述所披露者，于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日，在根据《证券及期货条例》第</w:t>
      </w:r>
      <w:r>
        <w:rPr>
          <w:rFonts w:ascii="Times New Roman" w:hAnsi="Times New Roman" w:cs="Times New Roman" w:eastAsia="Times New Roman" w:hint="default"/>
        </w:rPr>
        <w:t>336</w:t>
      </w:r>
      <w:r>
        <w:rPr/>
        <w:t>条规定须备存的登记册中，并无其他人在公司 股份及相关股份中拥有权益或淡仓的记录。</w:t>
      </w:r>
    </w:p>
    <w:p>
      <w:pPr>
        <w:spacing w:line="240" w:lineRule="auto" w:before="4"/>
        <w:rPr>
          <w:rFonts w:ascii="宋体" w:hAnsi="宋体" w:cs="宋体" w:eastAsia="宋体" w:hint="default"/>
          <w:sz w:val="21"/>
          <w:szCs w:val="21"/>
        </w:rPr>
      </w:pPr>
    </w:p>
    <w:p>
      <w:pPr>
        <w:pStyle w:val="Heading2"/>
        <w:spacing w:line="240" w:lineRule="auto"/>
        <w:ind w:right="182"/>
        <w:jc w:val="left"/>
        <w:rPr>
          <w:b w:val="0"/>
          <w:bCs w:val="0"/>
        </w:rPr>
      </w:pPr>
      <w:r>
        <w:rPr/>
        <w:t>二十、竞争业务的权益</w:t>
      </w:r>
      <w:r>
        <w:rPr>
          <w:b w:val="0"/>
          <w:bCs w:val="0"/>
        </w:rPr>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b/>
          <w:bCs/>
          <w:sz w:val="25"/>
          <w:szCs w:val="25"/>
        </w:rPr>
      </w:pPr>
    </w:p>
    <w:p>
      <w:pPr>
        <w:pStyle w:val="BodyText"/>
        <w:spacing w:line="319" w:lineRule="auto" w:before="44"/>
        <w:ind w:left="153" w:right="0" w:firstLine="360"/>
        <w:jc w:val="left"/>
      </w:pPr>
      <w:r>
        <w:rPr>
          <w:spacing w:val="-2"/>
        </w:rPr>
        <w:t>本公司董事或控股股东概无于与本公司及其任何附属公司业务竞争或可能竞争的业务中拥有权益，又或与或可能与本公</w:t>
      </w:r>
      <w:r>
        <w:rPr/>
        <w:t> 司及其任何附属公司。</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r>
        <w:rPr/>
        <w:t>二十一、董事于重要合约的权益</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t>本公司或其附属公司概无订立董事直接或间接拥有重大利益且于财政年度结束时或于报告期内任何时间仍然有效的任</w:t>
      </w:r>
      <w:r>
        <w:rPr>
          <w:spacing w:val="2"/>
        </w:rPr>
        <w:t> </w:t>
      </w:r>
      <w:r>
        <w:rPr/>
        <w:t>何重大合约。</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r>
        <w:rPr/>
        <w:t>二十二、董事、高级管理人员酬金及五位最高薪酬人士</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董事、高级管理人员酬金及本公司或及其附属公司五位最高薪酬人士的详情分别载于第九节、三和第十二节、十二部分</w:t>
      </w:r>
      <w:r>
        <w:rPr/>
        <w:t> 内容。</w:t>
      </w:r>
    </w:p>
    <w:p>
      <w:pPr>
        <w:pStyle w:val="BodyText"/>
        <w:spacing w:line="240" w:lineRule="auto" w:before="56"/>
        <w:ind w:left="514" w:right="0"/>
        <w:jc w:val="left"/>
      </w:pPr>
      <w:r>
        <w:rPr/>
        <w:t>于</w:t>
      </w:r>
      <w:r>
        <w:rPr>
          <w:rFonts w:ascii="Times New Roman" w:hAnsi="Times New Roman" w:cs="Times New Roman" w:eastAsia="Times New Roman" w:hint="default"/>
        </w:rPr>
        <w:t>2014</w:t>
      </w:r>
      <w:r>
        <w:rPr/>
        <w:t>年度，本公司高级管理人员（包含董事、监事及高级管理人员）共有</w:t>
      </w:r>
      <w:r>
        <w:rPr>
          <w:rFonts w:ascii="Times New Roman" w:hAnsi="Times New Roman" w:cs="Times New Roman" w:eastAsia="Times New Roman" w:hint="default"/>
        </w:rPr>
        <w:t>25</w:t>
      </w:r>
      <w:r>
        <w:rPr/>
        <w:t>人，高级管理人员薪酬介乎以下范围：</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927"/>
        <w:gridCol w:w="4927"/>
      </w:tblGrid>
      <w:tr>
        <w:trPr>
          <w:trHeight w:val="426" w:hRule="exact"/>
        </w:trPr>
        <w:tc>
          <w:tcPr>
            <w:tcW w:w="492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薪酬范围</w:t>
            </w:r>
          </w:p>
        </w:tc>
        <w:tc>
          <w:tcPr>
            <w:tcW w:w="492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人数</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w:t>
            </w:r>
            <w:r>
              <w:rPr>
                <w:rFonts w:ascii="宋体" w:hAnsi="宋体" w:cs="宋体" w:eastAsia="宋体" w:hint="default"/>
                <w:sz w:val="18"/>
                <w:szCs w:val="18"/>
              </w:rPr>
              <w:t>～</w:t>
            </w:r>
            <w:r>
              <w:rPr>
                <w:rFonts w:ascii="Times New Roman" w:hAnsi="Times New Roman" w:cs="Times New Roman" w:eastAsia="Times New Roman" w:hint="default"/>
                <w:sz w:val="18"/>
                <w:szCs w:val="18"/>
              </w:rPr>
              <w:t>520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w:t>
            </w:r>
            <w:r>
              <w:rPr>
                <w:rFonts w:ascii="Times New Roman" w:hAnsi="Times New Roman" w:cs="Times New Roman" w:eastAsia="Times New Roman" w:hint="default"/>
                <w:sz w:val="18"/>
                <w:szCs w:val="18"/>
              </w:rPr>
              <w:t>400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w:t>
            </w:r>
            <w:r>
              <w:rPr>
                <w:rFonts w:ascii="宋体" w:hAnsi="宋体" w:cs="宋体" w:eastAsia="宋体" w:hint="default"/>
                <w:sz w:val="18"/>
                <w:szCs w:val="18"/>
              </w:rPr>
              <w:t>～</w:t>
            </w:r>
            <w:r>
              <w:rPr>
                <w:rFonts w:ascii="Times New Roman" w:hAnsi="Times New Roman" w:cs="Times New Roman" w:eastAsia="Times New Roman" w:hint="default"/>
                <w:sz w:val="18"/>
                <w:szCs w:val="18"/>
              </w:rPr>
              <w:t>320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w:t>
            </w:r>
            <w:r>
              <w:rPr>
                <w:rFonts w:ascii="Times New Roman" w:hAnsi="Times New Roman" w:cs="Times New Roman" w:eastAsia="Times New Roman" w:hint="default"/>
                <w:sz w:val="18"/>
                <w:szCs w:val="18"/>
              </w:rPr>
              <w:t>280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w:t>
            </w:r>
            <w:r>
              <w:rPr>
                <w:rFonts w:ascii="Times New Roman" w:hAnsi="Times New Roman" w:cs="Times New Roman" w:eastAsia="Times New Roman" w:hint="default"/>
                <w:sz w:val="18"/>
                <w:szCs w:val="18"/>
              </w:rPr>
              <w:t>240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宋体" w:hAnsi="宋体" w:cs="宋体" w:eastAsia="宋体" w:hint="default"/>
                <w:sz w:val="18"/>
                <w:szCs w:val="18"/>
              </w:rPr>
              <w:t>～</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160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120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万元以下</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r>
        <w:rPr/>
        <w:t>二十三、董事购买股份或债券的权利</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本年度任何时间，本公司或其任何附属公司概无订立任何安排致使董事可透过购入本公司或任何其它法人团体的股份或</w:t>
      </w:r>
      <w:r>
        <w:rPr/>
        <w:t> 债券而获益。</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r>
        <w:rPr/>
        <w:t>二十四、拨入储备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0"/>
        <w:jc w:val="left"/>
      </w:pPr>
      <w:r>
        <w:rPr/>
        <w:t>根据公司法规定，本公司的实缴盈余可派发予股东。本公司于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日可用作现金分派及或可作实物分配的储备</w:t>
      </w:r>
    </w:p>
    <w:p>
      <w:pPr>
        <w:pStyle w:val="BodyText"/>
        <w:spacing w:line="302" w:lineRule="auto" w:before="62"/>
        <w:ind w:left="153" w:right="0"/>
        <w:jc w:val="left"/>
      </w:pPr>
      <w:r>
        <w:rPr>
          <w:spacing w:val="-2"/>
        </w:rPr>
        <w:t>（包括本公司的实缴盈余）为人民币</w:t>
      </w:r>
      <w:r>
        <w:rPr>
          <w:rFonts w:ascii="Times New Roman" w:hAnsi="Times New Roman" w:cs="Times New Roman" w:eastAsia="Times New Roman" w:hint="default"/>
          <w:spacing w:val="-2"/>
        </w:rPr>
        <w:t>5,313,936,425.86</w:t>
      </w:r>
      <w:r>
        <w:rPr>
          <w:spacing w:val="-2"/>
        </w:rPr>
        <w:t>元。（</w:t>
      </w:r>
      <w:r>
        <w:rPr>
          <w:rFonts w:ascii="Times New Roman" w:hAnsi="Times New Roman" w:cs="Times New Roman" w:eastAsia="Times New Roman" w:hint="default"/>
          <w:spacing w:val="-2"/>
        </w:rPr>
        <w:t>2013</w:t>
      </w:r>
      <w:r>
        <w:rPr>
          <w:spacing w:val="-2"/>
        </w:rPr>
        <w:t>年：人民币</w:t>
      </w:r>
      <w:r>
        <w:rPr>
          <w:rFonts w:ascii="Times New Roman" w:hAnsi="Times New Roman" w:cs="Times New Roman" w:eastAsia="Times New Roman" w:hint="default"/>
          <w:spacing w:val="-2"/>
        </w:rPr>
        <w:t>5,379,887,056.23</w:t>
      </w:r>
      <w:r>
        <w:rPr>
          <w:spacing w:val="-2"/>
        </w:rPr>
        <w:t>元），载于财务报告第十二节第</w:t>
      </w:r>
      <w:r>
        <w:rPr>
          <w:spacing w:val="-34"/>
        </w:rPr>
        <w:t> </w:t>
      </w:r>
      <w:r>
        <w:rPr>
          <w:spacing w:val="-34"/>
        </w:rPr>
      </w:r>
      <w:r>
        <w:rPr/>
        <w:t>二部分、财务报表。</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r>
        <w:rPr/>
        <w:t>二十五、资本负债率</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0" w:firstLine="360"/>
        <w:jc w:val="left"/>
      </w:pPr>
      <w:r>
        <w:rPr>
          <w:spacing w:val="-1"/>
        </w:rPr>
        <w:t>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日的资本负债率（包含少数股东权益）为</w:t>
      </w:r>
      <w:r>
        <w:rPr>
          <w:rFonts w:ascii="Times New Roman" w:hAnsi="Times New Roman" w:cs="Times New Roman" w:eastAsia="Times New Roman" w:hint="default"/>
          <w:spacing w:val="-1"/>
        </w:rPr>
        <w:t>60.45%</w:t>
      </w:r>
      <w:r>
        <w:rPr>
          <w:spacing w:val="-1"/>
        </w:rPr>
        <w:t>，比</w:t>
      </w:r>
      <w:r>
        <w:rPr>
          <w:rFonts w:ascii="Times New Roman" w:hAnsi="Times New Roman" w:cs="Times New Roman" w:eastAsia="Times New Roman" w:hint="default"/>
          <w:spacing w:val="-1"/>
        </w:rPr>
        <w:t>2013</w:t>
      </w:r>
      <w:r>
        <w:rPr>
          <w:spacing w:val="-1"/>
        </w:rPr>
        <w:t>年的</w:t>
      </w:r>
      <w:r>
        <w:rPr>
          <w:rFonts w:ascii="Times New Roman" w:hAnsi="Times New Roman" w:cs="Times New Roman" w:eastAsia="Times New Roman" w:hint="default"/>
          <w:spacing w:val="-1"/>
        </w:rPr>
        <w:t>56.88%</w:t>
      </w:r>
      <w:r>
        <w:rPr>
          <w:spacing w:val="-1"/>
        </w:rPr>
        <w:t>增加</w:t>
      </w:r>
      <w:r>
        <w:rPr>
          <w:rFonts w:ascii="Times New Roman" w:hAnsi="Times New Roman" w:cs="Times New Roman" w:eastAsia="Times New Roman" w:hint="default"/>
          <w:spacing w:val="-1"/>
        </w:rPr>
        <w:t>3.57%</w:t>
      </w:r>
      <w:r>
        <w:rPr>
          <w:spacing w:val="-1"/>
        </w:rPr>
        <w:t>，主要原因是公司</w:t>
      </w:r>
      <w:r>
        <w:rPr/>
        <w:t> 本期项目投入较大，借款增加所致。</w:t>
      </w:r>
    </w:p>
    <w:p>
      <w:pPr>
        <w:spacing w:after="0" w:line="302" w:lineRule="auto"/>
        <w:jc w:val="left"/>
        <w:sectPr>
          <w:pgSz w:w="11910" w:h="16840"/>
          <w:pgMar w:header="747" w:footer="982" w:top="1060" w:bottom="1180" w:left="980" w:right="800"/>
        </w:sectPr>
      </w:pPr>
    </w:p>
    <w:p>
      <w:pPr>
        <w:spacing w:line="240" w:lineRule="auto" w:before="12"/>
        <w:rPr>
          <w:rFonts w:ascii="宋体" w:hAnsi="宋体" w:cs="宋体" w:eastAsia="宋体" w:hint="default"/>
          <w:sz w:val="25"/>
          <w:szCs w:val="25"/>
        </w:rPr>
      </w:pPr>
    </w:p>
    <w:p>
      <w:pPr>
        <w:pStyle w:val="BodyText"/>
        <w:spacing w:line="302" w:lineRule="auto" w:before="44"/>
        <w:ind w:right="188" w:firstLine="359"/>
        <w:jc w:val="both"/>
      </w:pPr>
      <w:r>
        <w:rPr/>
        <w:t>公司采用以下公式计算资本负债率：总借款</w:t>
      </w:r>
      <w:r>
        <w:rPr>
          <w:rFonts w:ascii="Times New Roman" w:hAnsi="Times New Roman" w:cs="Times New Roman" w:eastAsia="Times New Roman" w:hint="default"/>
        </w:rPr>
        <w:t>/</w:t>
      </w:r>
      <w:r>
        <w:rPr/>
        <w:t>总资产（总借款指一年内到期借款、一年后到期借款、短期融资券及中长 期票据等）。</w:t>
      </w:r>
    </w:p>
    <w:p>
      <w:pPr>
        <w:spacing w:line="240" w:lineRule="auto" w:before="4"/>
        <w:rPr>
          <w:rFonts w:ascii="宋体" w:hAnsi="宋体" w:cs="宋体" w:eastAsia="宋体" w:hint="default"/>
          <w:sz w:val="21"/>
          <w:szCs w:val="21"/>
        </w:rPr>
      </w:pPr>
    </w:p>
    <w:p>
      <w:pPr>
        <w:pStyle w:val="Heading2"/>
        <w:spacing w:line="240" w:lineRule="auto"/>
        <w:ind w:right="182"/>
        <w:jc w:val="left"/>
        <w:rPr>
          <w:b w:val="0"/>
          <w:bCs w:val="0"/>
        </w:rPr>
      </w:pPr>
      <w:r>
        <w:rPr/>
        <w:t>二十六、购买、出售和赎回股份</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89" w:firstLine="359"/>
        <w:jc w:val="both"/>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日止年度内，本公司于联交所以总额</w:t>
      </w:r>
      <w:r>
        <w:rPr>
          <w:rFonts w:ascii="Times New Roman" w:hAnsi="Times New Roman" w:cs="Times New Roman" w:eastAsia="Times New Roman" w:hint="default"/>
        </w:rPr>
        <w:t>133,556,245.00</w:t>
      </w:r>
      <w:r>
        <w:rPr/>
        <w:t>港币，购买最高价为港币</w:t>
      </w:r>
      <w:r>
        <w:rPr>
          <w:rFonts w:ascii="Times New Roman" w:hAnsi="Times New Roman" w:cs="Times New Roman" w:eastAsia="Times New Roman" w:hint="default"/>
        </w:rPr>
        <w:t>3.60</w:t>
      </w:r>
      <w:r>
        <w:rPr/>
        <w:t>元</w:t>
      </w:r>
      <w:r>
        <w:rPr>
          <w:rFonts w:ascii="Times New Roman" w:hAnsi="Times New Roman" w:cs="Times New Roman" w:eastAsia="Times New Roman" w:hint="default"/>
        </w:rPr>
        <w:t>/</w:t>
      </w:r>
      <w:r>
        <w:rPr/>
        <w:t>股，最低价为港</w:t>
      </w:r>
      <w:r>
        <w:rPr>
          <w:spacing w:val="1"/>
        </w:rPr>
        <w:t> </w:t>
      </w:r>
      <w:r>
        <w:rPr/>
        <w:t>币</w:t>
      </w:r>
      <w:r>
        <w:rPr>
          <w:rFonts w:ascii="Times New Roman" w:hAnsi="Times New Roman" w:cs="Times New Roman" w:eastAsia="Times New Roman" w:hint="default"/>
        </w:rPr>
        <w:t>3.17</w:t>
      </w:r>
      <w:r>
        <w:rPr/>
        <w:t>元</w:t>
      </w:r>
      <w:r>
        <w:rPr>
          <w:rFonts w:ascii="Times New Roman" w:hAnsi="Times New Roman" w:cs="Times New Roman" w:eastAsia="Times New Roman" w:hint="default"/>
        </w:rPr>
        <w:t>/</w:t>
      </w:r>
      <w:r>
        <w:rPr/>
        <w:t>股购回合共</w:t>
      </w:r>
      <w:r>
        <w:rPr>
          <w:rFonts w:ascii="Times New Roman" w:hAnsi="Times New Roman" w:cs="Times New Roman" w:eastAsia="Times New Roman" w:hint="default"/>
        </w:rPr>
        <w:t>39,066,550</w:t>
      </w:r>
      <w:r>
        <w:rPr/>
        <w:t>股</w:t>
      </w:r>
      <w:r>
        <w:rPr>
          <w:rFonts w:ascii="Times New Roman" w:hAnsi="Times New Roman" w:cs="Times New Roman" w:eastAsia="Times New Roman" w:hint="default"/>
        </w:rPr>
        <w:t>H</w:t>
      </w:r>
      <w:r>
        <w:rPr/>
        <w:t>股，所有该等股份已于购回后注销。</w:t>
      </w:r>
    </w:p>
    <w:p>
      <w:pPr>
        <w:pStyle w:val="BodyText"/>
        <w:spacing w:line="240" w:lineRule="auto" w:before="50"/>
        <w:ind w:left="513" w:right="182"/>
        <w:jc w:val="left"/>
      </w:pPr>
      <w:r>
        <w:rPr/>
        <w:t>除以上披露外，报告期内，本公司或其任何子公司概无购买、出售或赎回本公司任何上市证券。</w:t>
      </w:r>
    </w:p>
    <w:p>
      <w:pPr>
        <w:spacing w:line="240" w:lineRule="auto" w:before="13"/>
        <w:rPr>
          <w:rFonts w:ascii="宋体" w:hAnsi="宋体" w:cs="宋体" w:eastAsia="宋体" w:hint="default"/>
          <w:sz w:val="24"/>
          <w:szCs w:val="24"/>
        </w:rPr>
      </w:pPr>
    </w:p>
    <w:p>
      <w:pPr>
        <w:pStyle w:val="Heading2"/>
        <w:spacing w:line="240" w:lineRule="auto"/>
        <w:ind w:right="182"/>
        <w:jc w:val="left"/>
        <w:rPr>
          <w:b w:val="0"/>
          <w:bCs w:val="0"/>
        </w:rPr>
      </w:pPr>
      <w:r>
        <w:rPr/>
        <w:t>二十七、优先购股权</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82"/>
        <w:jc w:val="left"/>
      </w:pPr>
      <w:r>
        <w:rPr/>
        <w:t>根据《公司章程》及中国法律，并无规定公司需对现有的股东按其持股比例给予他们优先购买公司新股的权利。</w:t>
      </w:r>
    </w:p>
    <w:p>
      <w:pPr>
        <w:spacing w:line="240" w:lineRule="auto" w:before="13"/>
        <w:rPr>
          <w:rFonts w:ascii="宋体" w:hAnsi="宋体" w:cs="宋体" w:eastAsia="宋体" w:hint="default"/>
          <w:sz w:val="24"/>
          <w:szCs w:val="24"/>
        </w:rPr>
      </w:pPr>
    </w:p>
    <w:p>
      <w:pPr>
        <w:pStyle w:val="Heading2"/>
        <w:spacing w:line="240" w:lineRule="auto"/>
        <w:ind w:right="182"/>
        <w:jc w:val="left"/>
        <w:rPr>
          <w:b w:val="0"/>
          <w:bCs w:val="0"/>
        </w:rPr>
      </w:pPr>
      <w:r>
        <w:rPr/>
        <w:t>二十八、充足公众持股量</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82"/>
        <w:jc w:val="left"/>
      </w:pPr>
      <w:r>
        <w:rPr/>
        <w:t>于本年报日期，根据本公司可得的公开资料及据董事所知，本公司已维持香港上市规则所规定的充足公众持股量。</w:t>
      </w:r>
    </w:p>
    <w:p>
      <w:pPr>
        <w:spacing w:line="240" w:lineRule="auto" w:before="13"/>
        <w:rPr>
          <w:rFonts w:ascii="宋体" w:hAnsi="宋体" w:cs="宋体" w:eastAsia="宋体" w:hint="default"/>
          <w:sz w:val="24"/>
          <w:szCs w:val="24"/>
        </w:rPr>
      </w:pPr>
    </w:p>
    <w:p>
      <w:pPr>
        <w:pStyle w:val="Heading2"/>
        <w:spacing w:line="240" w:lineRule="auto"/>
        <w:ind w:right="182"/>
        <w:jc w:val="left"/>
        <w:rPr>
          <w:b w:val="0"/>
          <w:bCs w:val="0"/>
        </w:rPr>
      </w:pPr>
      <w:r>
        <w:rPr/>
        <w:t>二十九、审核委员会之审阅</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54" w:right="182"/>
        <w:jc w:val="left"/>
      </w:pPr>
      <w:r>
        <w:rPr/>
        <w:t>本公司截至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日止年度的经审核综合财务报表，已由本公司审核委员会审阅。</w:t>
      </w:r>
    </w:p>
    <w:p>
      <w:pPr>
        <w:spacing w:line="240" w:lineRule="auto" w:before="12"/>
        <w:rPr>
          <w:rFonts w:ascii="宋体" w:hAnsi="宋体" w:cs="宋体" w:eastAsia="宋体" w:hint="default"/>
          <w:sz w:val="23"/>
          <w:szCs w:val="23"/>
        </w:rPr>
      </w:pPr>
    </w:p>
    <w:p>
      <w:pPr>
        <w:pStyle w:val="Heading2"/>
        <w:spacing w:line="240" w:lineRule="auto"/>
        <w:ind w:right="182"/>
        <w:jc w:val="left"/>
        <w:rPr>
          <w:b w:val="0"/>
          <w:bCs w:val="0"/>
        </w:rPr>
      </w:pPr>
      <w:r>
        <w:rPr/>
        <w:t>三十、持续经营基准</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left="153" w:right="189" w:firstLine="300"/>
        <w:jc w:val="both"/>
      </w:pPr>
      <w:r>
        <w:rPr>
          <w:spacing w:val="-1"/>
        </w:rPr>
        <w:t>公司是以造林、制浆、造纸为主业的大型企业集团，具有规模、产品、技术装备、科研创新、综合成本、资金及环保治</w:t>
      </w:r>
      <w:r>
        <w:rPr/>
        <w:t> </w:t>
      </w:r>
      <w:r>
        <w:rPr>
          <w:spacing w:val="-2"/>
        </w:rPr>
        <w:t>理能力等方面的优势。近年来公司致力于林浆纸一体化发展，产业链较长，纸种比较全面，公司发展道路符合整个造纸工业</w:t>
      </w:r>
      <w:r>
        <w:rPr>
          <w:spacing w:val="-66"/>
        </w:rPr>
        <w:t> </w:t>
      </w:r>
      <w:r>
        <w:rPr>
          <w:spacing w:val="-66"/>
        </w:rPr>
      </w:r>
      <w:r>
        <w:rPr/>
        <w:t>发展规划要求，同时公司成立财务公司、融资租赁公司</w:t>
      </w:r>
      <w:r>
        <w:rPr>
          <w:rFonts w:ascii="Times New Roman" w:hAnsi="Times New Roman" w:cs="Times New Roman" w:eastAsia="Times New Roman" w:hint="default"/>
        </w:rPr>
        <w:t>,</w:t>
      </w:r>
      <w:r>
        <w:rPr/>
        <w:t>公司金融板块初见成效，为公司开辟了新的效益增长点，公司产业</w:t>
      </w:r>
      <w:r>
        <w:rPr>
          <w:spacing w:val="-53"/>
        </w:rPr>
        <w:t> </w:t>
      </w:r>
      <w:r>
        <w:rPr>
          <w:spacing w:val="-53"/>
        </w:rPr>
      </w:r>
      <w:r>
        <w:rPr/>
        <w:t>布局更加合理，可持续经营能力进一步增强。</w:t>
      </w:r>
    </w:p>
    <w:p>
      <w:pPr>
        <w:pStyle w:val="BodyText"/>
        <w:spacing w:line="300" w:lineRule="auto" w:before="62"/>
        <w:ind w:left="153" w:right="191" w:firstLine="300"/>
        <w:jc w:val="both"/>
      </w:pPr>
      <w:r>
        <w:rPr>
          <w:spacing w:val="-2"/>
        </w:rPr>
        <w:t>公司具有很好的持续盈利能力，</w:t>
      </w:r>
      <w:r>
        <w:rPr>
          <w:rFonts w:ascii="Times New Roman" w:hAnsi="Times New Roman" w:cs="Times New Roman" w:eastAsia="Times New Roman" w:hint="default"/>
          <w:spacing w:val="-2"/>
        </w:rPr>
        <w:t>2014</w:t>
      </w:r>
      <w:r>
        <w:rPr>
          <w:spacing w:val="-2"/>
        </w:rPr>
        <w:t>年度公司实现营业收入</w:t>
      </w:r>
      <w:r>
        <w:rPr>
          <w:rFonts w:ascii="Times New Roman" w:hAnsi="Times New Roman" w:cs="Times New Roman" w:eastAsia="Times New Roman" w:hint="default"/>
          <w:spacing w:val="-2"/>
        </w:rPr>
        <w:t>191</w:t>
      </w:r>
      <w:r>
        <w:rPr>
          <w:spacing w:val="-2"/>
        </w:rPr>
        <w:t>亿元，归属上市公司股东的净利润为</w:t>
      </w:r>
      <w:r>
        <w:rPr>
          <w:rFonts w:ascii="Times New Roman" w:hAnsi="Times New Roman" w:cs="Times New Roman" w:eastAsia="Times New Roman" w:hint="default"/>
          <w:spacing w:val="-2"/>
        </w:rPr>
        <w:t>5.05</w:t>
      </w:r>
      <w:r>
        <w:rPr>
          <w:spacing w:val="-2"/>
        </w:rPr>
        <w:t>亿元，经营活动</w:t>
      </w:r>
      <w:r>
        <w:rPr/>
        <w:t> </w:t>
      </w:r>
      <w:r>
        <w:rPr>
          <w:spacing w:val="-1"/>
        </w:rPr>
        <w:t>产生的现金流净额为</w:t>
      </w:r>
      <w:r>
        <w:rPr>
          <w:rFonts w:ascii="Times New Roman" w:hAnsi="Times New Roman" w:cs="Times New Roman" w:eastAsia="Times New Roman" w:hint="default"/>
          <w:spacing w:val="-1"/>
        </w:rPr>
        <w:t>9.85</w:t>
      </w:r>
      <w:r>
        <w:rPr>
          <w:spacing w:val="-1"/>
        </w:rPr>
        <w:t>亿元。同时，公司公司一贯重视股东的利益和回报，连续多年高比例现金分红。随着经济形势的好</w:t>
      </w:r>
      <w:r>
        <w:rPr>
          <w:spacing w:val="-75"/>
        </w:rPr>
        <w:t> </w:t>
      </w:r>
      <w:r>
        <w:rPr>
          <w:spacing w:val="-75"/>
        </w:rPr>
      </w:r>
      <w:r>
        <w:rPr/>
        <w:t>转，未来公司业绩值得期待。</w:t>
      </w:r>
    </w:p>
    <w:p>
      <w:pPr>
        <w:pStyle w:val="BodyText"/>
        <w:spacing w:line="307" w:lineRule="auto" w:before="70"/>
        <w:ind w:left="153" w:right="88" w:firstLine="360"/>
        <w:jc w:val="left"/>
      </w:pPr>
      <w:r>
        <w:rPr>
          <w:spacing w:val="-3"/>
        </w:rPr>
        <w:t>另外，截至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月末，公司在各大金融机构中共获得</w:t>
      </w:r>
      <w:r>
        <w:rPr>
          <w:rFonts w:ascii="Times New Roman" w:hAnsi="Times New Roman" w:cs="Times New Roman" w:eastAsia="Times New Roman" w:hint="default"/>
          <w:spacing w:val="-3"/>
        </w:rPr>
        <w:t>469</w:t>
      </w:r>
      <w:r>
        <w:rPr>
          <w:spacing w:val="-3"/>
        </w:rPr>
        <w:t>亿元的综合授信额度，其中尚未使用的授信额度为</w:t>
      </w:r>
      <w:r>
        <w:rPr>
          <w:rFonts w:ascii="Times New Roman" w:hAnsi="Times New Roman" w:cs="Times New Roman" w:eastAsia="Times New Roman" w:hint="default"/>
          <w:spacing w:val="-3"/>
        </w:rPr>
        <w:t>247</w:t>
      </w:r>
      <w:r>
        <w:rPr>
          <w:spacing w:val="-3"/>
        </w:rPr>
        <w:t>亿元，</w:t>
      </w:r>
      <w:r>
        <w:rPr/>
        <w:t> 对公司经营发展起到较大的支持作用。公司作为</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H</w:t>
      </w:r>
      <w:r>
        <w:rPr/>
        <w:t>上市企业，拥有畅通的融资渠道，集团财务公司和融资租赁公司</w:t>
      </w:r>
      <w:r>
        <w:rPr>
          <w:spacing w:val="-30"/>
        </w:rPr>
        <w:t> </w:t>
      </w:r>
      <w:r>
        <w:rPr>
          <w:spacing w:val="-30"/>
        </w:rPr>
      </w:r>
      <w:r>
        <w:rPr>
          <w:spacing w:val="-2"/>
        </w:rPr>
        <w:t>的开业，公司金融板块初见成效，将加强集团资金集中管理、提高资金使用效率，进一步提升集团的资金结算、管理与投融</w:t>
      </w:r>
      <w:r>
        <w:rPr>
          <w:spacing w:val="-66"/>
        </w:rPr>
        <w:t> </w:t>
      </w:r>
      <w:r>
        <w:rPr>
          <w:spacing w:val="-66"/>
        </w:rPr>
      </w:r>
      <w:r>
        <w:rPr/>
        <w:t>资水平，降低融资成本，改善公司的负债结构。</w:t>
      </w:r>
    </w:p>
    <w:p>
      <w:pPr>
        <w:pStyle w:val="BodyText"/>
        <w:spacing w:line="300" w:lineRule="auto" w:before="26"/>
        <w:ind w:left="513" w:right="271"/>
        <w:jc w:val="left"/>
      </w:pPr>
      <w:r>
        <w:rPr/>
        <w:t>审计师对公司</w:t>
      </w:r>
      <w:r>
        <w:rPr>
          <w:rFonts w:ascii="Times New Roman" w:hAnsi="Times New Roman" w:cs="Times New Roman" w:eastAsia="Times New Roman" w:hint="default"/>
        </w:rPr>
        <w:t>2014</w:t>
      </w:r>
      <w:r>
        <w:rPr/>
        <w:t>年度财务报告以持续经营为基础编制，并出具了标准无保留的审计意见（请参阅财务报告部分）。 故公司董事会认为公司具有良好的持续经营能力。</w:t>
      </w:r>
    </w:p>
    <w:p>
      <w:pPr>
        <w:spacing w:line="240" w:lineRule="auto" w:before="7"/>
        <w:rPr>
          <w:rFonts w:ascii="宋体" w:hAnsi="宋体" w:cs="宋体" w:eastAsia="宋体" w:hint="default"/>
          <w:sz w:val="21"/>
          <w:szCs w:val="21"/>
        </w:rPr>
      </w:pPr>
    </w:p>
    <w:p>
      <w:pPr>
        <w:pStyle w:val="Heading2"/>
        <w:spacing w:line="240" w:lineRule="auto"/>
        <w:ind w:right="182"/>
        <w:jc w:val="left"/>
        <w:rPr>
          <w:b w:val="0"/>
          <w:bCs w:val="0"/>
        </w:rPr>
      </w:pPr>
      <w:r>
        <w:rPr/>
        <w:t>三十一、暂停过户登记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91" w:firstLine="360"/>
        <w:jc w:val="both"/>
      </w:pPr>
      <w:r>
        <w:rPr>
          <w:spacing w:val="-2"/>
        </w:rPr>
        <w:t>本公司将由</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13</w:t>
      </w:r>
      <w:r>
        <w:rPr>
          <w:spacing w:val="-2"/>
        </w:rPr>
        <w:t>日（星期一）至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日（星期五）（包括首尾两日）暂停办理股份过户登记手续，于该</w:t>
      </w:r>
      <w:r>
        <w:rPr/>
        <w:t> </w:t>
      </w:r>
      <w:r>
        <w:rPr>
          <w:spacing w:val="-2"/>
        </w:rPr>
        <w:t>期间内本公司将概不会办理股份过户手续。为确定有权出席于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05</w:t>
      </w:r>
      <w:r>
        <w:rPr>
          <w:spacing w:val="-2"/>
        </w:rPr>
        <w:t>月</w:t>
      </w:r>
      <w:r>
        <w:rPr>
          <w:rFonts w:ascii="Times New Roman" w:hAnsi="Times New Roman" w:cs="Times New Roman" w:eastAsia="Times New Roman" w:hint="default"/>
          <w:spacing w:val="-2"/>
        </w:rPr>
        <w:t>15</w:t>
      </w:r>
      <w:r>
        <w:rPr>
          <w:spacing w:val="-2"/>
        </w:rPr>
        <w:t>日（星期五）举行之股东周年大会并于会上投票</w:t>
      </w:r>
      <w:r>
        <w:rPr>
          <w:spacing w:val="-58"/>
        </w:rPr>
        <w:t> </w:t>
      </w:r>
      <w:r>
        <w:rPr>
          <w:spacing w:val="-58"/>
        </w:rPr>
      </w:r>
      <w:r>
        <w:rPr/>
        <w:t>之股东之身份，所有股份过户文件连同有关股票必须不迟于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日（星期五）下午</w:t>
      </w:r>
      <w:r>
        <w:rPr>
          <w:rFonts w:ascii="Times New Roman" w:hAnsi="Times New Roman" w:cs="Times New Roman" w:eastAsia="Times New Roman" w:hint="default"/>
        </w:rPr>
        <w:t>4</w:t>
      </w:r>
      <w:r>
        <w:rPr/>
        <w:t>时</w:t>
      </w:r>
      <w:r>
        <w:rPr>
          <w:rFonts w:ascii="Times New Roman" w:hAnsi="Times New Roman" w:cs="Times New Roman" w:eastAsia="Times New Roman" w:hint="default"/>
        </w:rPr>
        <w:t>30</w:t>
      </w:r>
      <w:r>
        <w:rPr/>
        <w:t>分送达。</w:t>
      </w:r>
    </w:p>
    <w:p>
      <w:pPr>
        <w:pStyle w:val="BodyText"/>
        <w:spacing w:line="300" w:lineRule="auto" w:before="51"/>
        <w:ind w:right="188" w:firstLine="360"/>
        <w:jc w:val="both"/>
      </w:pPr>
      <w:r>
        <w:rPr>
          <w:spacing w:val="-2"/>
        </w:rPr>
        <w:t>此外，本公司将于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27</w:t>
      </w:r>
      <w:r>
        <w:rPr>
          <w:spacing w:val="-2"/>
        </w:rPr>
        <w:t>日（包括首尾两日）暂停办理股份过户登记手续，以确定享有载至</w:t>
      </w:r>
      <w:r>
        <w:rPr>
          <w:rFonts w:ascii="Times New Roman" w:hAnsi="Times New Roman" w:cs="Times New Roman" w:eastAsia="Times New Roman" w:hint="default"/>
          <w:spacing w:val="-2"/>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日止年度建议现金红利之权利（须待股东于股东周年大会批准）。为享有建议现金红利，H股股东应确保所有过户</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2" w:lineRule="auto" w:before="44"/>
        <w:ind w:left="153" w:right="150"/>
        <w:jc w:val="left"/>
      </w:pPr>
      <w:r>
        <w:rPr>
          <w:spacing w:val="-2"/>
        </w:rPr>
        <w:t>文件连同有关股票，于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20</w:t>
      </w:r>
      <w:r>
        <w:rPr>
          <w:spacing w:val="-2"/>
        </w:rPr>
        <w:t>日下午</w:t>
      </w:r>
      <w:r>
        <w:rPr>
          <w:rFonts w:ascii="Times New Roman" w:hAnsi="Times New Roman" w:cs="Times New Roman" w:eastAsia="Times New Roman" w:hint="default"/>
          <w:spacing w:val="-2"/>
        </w:rPr>
        <w:t>4</w:t>
      </w:r>
      <w:r>
        <w:rPr>
          <w:spacing w:val="-2"/>
        </w:rPr>
        <w:t>时</w:t>
      </w:r>
      <w:r>
        <w:rPr>
          <w:rFonts w:ascii="Times New Roman" w:hAnsi="Times New Roman" w:cs="Times New Roman" w:eastAsia="Times New Roman" w:hint="default"/>
          <w:spacing w:val="-2"/>
        </w:rPr>
        <w:t>30</w:t>
      </w:r>
      <w:r>
        <w:rPr>
          <w:spacing w:val="-2"/>
        </w:rPr>
        <w:t>分前交回本公司的股份过户香港中央证券登记有限公司，地址为香港湾仔皇</w:t>
      </w:r>
      <w:r>
        <w:rPr>
          <w:spacing w:val="-54"/>
        </w:rPr>
        <w:t> </w:t>
      </w:r>
      <w:r>
        <w:rPr>
          <w:spacing w:val="-54"/>
        </w:rPr>
      </w:r>
      <w:r>
        <w:rPr/>
        <w:t>后大道东</w:t>
      </w:r>
      <w:r>
        <w:rPr>
          <w:rFonts w:ascii="Times New Roman" w:hAnsi="Times New Roman" w:cs="Times New Roman" w:eastAsia="Times New Roman" w:hint="default"/>
        </w:rPr>
        <w:t>183</w:t>
      </w:r>
      <w:r>
        <w:rPr/>
        <w:t>号合和中心</w:t>
      </w:r>
      <w:r>
        <w:rPr>
          <w:rFonts w:ascii="Times New Roman" w:hAnsi="Times New Roman" w:cs="Times New Roman" w:eastAsia="Times New Roman" w:hint="default"/>
        </w:rPr>
        <w:t>17</w:t>
      </w:r>
      <w:r>
        <w:rPr/>
        <w:t>楼</w:t>
      </w:r>
      <w:r>
        <w:rPr>
          <w:rFonts w:ascii="Times New Roman" w:hAnsi="Times New Roman" w:cs="Times New Roman" w:eastAsia="Times New Roman" w:hint="default"/>
        </w:rPr>
        <w:t>1712-1716</w:t>
      </w:r>
      <w:r>
        <w:rPr/>
        <w:t>室。</w:t>
      </w:r>
    </w:p>
    <w:p>
      <w:pPr>
        <w:spacing w:after="0" w:line="302"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422" w:right="2421"/>
        <w:jc w:val="center"/>
        <w:rPr>
          <w:b w:val="0"/>
          <w:bCs w:val="0"/>
        </w:rPr>
      </w:pPr>
      <w:bookmarkStart w:name="_bookmark5" w:id="6"/>
      <w:bookmarkEnd w:id="6"/>
      <w:r>
        <w:rPr>
          <w:b w:val="0"/>
          <w:bCs w:val="0"/>
        </w:rPr>
      </w:r>
      <w:r>
        <w:rPr/>
        <w:t>第六节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47"/>
        <w:jc w:val="left"/>
        <w:rPr>
          <w:b w:val="0"/>
          <w:bCs w:val="0"/>
        </w:rPr>
      </w:pPr>
      <w:r>
        <w:rPr/>
        <w:t>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710"/>
        <w:jc w:val="left"/>
      </w:pPr>
      <w:r>
        <w:rPr/>
        <w:t>□ 适用 √ 不适用 本报告期公司无重大诉讼、仲裁事项。</w:t>
      </w:r>
    </w:p>
    <w:p>
      <w:pPr>
        <w:spacing w:line="240" w:lineRule="auto" w:before="3"/>
        <w:rPr>
          <w:rFonts w:ascii="宋体" w:hAnsi="宋体" w:cs="宋体" w:eastAsia="宋体" w:hint="default"/>
          <w:sz w:val="18"/>
          <w:szCs w:val="18"/>
        </w:rPr>
      </w:pPr>
    </w:p>
    <w:p>
      <w:pPr>
        <w:pStyle w:val="Heading2"/>
        <w:spacing w:line="240" w:lineRule="auto"/>
        <w:ind w:right="147"/>
        <w:jc w:val="left"/>
        <w:rPr>
          <w:b w:val="0"/>
          <w:bCs w:val="0"/>
        </w:rPr>
      </w:pP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890"/>
        <w:jc w:val="left"/>
      </w:pPr>
      <w:r>
        <w:rPr/>
        <w:t>□ 适用 √ 不适用 本报告期公司无媒体普遍质疑事项。</w:t>
      </w:r>
    </w:p>
    <w:p>
      <w:pPr>
        <w:spacing w:line="240" w:lineRule="auto" w:before="4"/>
        <w:rPr>
          <w:rFonts w:ascii="宋体" w:hAnsi="宋体" w:cs="宋体" w:eastAsia="宋体" w:hint="default"/>
          <w:sz w:val="18"/>
          <w:szCs w:val="18"/>
        </w:rPr>
      </w:pPr>
    </w:p>
    <w:p>
      <w:pPr>
        <w:pStyle w:val="Heading2"/>
        <w:spacing w:line="240" w:lineRule="auto"/>
        <w:ind w:right="147"/>
        <w:jc w:val="left"/>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4010"/>
        <w:jc w:val="left"/>
      </w:pPr>
      <w:r>
        <w:rPr/>
        <w:t>□ 适用 √ 不适用 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right="147"/>
        <w:jc w:val="left"/>
        <w:rPr>
          <w:b w:val="0"/>
          <w:bCs w:val="0"/>
        </w:rPr>
      </w:pPr>
      <w:r>
        <w:rPr/>
        <w:t>四、破产重整相关事项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710"/>
        <w:jc w:val="left"/>
      </w:pPr>
      <w:r>
        <w:rPr/>
        <w:t>□ 适用 √ 不适用 公司报告期未发生破产重整相关事项。</w:t>
      </w:r>
    </w:p>
    <w:p>
      <w:pPr>
        <w:spacing w:line="240" w:lineRule="auto" w:before="3"/>
        <w:rPr>
          <w:rFonts w:ascii="宋体" w:hAnsi="宋体" w:cs="宋体" w:eastAsia="宋体" w:hint="default"/>
          <w:sz w:val="18"/>
          <w:szCs w:val="18"/>
        </w:rPr>
      </w:pPr>
    </w:p>
    <w:p>
      <w:pPr>
        <w:pStyle w:val="Heading2"/>
        <w:spacing w:line="240" w:lineRule="auto"/>
        <w:ind w:right="147"/>
        <w:jc w:val="left"/>
        <w:rPr>
          <w:b w:val="0"/>
          <w:bCs w:val="0"/>
        </w:rPr>
      </w:pPr>
      <w:r>
        <w:rPr/>
        <w:t>五、资产交易事项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47"/>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790"/>
        <w:jc w:val="left"/>
      </w:pPr>
      <w:r>
        <w:rPr/>
        <w:t>□ 适用 √ 不适用 公司报告期未收购资产。</w:t>
      </w:r>
    </w:p>
    <w:p>
      <w:pPr>
        <w:spacing w:line="240" w:lineRule="auto" w:before="11"/>
        <w:rPr>
          <w:rFonts w:ascii="宋体" w:hAnsi="宋体" w:cs="宋体" w:eastAsia="宋体" w:hint="default"/>
          <w:sz w:val="19"/>
          <w:szCs w:val="19"/>
        </w:rPr>
      </w:pPr>
    </w:p>
    <w:p>
      <w:pPr>
        <w:pStyle w:val="Heading4"/>
        <w:spacing w:line="240" w:lineRule="auto"/>
        <w:ind w:right="147"/>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2898" w:hRule="exact"/>
        </w:trPr>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7" w:right="65"/>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289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10"/>
              <w:jc w:val="both"/>
              <w:rPr>
                <w:rFonts w:ascii="宋体" w:hAnsi="宋体" w:cs="宋体" w:eastAsia="宋体" w:hint="default"/>
                <w:sz w:val="18"/>
                <w:szCs w:val="18"/>
              </w:rPr>
            </w:pPr>
            <w:r>
              <w:rPr>
                <w:rFonts w:ascii="宋体" w:hAnsi="宋体" w:cs="宋体" w:eastAsia="宋体" w:hint="default"/>
                <w:sz w:val="18"/>
                <w:szCs w:val="18"/>
              </w:rPr>
              <w:t>广东徳 骏投资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95"/>
              <w:jc w:val="both"/>
              <w:rPr>
                <w:rFonts w:ascii="Times New Roman" w:hAnsi="Times New Roman" w:cs="Times New Roman" w:eastAsia="Times New Roman" w:hint="default"/>
                <w:sz w:val="18"/>
                <w:szCs w:val="18"/>
              </w:rPr>
            </w:pPr>
            <w:r>
              <w:rPr>
                <w:rFonts w:ascii="宋体" w:hAnsi="宋体" w:cs="宋体" w:eastAsia="宋体" w:hint="default"/>
                <w:sz w:val="18"/>
                <w:szCs w:val="18"/>
              </w:rPr>
              <w:t>晨鸣热 电所持 新力热 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的股权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10" w:right="0"/>
              <w:jc w:val="left"/>
              <w:rPr>
                <w:rFonts w:ascii="Times New Roman" w:hAnsi="Times New Roman" w:cs="Times New Roman" w:eastAsia="Times New Roman" w:hint="default"/>
                <w:sz w:val="18"/>
                <w:szCs w:val="18"/>
              </w:rPr>
            </w:pPr>
            <w:r>
              <w:rPr>
                <w:rFonts w:ascii="Times New Roman"/>
                <w:sz w:val="18"/>
              </w:rPr>
              <w:t>7,619.4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55" w:right="0"/>
              <w:jc w:val="left"/>
              <w:rPr>
                <w:rFonts w:ascii="Times New Roman" w:hAnsi="Times New Roman" w:cs="Times New Roman" w:eastAsia="Times New Roman" w:hint="default"/>
                <w:sz w:val="18"/>
                <w:szCs w:val="18"/>
              </w:rPr>
            </w:pPr>
            <w:r>
              <w:rPr>
                <w:rFonts w:ascii="Times New Roman"/>
                <w:sz w:val="18"/>
              </w:rPr>
              <w:t>435.83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增加公 司现金 流，有 利于公 司集中 资源， 发展高 端优势 产品。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24" w:right="0"/>
              <w:jc w:val="left"/>
              <w:rPr>
                <w:rFonts w:ascii="Times New Roman" w:hAnsi="Times New Roman" w:cs="Times New Roman" w:eastAsia="Times New Roman" w:hint="default"/>
                <w:sz w:val="18"/>
                <w:szCs w:val="18"/>
              </w:rPr>
            </w:pPr>
            <w:r>
              <w:rPr>
                <w:rFonts w:ascii="Times New Roman"/>
                <w:sz w:val="18"/>
              </w:rPr>
              <w:t>-1.69%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交易价 格是经 过评估 并在产 权交易 所挂牌 的基础 上形成 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62" w:lineRule="auto"/>
              <w:ind w:left="22" w:right="45"/>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2"/>
                <w:sz w:val="18"/>
              </w:rPr>
              <w:t>ww.cnin</w:t>
            </w:r>
            <w:r>
              <w:rPr>
                <w:rFonts w:ascii="Times New Roman"/>
                <w:sz w:val="18"/>
              </w:rPr>
              <w:t> fo.com. cn</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070"/>
        <w:jc w:val="left"/>
      </w:pPr>
      <w:r>
        <w:rPr/>
        <w:t>□ 适用 √ 不适用 公司报告期未发生企业合并情况。</w:t>
      </w:r>
    </w:p>
    <w:p>
      <w:pPr>
        <w:spacing w:line="240" w:lineRule="auto" w:before="1"/>
        <w:rPr>
          <w:rFonts w:ascii="宋体" w:hAnsi="宋体" w:cs="宋体" w:eastAsia="宋体" w:hint="default"/>
          <w:sz w:val="18"/>
          <w:szCs w:val="18"/>
        </w:rPr>
      </w:pPr>
    </w:p>
    <w:p>
      <w:pPr>
        <w:pStyle w:val="Heading2"/>
        <w:spacing w:line="240" w:lineRule="auto"/>
        <w:ind w:right="147"/>
        <w:jc w:val="left"/>
        <w:rPr>
          <w:b w:val="0"/>
          <w:bCs w:val="0"/>
        </w:rPr>
      </w:pP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350"/>
        <w:jc w:val="left"/>
      </w:pPr>
      <w:r>
        <w:rPr/>
        <w:t>□ 适用 √ 不适用 公司报告期无股权激励计划及其实施情况。</w:t>
      </w:r>
    </w:p>
    <w:p>
      <w:pPr>
        <w:spacing w:line="240" w:lineRule="auto" w:before="3"/>
        <w:rPr>
          <w:rFonts w:ascii="宋体" w:hAnsi="宋体" w:cs="宋体" w:eastAsia="宋体" w:hint="default"/>
          <w:sz w:val="18"/>
          <w:szCs w:val="18"/>
        </w:rPr>
      </w:pPr>
    </w:p>
    <w:p>
      <w:pPr>
        <w:pStyle w:val="Heading2"/>
        <w:spacing w:line="240" w:lineRule="auto"/>
        <w:ind w:right="147"/>
        <w:jc w:val="left"/>
        <w:rPr>
          <w:b w:val="0"/>
          <w:bCs w:val="0"/>
        </w:rPr>
      </w:pPr>
      <w:r>
        <w:rPr/>
        <w:t>七、重大关联交易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47"/>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 适用 □ 不适用</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809"/>
        <w:gridCol w:w="809"/>
        <w:gridCol w:w="809"/>
        <w:gridCol w:w="821"/>
        <w:gridCol w:w="810"/>
        <w:gridCol w:w="809"/>
        <w:gridCol w:w="808"/>
        <w:gridCol w:w="808"/>
        <w:gridCol w:w="809"/>
        <w:gridCol w:w="808"/>
        <w:gridCol w:w="805"/>
        <w:gridCol w:w="791"/>
      </w:tblGrid>
      <w:tr>
        <w:trPr>
          <w:trHeight w:val="1026" w:hRule="exact"/>
        </w:trPr>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8" w:right="38"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6" w:right="42"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37"/>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9" w:right="37"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 w:right="37"/>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 w:right="37"/>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9" w:right="37"/>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 w:right="37"/>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both"/>
              <w:rPr>
                <w:rFonts w:ascii="宋体" w:hAnsi="宋体" w:cs="宋体" w:eastAsia="宋体" w:hint="default"/>
                <w:sz w:val="18"/>
                <w:szCs w:val="18"/>
              </w:rPr>
            </w:pPr>
            <w:r>
              <w:rPr>
                <w:rFonts w:ascii="宋体" w:hAnsi="宋体" w:cs="宋体" w:eastAsia="宋体" w:hint="default"/>
                <w:sz w:val="18"/>
                <w:szCs w:val="18"/>
              </w:rPr>
              <w:t>安徽时代 物资股份 有限公司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9"/>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29,124.62</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1.52%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53"/>
              <w:jc w:val="left"/>
              <w:rPr>
                <w:rFonts w:ascii="宋体" w:hAnsi="宋体" w:cs="宋体" w:eastAsia="宋体" w:hint="default"/>
                <w:sz w:val="18"/>
                <w:szCs w:val="18"/>
              </w:rPr>
            </w:pPr>
            <w:r>
              <w:rPr>
                <w:rFonts w:ascii="宋体" w:hAnsi="宋体" w:cs="宋体" w:eastAsia="宋体" w:hint="default"/>
                <w:sz w:val="18"/>
                <w:szCs w:val="18"/>
              </w:rPr>
              <w:t>银行承 兑、电汇</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24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29,124.62</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990"/>
        <w:jc w:val="left"/>
      </w:pPr>
      <w:r>
        <w:rPr/>
        <w:t>□ 适用 √ 不适用 公司报告期未发生资产收购、出售的关联交易。</w:t>
      </w:r>
    </w:p>
    <w:p>
      <w:pPr>
        <w:spacing w:line="240" w:lineRule="auto" w:before="1"/>
        <w:rPr>
          <w:rFonts w:ascii="宋体" w:hAnsi="宋体" w:cs="宋体" w:eastAsia="宋体" w:hint="default"/>
          <w:sz w:val="20"/>
          <w:szCs w:val="20"/>
        </w:rPr>
      </w:pPr>
    </w:p>
    <w:p>
      <w:pPr>
        <w:pStyle w:val="Heading4"/>
        <w:spacing w:line="240" w:lineRule="auto"/>
        <w:ind w:right="147"/>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170"/>
        <w:jc w:val="left"/>
      </w:pPr>
      <w:r>
        <w:rPr/>
        <w:t>□ 适用 √ 不适用 公司报告期未发生共同对外投资的关联交易。</w:t>
      </w:r>
    </w:p>
    <w:p>
      <w:pPr>
        <w:spacing w:after="0" w:line="36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182"/>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930"/>
        <w:jc w:val="left"/>
      </w:pPr>
      <w:r>
        <w:rPr/>
        <w:t>√ 适用 □ 不适用 是否存在非经营性关联债权债务往来</w:t>
      </w:r>
    </w:p>
    <w:p>
      <w:pPr>
        <w:pStyle w:val="BodyText"/>
        <w:spacing w:line="357" w:lineRule="auto" w:before="29"/>
        <w:ind w:right="6030"/>
        <w:jc w:val="left"/>
      </w:pPr>
      <w:r>
        <w:rPr/>
        <w:t>□ 是 √ 否 公司报告期不存在非经营性关联债权债务往来。</w:t>
      </w:r>
    </w:p>
    <w:p>
      <w:pPr>
        <w:spacing w:line="240" w:lineRule="auto" w:before="0"/>
        <w:rPr>
          <w:rFonts w:ascii="宋体" w:hAnsi="宋体" w:cs="宋体" w:eastAsia="宋体" w:hint="default"/>
          <w:sz w:val="20"/>
          <w:szCs w:val="20"/>
        </w:rPr>
      </w:pPr>
    </w:p>
    <w:p>
      <w:pPr>
        <w:pStyle w:val="Heading4"/>
        <w:spacing w:line="240" w:lineRule="auto"/>
        <w:ind w:right="182"/>
        <w:jc w:val="left"/>
        <w:rPr>
          <w:b w:val="0"/>
          <w:bCs w:val="0"/>
        </w:rPr>
      </w:pPr>
      <w:r>
        <w:rPr>
          <w:rFonts w:ascii="Times New Roman" w:hAnsi="Times New Roman" w:cs="Times New Roman" w:eastAsia="Times New Roman" w:hint="default"/>
        </w:rPr>
        <w:t>5</w:t>
      </w:r>
      <w:r>
        <w:rPr/>
        <w:t>、其他关联交易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470"/>
        <w:jc w:val="left"/>
      </w:pPr>
      <w:r>
        <w:rPr/>
        <w:t>□ 适用 √ 不适用 公司报告期无其他关联交易。</w:t>
      </w:r>
    </w:p>
    <w:p>
      <w:pPr>
        <w:spacing w:line="240" w:lineRule="auto" w:before="4"/>
        <w:rPr>
          <w:rFonts w:ascii="宋体" w:hAnsi="宋体" w:cs="宋体" w:eastAsia="宋体" w:hint="default"/>
          <w:sz w:val="18"/>
          <w:szCs w:val="18"/>
        </w:rPr>
      </w:pPr>
    </w:p>
    <w:p>
      <w:pPr>
        <w:pStyle w:val="Heading2"/>
        <w:spacing w:line="240" w:lineRule="auto"/>
        <w:ind w:right="182"/>
        <w:jc w:val="left"/>
        <w:rPr>
          <w:b w:val="0"/>
          <w:bCs w:val="0"/>
        </w:rPr>
      </w:pPr>
      <w:r>
        <w:rPr/>
        <w:t>八、重大合同及其履行情况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82"/>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2"/>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470"/>
        <w:jc w:val="left"/>
      </w:pPr>
      <w:r>
        <w:rPr/>
        <w:t>□ 适用 √ 不适用 公司报告期不存在托管情况。</w:t>
      </w:r>
    </w:p>
    <w:p>
      <w:pPr>
        <w:spacing w:line="240" w:lineRule="auto" w:before="13"/>
        <w:rPr>
          <w:rFonts w:ascii="宋体" w:hAnsi="宋体" w:cs="宋体" w:eastAsia="宋体" w:hint="default"/>
          <w:sz w:val="19"/>
          <w:szCs w:val="19"/>
        </w:rPr>
      </w:pPr>
    </w:p>
    <w:p>
      <w:pPr>
        <w:pStyle w:val="Heading4"/>
        <w:spacing w:line="240" w:lineRule="auto"/>
        <w:ind w:right="182"/>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470"/>
        <w:jc w:val="left"/>
      </w:pPr>
      <w:r>
        <w:rPr/>
        <w:t>□ 适用 √ 不适用 公司报告期不存在承包情况。</w:t>
      </w:r>
    </w:p>
    <w:p>
      <w:pPr>
        <w:spacing w:line="240" w:lineRule="auto" w:before="1"/>
        <w:rPr>
          <w:rFonts w:ascii="宋体" w:hAnsi="宋体" w:cs="宋体" w:eastAsia="宋体" w:hint="default"/>
          <w:sz w:val="20"/>
          <w:szCs w:val="20"/>
        </w:rPr>
      </w:pPr>
    </w:p>
    <w:p>
      <w:pPr>
        <w:pStyle w:val="Heading4"/>
        <w:spacing w:line="240" w:lineRule="auto"/>
        <w:ind w:right="182"/>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470"/>
        <w:jc w:val="left"/>
      </w:pPr>
      <w:r>
        <w:rPr/>
        <w:t>□ 适用 √ 不适用 公司报告期不存在租赁情况。</w:t>
      </w:r>
    </w:p>
    <w:p>
      <w:pPr>
        <w:spacing w:line="240" w:lineRule="auto" w:before="13"/>
        <w:rPr>
          <w:rFonts w:ascii="宋体" w:hAnsi="宋体" w:cs="宋体" w:eastAsia="宋体" w:hint="default"/>
          <w:sz w:val="19"/>
          <w:szCs w:val="19"/>
        </w:rPr>
      </w:pPr>
    </w:p>
    <w:p>
      <w:pPr>
        <w:pStyle w:val="Heading4"/>
        <w:spacing w:line="240" w:lineRule="auto"/>
        <w:ind w:right="182"/>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3690" w:hanging="360"/>
        <w:jc w:val="left"/>
      </w:pPr>
      <w:r>
        <w:rPr/>
        <w:t>√ 适用 □ 不适用 报告期内，公司无对外（对子公司除外）提供担保情况和违规担保情况。</w:t>
      </w:r>
    </w:p>
    <w:p>
      <w:pPr>
        <w:pStyle w:val="BodyText"/>
        <w:spacing w:line="240" w:lineRule="auto" w:before="27"/>
        <w:ind w:left="0" w:right="99"/>
        <w:jc w:val="right"/>
      </w:pPr>
      <w:r>
        <w:rPr/>
        <w:t>报告期内，公司为子公司申请银行贷款提供了担保，担保发生额为人民币</w:t>
      </w:r>
      <w:r>
        <w:rPr>
          <w:spacing w:val="-49"/>
        </w:rPr>
        <w:t> </w:t>
      </w:r>
      <w:r>
        <w:rPr>
          <w:rFonts w:ascii="Times New Roman" w:hAnsi="Times New Roman" w:cs="Times New Roman" w:eastAsia="Times New Roman" w:hint="default"/>
        </w:rPr>
        <w:t>1,025,800.76</w:t>
      </w:r>
      <w:r>
        <w:rPr>
          <w:rFonts w:ascii="Times New Roman" w:hAnsi="Times New Roman" w:cs="Times New Roman" w:eastAsia="Times New Roman" w:hint="default"/>
          <w:spacing w:val="-4"/>
        </w:rPr>
        <w:t> </w:t>
      </w:r>
      <w:r>
        <w:rPr>
          <w:spacing w:val="-3"/>
        </w:rPr>
        <w:t>万元；截至</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pStyle w:val="BodyText"/>
        <w:spacing w:line="240" w:lineRule="auto" w:before="64"/>
        <w:ind w:right="182"/>
        <w:jc w:val="left"/>
      </w:pPr>
      <w:r>
        <w:rPr/>
        <w:t>公司为所属子公司提供实际担保余额为人民币</w:t>
      </w:r>
      <w:r>
        <w:rPr>
          <w:spacing w:val="-46"/>
        </w:rPr>
        <w:t> </w:t>
      </w:r>
      <w:r>
        <w:rPr>
          <w:rFonts w:ascii="Times New Roman" w:hAnsi="Times New Roman" w:cs="Times New Roman" w:eastAsia="Times New Roman" w:hint="default"/>
        </w:rPr>
        <w:t>1,067,981.55</w:t>
      </w:r>
      <w:r>
        <w:rPr>
          <w:rFonts w:ascii="Times New Roman" w:hAnsi="Times New Roman" w:cs="Times New Roman" w:eastAsia="Times New Roman" w:hint="default"/>
          <w:spacing w:val="-1"/>
        </w:rPr>
        <w:t> </w:t>
      </w:r>
      <w:r>
        <w:rPr/>
        <w:t>万元，占</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年归属于上市公司股东权益的比重为</w:t>
      </w:r>
      <w:r>
        <w:rPr>
          <w:spacing w:val="-46"/>
        </w:rPr>
        <w:t> </w:t>
      </w:r>
      <w:r>
        <w:rPr>
          <w:rFonts w:ascii="Times New Roman" w:hAnsi="Times New Roman" w:cs="Times New Roman" w:eastAsia="Times New Roman" w:hint="default"/>
        </w:rPr>
        <w:t>76.74%</w:t>
      </w:r>
      <w:r>
        <w:rPr/>
        <w:t>。</w:t>
      </w:r>
    </w:p>
    <w:p>
      <w:pPr>
        <w:pStyle w:val="BodyText"/>
        <w:spacing w:line="240" w:lineRule="auto" w:before="102"/>
        <w:ind w:left="7767" w:right="189"/>
        <w:jc w:val="right"/>
      </w:pPr>
      <w:r>
        <w:rPr/>
        <w:t>单位：万元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631"/>
        <w:gridCol w:w="946"/>
        <w:gridCol w:w="1016"/>
        <w:gridCol w:w="1217"/>
        <w:gridCol w:w="1186"/>
        <w:gridCol w:w="1098"/>
        <w:gridCol w:w="1022"/>
        <w:gridCol w:w="810"/>
        <w:gridCol w:w="768"/>
      </w:tblGrid>
      <w:tr>
        <w:trPr>
          <w:trHeight w:val="402"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42"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7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7" w:right="10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1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23" w:right="151"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6"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6"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9" w:right="3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7" w:right="108"/>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bl>
    <w:p>
      <w:pPr>
        <w:spacing w:after="0" w:line="319" w:lineRule="auto"/>
        <w:jc w:val="both"/>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631"/>
        <w:gridCol w:w="1460"/>
        <w:gridCol w:w="490"/>
        <w:gridCol w:w="415"/>
        <w:gridCol w:w="825"/>
        <w:gridCol w:w="611"/>
        <w:gridCol w:w="1087"/>
        <w:gridCol w:w="902"/>
        <w:gridCol w:w="688"/>
        <w:gridCol w:w="816"/>
        <w:gridCol w:w="768"/>
      </w:tblGrid>
      <w:tr>
        <w:trPr>
          <w:trHeight w:val="402" w:hRule="exact"/>
        </w:trPr>
        <w:tc>
          <w:tcPr>
            <w:tcW w:w="358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1240" w:type="dxa"/>
            <w:gridSpan w:val="2"/>
            <w:tcBorders>
              <w:top w:val="single" w:sz="4" w:space="0" w:color="000000"/>
              <w:left w:val="single" w:sz="9" w:space="0" w:color="D3D3D3"/>
              <w:bottom w:val="single" w:sz="4" w:space="0" w:color="000000"/>
              <w:right w:val="single" w:sz="13" w:space="0" w:color="D3D3D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328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13"/>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1584"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58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1240" w:type="dxa"/>
            <w:gridSpan w:val="2"/>
            <w:tcBorders>
              <w:top w:val="single" w:sz="4" w:space="0" w:color="000000"/>
              <w:left w:val="single" w:sz="9" w:space="0" w:color="D3D3D3"/>
              <w:bottom w:val="single" w:sz="4" w:space="0" w:color="000000"/>
              <w:right w:val="single" w:sz="13" w:space="0" w:color="D3D3D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328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1584"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69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58" w:hRule="exact"/>
        </w:trPr>
        <w:tc>
          <w:tcPr>
            <w:tcW w:w="1631" w:type="dxa"/>
            <w:vMerge w:val="restart"/>
            <w:tcBorders>
              <w:top w:val="single" w:sz="4" w:space="0" w:color="000000"/>
              <w:left w:val="single" w:sz="4" w:space="0" w:color="000000"/>
              <w:right w:val="single" w:sz="4" w:space="0" w:color="000000"/>
            </w:tcBorders>
            <w:shd w:val="clear" w:color="auto" w:fill="D3D3D3"/>
          </w:tcPr>
          <w:p>
            <w:pPr/>
          </w:p>
        </w:tc>
        <w:tc>
          <w:tcPr>
            <w:tcW w:w="146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5" w:type="dxa"/>
            <w:gridSpan w:val="2"/>
            <w:vMerge w:val="restart"/>
            <w:tcBorders>
              <w:top w:val="single" w:sz="4" w:space="0" w:color="000000"/>
              <w:left w:val="single" w:sz="4" w:space="0" w:color="000000"/>
              <w:right w:val="single" w:sz="4" w:space="0" w:color="000000"/>
            </w:tcBorders>
            <w:shd w:val="clear" w:color="auto" w:fill="D3D3D3"/>
          </w:tcPr>
          <w:p>
            <w:pPr/>
          </w:p>
        </w:tc>
        <w:tc>
          <w:tcPr>
            <w:tcW w:w="1436" w:type="dxa"/>
            <w:gridSpan w:val="2"/>
            <w:tcBorders>
              <w:top w:val="single" w:sz="4" w:space="0" w:color="000000"/>
              <w:left w:val="single" w:sz="4" w:space="0" w:color="000000"/>
              <w:bottom w:val="single" w:sz="8" w:space="0" w:color="FFFFFF"/>
              <w:right w:val="single" w:sz="4" w:space="0" w:color="000000"/>
            </w:tcBorders>
            <w:shd w:val="clear" w:color="auto" w:fill="D3D3D3"/>
          </w:tcPr>
          <w:p>
            <w:pPr/>
          </w:p>
        </w:tc>
        <w:tc>
          <w:tcPr>
            <w:tcW w:w="1087" w:type="dxa"/>
            <w:tcBorders>
              <w:top w:val="single" w:sz="4" w:space="0" w:color="000000"/>
              <w:left w:val="single" w:sz="4" w:space="0" w:color="000000"/>
              <w:bottom w:val="single" w:sz="8" w:space="0" w:color="FFFFFF"/>
              <w:right w:val="single" w:sz="4" w:space="0" w:color="000000"/>
            </w:tcBorders>
            <w:shd w:val="clear" w:color="auto" w:fill="D3D3D3"/>
          </w:tcPr>
          <w:p>
            <w:pPr/>
          </w:p>
        </w:tc>
        <w:tc>
          <w:tcPr>
            <w:tcW w:w="902" w:type="dxa"/>
            <w:vMerge w:val="restart"/>
            <w:tcBorders>
              <w:top w:val="single" w:sz="4" w:space="0" w:color="000000"/>
              <w:left w:val="single" w:sz="4" w:space="0" w:color="000000"/>
              <w:right w:val="single" w:sz="4" w:space="0" w:color="000000"/>
            </w:tcBorders>
            <w:shd w:val="clear" w:color="auto" w:fill="D3D3D3"/>
          </w:tcPr>
          <w:p>
            <w:pPr/>
          </w:p>
        </w:tc>
        <w:tc>
          <w:tcPr>
            <w:tcW w:w="688" w:type="dxa"/>
            <w:vMerge w:val="restart"/>
            <w:tcBorders>
              <w:top w:val="single" w:sz="4" w:space="0" w:color="000000"/>
              <w:left w:val="single" w:sz="4" w:space="0" w:color="000000"/>
              <w:right w:val="single" w:sz="4" w:space="0" w:color="000000"/>
            </w:tcBorders>
            <w:shd w:val="clear" w:color="auto" w:fill="D3D3D3"/>
          </w:tcPr>
          <w:p>
            <w:pPr/>
          </w:p>
        </w:tc>
        <w:tc>
          <w:tcPr>
            <w:tcW w:w="816" w:type="dxa"/>
            <w:tcBorders>
              <w:top w:val="single" w:sz="4" w:space="0" w:color="000000"/>
              <w:left w:val="single" w:sz="4" w:space="0" w:color="000000"/>
              <w:bottom w:val="nil" w:sz="6" w:space="0" w:color="auto"/>
              <w:right w:val="single" w:sz="4" w:space="0" w:color="000000"/>
            </w:tcBorders>
            <w:shd w:val="clear" w:color="auto" w:fill="D3D3D3"/>
          </w:tcPr>
          <w:p>
            <w:pPr/>
          </w:p>
        </w:tc>
        <w:tc>
          <w:tcPr>
            <w:tcW w:w="7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07" w:right="108"/>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59" w:hRule="exact"/>
        </w:trPr>
        <w:tc>
          <w:tcPr>
            <w:tcW w:w="1631" w:type="dxa"/>
            <w:vMerge/>
            <w:tcBorders>
              <w:left w:val="single" w:sz="4" w:space="0" w:color="000000"/>
              <w:bottom w:val="nil" w:sz="6" w:space="0" w:color="auto"/>
              <w:right w:val="single" w:sz="4" w:space="0" w:color="000000"/>
            </w:tcBorders>
            <w:shd w:val="clear" w:color="auto" w:fill="D3D3D3"/>
          </w:tcPr>
          <w:p>
            <w:pPr/>
          </w:p>
        </w:tc>
        <w:tc>
          <w:tcPr>
            <w:tcW w:w="146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6"/>
              <w:ind w:left="274" w:right="95" w:hanging="180"/>
              <w:jc w:val="left"/>
              <w:rPr>
                <w:rFonts w:ascii="宋体" w:hAnsi="宋体" w:cs="宋体" w:eastAsia="宋体" w:hint="default"/>
                <w:sz w:val="18"/>
                <w:szCs w:val="18"/>
              </w:rPr>
            </w:pPr>
            <w:r>
              <w:rPr>
                <w:rFonts w:ascii="宋体" w:hAnsi="宋体" w:cs="宋体" w:eastAsia="宋体" w:hint="default"/>
                <w:sz w:val="18"/>
                <w:szCs w:val="18"/>
              </w:rPr>
              <w:t>担保额度相关公 告披露日期</w:t>
            </w:r>
          </w:p>
        </w:tc>
        <w:tc>
          <w:tcPr>
            <w:tcW w:w="905" w:type="dxa"/>
            <w:gridSpan w:val="2"/>
            <w:vMerge/>
            <w:tcBorders>
              <w:left w:val="single" w:sz="4" w:space="0" w:color="000000"/>
              <w:bottom w:val="nil" w:sz="6" w:space="0" w:color="auto"/>
              <w:right w:val="single" w:sz="4" w:space="0" w:color="000000"/>
            </w:tcBorders>
            <w:shd w:val="clear" w:color="auto" w:fill="D3D3D3"/>
          </w:tcPr>
          <w:p>
            <w:pPr/>
          </w:p>
        </w:tc>
        <w:tc>
          <w:tcPr>
            <w:tcW w:w="1436" w:type="dxa"/>
            <w:gridSpan w:val="2"/>
            <w:vMerge w:val="restart"/>
            <w:tcBorders>
              <w:top w:val="single" w:sz="8" w:space="0" w:color="FFFFFF"/>
              <w:left w:val="single" w:sz="4" w:space="0" w:color="000000"/>
              <w:right w:val="single" w:sz="4" w:space="0" w:color="000000"/>
            </w:tcBorders>
            <w:shd w:val="clear" w:color="auto" w:fill="D3D3D3"/>
          </w:tcPr>
          <w:p>
            <w:pPr>
              <w:pStyle w:val="TableParagraph"/>
              <w:spacing w:line="240" w:lineRule="auto" w:before="23"/>
              <w:ind w:left="17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117"/>
              <w:ind w:left="8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87" w:type="dxa"/>
            <w:vMerge w:val="restart"/>
            <w:tcBorders>
              <w:top w:val="single" w:sz="8" w:space="0" w:color="FFFFFF"/>
              <w:left w:val="single" w:sz="4" w:space="0" w:color="000000"/>
              <w:right w:val="single" w:sz="4" w:space="0" w:color="000000"/>
            </w:tcBorders>
            <w:shd w:val="clear" w:color="auto" w:fill="D3D3D3"/>
          </w:tcPr>
          <w:p>
            <w:pPr>
              <w:pStyle w:val="TableParagraph"/>
              <w:spacing w:line="316" w:lineRule="auto" w:before="43"/>
              <w:ind w:left="448" w:right="8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902" w:type="dxa"/>
            <w:vMerge/>
            <w:tcBorders>
              <w:left w:val="single" w:sz="4" w:space="0" w:color="000000"/>
              <w:bottom w:val="nil" w:sz="6" w:space="0" w:color="auto"/>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81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225" w:right="3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68" w:type="dxa"/>
            <w:vMerge/>
            <w:tcBorders>
              <w:left w:val="single" w:sz="4" w:space="0" w:color="000000"/>
              <w:right w:val="single" w:sz="4" w:space="0" w:color="000000"/>
            </w:tcBorders>
            <w:shd w:val="clear" w:color="auto" w:fill="D3D3D3"/>
          </w:tcPr>
          <w:p>
            <w:pPr/>
          </w:p>
        </w:tc>
      </w:tr>
      <w:tr>
        <w:trPr>
          <w:trHeight w:val="392" w:hRule="exact"/>
        </w:trPr>
        <w:tc>
          <w:tcPr>
            <w:tcW w:w="16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460" w:type="dxa"/>
            <w:vMerge/>
            <w:tcBorders>
              <w:left w:val="single" w:sz="4" w:space="0" w:color="000000"/>
              <w:right w:val="single" w:sz="4" w:space="0" w:color="000000"/>
            </w:tcBorders>
            <w:shd w:val="clear" w:color="auto" w:fill="D3D3D3"/>
          </w:tcPr>
          <w:p>
            <w:pPr/>
          </w:p>
        </w:tc>
        <w:tc>
          <w:tcPr>
            <w:tcW w:w="905"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36" w:type="dxa"/>
            <w:gridSpan w:val="2"/>
            <w:vMerge/>
            <w:tcBorders>
              <w:left w:val="single" w:sz="4" w:space="0" w:color="000000"/>
              <w:right w:val="single" w:sz="4" w:space="0" w:color="000000"/>
            </w:tcBorders>
            <w:shd w:val="clear" w:color="auto" w:fill="D3D3D3"/>
          </w:tcPr>
          <w:p>
            <w:pPr/>
          </w:p>
        </w:tc>
        <w:tc>
          <w:tcPr>
            <w:tcW w:w="1087" w:type="dxa"/>
            <w:vMerge/>
            <w:tcBorders>
              <w:left w:val="single" w:sz="4" w:space="0" w:color="000000"/>
              <w:right w:val="single" w:sz="4" w:space="0" w:color="000000"/>
            </w:tcBorders>
            <w:shd w:val="clear" w:color="auto" w:fill="D3D3D3"/>
          </w:tcPr>
          <w:p>
            <w:pPr/>
          </w:p>
        </w:tc>
        <w:tc>
          <w:tcPr>
            <w:tcW w:w="9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6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16" w:type="dxa"/>
            <w:vMerge/>
            <w:tcBorders>
              <w:left w:val="single" w:sz="4" w:space="0" w:color="000000"/>
              <w:right w:val="single" w:sz="4" w:space="0" w:color="000000"/>
            </w:tcBorders>
            <w:shd w:val="clear" w:color="auto" w:fill="D3D3D3"/>
          </w:tcPr>
          <w:p>
            <w:pPr/>
          </w:p>
        </w:tc>
        <w:tc>
          <w:tcPr>
            <w:tcW w:w="768" w:type="dxa"/>
            <w:vMerge/>
            <w:tcBorders>
              <w:left w:val="single" w:sz="4" w:space="0" w:color="000000"/>
              <w:right w:val="single" w:sz="4" w:space="0" w:color="000000"/>
            </w:tcBorders>
            <w:shd w:val="clear" w:color="auto" w:fill="D3D3D3"/>
          </w:tcPr>
          <w:p>
            <w:pPr/>
          </w:p>
        </w:tc>
      </w:tr>
      <w:tr>
        <w:trPr>
          <w:trHeight w:val="161" w:hRule="exact"/>
        </w:trPr>
        <w:tc>
          <w:tcPr>
            <w:tcW w:w="1631" w:type="dxa"/>
            <w:vMerge w:val="restart"/>
            <w:tcBorders>
              <w:top w:val="nil" w:sz="6" w:space="0" w:color="auto"/>
              <w:left w:val="single" w:sz="4" w:space="0" w:color="000000"/>
              <w:right w:val="single" w:sz="4" w:space="0" w:color="000000"/>
            </w:tcBorders>
            <w:shd w:val="clear" w:color="auto" w:fill="D3D3D3"/>
          </w:tcPr>
          <w:p>
            <w:pPr/>
          </w:p>
        </w:tc>
        <w:tc>
          <w:tcPr>
            <w:tcW w:w="1460" w:type="dxa"/>
            <w:vMerge/>
            <w:tcBorders>
              <w:left w:val="single" w:sz="4" w:space="0" w:color="000000"/>
              <w:bottom w:val="nil" w:sz="6" w:space="0" w:color="auto"/>
              <w:right w:val="single" w:sz="4" w:space="0" w:color="000000"/>
            </w:tcBorders>
            <w:shd w:val="clear" w:color="auto" w:fill="D3D3D3"/>
          </w:tcPr>
          <w:p>
            <w:pPr/>
          </w:p>
        </w:tc>
        <w:tc>
          <w:tcPr>
            <w:tcW w:w="905" w:type="dxa"/>
            <w:gridSpan w:val="2"/>
            <w:vMerge w:val="restart"/>
            <w:tcBorders>
              <w:top w:val="nil" w:sz="6" w:space="0" w:color="auto"/>
              <w:left w:val="single" w:sz="4" w:space="0" w:color="000000"/>
              <w:right w:val="single" w:sz="4" w:space="0" w:color="000000"/>
            </w:tcBorders>
            <w:shd w:val="clear" w:color="auto" w:fill="D3D3D3"/>
          </w:tcPr>
          <w:p>
            <w:pPr/>
          </w:p>
        </w:tc>
        <w:tc>
          <w:tcPr>
            <w:tcW w:w="1436" w:type="dxa"/>
            <w:gridSpan w:val="2"/>
            <w:vMerge/>
            <w:tcBorders>
              <w:left w:val="single" w:sz="4" w:space="0" w:color="000000"/>
              <w:bottom w:val="single" w:sz="8" w:space="0" w:color="FFFFFF"/>
              <w:right w:val="single" w:sz="4" w:space="0" w:color="000000"/>
            </w:tcBorders>
            <w:shd w:val="clear" w:color="auto" w:fill="D3D3D3"/>
          </w:tcPr>
          <w:p>
            <w:pPr/>
          </w:p>
        </w:tc>
        <w:tc>
          <w:tcPr>
            <w:tcW w:w="1087" w:type="dxa"/>
            <w:vMerge/>
            <w:tcBorders>
              <w:left w:val="single" w:sz="4" w:space="0" w:color="000000"/>
              <w:bottom w:val="single" w:sz="8" w:space="0" w:color="FFFFFF"/>
              <w:right w:val="single" w:sz="4" w:space="0" w:color="000000"/>
            </w:tcBorders>
            <w:shd w:val="clear" w:color="auto" w:fill="D3D3D3"/>
          </w:tcPr>
          <w:p>
            <w:pPr/>
          </w:p>
        </w:tc>
        <w:tc>
          <w:tcPr>
            <w:tcW w:w="902" w:type="dxa"/>
            <w:vMerge w:val="restart"/>
            <w:tcBorders>
              <w:top w:val="nil" w:sz="6" w:space="0" w:color="auto"/>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
        </w:tc>
        <w:tc>
          <w:tcPr>
            <w:tcW w:w="816" w:type="dxa"/>
            <w:vMerge/>
            <w:tcBorders>
              <w:left w:val="single" w:sz="4" w:space="0" w:color="000000"/>
              <w:bottom w:val="nil" w:sz="6" w:space="0" w:color="auto"/>
              <w:right w:val="single" w:sz="4" w:space="0" w:color="000000"/>
            </w:tcBorders>
            <w:shd w:val="clear" w:color="auto" w:fill="D3D3D3"/>
          </w:tcPr>
          <w:p>
            <w:pPr/>
          </w:p>
        </w:tc>
        <w:tc>
          <w:tcPr>
            <w:tcW w:w="768" w:type="dxa"/>
            <w:vMerge/>
            <w:tcBorders>
              <w:left w:val="single" w:sz="4" w:space="0" w:color="000000"/>
              <w:right w:val="single" w:sz="4" w:space="0" w:color="000000"/>
            </w:tcBorders>
            <w:shd w:val="clear" w:color="auto" w:fill="D3D3D3"/>
          </w:tcPr>
          <w:p>
            <w:pPr/>
          </w:p>
        </w:tc>
      </w:tr>
      <w:tr>
        <w:trPr>
          <w:trHeight w:val="156" w:hRule="exact"/>
        </w:trPr>
        <w:tc>
          <w:tcPr>
            <w:tcW w:w="1631" w:type="dxa"/>
            <w:vMerge/>
            <w:tcBorders>
              <w:left w:val="single" w:sz="4" w:space="0" w:color="000000"/>
              <w:bottom w:val="single" w:sz="4" w:space="0" w:color="000000"/>
              <w:right w:val="single" w:sz="4" w:space="0" w:color="000000"/>
            </w:tcBorders>
            <w:shd w:val="clear" w:color="auto" w:fill="D3D3D3"/>
          </w:tcPr>
          <w:p>
            <w:pPr/>
          </w:p>
        </w:tc>
        <w:tc>
          <w:tcPr>
            <w:tcW w:w="146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5" w:type="dxa"/>
            <w:gridSpan w:val="2"/>
            <w:vMerge/>
            <w:tcBorders>
              <w:left w:val="single" w:sz="4" w:space="0" w:color="000000"/>
              <w:bottom w:val="single" w:sz="4" w:space="0" w:color="000000"/>
              <w:right w:val="single" w:sz="4" w:space="0" w:color="000000"/>
            </w:tcBorders>
            <w:shd w:val="clear" w:color="auto" w:fill="D3D3D3"/>
          </w:tcPr>
          <w:p>
            <w:pPr/>
          </w:p>
        </w:tc>
        <w:tc>
          <w:tcPr>
            <w:tcW w:w="1436" w:type="dxa"/>
            <w:gridSpan w:val="2"/>
            <w:tcBorders>
              <w:top w:val="single" w:sz="8" w:space="0" w:color="FFFFFF"/>
              <w:left w:val="single" w:sz="4" w:space="0" w:color="000000"/>
              <w:bottom w:val="single" w:sz="4" w:space="0" w:color="000000"/>
              <w:right w:val="single" w:sz="4" w:space="0" w:color="000000"/>
            </w:tcBorders>
            <w:shd w:val="clear" w:color="auto" w:fill="D3D3D3"/>
          </w:tcPr>
          <w:p>
            <w:pPr/>
          </w:p>
        </w:tc>
        <w:tc>
          <w:tcPr>
            <w:tcW w:w="1087" w:type="dxa"/>
            <w:tcBorders>
              <w:top w:val="single" w:sz="8" w:space="0" w:color="FFFFFF"/>
              <w:left w:val="single" w:sz="4" w:space="0" w:color="000000"/>
              <w:bottom w:val="single" w:sz="4" w:space="0" w:color="000000"/>
              <w:right w:val="single" w:sz="4" w:space="0" w:color="000000"/>
            </w:tcBorders>
            <w:shd w:val="clear" w:color="auto" w:fill="D3D3D3"/>
          </w:tcPr>
          <w:p>
            <w:pPr/>
          </w:p>
        </w:tc>
        <w:tc>
          <w:tcPr>
            <w:tcW w:w="902" w:type="dxa"/>
            <w:vMerge/>
            <w:tcBorders>
              <w:left w:val="single" w:sz="4" w:space="0" w:color="000000"/>
              <w:bottom w:val="single" w:sz="4" w:space="0" w:color="000000"/>
              <w:right w:val="single" w:sz="4" w:space="0" w:color="000000"/>
            </w:tcBorders>
            <w:shd w:val="clear" w:color="auto" w:fill="D3D3D3"/>
          </w:tcPr>
          <w:p>
            <w:pPr/>
          </w:p>
        </w:tc>
        <w:tc>
          <w:tcPr>
            <w:tcW w:w="688" w:type="dxa"/>
            <w:vMerge/>
            <w:tcBorders>
              <w:left w:val="single" w:sz="4" w:space="0" w:color="000000"/>
              <w:bottom w:val="single" w:sz="4" w:space="0" w:color="000000"/>
              <w:right w:val="single" w:sz="4" w:space="0" w:color="000000"/>
            </w:tcBorders>
            <w:shd w:val="clear" w:color="auto" w:fill="D3D3D3"/>
          </w:tcPr>
          <w:p>
            <w:pPr/>
          </w:p>
        </w:tc>
        <w:tc>
          <w:tcPr>
            <w:tcW w:w="816" w:type="dxa"/>
            <w:tcBorders>
              <w:top w:val="nil" w:sz="6" w:space="0" w:color="auto"/>
              <w:left w:val="single" w:sz="4" w:space="0" w:color="000000"/>
              <w:bottom w:val="single" w:sz="4" w:space="0" w:color="000000"/>
              <w:right w:val="single" w:sz="4" w:space="0" w:color="000000"/>
            </w:tcBorders>
            <w:shd w:val="clear" w:color="auto" w:fill="D3D3D3"/>
          </w:tcPr>
          <w:p>
            <w:pPr/>
          </w:p>
        </w:tc>
        <w:tc>
          <w:tcPr>
            <w:tcW w:w="768"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湛江晨鸣浆纸有限 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270,000</w:t>
            </w:r>
          </w:p>
        </w:tc>
        <w:tc>
          <w:tcPr>
            <w:tcW w:w="1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185,144.16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湛江晨鸣浆纸有限 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650,000</w:t>
            </w:r>
          </w:p>
        </w:tc>
        <w:tc>
          <w:tcPr>
            <w:tcW w:w="1436" w:type="dxa"/>
            <w:gridSpan w:val="2"/>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江西晨鸣纸业有限 责任公司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45,000</w:t>
            </w:r>
          </w:p>
        </w:tc>
        <w:tc>
          <w:tcPr>
            <w:tcW w:w="1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17,660.01</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江西晨鸣纸业有限 责任公司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200,000</w:t>
            </w:r>
          </w:p>
        </w:tc>
        <w:tc>
          <w:tcPr>
            <w:tcW w:w="1436" w:type="dxa"/>
            <w:gridSpan w:val="2"/>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黄冈晨鸣林业发展 有限责任公司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2,600</w:t>
            </w:r>
          </w:p>
        </w:tc>
        <w:tc>
          <w:tcPr>
            <w:tcW w:w="1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黄冈晨鸣林业发展 有限责任公司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10,000</w:t>
            </w:r>
          </w:p>
        </w:tc>
        <w:tc>
          <w:tcPr>
            <w:tcW w:w="1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吉林晨鸣纸业有限 责任公司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150,000</w:t>
            </w:r>
          </w:p>
        </w:tc>
        <w:tc>
          <w:tcPr>
            <w:tcW w:w="1436" w:type="dxa"/>
            <w:gridSpan w:val="2"/>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晨鸣（香港）有限公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500,000</w:t>
            </w:r>
          </w:p>
        </w:tc>
        <w:tc>
          <w:tcPr>
            <w:tcW w:w="1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248,763.54</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晨鸣（香港）有限公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500,000</w:t>
            </w:r>
          </w:p>
        </w:tc>
        <w:tc>
          <w:tcPr>
            <w:tcW w:w="1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129,503.51</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山东晨鸣纸业销售 有限公司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200,000</w:t>
            </w:r>
          </w:p>
        </w:tc>
        <w:tc>
          <w:tcPr>
            <w:tcW w:w="1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147,007.37</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山东晨鸣纸业销售 有限公司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400,000</w:t>
            </w:r>
          </w:p>
        </w:tc>
        <w:tc>
          <w:tcPr>
            <w:tcW w:w="1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245,308.57</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寿光晨鸣进出口贸 易有限公司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200,000</w:t>
            </w:r>
          </w:p>
        </w:tc>
        <w:tc>
          <w:tcPr>
            <w:tcW w:w="1436" w:type="dxa"/>
            <w:gridSpan w:val="2"/>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山东晨鸣融资租赁 有限公司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100,000</w:t>
            </w:r>
          </w:p>
        </w:tc>
        <w:tc>
          <w:tcPr>
            <w:tcW w:w="1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85,994.39</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海城海鸣矿业有限 责任公司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60,000</w:t>
            </w:r>
          </w:p>
        </w:tc>
        <w:tc>
          <w:tcPr>
            <w:tcW w:w="1436" w:type="dxa"/>
            <w:gridSpan w:val="2"/>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山东晨鸣集团财务 有限公司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400,000</w:t>
            </w:r>
          </w:p>
        </w:tc>
        <w:tc>
          <w:tcPr>
            <w:tcW w:w="1436" w:type="dxa"/>
            <w:gridSpan w:val="2"/>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广东慧锐投资有限 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4,000</w:t>
            </w:r>
          </w:p>
        </w:tc>
        <w:tc>
          <w:tcPr>
            <w:tcW w:w="1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479.940002pt;margin-top:71.910004pt;width:58.65pt;height:20.8pt;mso-position-horizontal-relative:page;mso-position-vertical-relative:page;z-index:-1129456" coordorigin="9599,1438" coordsize="1173,416">
            <v:group style="position:absolute;left:9610;top:1450;width:2;height:393" coordorigin="9610,1450" coordsize="2,393">
              <v:shape style="position:absolute;left:9610;top:1450;width:2;height:393" coordorigin="9610,1450" coordsize="0,393" path="m9610,1450l9610,1842e" filled="false" stroked="true" strokeweight="1.140pt" strokecolor="#ffffff">
                <v:path arrowok="t"/>
              </v:shape>
            </v:group>
            <v:group style="position:absolute;left:9622;top:1450;width:1150;height:393" coordorigin="9622,1450" coordsize="1150,393">
              <v:shape style="position:absolute;left:9622;top:1450;width:1150;height:393" coordorigin="9622,1450" coordsize="1150,393" path="m9622,1842l10771,1842,10771,1450,9622,1450,9622,184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3785"/>
        <w:gridCol w:w="1103"/>
        <w:gridCol w:w="877"/>
        <w:gridCol w:w="2699"/>
        <w:gridCol w:w="122"/>
        <w:gridCol w:w="1096"/>
      </w:tblGrid>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1103" w:type="dxa"/>
            <w:tcBorders>
              <w:top w:val="single" w:sz="4" w:space="0" w:color="000000"/>
              <w:left w:val="single" w:sz="9" w:space="0" w:color="D3D3D3"/>
              <w:bottom w:val="single" w:sz="4" w:space="0" w:color="000000"/>
              <w:right w:val="single" w:sz="13" w:space="0" w:color="D3D3D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2,670,000</w:t>
            </w:r>
          </w:p>
        </w:tc>
        <w:tc>
          <w:tcPr>
            <w:tcW w:w="35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报告期内对子公司担保实际发生额合计（</w:t>
            </w:r>
            <w:r>
              <w:rPr>
                <w:rFonts w:ascii="Times New Roman" w:hAnsi="Times New Roman" w:cs="Times New Roman" w:eastAsia="Times New Roman" w:hint="default"/>
                <w:sz w:val="18"/>
                <w:szCs w:val="18"/>
              </w:rPr>
              <w:t>B2</w:t>
            </w:r>
          </w:p>
        </w:tc>
        <w:tc>
          <w:tcPr>
            <w:tcW w:w="122" w:type="dxa"/>
            <w:tcBorders>
              <w:top w:val="single" w:sz="4" w:space="0" w:color="000000"/>
              <w:left w:val="single" w:sz="10" w:space="0" w:color="D3D3D3"/>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1,025,800.76</w:t>
            </w:r>
          </w:p>
        </w:tc>
      </w:tr>
      <w:tr>
        <w:trPr>
          <w:trHeight w:val="402" w:hRule="exact"/>
        </w:trPr>
        <w:tc>
          <w:tcPr>
            <w:tcW w:w="3785"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1103" w:type="dxa"/>
            <w:tcBorders>
              <w:top w:val="single" w:sz="4" w:space="0" w:color="000000"/>
              <w:left w:val="single" w:sz="22" w:space="0" w:color="FFFFFF"/>
              <w:bottom w:val="single" w:sz="4" w:space="0" w:color="000000"/>
              <w:right w:val="single" w:sz="13" w:space="0" w:color="D3D3D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3,691,600</w:t>
            </w:r>
          </w:p>
        </w:tc>
        <w:tc>
          <w:tcPr>
            <w:tcW w:w="35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1218"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31" w:right="0"/>
              <w:jc w:val="left"/>
              <w:rPr>
                <w:rFonts w:ascii="Times New Roman" w:hAnsi="Times New Roman" w:cs="Times New Roman" w:eastAsia="Times New Roman" w:hint="default"/>
                <w:sz w:val="18"/>
                <w:szCs w:val="18"/>
              </w:rPr>
            </w:pPr>
            <w:r>
              <w:rPr>
                <w:rFonts w:ascii="Times New Roman"/>
                <w:sz w:val="18"/>
              </w:rPr>
              <w:t>1,067,981.55</w:t>
            </w:r>
          </w:p>
        </w:tc>
      </w:tr>
      <w:tr>
        <w:trPr>
          <w:trHeight w:val="402" w:hRule="exact"/>
        </w:trPr>
        <w:tc>
          <w:tcPr>
            <w:tcW w:w="9682"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1103" w:type="dxa"/>
            <w:tcBorders>
              <w:top w:val="single" w:sz="4" w:space="0" w:color="000000"/>
              <w:left w:val="single" w:sz="9" w:space="0" w:color="D3D3D3"/>
              <w:bottom w:val="single" w:sz="4" w:space="0" w:color="000000"/>
              <w:right w:val="single" w:sz="13" w:space="0" w:color="D3D3D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2,670,000</w:t>
            </w:r>
          </w:p>
        </w:tc>
        <w:tc>
          <w:tcPr>
            <w:tcW w:w="35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1218"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31" w:right="0"/>
              <w:jc w:val="left"/>
              <w:rPr>
                <w:rFonts w:ascii="Times New Roman" w:hAnsi="Times New Roman" w:cs="Times New Roman" w:eastAsia="Times New Roman" w:hint="default"/>
                <w:sz w:val="18"/>
                <w:szCs w:val="18"/>
              </w:rPr>
            </w:pPr>
            <w:r>
              <w:rPr>
                <w:rFonts w:ascii="Times New Roman"/>
                <w:sz w:val="18"/>
              </w:rPr>
              <w:t>1,025,800.76</w:t>
            </w:r>
          </w:p>
        </w:tc>
      </w:tr>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1103" w:type="dxa"/>
            <w:tcBorders>
              <w:top w:val="single" w:sz="4" w:space="0" w:color="000000"/>
              <w:left w:val="single" w:sz="9" w:space="0" w:color="D3D3D3"/>
              <w:bottom w:val="single" w:sz="4" w:space="0" w:color="000000"/>
              <w:right w:val="single" w:sz="13" w:space="0" w:color="D3D3D3"/>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3,691,600</w:t>
            </w:r>
          </w:p>
        </w:tc>
        <w:tc>
          <w:tcPr>
            <w:tcW w:w="35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1218"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31" w:right="0"/>
              <w:jc w:val="left"/>
              <w:rPr>
                <w:rFonts w:ascii="Times New Roman" w:hAnsi="Times New Roman" w:cs="Times New Roman" w:eastAsia="Times New Roman" w:hint="default"/>
                <w:sz w:val="18"/>
                <w:szCs w:val="18"/>
              </w:rPr>
            </w:pPr>
            <w:r>
              <w:rPr>
                <w:rFonts w:ascii="Times New Roman"/>
                <w:sz w:val="18"/>
              </w:rPr>
              <w:t>1,067,981.55</w:t>
            </w:r>
          </w:p>
        </w:tc>
      </w:tr>
      <w:tr>
        <w:trPr>
          <w:trHeight w:val="402" w:hRule="exact"/>
        </w:trPr>
        <w:tc>
          <w:tcPr>
            <w:tcW w:w="576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391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76.74%</w:t>
            </w:r>
          </w:p>
        </w:tc>
      </w:tr>
      <w:tr>
        <w:trPr>
          <w:trHeight w:val="402" w:hRule="exact"/>
        </w:trPr>
        <w:tc>
          <w:tcPr>
            <w:tcW w:w="9682"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576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391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76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的被担保对象提供的债务担保金</w:t>
            </w:r>
            <w:r>
              <w:rPr>
                <w:rFonts w:ascii="宋体" w:hAnsi="宋体" w:cs="宋体" w:eastAsia="宋体" w:hint="default"/>
                <w:spacing w:val="-83"/>
                <w:sz w:val="18"/>
                <w:szCs w:val="18"/>
              </w:rPr>
              <w:t>额</w:t>
            </w:r>
            <w:r>
              <w:rPr>
                <w:rFonts w:ascii="宋体" w:hAnsi="宋体" w:cs="宋体" w:eastAsia="宋体" w:hint="default"/>
                <w:sz w:val="18"/>
                <w:szCs w:val="18"/>
              </w:rPr>
              <w:t>（</w:t>
            </w:r>
            <w:r>
              <w:rPr>
                <w:rFonts w:ascii="Times New Roman" w:hAnsi="Times New Roman" w:cs="Times New Roman" w:eastAsia="Times New Roman" w:hint="default"/>
                <w:sz w:val="18"/>
                <w:szCs w:val="18"/>
              </w:rPr>
              <w:t>D</w:t>
            </w:r>
          </w:p>
        </w:tc>
        <w:tc>
          <w:tcPr>
            <w:tcW w:w="2699" w:type="dxa"/>
            <w:tcBorders>
              <w:top w:val="single" w:sz="4" w:space="0" w:color="000000"/>
              <w:left w:val="single" w:sz="13" w:space="0" w:color="D3D3D3"/>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22" w:type="dxa"/>
            <w:tcBorders>
              <w:top w:val="single" w:sz="4" w:space="0" w:color="000000"/>
              <w:left w:val="nil" w:sz="6" w:space="0" w:color="auto"/>
              <w:bottom w:val="single" w:sz="4" w:space="0" w:color="000000"/>
              <w:right w:val="nil" w:sz="6" w:space="0" w:color="auto"/>
            </w:tcBorders>
          </w:tcPr>
          <w:p>
            <w:pPr/>
          </w:p>
        </w:tc>
        <w:tc>
          <w:tcPr>
            <w:tcW w:w="1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779,182.99</w:t>
            </w:r>
          </w:p>
        </w:tc>
      </w:tr>
      <w:tr>
        <w:trPr>
          <w:trHeight w:val="402" w:hRule="exact"/>
        </w:trPr>
        <w:tc>
          <w:tcPr>
            <w:tcW w:w="576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391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372,114.38</w:t>
            </w:r>
          </w:p>
        </w:tc>
      </w:tr>
      <w:tr>
        <w:trPr>
          <w:trHeight w:val="402" w:hRule="exact"/>
        </w:trPr>
        <w:tc>
          <w:tcPr>
            <w:tcW w:w="576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391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1,151,297.37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47"/>
        <w:jc w:val="left"/>
        <w:rPr>
          <w:b w:val="0"/>
          <w:bCs w:val="0"/>
        </w:rPr>
      </w:pPr>
      <w:r>
        <w:rPr/>
        <w:pict>
          <v:group style="position:absolute;margin-left:344.940002pt;margin-top:-73.436058pt;width:193.65pt;height:20.8pt;mso-position-horizontal-relative:page;mso-position-vertical-relative:paragraph;z-index:-1129432" coordorigin="6899,-1469" coordsize="3873,416">
            <v:group style="position:absolute;left:6910;top:-1457;width:2;height:393" coordorigin="6910,-1457" coordsize="2,393">
              <v:shape style="position:absolute;left:6910;top:-1457;width:2;height:393" coordorigin="6910,-1457" coordsize="0,393" path="m6910,-1457l6910,-1065e" filled="false" stroked="true" strokeweight="1.140pt" strokecolor="#ffffff">
                <v:path arrowok="t"/>
              </v:shape>
            </v:group>
            <v:group style="position:absolute;left:6922;top:-1457;width:3850;height:393" coordorigin="6922,-1457" coordsize="3850,393">
              <v:shape style="position:absolute;left:6922;top:-1457;width:3850;height:393" coordorigin="6922,-1457" coordsize="3850,393" path="m6922,-1065l10771,-1065,10771,-1457,6922,-1457,6922,-1065xe" filled="true" fillcolor="#ffffff" stroked="false">
                <v:path arrowok="t"/>
                <v:fill type="solid"/>
              </v:shape>
            </v:group>
            <w10:wrap type="none"/>
          </v:group>
        </w:pict>
      </w:r>
      <w:r>
        <w:rPr/>
        <w:t>（</w:t>
      </w:r>
      <w:r>
        <w:rPr>
          <w:rFonts w:ascii="Times New Roman" w:hAnsi="Times New Roman" w:cs="Times New Roman" w:eastAsia="Times New Roman" w:hint="default"/>
        </w:rPr>
        <w:t>1</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公司报告期无违规对外担保情况。</w:t>
      </w:r>
    </w:p>
    <w:p>
      <w:pPr>
        <w:spacing w:line="240" w:lineRule="auto" w:before="11"/>
        <w:rPr>
          <w:rFonts w:ascii="宋体" w:hAnsi="宋体" w:cs="宋体" w:eastAsia="宋体" w:hint="default"/>
          <w:sz w:val="26"/>
          <w:szCs w:val="26"/>
        </w:rPr>
      </w:pPr>
    </w:p>
    <w:p>
      <w:pPr>
        <w:pStyle w:val="Heading4"/>
        <w:spacing w:line="240" w:lineRule="auto"/>
        <w:ind w:right="147"/>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8"/>
        <w:gridCol w:w="798"/>
        <w:gridCol w:w="798"/>
        <w:gridCol w:w="798"/>
        <w:gridCol w:w="796"/>
        <w:gridCol w:w="797"/>
        <w:gridCol w:w="797"/>
        <w:gridCol w:w="797"/>
        <w:gridCol w:w="798"/>
        <w:gridCol w:w="797"/>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 w:right="35"/>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5"/>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3" w:right="32"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合同涉及 资产的账 面价值</w:t>
            </w:r>
          </w:p>
          <w:p>
            <w:pPr>
              <w:pStyle w:val="TableParagraph"/>
              <w:spacing w:line="240" w:lineRule="auto" w:before="20"/>
              <w:ind w:left="3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合同涉及 资产的评 估价值</w:t>
            </w:r>
          </w:p>
          <w:p>
            <w:pPr>
              <w:pStyle w:val="TableParagraph"/>
              <w:spacing w:line="240" w:lineRule="auto" w:before="20"/>
              <w:ind w:left="3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3" w:right="32" w:hanging="180"/>
              <w:jc w:val="left"/>
              <w:rPr>
                <w:rFonts w:ascii="宋体" w:hAnsi="宋体" w:cs="宋体" w:eastAsia="宋体" w:hint="default"/>
                <w:sz w:val="18"/>
                <w:szCs w:val="18"/>
              </w:rPr>
            </w:pPr>
            <w:r>
              <w:rPr>
                <w:rFonts w:ascii="宋体" w:hAnsi="宋体" w:cs="宋体" w:eastAsia="宋体" w:hint="default"/>
                <w:sz w:val="18"/>
                <w:szCs w:val="18"/>
              </w:rPr>
              <w:t>评估机构 名称</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31" w:hanging="270"/>
              <w:jc w:val="left"/>
              <w:rPr>
                <w:rFonts w:ascii="宋体" w:hAnsi="宋体" w:cs="宋体" w:eastAsia="宋体" w:hint="default"/>
                <w:sz w:val="18"/>
                <w:szCs w:val="18"/>
              </w:rPr>
            </w:pPr>
            <w:r>
              <w:rPr>
                <w:rFonts w:ascii="宋体" w:hAnsi="宋体" w:cs="宋体" w:eastAsia="宋体" w:hint="default"/>
                <w:sz w:val="18"/>
                <w:szCs w:val="18"/>
              </w:rPr>
              <w:t>评估基准 日</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4" w:right="30"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山东晨鸣 纸业集团 股份有限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sz w:val="18"/>
                <w:szCs w:val="18"/>
              </w:rPr>
              <w:t>济南高新 控股集团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4</w:t>
      </w:r>
      <w:r>
        <w:rPr/>
        <w:t>、其他重大交易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070"/>
        <w:jc w:val="left"/>
      </w:pPr>
      <w:r>
        <w:rPr/>
        <w:t>□ 适用 √ 不适用 公司报告期不存在其他重大交易。</w:t>
      </w:r>
    </w:p>
    <w:p>
      <w:pPr>
        <w:spacing w:line="240" w:lineRule="auto" w:before="1"/>
        <w:rPr>
          <w:rFonts w:ascii="宋体" w:hAnsi="宋体" w:cs="宋体" w:eastAsia="宋体" w:hint="default"/>
          <w:sz w:val="18"/>
          <w:szCs w:val="18"/>
        </w:rPr>
      </w:pPr>
    </w:p>
    <w:p>
      <w:pPr>
        <w:pStyle w:val="Heading2"/>
        <w:spacing w:line="240" w:lineRule="auto"/>
        <w:ind w:right="147"/>
        <w:jc w:val="left"/>
        <w:rPr>
          <w:b w:val="0"/>
          <w:bCs w:val="0"/>
        </w:rPr>
      </w:pP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47"/>
        <w:jc w:val="left"/>
        <w:rPr>
          <w:b w:val="0"/>
          <w:bCs w:val="0"/>
        </w:rPr>
      </w:pPr>
      <w:r>
        <w:rPr>
          <w:rFonts w:ascii="Times New Roman" w:hAnsi="Times New Roman" w:cs="Times New Roman" w:eastAsia="Times New Roman" w:hint="default"/>
        </w:rPr>
        <w:t>1</w:t>
      </w:r>
      <w:r>
        <w:rPr/>
        <w:t>、公司或持股</w:t>
      </w:r>
      <w:r>
        <w:rPr>
          <w:spacing w:val="-74"/>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 适用 □ 不适用</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104"/>
        <w:gridCol w:w="722"/>
        <w:gridCol w:w="6298"/>
        <w:gridCol w:w="536"/>
        <w:gridCol w:w="541"/>
        <w:gridCol w:w="492"/>
      </w:tblGrid>
      <w:tr>
        <w:trPr>
          <w:trHeight w:val="714" w:hRule="exact"/>
        </w:trPr>
        <w:tc>
          <w:tcPr>
            <w:tcW w:w="1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6" w:right="83"/>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0" w:right="60"/>
              <w:jc w:val="left"/>
              <w:rPr>
                <w:rFonts w:ascii="宋体" w:hAnsi="宋体" w:cs="宋体" w:eastAsia="宋体" w:hint="default"/>
                <w:sz w:val="18"/>
                <w:szCs w:val="18"/>
              </w:rPr>
            </w:pPr>
            <w:r>
              <w:rPr>
                <w:rFonts w:ascii="宋体" w:hAnsi="宋体" w:cs="宋体" w:eastAsia="宋体" w:hint="default"/>
                <w:sz w:val="18"/>
                <w:szCs w:val="18"/>
              </w:rPr>
              <w:t>履行 情况</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104"/>
        <w:gridCol w:w="722"/>
        <w:gridCol w:w="6298"/>
        <w:gridCol w:w="536"/>
        <w:gridCol w:w="541"/>
        <w:gridCol w:w="492"/>
      </w:tblGrid>
      <w:tr>
        <w:trPr>
          <w:trHeight w:val="402" w:hRule="exact"/>
        </w:trPr>
        <w:tc>
          <w:tcPr>
            <w:tcW w:w="1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722" w:type="dxa"/>
            <w:tcBorders>
              <w:top w:val="single" w:sz="4" w:space="0" w:color="000000"/>
              <w:left w:val="single" w:sz="4" w:space="0" w:color="000000"/>
              <w:bottom w:val="single" w:sz="4" w:space="0" w:color="000000"/>
              <w:right w:val="single" w:sz="4" w:space="0" w:color="000000"/>
            </w:tcBorders>
          </w:tcPr>
          <w:p>
            <w:pPr/>
          </w:p>
        </w:tc>
        <w:tc>
          <w:tcPr>
            <w:tcW w:w="6298"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9"/>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722" w:type="dxa"/>
            <w:tcBorders>
              <w:top w:val="single" w:sz="4" w:space="0" w:color="000000"/>
              <w:left w:val="single" w:sz="4" w:space="0" w:color="000000"/>
              <w:bottom w:val="single" w:sz="4" w:space="0" w:color="000000"/>
              <w:right w:val="single" w:sz="4" w:space="0" w:color="000000"/>
            </w:tcBorders>
          </w:tcPr>
          <w:p>
            <w:pPr/>
          </w:p>
        </w:tc>
        <w:tc>
          <w:tcPr>
            <w:tcW w:w="6298"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9"/>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722" w:type="dxa"/>
            <w:tcBorders>
              <w:top w:val="single" w:sz="4" w:space="0" w:color="000000"/>
              <w:left w:val="single" w:sz="4" w:space="0" w:color="000000"/>
              <w:bottom w:val="single" w:sz="4" w:space="0" w:color="000000"/>
              <w:right w:val="single" w:sz="4" w:space="0" w:color="000000"/>
            </w:tcBorders>
          </w:tcPr>
          <w:p>
            <w:pPr/>
          </w:p>
        </w:tc>
        <w:tc>
          <w:tcPr>
            <w:tcW w:w="6298"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11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16" w:lineRule="auto"/>
              <w:ind w:left="22" w:right="169"/>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149"/>
              <w:jc w:val="both"/>
              <w:rPr>
                <w:rFonts w:ascii="宋体" w:hAnsi="宋体" w:cs="宋体" w:eastAsia="宋体" w:hint="default"/>
                <w:sz w:val="18"/>
                <w:szCs w:val="18"/>
              </w:rPr>
            </w:pPr>
            <w:r>
              <w:rPr>
                <w:rFonts w:ascii="宋体" w:hAnsi="宋体" w:cs="宋体" w:eastAsia="宋体" w:hint="default"/>
                <w:sz w:val="18"/>
                <w:szCs w:val="18"/>
              </w:rPr>
              <w:t>寿光晨 鸣控股 有限公 司</w:t>
            </w:r>
          </w:p>
        </w:tc>
        <w:tc>
          <w:tcPr>
            <w:tcW w:w="629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寿光晨鸣控股有限公司（以下简称“寿光晨鸣控股”），无论单独、连同或代表</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其自身或其他人士或公司，不会及不会促使其联系人（定义见香港联交所《证券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0"/>
                <w:sz w:val="18"/>
                <w:szCs w:val="18"/>
              </w:rPr>
              <w:t>上市规则》）从事或以其他方式参与任何公司及其子公司（以下简称“晨鸣集团”</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经营所在的任何国家和地区（或如属任何形式的电子业务，在世界任何地区）进</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行的业务直接或间接竞争，或有可能与晨鸣集团不时进行的业务存在直接或间接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竞争的业务（包括但不限于独资经营、合资经营或收购、直接或间接持有该等企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业的权益或其他形式）；</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若因业务需要寿光晨鸣控股，无论单独、连同或代表</w:t>
            </w:r>
            <w:r>
              <w:rPr>
                <w:rFonts w:ascii="宋体" w:hAnsi="宋体" w:cs="宋体" w:eastAsia="宋体" w:hint="default"/>
                <w:spacing w:val="-69"/>
                <w:sz w:val="18"/>
                <w:szCs w:val="18"/>
              </w:rPr>
              <w:t> </w:t>
            </w:r>
            <w:r>
              <w:rPr>
                <w:rFonts w:ascii="宋体" w:hAnsi="宋体" w:cs="宋体" w:eastAsia="宋体" w:hint="default"/>
                <w:spacing w:val="-2"/>
                <w:sz w:val="18"/>
                <w:szCs w:val="18"/>
              </w:rPr>
              <w:t>其自身或其他人士或公司，从事与晨鸣集团存在直接或间接竞争的业务时或得到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任何与晨鸣集团业务有直接或间接的任何商业机会时，寿光晨鸣控股尽力将促使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晨鸣集团优先取得该等业务的经营权利或将获得该等商业机会；</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如寿光晨鸣控</w:t>
            </w:r>
            <w:r>
              <w:rPr>
                <w:rFonts w:ascii="宋体" w:hAnsi="宋体" w:cs="宋体" w:eastAsia="宋体" w:hint="default"/>
                <w:spacing w:val="-68"/>
                <w:sz w:val="18"/>
                <w:szCs w:val="18"/>
              </w:rPr>
              <w:t> </w:t>
            </w:r>
            <w:r>
              <w:rPr>
                <w:rFonts w:ascii="宋体" w:hAnsi="宋体" w:cs="宋体" w:eastAsia="宋体" w:hint="default"/>
                <w:spacing w:val="-2"/>
                <w:sz w:val="18"/>
                <w:szCs w:val="18"/>
              </w:rPr>
              <w:t>股违反上述承诺，其将对因违反上述承诺而引起的任何损失作出弥偿。公司有权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要求向寿光晨鸣控股以市场价格或成本价格（以价格较低者为准）收购寿光晨鸣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控股所持有的与晨鸣集团业务存在直接或间接竞争的企业或业务；</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寿光晨鸣控</w:t>
            </w:r>
            <w:r>
              <w:rPr>
                <w:rFonts w:ascii="宋体" w:hAnsi="宋体" w:cs="宋体" w:eastAsia="宋体" w:hint="default"/>
                <w:spacing w:val="-68"/>
                <w:sz w:val="18"/>
                <w:szCs w:val="18"/>
              </w:rPr>
              <w:t> </w:t>
            </w:r>
            <w:r>
              <w:rPr>
                <w:rFonts w:ascii="宋体" w:hAnsi="宋体" w:cs="宋体" w:eastAsia="宋体" w:hint="default"/>
                <w:sz w:val="18"/>
                <w:szCs w:val="18"/>
              </w:rPr>
              <w:t>股承诺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不会连同或代表其他人士或公司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会利用其在公司的控股股东（定义见香 </w:t>
            </w:r>
            <w:r>
              <w:rPr>
                <w:rFonts w:ascii="宋体" w:hAnsi="宋体" w:cs="宋体" w:eastAsia="宋体" w:hint="default"/>
                <w:spacing w:val="-3"/>
                <w:sz w:val="18"/>
                <w:szCs w:val="18"/>
              </w:rPr>
              <w:t>港联交所《证券上市规则》）地位损害晨鸣集团及其股东之合法权益。</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1716" w:lineRule="exact"/>
              <w:ind w:right="-51"/>
              <w:jc w:val="left"/>
              <w:rPr>
                <w:rFonts w:ascii="宋体" w:hAnsi="宋体" w:cs="宋体" w:eastAsia="宋体" w:hint="default"/>
                <w:sz w:val="20"/>
                <w:szCs w:val="20"/>
              </w:rPr>
            </w:pPr>
            <w:r>
              <w:rPr>
                <w:rFonts w:ascii="宋体" w:hAnsi="宋体" w:cs="宋体" w:eastAsia="宋体" w:hint="default"/>
                <w:position w:val="-33"/>
                <w:sz w:val="20"/>
                <w:szCs w:val="20"/>
              </w:rPr>
              <w:pict>
                <v:group style="width:26.35pt;height:85.8pt;mso-position-horizontal-relative:char;mso-position-vertical-relative:line" coordorigin="0,0" coordsize="527,1716">
                  <v:group style="position:absolute;left:0;top:0;width:527;height:1716" coordorigin="0,0" coordsize="527,1716">
                    <v:shape style="position:absolute;left:0;top:0;width:527;height:1716" coordorigin="0,0" coordsize="527,1716" path="m0,1716l527,1716,527,0,0,0,0,1716xe" filled="true" fillcolor="#ffffff" stroked="false">
                      <v:path arrowok="t"/>
                      <v:fill type="solid"/>
                    </v:shape>
                  </v:group>
                </v:group>
              </w:pict>
            </w:r>
            <w:r>
              <w:rPr>
                <w:rFonts w:ascii="宋体" w:hAnsi="宋体" w:cs="宋体" w:eastAsia="宋体" w:hint="default"/>
                <w:position w:val="-33"/>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145"/>
              <w:jc w:val="both"/>
              <w:rPr>
                <w:rFonts w:ascii="宋体" w:hAnsi="宋体" w:cs="宋体" w:eastAsia="宋体" w:hint="default"/>
                <w:sz w:val="18"/>
                <w:szCs w:val="18"/>
              </w:rPr>
            </w:pPr>
            <w:r>
              <w:rPr>
                <w:rFonts w:ascii="宋体" w:hAnsi="宋体" w:cs="宋体" w:eastAsia="宋体" w:hint="default"/>
                <w:sz w:val="18"/>
                <w:szCs w:val="18"/>
              </w:rPr>
              <w:t>晨鸣 控股 作为 公司 主要 股东 期间</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97"/>
              <w:jc w:val="left"/>
              <w:rPr>
                <w:rFonts w:ascii="宋体" w:hAnsi="宋体" w:cs="宋体" w:eastAsia="宋体" w:hint="default"/>
                <w:sz w:val="18"/>
                <w:szCs w:val="18"/>
              </w:rPr>
            </w:pPr>
            <w:r>
              <w:rPr>
                <w:rFonts w:ascii="宋体" w:hAnsi="宋体" w:cs="宋体" w:eastAsia="宋体" w:hint="default"/>
                <w:sz w:val="18"/>
                <w:szCs w:val="18"/>
              </w:rPr>
              <w:t>严格 履行</w:t>
            </w:r>
          </w:p>
        </w:tc>
      </w:tr>
      <w:tr>
        <w:trPr>
          <w:trHeight w:val="3210" w:hRule="exact"/>
        </w:trPr>
        <w:tc>
          <w:tcPr>
            <w:tcW w:w="1104" w:type="dxa"/>
            <w:vMerge/>
            <w:tcBorders>
              <w:left w:val="single" w:sz="4" w:space="0" w:color="000000"/>
              <w:bottom w:val="single" w:sz="4" w:space="0" w:color="000000"/>
              <w:right w:val="single" w:sz="4" w:space="0" w:color="000000"/>
            </w:tcBorders>
            <w:shd w:val="clear" w:color="auto" w:fill="D3D3D3"/>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49"/>
              <w:jc w:val="both"/>
              <w:rPr>
                <w:rFonts w:ascii="宋体" w:hAnsi="宋体" w:cs="宋体" w:eastAsia="宋体" w:hint="default"/>
                <w:sz w:val="18"/>
                <w:szCs w:val="18"/>
              </w:rPr>
            </w:pPr>
            <w:r>
              <w:rPr>
                <w:rFonts w:ascii="宋体" w:hAnsi="宋体" w:cs="宋体" w:eastAsia="宋体" w:hint="default"/>
                <w:sz w:val="18"/>
                <w:szCs w:val="18"/>
              </w:rPr>
              <w:t>寿光晨 鸣控股 有限公 司</w:t>
            </w:r>
          </w:p>
        </w:tc>
        <w:tc>
          <w:tcPr>
            <w:tcW w:w="629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3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根据公司有关瑕疵物业规范计划，寿光晨鸣控股有限公司（以下简称“寿光晨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鸣控股”）保证并承诺：根据公司的申请，对于公司及其控股公司拥有的在寿光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市行政区域内的瑕疵物业，如果公司决定转让处置该等物业，且无其他买受人， </w:t>
            </w:r>
            <w:r>
              <w:rPr>
                <w:rFonts w:ascii="宋体" w:hAnsi="宋体" w:cs="宋体" w:eastAsia="宋体" w:hint="default"/>
                <w:spacing w:val="-3"/>
                <w:sz w:val="18"/>
                <w:szCs w:val="18"/>
              </w:rPr>
              <w:t>寿光晨鸣控股将参照相关的资产评估结果依法购买受让该等瑕疵物业；</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在公司</w:t>
            </w:r>
            <w:r>
              <w:rPr>
                <w:rFonts w:ascii="宋体" w:hAnsi="宋体" w:cs="宋体" w:eastAsia="宋体" w:hint="default"/>
                <w:spacing w:val="-68"/>
                <w:sz w:val="18"/>
                <w:szCs w:val="18"/>
              </w:rPr>
              <w:t> </w:t>
            </w:r>
            <w:r>
              <w:rPr>
                <w:rFonts w:ascii="宋体" w:hAnsi="宋体" w:cs="宋体" w:eastAsia="宋体" w:hint="default"/>
                <w:spacing w:val="-2"/>
                <w:sz w:val="18"/>
                <w:szCs w:val="18"/>
              </w:rPr>
              <w:t>依法处置转让该等瑕疵物业之前，如果因瑕疵事项导致公司有任何经济损失（包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括但不限于赔款及罚款及搬迁成本等），则该等经济损失将由寿光晨鸣控股据实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承担；</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在公司之外埠（暨寿光市行政区域外）的所属子公司的房屋、土地瑕疵</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物业的规范过程中，因权证不全的瑕疵事项导致该等所属子公司被行政主管机关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处以罚款或被责令搬迁，则因此产生该等相关经济损失，经核实后均由寿光晨鸣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控股依法据实全部承担。</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26.35pt;height:46.8pt;mso-position-horizontal-relative:char;mso-position-vertical-relative:line" coordorigin="0,0" coordsize="527,936">
                  <v:group style="position:absolute;left:0;top:0;width:527;height:936" coordorigin="0,0" coordsize="527,936">
                    <v:shape style="position:absolute;left:0;top:0;width:527;height:936" coordorigin="0,0" coordsize="527,936" path="m0,936l527,936,527,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2008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45"/>
              <w:jc w:val="both"/>
              <w:rPr>
                <w:rFonts w:ascii="宋体" w:hAnsi="宋体" w:cs="宋体" w:eastAsia="宋体" w:hint="default"/>
                <w:sz w:val="18"/>
                <w:szCs w:val="18"/>
              </w:rPr>
            </w:pPr>
            <w:r>
              <w:rPr>
                <w:rFonts w:ascii="宋体" w:hAnsi="宋体" w:cs="宋体" w:eastAsia="宋体" w:hint="default"/>
                <w:sz w:val="18"/>
                <w:szCs w:val="18"/>
              </w:rPr>
              <w:t>晨鸣 控股 作为 公司 主要 股东 期间</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97"/>
              <w:jc w:val="left"/>
              <w:rPr>
                <w:rFonts w:ascii="宋体" w:hAnsi="宋体" w:cs="宋体" w:eastAsia="宋体" w:hint="default"/>
                <w:sz w:val="18"/>
                <w:szCs w:val="18"/>
              </w:rPr>
            </w:pPr>
            <w:r>
              <w:rPr>
                <w:rFonts w:ascii="宋体" w:hAnsi="宋体" w:cs="宋体" w:eastAsia="宋体" w:hint="default"/>
                <w:sz w:val="18"/>
                <w:szCs w:val="18"/>
              </w:rPr>
              <w:t>严格 履行</w:t>
            </w:r>
          </w:p>
        </w:tc>
      </w:tr>
      <w:tr>
        <w:trPr>
          <w:trHeight w:val="1026" w:hRule="exact"/>
        </w:trPr>
        <w:tc>
          <w:tcPr>
            <w:tcW w:w="1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9"/>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722" w:type="dxa"/>
            <w:tcBorders>
              <w:top w:val="single" w:sz="4" w:space="0" w:color="000000"/>
              <w:left w:val="single" w:sz="4" w:space="0" w:color="000000"/>
              <w:bottom w:val="single" w:sz="4" w:space="0" w:color="000000"/>
              <w:right w:val="single" w:sz="4" w:space="0" w:color="000000"/>
            </w:tcBorders>
          </w:tcPr>
          <w:p>
            <w:pPr/>
          </w:p>
        </w:tc>
        <w:tc>
          <w:tcPr>
            <w:tcW w:w="6298"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9"/>
              <w:jc w:val="left"/>
              <w:rPr>
                <w:rFonts w:ascii="宋体" w:hAnsi="宋体" w:cs="宋体" w:eastAsia="宋体" w:hint="default"/>
                <w:sz w:val="18"/>
                <w:szCs w:val="18"/>
              </w:rPr>
            </w:pPr>
            <w:r>
              <w:rPr>
                <w:rFonts w:ascii="宋体" w:hAnsi="宋体" w:cs="宋体" w:eastAsia="宋体" w:hint="default"/>
                <w:sz w:val="18"/>
                <w:szCs w:val="18"/>
              </w:rPr>
              <w:t>承诺是否及 时履行</w:t>
            </w:r>
          </w:p>
        </w:tc>
        <w:tc>
          <w:tcPr>
            <w:tcW w:w="85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9"/>
          <w:szCs w:val="19"/>
        </w:rPr>
      </w:pPr>
    </w:p>
    <w:p>
      <w:pPr>
        <w:pStyle w:val="Heading4"/>
        <w:spacing w:line="259" w:lineRule="auto" w:before="35"/>
        <w:ind w:right="147"/>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r>
        <w:rPr/>
        <w:t>□ 适用 √ 不适用</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47"/>
        <w:jc w:val="left"/>
        <w:rPr>
          <w:b w:val="0"/>
          <w:bCs w:val="0"/>
        </w:rPr>
      </w:pPr>
      <w:r>
        <w:rPr/>
        <w:t>十、聘任、解聘会计师事务所情况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王传顺、景传轩</w:t>
            </w:r>
          </w:p>
        </w:tc>
      </w:tr>
    </w:tbl>
    <w:p>
      <w:pPr>
        <w:pStyle w:val="BodyText"/>
        <w:spacing w:line="240" w:lineRule="auto" w:before="51"/>
        <w:ind w:right="147"/>
        <w:jc w:val="left"/>
      </w:pPr>
      <w:r>
        <w:rPr/>
        <w:t>当期是否改聘会计师事务所</w:t>
      </w:r>
    </w:p>
    <w:p>
      <w:pPr>
        <w:pStyle w:val="BodyText"/>
        <w:spacing w:line="360" w:lineRule="auto" w:before="116"/>
        <w:ind w:right="5270"/>
        <w:jc w:val="left"/>
      </w:pPr>
      <w:r>
        <w:rPr/>
        <w:t>□ 是 √ 否 聘请内部控制审计会计师事务所、财务顾问或保荐人情况</w:t>
      </w:r>
    </w:p>
    <w:p>
      <w:pPr>
        <w:pStyle w:val="BodyText"/>
        <w:spacing w:line="240" w:lineRule="auto" w:before="26"/>
        <w:ind w:right="147"/>
        <w:jc w:val="left"/>
      </w:pPr>
      <w:r>
        <w:rPr/>
        <w:t>√ 适用 □ 不适用</w:t>
      </w:r>
    </w:p>
    <w:p>
      <w:pPr>
        <w:pStyle w:val="BodyText"/>
        <w:spacing w:line="300" w:lineRule="auto" w:before="115"/>
        <w:ind w:right="147"/>
        <w:jc w:val="left"/>
      </w:pPr>
      <w:r>
        <w:rPr>
          <w:spacing w:val="-2"/>
        </w:rPr>
        <w:t>本年度，公司聘请了瑞华会计师事务所作为公司内部控制审计机构，期间共支付内部控制审计费用人民币</w:t>
      </w:r>
      <w:r>
        <w:rPr>
          <w:rFonts w:ascii="Times New Roman" w:hAnsi="Times New Roman" w:cs="Times New Roman" w:eastAsia="Times New Roman" w:hint="default"/>
          <w:spacing w:val="-2"/>
        </w:rPr>
        <w:t>60</w:t>
      </w:r>
      <w:r>
        <w:rPr>
          <w:spacing w:val="-2"/>
        </w:rPr>
        <w:t>万元；公司聘请</w:t>
      </w:r>
      <w:r>
        <w:rPr>
          <w:spacing w:val="-64"/>
        </w:rPr>
        <w:t> </w:t>
      </w:r>
      <w:r>
        <w:rPr>
          <w:spacing w:val="-64"/>
        </w:rPr>
      </w:r>
      <w:r>
        <w:rPr/>
        <w:t>北京市金杜（青岛）律师事务所作为公司的常年法律顾问，期间共支付法律顾问费用人民币</w:t>
      </w:r>
      <w:r>
        <w:rPr>
          <w:rFonts w:ascii="Times New Roman" w:hAnsi="Times New Roman" w:cs="Times New Roman" w:eastAsia="Times New Roman" w:hint="default"/>
        </w:rPr>
        <w:t>10</w:t>
      </w:r>
      <w:r>
        <w:rPr/>
        <w:t>万元。</w:t>
      </w:r>
    </w:p>
    <w:p>
      <w:pPr>
        <w:spacing w:line="240" w:lineRule="auto" w:before="4"/>
        <w:rPr>
          <w:rFonts w:ascii="宋体" w:hAnsi="宋体" w:cs="宋体" w:eastAsia="宋体" w:hint="default"/>
          <w:sz w:val="20"/>
          <w:szCs w:val="20"/>
        </w:rPr>
      </w:pPr>
    </w:p>
    <w:p>
      <w:pPr>
        <w:pStyle w:val="Heading2"/>
        <w:spacing w:line="240" w:lineRule="auto"/>
        <w:ind w:right="147"/>
        <w:jc w:val="left"/>
        <w:rPr>
          <w:b w:val="0"/>
          <w:bCs w:val="0"/>
        </w:rPr>
      </w:pP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47"/>
        <w:jc w:val="left"/>
        <w:rPr>
          <w:b w:val="0"/>
          <w:bCs w:val="0"/>
        </w:rPr>
      </w:pP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89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47"/>
        <w:jc w:val="left"/>
        <w:rPr>
          <w:b w:val="0"/>
          <w:bCs w:val="0"/>
        </w:rPr>
      </w:pP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47"/>
        <w:jc w:val="left"/>
        <w:rPr>
          <w:b w:val="0"/>
          <w:bCs w:val="0"/>
        </w:rPr>
      </w:pP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1"/>
        <w:ind w:left="514" w:right="5810"/>
        <w:jc w:val="left"/>
      </w:pPr>
      <w:r>
        <w:rPr>
          <w:rFonts w:ascii="Times New Roman" w:hAnsi="Times New Roman" w:cs="Times New Roman" w:eastAsia="Times New Roman" w:hint="default"/>
        </w:rPr>
        <w:t>1</w:t>
      </w:r>
      <w:r>
        <w:rPr/>
        <w:t>、非公开发行优先股 详情请参阅本报告第八节、优先股相关情况。 </w:t>
      </w:r>
      <w:r>
        <w:rPr>
          <w:rFonts w:ascii="Times New Roman" w:hAnsi="Times New Roman" w:cs="Times New Roman" w:eastAsia="Times New Roman" w:hint="default"/>
        </w:rPr>
        <w:t>2</w:t>
      </w:r>
      <w:r>
        <w:rPr/>
        <w:t>、财务公司开业获得山东银监局批复</w:t>
      </w:r>
    </w:p>
    <w:p>
      <w:pPr>
        <w:pStyle w:val="BodyText"/>
        <w:spacing w:line="300" w:lineRule="auto" w:before="5"/>
        <w:ind w:right="151" w:firstLine="360"/>
        <w:jc w:val="left"/>
      </w:pPr>
      <w:r>
        <w:rPr>
          <w:spacing w:val="-4"/>
        </w:rPr>
        <w:t>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30</w:t>
      </w:r>
      <w:r>
        <w:rPr>
          <w:spacing w:val="-4"/>
        </w:rPr>
        <w:t>日收到中国银监会山东监管局下发的《山东银监局关于山东晨鸣集团财务有限公司开业的批复》（鲁</w:t>
      </w:r>
      <w:r>
        <w:rPr/>
        <w:t> 银监准</w:t>
      </w:r>
      <w:r>
        <w:rPr>
          <w:rFonts w:ascii="Times New Roman" w:hAnsi="Times New Roman" w:cs="Times New Roman" w:eastAsia="Times New Roman" w:hint="default"/>
        </w:rPr>
        <w:t>[2014]233</w:t>
      </w:r>
      <w:r>
        <w:rPr/>
        <w:t>号），批准山东晨鸣集团财务有限公司开业。详情请参阅公司于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日在巨潮资讯网上披露的相关 公告，公告编号为：</w:t>
      </w:r>
      <w:r>
        <w:rPr>
          <w:rFonts w:ascii="Times New Roman" w:hAnsi="Times New Roman" w:cs="Times New Roman" w:eastAsia="Times New Roman" w:hint="default"/>
        </w:rPr>
        <w:t>2014-034</w:t>
      </w:r>
      <w:r>
        <w:rPr/>
        <w:t>。</w:t>
      </w:r>
    </w:p>
    <w:p>
      <w:pPr>
        <w:pStyle w:val="BodyText"/>
        <w:spacing w:line="240" w:lineRule="auto" w:before="13"/>
        <w:ind w:left="514" w:right="147"/>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年度信息披露索引</w:t>
      </w:r>
    </w:p>
    <w:p>
      <w:pPr>
        <w:spacing w:line="240" w:lineRule="auto" w:before="0"/>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1055"/>
        <w:gridCol w:w="4715"/>
        <w:gridCol w:w="1441"/>
        <w:gridCol w:w="2447"/>
      </w:tblGrid>
      <w:tr>
        <w:trPr>
          <w:trHeight w:val="343" w:hRule="exact"/>
        </w:trPr>
        <w:tc>
          <w:tcPr>
            <w:tcW w:w="105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471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事项</w:t>
            </w:r>
          </w:p>
        </w:tc>
        <w:tc>
          <w:tcPr>
            <w:tcW w:w="144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刊载日期</w:t>
            </w:r>
          </w:p>
        </w:tc>
        <w:tc>
          <w:tcPr>
            <w:tcW w:w="244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刊载的互联网网站及检索路径</w:t>
            </w:r>
          </w:p>
        </w:tc>
      </w:tr>
      <w:tr>
        <w:trPr>
          <w:trHeight w:val="352" w:hRule="exact"/>
        </w:trPr>
        <w:tc>
          <w:tcPr>
            <w:tcW w:w="105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2014-001</w:t>
            </w:r>
          </w:p>
        </w:tc>
        <w:tc>
          <w:tcPr>
            <w:tcW w:w="471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关于修订《公司章程》的公告</w:t>
            </w:r>
          </w:p>
        </w:tc>
        <w:tc>
          <w:tcPr>
            <w:tcW w:w="144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4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2014-002</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第七届董事会第四次临时会议决议公告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2014-003</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2014-004</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关于证券事务代表变更的公告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1055"/>
        <w:gridCol w:w="4715"/>
        <w:gridCol w:w="1441"/>
        <w:gridCol w:w="2447"/>
      </w:tblGrid>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2014-005</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2014-006</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关于对外提供委托贷款的公告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2014-007</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年年度业绩预告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2014-008</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关于股东进行约定购回式证券交易购回股份的公告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2014-009</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关于收到补助资金的提示性公告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2014-010</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关于子公司收到专项补助资金的提示性公告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2014-011</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关于公司及相关主体承诺履行情况的公告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2014-012</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关于出售新力热电股权的公告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2014-013</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第七届董事会第四次会议决议公告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2014-014</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年度股东大会的通知</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2014-015</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年度报告摘要</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2014-016</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对控股子公司提供财务资助的公告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2014-017</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2014-018</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2014-019</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第七届监事会第五次会议决议公告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2014-020</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关于高管增持公司股份的提示性公告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2014-021</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关于子公司收到补助资金的提示性公告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2014-022</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关于董事辞职的公告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2014-023</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年年度股东大会增加提案的公告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2014-024</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年年度股东大会的补充通知</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2014-025</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年第一季度报告正文</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2014-026</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年度股东大会决议公告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2014-027</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关于完成回购部分</w:t>
            </w:r>
            <w:r>
              <w:rPr>
                <w:rFonts w:ascii="Times New Roman" w:hAnsi="Times New Roman" w:cs="Times New Roman" w:eastAsia="Times New Roman" w:hint="default"/>
                <w:sz w:val="18"/>
                <w:szCs w:val="18"/>
              </w:rPr>
              <w:t>H</w:t>
            </w:r>
            <w:r>
              <w:rPr>
                <w:rFonts w:ascii="宋体" w:hAnsi="宋体" w:cs="宋体" w:eastAsia="宋体" w:hint="default"/>
                <w:sz w:val="18"/>
                <w:szCs w:val="18"/>
              </w:rPr>
              <w:t>股事项的公告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2014-028</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关于控股股东股权结构变化的提示性公告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2014-029</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关于签订委托建设合同的提示性公告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659"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2014-030</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关于参加山东辖区上市公司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年度投资者网上集体接待日 活动的公告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2014-031</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关于修订《公司章程》的公告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2014-032</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年年度</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r>
              <w:rPr>
                <w:rFonts w:ascii="Times New Roman" w:hAnsi="Times New Roman" w:cs="Times New Roman" w:eastAsia="Times New Roman" w:hint="default"/>
                <w:sz w:val="18"/>
                <w:szCs w:val="18"/>
              </w:rPr>
              <w:t>B</w:t>
            </w:r>
            <w:r>
              <w:rPr>
                <w:rFonts w:ascii="宋体" w:hAnsi="宋体" w:cs="宋体" w:eastAsia="宋体" w:hint="default"/>
                <w:sz w:val="18"/>
                <w:szCs w:val="18"/>
              </w:rPr>
              <w:t>股权益分派实施公告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2014-033</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晨鸣债</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年付息公告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2014-034</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关于财务公司获得山东银监局开业批复的公告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2014-035</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关于收到补助资金的提示性公告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2014-036</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第七届董事会第六次会议决议公告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2014-037</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年半年度报告摘要</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2014-038</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2014-039</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2014-040</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为控股子公司及全资孙公司综合授信提供担保的公告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2014-041</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第七届董事会第七次会议决议公告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2014-042</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年第三季度报告正文</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2014-043</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1055"/>
        <w:gridCol w:w="4715"/>
        <w:gridCol w:w="1441"/>
        <w:gridCol w:w="2447"/>
      </w:tblGrid>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2014-044</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为部分控股子公司综合授信提供担保的公告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2014-045</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年第一次临时股东大会的通知</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2014-046</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年第一次临时股东大会的通知</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2014-047</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年第一次临时股东大会增加提案的公告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2014-048</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年第一次临时股东大会的补充通知</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2014-049</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关于收到补助资金的提示性公告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2014-050</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年第一次临时股东大会决议公告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2014-051</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晨鸣债</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年付息公告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2014-052</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停牌公告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2014-053</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第七届董事会第五次临时会议决议公告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2014-054</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非公开发行优先股预案公告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2014-055</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2014-056</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为全资子公司综合授信提供担保的公告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2014-057</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年第一次临时股东大会的通知</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2014-058</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关于股东进行股票质押式回购交易的公告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2014-059</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股票复牌公告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659" w:hRule="exact"/>
        </w:trPr>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2014-060</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年第一次境内上市股份类别股东大会及</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宋体" w:hAnsi="宋体" w:cs="宋体" w:eastAsia="宋体" w:hint="default"/>
                <w:spacing w:val="-86"/>
                <w:sz w:val="18"/>
                <w:szCs w:val="18"/>
              </w:rPr>
              <w:t> </w:t>
            </w:r>
            <w:r>
              <w:rPr>
                <w:rFonts w:ascii="宋体" w:hAnsi="宋体" w:cs="宋体" w:eastAsia="宋体" w:hint="default"/>
                <w:sz w:val="18"/>
                <w:szCs w:val="18"/>
              </w:rPr>
              <w:t>第一次境外上市股份类别股东大会的通知</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十五、公司子公司重要事项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 适用 □ 不适用</w:t>
      </w:r>
    </w:p>
    <w:p>
      <w:pPr>
        <w:pStyle w:val="BodyText"/>
        <w:spacing w:line="300" w:lineRule="auto" w:before="116"/>
        <w:ind w:left="514" w:right="147"/>
        <w:jc w:val="left"/>
      </w:pPr>
      <w:r>
        <w:rPr>
          <w:rFonts w:ascii="Times New Roman" w:hAnsi="Times New Roman" w:cs="Times New Roman" w:eastAsia="Times New Roman" w:hint="default"/>
        </w:rPr>
        <w:t>1</w:t>
      </w:r>
      <w:r>
        <w:rPr/>
        <w:t>、香港晨鸣出资设立山东晨鸣融资租赁有限公司 </w:t>
      </w:r>
      <w:r>
        <w:rPr>
          <w:spacing w:val="-2"/>
        </w:rPr>
        <w:t>为推进公司多元化发展，进一步拓展公司业务范围，增强公司整体实力和综合竞争力，培育公司新的利润增长点，公司</w:t>
      </w:r>
    </w:p>
    <w:p>
      <w:pPr>
        <w:pStyle w:val="BodyText"/>
        <w:spacing w:line="300" w:lineRule="auto" w:before="31"/>
        <w:ind w:left="153" w:right="149"/>
        <w:jc w:val="left"/>
      </w:pPr>
      <w:r>
        <w:rPr>
          <w:spacing w:val="-2"/>
        </w:rPr>
        <w:t>全资子公司香港晨鸣在境内出资设立山东晨鸣融资租赁有限公司，详情请参阅公司于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日和</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日在巨潮资讯网上披露的相关公告，公告编号为：</w:t>
      </w:r>
      <w:r>
        <w:rPr>
          <w:rFonts w:ascii="Times New Roman" w:hAnsi="Times New Roman" w:cs="Times New Roman" w:eastAsia="Times New Roman" w:hint="default"/>
        </w:rPr>
        <w:t>2014-003</w:t>
      </w:r>
      <w:r>
        <w:rPr/>
        <w:t>、</w:t>
      </w:r>
      <w:r>
        <w:rPr>
          <w:rFonts w:ascii="Times New Roman" w:hAnsi="Times New Roman" w:cs="Times New Roman" w:eastAsia="Times New Roman" w:hint="default"/>
        </w:rPr>
        <w:t>2014-038</w:t>
      </w:r>
      <w:r>
        <w:rPr/>
        <w:t>和</w:t>
      </w:r>
      <w:r>
        <w:rPr>
          <w:rFonts w:ascii="Times New Roman" w:hAnsi="Times New Roman" w:cs="Times New Roman" w:eastAsia="Times New Roman" w:hint="default"/>
        </w:rPr>
        <w:t>2014-043</w:t>
      </w:r>
      <w:r>
        <w:rPr/>
        <w:t>。</w:t>
      </w:r>
    </w:p>
    <w:p>
      <w:pPr>
        <w:pStyle w:val="BodyText"/>
        <w:spacing w:line="300" w:lineRule="auto" w:before="13"/>
        <w:ind w:left="513" w:right="147"/>
        <w:jc w:val="left"/>
      </w:pPr>
      <w:r>
        <w:rPr>
          <w:rFonts w:ascii="Times New Roman" w:hAnsi="Times New Roman" w:cs="Times New Roman" w:eastAsia="Times New Roman" w:hint="default"/>
        </w:rPr>
        <w:t>2</w:t>
      </w:r>
      <w:r>
        <w:rPr/>
        <w:t>、香港晨鸣拟发行美元债券 </w:t>
      </w:r>
      <w:r>
        <w:rPr>
          <w:spacing w:val="-2"/>
        </w:rPr>
        <w:t>为充分利用香港市场融资平台，拓宽公司融资渠道，降低公司融资成本，同时提高公司在国际资本市场上的知名度，拟</w:t>
      </w:r>
    </w:p>
    <w:p>
      <w:pPr>
        <w:pStyle w:val="BodyText"/>
        <w:spacing w:line="300" w:lineRule="auto" w:before="31"/>
        <w:ind w:left="153" w:right="158"/>
        <w:jc w:val="left"/>
      </w:pPr>
      <w:r>
        <w:rPr/>
        <w:t>由晨鸣（香港）有限公司发行</w:t>
      </w:r>
      <w:r>
        <w:rPr>
          <w:rFonts w:ascii="Times New Roman" w:hAnsi="Times New Roman" w:cs="Times New Roman" w:eastAsia="Times New Roman" w:hint="default"/>
        </w:rPr>
        <w:t>5</w:t>
      </w:r>
      <w:r>
        <w:rPr/>
        <w:t>亿元美元债券。详情请参阅公司于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日在巨潮资讯网上披露的相关公告，公告编 号为：</w:t>
      </w:r>
      <w:r>
        <w:rPr>
          <w:rFonts w:ascii="Times New Roman" w:hAnsi="Times New Roman" w:cs="Times New Roman" w:eastAsia="Times New Roman" w:hint="default"/>
        </w:rPr>
        <w:t>2014-041</w:t>
      </w:r>
      <w:r>
        <w:rPr>
          <w:rFonts w:ascii="Times New Roman" w:hAnsi="Times New Roman" w:cs="Times New Roman" w:eastAsia="Times New Roman" w:hint="default"/>
          <w:spacing w:val="28"/>
        </w:rPr>
        <w:t> </w:t>
      </w:r>
      <w:r>
        <w:rPr/>
        <w:t>。</w:t>
      </w:r>
    </w:p>
    <w:p>
      <w:pPr>
        <w:pStyle w:val="BodyText"/>
        <w:spacing w:line="300" w:lineRule="auto" w:before="13"/>
        <w:ind w:left="513" w:right="147"/>
        <w:jc w:val="left"/>
      </w:pPr>
      <w:r>
        <w:rPr>
          <w:rFonts w:ascii="Times New Roman" w:hAnsi="Times New Roman" w:cs="Times New Roman" w:eastAsia="Times New Roman" w:hint="default"/>
        </w:rPr>
        <w:t>3</w:t>
      </w:r>
      <w:r>
        <w:rPr/>
        <w:t>、全资下属公司山东晨鸣融资租赁有限公司参股上海利得财富资产管理有限公司，开展互联网金融业务。 </w:t>
      </w:r>
      <w:r>
        <w:rPr>
          <w:spacing w:val="-2"/>
        </w:rPr>
        <w:t>为推进公司多元化发展战略，进一步拓宽公司业务范围，更好的为公司金融板块的发展创造条件，增加金融板块的经济</w:t>
      </w:r>
    </w:p>
    <w:p>
      <w:pPr>
        <w:pStyle w:val="BodyText"/>
        <w:spacing w:line="300" w:lineRule="auto" w:before="31"/>
        <w:ind w:left="153" w:right="151"/>
        <w:jc w:val="both"/>
      </w:pPr>
      <w:r>
        <w:rPr>
          <w:spacing w:val="-2"/>
        </w:rPr>
        <w:t>价值，从而最大程度的增强公司的市场竞争力和盈利能力。山东晨鸣融资租赁有限公司以自有资金出资人民币</w:t>
      </w:r>
      <w:r>
        <w:rPr>
          <w:rFonts w:ascii="Times New Roman" w:hAnsi="Times New Roman" w:cs="Times New Roman" w:eastAsia="Times New Roman" w:hint="default"/>
          <w:spacing w:val="-2"/>
        </w:rPr>
        <w:t>3600</w:t>
      </w:r>
      <w:r>
        <w:rPr>
          <w:spacing w:val="-2"/>
        </w:rPr>
        <w:t>万元，认</w:t>
      </w:r>
      <w:r>
        <w:rPr>
          <w:spacing w:val="-62"/>
        </w:rPr>
        <w:t> </w:t>
      </w:r>
      <w:r>
        <w:rPr>
          <w:spacing w:val="-62"/>
        </w:rPr>
      </w:r>
      <w:r>
        <w:rPr/>
        <w:t>购上海利得财富资产管理有限公司新增注册资本的</w:t>
      </w:r>
      <w:r>
        <w:rPr>
          <w:rFonts w:ascii="Times New Roman" w:hAnsi="Times New Roman" w:cs="Times New Roman" w:eastAsia="Times New Roman" w:hint="default"/>
        </w:rPr>
        <w:t>3%</w:t>
      </w:r>
      <w:r>
        <w:rPr/>
        <w:t>的股份，开展互联网金融业务。详情请参阅公司于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日在 巨潮资讯网上披露的相关公告，公告编号为：</w:t>
      </w:r>
      <w:r>
        <w:rPr>
          <w:rFonts w:ascii="Times New Roman" w:hAnsi="Times New Roman" w:cs="Times New Roman" w:eastAsia="Times New Roman" w:hint="default"/>
        </w:rPr>
        <w:t>2014-055</w:t>
      </w:r>
      <w:r>
        <w:rPr/>
        <w:t>。</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十六、公司发行公司债券的情况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 适用 □ 不适用</w:t>
      </w:r>
    </w:p>
    <w:p>
      <w:pPr>
        <w:pStyle w:val="BodyText"/>
        <w:spacing w:line="300" w:lineRule="auto" w:before="115"/>
        <w:ind w:left="153" w:right="131" w:firstLine="36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）经中国证监会于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日签发的</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[2011]1019</w:t>
      </w:r>
      <w:r>
        <w:rPr/>
        <w:t>号</w:t>
      </w:r>
      <w:r>
        <w:rPr>
          <w:rFonts w:ascii="Times New Roman" w:hAnsi="Times New Roman" w:cs="Times New Roman" w:eastAsia="Times New Roman" w:hint="default"/>
        </w:rPr>
        <w:t>”</w:t>
      </w:r>
      <w:r>
        <w:rPr/>
        <w:t>文核准，公司获准向社会公开发行面值总额不超过 </w:t>
      </w:r>
      <w:r>
        <w:rPr>
          <w:rFonts w:ascii="Times New Roman" w:hAnsi="Times New Roman" w:cs="Times New Roman" w:eastAsia="Times New Roman" w:hint="default"/>
        </w:rPr>
        <w:t>20</w:t>
      </w:r>
      <w:r>
        <w:rPr/>
        <w:t>亿元的公司债券，本次债券为</w:t>
      </w:r>
      <w:r>
        <w:rPr>
          <w:rFonts w:ascii="Times New Roman" w:hAnsi="Times New Roman" w:cs="Times New Roman" w:eastAsia="Times New Roman" w:hint="default"/>
        </w:rPr>
        <w:t>5</w:t>
      </w:r>
      <w:r>
        <w:rPr/>
        <w:t>年期固定利率债券公司债券，票面利率为</w:t>
      </w:r>
      <w:r>
        <w:rPr>
          <w:rFonts w:ascii="Times New Roman" w:hAnsi="Times New Roman" w:cs="Times New Roman" w:eastAsia="Times New Roman" w:hint="default"/>
        </w:rPr>
        <w:t>5.95%</w:t>
      </w:r>
      <w:r>
        <w:rPr/>
        <w:t>，采取单利按年计息，不计复利，起息日 </w:t>
      </w:r>
      <w:r>
        <w:rPr>
          <w:spacing w:val="-2"/>
        </w:rPr>
        <w:t>为</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w:t>
      </w:r>
      <w:r>
        <w:rPr>
          <w:rFonts w:ascii="Times New Roman" w:hAnsi="Times New Roman" w:cs="Times New Roman" w:eastAsia="Times New Roman" w:hint="default"/>
          <w:spacing w:val="-2"/>
        </w:rPr>
        <w:t>2012</w:t>
      </w:r>
      <w:r>
        <w:rPr>
          <w:spacing w:val="-2"/>
        </w:rPr>
        <w:t>年至</w:t>
      </w:r>
      <w:r>
        <w:rPr>
          <w:rFonts w:ascii="Times New Roman" w:hAnsi="Times New Roman" w:cs="Times New Roman" w:eastAsia="Times New Roman" w:hint="default"/>
          <w:spacing w:val="-2"/>
        </w:rPr>
        <w:t>2016</w:t>
      </w:r>
      <w:r>
        <w:rPr>
          <w:spacing w:val="-2"/>
        </w:rPr>
        <w:t>年每年的</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日为上一个计息年度的付息日，到期支付本金及最后一期利息。公司已于</w:t>
      </w:r>
      <w:r>
        <w:rPr>
          <w:rFonts w:ascii="Times New Roman" w:hAnsi="Times New Roman" w:cs="Times New Roman" w:eastAsia="Times New Roman" w:hint="default"/>
          <w:spacing w:val="-2"/>
        </w:rPr>
        <w:t>2012</w:t>
      </w:r>
    </w:p>
    <w:p>
      <w:pPr>
        <w:spacing w:after="0" w:line="300" w:lineRule="auto"/>
        <w:jc w:val="left"/>
        <w:rPr>
          <w:rFonts w:ascii="Times New Roman" w:hAnsi="Times New Roman" w:cs="Times New Roman" w:eastAsia="Times New Roman" w:hint="default"/>
        </w:rPr>
        <w:sectPr>
          <w:pgSz w:w="11910" w:h="16840"/>
          <w:pgMar w:header="747" w:footer="982" w:top="1060" w:bottom="1180" w:left="980" w:right="98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left="153" w:right="0"/>
        <w:jc w:val="both"/>
      </w:pP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日披露《</w:t>
      </w:r>
      <w:r>
        <w:rPr>
          <w:rFonts w:ascii="Times New Roman" w:hAnsi="Times New Roman" w:cs="Times New Roman" w:eastAsia="Times New Roman" w:hint="default"/>
        </w:rPr>
        <w:t>2011</w:t>
      </w:r>
      <w:r>
        <w:rPr/>
        <w:t>年公司债券</w:t>
      </w:r>
      <w:r>
        <w:rPr>
          <w:rFonts w:ascii="Times New Roman" w:hAnsi="Times New Roman" w:cs="Times New Roman" w:eastAsia="Times New Roman" w:hint="default"/>
        </w:rPr>
        <w:t>2012</w:t>
      </w:r>
      <w:r>
        <w:rPr/>
        <w:t>年付息公告》，并实施完成。</w:t>
      </w:r>
    </w:p>
    <w:p>
      <w:pPr>
        <w:pStyle w:val="BodyText"/>
        <w:spacing w:line="300" w:lineRule="auto" w:before="103"/>
        <w:ind w:left="153" w:right="91" w:firstLine="360"/>
        <w:jc w:val="left"/>
      </w:pPr>
      <w:r>
        <w:rPr/>
        <w:t>（</w:t>
      </w:r>
      <w:r>
        <w:rPr>
          <w:rFonts w:ascii="Times New Roman" w:hAnsi="Times New Roman" w:cs="Times New Roman" w:eastAsia="Times New Roman" w:hint="default"/>
        </w:rPr>
        <w:t>2</w:t>
      </w:r>
      <w:r>
        <w:rPr/>
        <w:t>）经中国证监会于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日签发的</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[2012]1612</w:t>
      </w:r>
      <w:r>
        <w:rPr/>
        <w:t>号</w:t>
      </w:r>
      <w:r>
        <w:rPr>
          <w:rFonts w:ascii="Times New Roman" w:hAnsi="Times New Roman" w:cs="Times New Roman" w:eastAsia="Times New Roman" w:hint="default"/>
        </w:rPr>
        <w:t>”</w:t>
      </w:r>
      <w:r>
        <w:rPr/>
        <w:t>文核准，公司获准向社会公开发行面值总额不超</w:t>
      </w:r>
      <w:r>
        <w:rPr>
          <w:spacing w:val="2"/>
        </w:rPr>
        <w:t> </w:t>
      </w:r>
      <w:r>
        <w:rPr>
          <w:spacing w:val="-4"/>
        </w:rPr>
        <w:t>过</w:t>
      </w:r>
      <w:r>
        <w:rPr>
          <w:rFonts w:ascii="Times New Roman" w:hAnsi="Times New Roman" w:cs="Times New Roman" w:eastAsia="Times New Roman" w:hint="default"/>
          <w:spacing w:val="-4"/>
        </w:rPr>
        <w:t>38</w:t>
      </w:r>
      <w:r>
        <w:rPr>
          <w:spacing w:val="-4"/>
        </w:rPr>
        <w:t>亿元的公司债券，本次债券为</w:t>
      </w:r>
      <w:r>
        <w:rPr>
          <w:rFonts w:ascii="Times New Roman" w:hAnsi="Times New Roman" w:cs="Times New Roman" w:eastAsia="Times New Roman" w:hint="default"/>
          <w:spacing w:val="-4"/>
        </w:rPr>
        <w:t>5</w:t>
      </w:r>
      <w:r>
        <w:rPr>
          <w:spacing w:val="-4"/>
        </w:rPr>
        <w:t>年期，附第</w:t>
      </w:r>
      <w:r>
        <w:rPr>
          <w:rFonts w:ascii="Times New Roman" w:hAnsi="Times New Roman" w:cs="Times New Roman" w:eastAsia="Times New Roman" w:hint="default"/>
          <w:spacing w:val="-4"/>
        </w:rPr>
        <w:t>3</w:t>
      </w:r>
      <w:r>
        <w:rPr>
          <w:spacing w:val="-4"/>
        </w:rPr>
        <w:t>年末发行人上调票面利率选择权和投资者回售选择权，本次债券为固定利率，</w:t>
      </w:r>
      <w:r>
        <w:rPr>
          <w:spacing w:val="-36"/>
        </w:rPr>
        <w:t> </w:t>
      </w:r>
      <w:r>
        <w:rPr>
          <w:spacing w:val="-36"/>
        </w:rPr>
      </w:r>
      <w:r>
        <w:rPr/>
        <w:t>票面利率为</w:t>
      </w:r>
      <w:r>
        <w:rPr>
          <w:rFonts w:ascii="Times New Roman" w:hAnsi="Times New Roman" w:cs="Times New Roman" w:eastAsia="Times New Roman" w:hint="default"/>
        </w:rPr>
        <w:t>5.65%</w:t>
      </w:r>
      <w:r>
        <w:rPr/>
        <w:t>，采取单利按年计息，不计复利，起息日为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2017</w:t>
      </w:r>
      <w:r>
        <w:rPr/>
        <w:t>年每年的</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日为上一个计 </w:t>
      </w:r>
      <w:r>
        <w:rPr>
          <w:spacing w:val="-2"/>
        </w:rPr>
        <w:t>息年度的付息日，如投资者行使回售选择权，则回售部分债券的付息日为</w:t>
      </w:r>
      <w:r>
        <w:rPr>
          <w:rFonts w:ascii="Times New Roman" w:hAnsi="Times New Roman" w:cs="Times New Roman" w:eastAsia="Times New Roman" w:hint="default"/>
          <w:spacing w:val="-2"/>
        </w:rPr>
        <w:t>2013</w:t>
      </w:r>
      <w:r>
        <w:rPr>
          <w:spacing w:val="-2"/>
        </w:rPr>
        <w:t>年至</w:t>
      </w:r>
      <w:r>
        <w:rPr>
          <w:rFonts w:ascii="Times New Roman" w:hAnsi="Times New Roman" w:cs="Times New Roman" w:eastAsia="Times New Roman" w:hint="default"/>
          <w:spacing w:val="-2"/>
        </w:rPr>
        <w:t>2015</w:t>
      </w:r>
      <w:r>
        <w:rPr>
          <w:spacing w:val="-2"/>
        </w:rPr>
        <w:t>年每年的</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日，到期支付本金及</w:t>
      </w:r>
      <w:r>
        <w:rPr>
          <w:spacing w:val="-54"/>
        </w:rPr>
        <w:t> </w:t>
      </w:r>
      <w:r>
        <w:rPr>
          <w:spacing w:val="-54"/>
        </w:rPr>
      </w:r>
      <w:r>
        <w:rPr/>
        <w:t>最后一期利息。</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十七、</w:t>
      </w:r>
      <w:r>
        <w:rPr>
          <w:spacing w:val="-3"/>
        </w:rPr>
        <w:t> </w:t>
      </w:r>
      <w:r>
        <w:rPr/>
        <w:t>回购</w:t>
      </w:r>
      <w:r>
        <w:rPr>
          <w:spacing w:val="-62"/>
        </w:rPr>
        <w:t> </w:t>
      </w:r>
      <w:r>
        <w:rPr>
          <w:rFonts w:ascii="Times New Roman" w:hAnsi="Times New Roman" w:cs="Times New Roman" w:eastAsia="Times New Roman" w:hint="default"/>
        </w:rPr>
        <w:t>H</w:t>
      </w:r>
      <w:r>
        <w:rPr>
          <w:rFonts w:ascii="Times New Roman" w:hAnsi="Times New Roman" w:cs="Times New Roman" w:eastAsia="Times New Roman" w:hint="default"/>
          <w:spacing w:val="-2"/>
        </w:rPr>
        <w:t> </w:t>
      </w:r>
      <w:r>
        <w:rPr/>
        <w:t>股情况</w:t>
      </w:r>
      <w:r>
        <w:rPr>
          <w:b w:val="0"/>
          <w:bCs w:val="0"/>
        </w:rPr>
      </w:r>
    </w:p>
    <w:p>
      <w:pPr>
        <w:spacing w:line="240" w:lineRule="auto" w:before="1"/>
        <w:rPr>
          <w:rFonts w:ascii="宋体" w:hAnsi="宋体" w:cs="宋体" w:eastAsia="宋体" w:hint="default"/>
          <w:b/>
          <w:bCs/>
          <w:sz w:val="25"/>
          <w:szCs w:val="25"/>
        </w:rPr>
      </w:pPr>
    </w:p>
    <w:p>
      <w:pPr>
        <w:pStyle w:val="BodyText"/>
        <w:spacing w:line="300" w:lineRule="auto"/>
        <w:ind w:left="514" w:right="182"/>
        <w:jc w:val="left"/>
      </w:pPr>
      <w:r>
        <w:rPr>
          <w:rFonts w:ascii="Times New Roman" w:hAnsi="Times New Roman" w:cs="Times New Roman" w:eastAsia="Times New Roman" w:hint="default"/>
        </w:rPr>
        <w:t>1</w:t>
      </w:r>
      <w:r>
        <w:rPr/>
        <w:t>、回购的背景和目的 </w:t>
      </w:r>
      <w:r>
        <w:rPr>
          <w:spacing w:val="-1"/>
        </w:rPr>
        <w:t>受全球金融危机和我国经济增速放缓的影响，我国资本市场自</w:t>
      </w:r>
      <w:r>
        <w:rPr>
          <w:rFonts w:ascii="Times New Roman" w:hAnsi="Times New Roman" w:cs="Times New Roman" w:eastAsia="Times New Roman" w:hint="default"/>
          <w:spacing w:val="-1"/>
        </w:rPr>
        <w:t>2011</w:t>
      </w:r>
      <w:r>
        <w:rPr>
          <w:spacing w:val="-1"/>
        </w:rPr>
        <w:t>年中以来开始出现震荡调整。公司</w:t>
      </w:r>
      <w:r>
        <w:rPr>
          <w:rFonts w:ascii="Times New Roman" w:hAnsi="Times New Roman" w:cs="Times New Roman" w:eastAsia="Times New Roman" w:hint="default"/>
          <w:spacing w:val="-1"/>
        </w:rPr>
        <w:t>H</w:t>
      </w:r>
      <w:r>
        <w:rPr>
          <w:spacing w:val="-1"/>
        </w:rPr>
        <w:t>股股价也持续走</w:t>
      </w:r>
    </w:p>
    <w:p>
      <w:pPr>
        <w:pStyle w:val="BodyText"/>
        <w:spacing w:line="300" w:lineRule="auto" w:before="13"/>
        <w:ind w:left="153" w:right="189"/>
        <w:jc w:val="both"/>
      </w:pPr>
      <w:r>
        <w:rPr>
          <w:spacing w:val="-1"/>
        </w:rPr>
        <w:t>低，公司</w:t>
      </w:r>
      <w:r>
        <w:rPr>
          <w:rFonts w:ascii="Times New Roman" w:hAnsi="Times New Roman" w:cs="Times New Roman" w:eastAsia="Times New Roman" w:hint="default"/>
          <w:spacing w:val="-1"/>
        </w:rPr>
        <w:t>H</w:t>
      </w:r>
      <w:r>
        <w:rPr>
          <w:spacing w:val="-1"/>
        </w:rPr>
        <w:t>股股价的表现与我公司的内在价值以及行业龙头地位不符，公司的投资价值被低估，不仅给公司的资本市场形象</w:t>
      </w:r>
      <w:r>
        <w:rPr>
          <w:spacing w:val="-70"/>
        </w:rPr>
        <w:t> </w:t>
      </w:r>
      <w:r>
        <w:rPr>
          <w:spacing w:val="-70"/>
        </w:rPr>
      </w:r>
      <w:r>
        <w:rPr>
          <w:spacing w:val="-1"/>
        </w:rPr>
        <w:t>带来了负面影响，也不利于维护广大股东利益。因此，公司拟回购部分</w:t>
      </w:r>
      <w:r>
        <w:rPr>
          <w:rFonts w:ascii="Times New Roman" w:hAnsi="Times New Roman" w:cs="Times New Roman" w:eastAsia="Times New Roman" w:hint="default"/>
          <w:spacing w:val="-1"/>
        </w:rPr>
        <w:t>H</w:t>
      </w:r>
      <w:r>
        <w:rPr>
          <w:spacing w:val="-1"/>
        </w:rPr>
        <w:t>股股份，以增强公众投资者对公司的信心，提升公</w:t>
      </w:r>
      <w:r>
        <w:rPr>
          <w:spacing w:val="-69"/>
        </w:rPr>
        <w:t> </w:t>
      </w:r>
      <w:r>
        <w:rPr>
          <w:spacing w:val="-69"/>
        </w:rPr>
      </w:r>
      <w:r>
        <w:rPr/>
        <w:t>司价值，并促使其回归到合理水平，实现股东利益最大化。</w:t>
      </w:r>
    </w:p>
    <w:p>
      <w:pPr>
        <w:pStyle w:val="BodyText"/>
        <w:spacing w:line="240" w:lineRule="auto" w:before="31"/>
        <w:ind w:left="513" w:right="182"/>
        <w:jc w:val="left"/>
      </w:pPr>
      <w:r>
        <w:rPr>
          <w:rFonts w:ascii="Times New Roman" w:hAnsi="Times New Roman" w:cs="Times New Roman" w:eastAsia="Times New Roman" w:hint="default"/>
        </w:rPr>
        <w:t>2</w:t>
      </w:r>
      <w:r>
        <w:rPr/>
        <w:t>、回购已履行程序</w:t>
      </w:r>
    </w:p>
    <w:p>
      <w:pPr>
        <w:pStyle w:val="BodyText"/>
        <w:spacing w:line="240" w:lineRule="auto" w:before="62"/>
        <w:ind w:left="513" w:right="182"/>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日，第七届董事会第一次临时会议审议通过了关于授权董事会回购公司部分</w:t>
      </w:r>
      <w:r>
        <w:rPr>
          <w:rFonts w:ascii="Times New Roman" w:hAnsi="Times New Roman" w:cs="Times New Roman" w:eastAsia="Times New Roman" w:hint="default"/>
        </w:rPr>
        <w:t>H</w:t>
      </w:r>
      <w:r>
        <w:rPr/>
        <w:t>股股份一般性授权的议案。</w:t>
      </w:r>
    </w:p>
    <w:p>
      <w:pPr>
        <w:pStyle w:val="BodyText"/>
        <w:spacing w:line="240" w:lineRule="auto" w:before="62"/>
        <w:ind w:left="513" w:right="91"/>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日，公司召开</w:t>
      </w:r>
      <w:r>
        <w:rPr>
          <w:rFonts w:ascii="Times New Roman" w:hAnsi="Times New Roman" w:cs="Times New Roman" w:eastAsia="Times New Roman" w:hint="default"/>
        </w:rPr>
        <w:t>2013</w:t>
      </w:r>
      <w:r>
        <w:rPr/>
        <w:t>年第一次临时股东大会、境内上市股份（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B</w:t>
      </w:r>
      <w:r>
        <w:rPr/>
        <w:t>股）类别股东大会和境外上市股份（</w:t>
      </w:r>
      <w:r>
        <w:rPr>
          <w:rFonts w:ascii="Times New Roman" w:hAnsi="Times New Roman" w:cs="Times New Roman" w:eastAsia="Times New Roman" w:hint="default"/>
        </w:rPr>
        <w:t>H</w:t>
      </w:r>
    </w:p>
    <w:p>
      <w:pPr>
        <w:pStyle w:val="BodyText"/>
        <w:spacing w:line="240" w:lineRule="auto" w:before="62"/>
        <w:ind w:right="0"/>
        <w:jc w:val="both"/>
      </w:pPr>
      <w:r>
        <w:rPr>
          <w:spacing w:val="-2"/>
        </w:rPr>
        <w:t>股）类别股东大会，分别审议通过了公司回购</w:t>
      </w:r>
      <w:r>
        <w:rPr>
          <w:rFonts w:ascii="Times New Roman" w:hAnsi="Times New Roman" w:cs="Times New Roman" w:eastAsia="Times New Roman" w:hint="default"/>
          <w:spacing w:val="-2"/>
        </w:rPr>
        <w:t>H</w:t>
      </w:r>
      <w:r>
        <w:rPr>
          <w:spacing w:val="-2"/>
        </w:rPr>
        <w:t>股股份的议案。次日，公司披露了关于回购</w:t>
      </w:r>
      <w:r>
        <w:rPr>
          <w:rFonts w:ascii="Times New Roman" w:hAnsi="Times New Roman" w:cs="Times New Roman" w:eastAsia="Times New Roman" w:hint="default"/>
          <w:spacing w:val="-2"/>
        </w:rPr>
        <w:t>H</w:t>
      </w:r>
      <w:r>
        <w:rPr>
          <w:spacing w:val="-2"/>
        </w:rPr>
        <w:t>股股份并减少注册资本的公告。</w:t>
      </w:r>
    </w:p>
    <w:p>
      <w:pPr>
        <w:pStyle w:val="BodyText"/>
        <w:spacing w:line="240" w:lineRule="auto" w:before="62"/>
        <w:ind w:left="454" w:right="0"/>
        <w:jc w:val="left"/>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日，山东省商务厅出具了《关于山东晨鸣纸业集团股份有限公司减资的初步批复》（鲁商务外资字【</w:t>
      </w:r>
      <w:r>
        <w:rPr>
          <w:rFonts w:ascii="Times New Roman" w:hAnsi="Times New Roman" w:cs="Times New Roman" w:eastAsia="Times New Roman" w:hint="default"/>
          <w:spacing w:val="-2"/>
        </w:rPr>
        <w:t>2013</w:t>
      </w:r>
      <w:r>
        <w:rPr>
          <w:spacing w:val="-2"/>
        </w:rPr>
        <w:t>】</w:t>
      </w:r>
    </w:p>
    <w:p>
      <w:pPr>
        <w:pStyle w:val="BodyText"/>
        <w:spacing w:line="300" w:lineRule="auto" w:before="62"/>
        <w:ind w:right="182"/>
        <w:jc w:val="left"/>
      </w:pPr>
      <w:r>
        <w:rPr>
          <w:rFonts w:ascii="Times New Roman" w:hAnsi="Times New Roman" w:cs="Times New Roman" w:eastAsia="Times New Roman" w:hint="default"/>
          <w:spacing w:val="-2"/>
        </w:rPr>
        <w:t>705</w:t>
      </w:r>
      <w:r>
        <w:rPr>
          <w:spacing w:val="-2"/>
        </w:rPr>
        <w:t>号），拟同意公司回购不超过</w:t>
      </w:r>
      <w:r>
        <w:rPr>
          <w:rFonts w:ascii="Times New Roman" w:hAnsi="Times New Roman" w:cs="Times New Roman" w:eastAsia="Times New Roman" w:hint="default"/>
          <w:spacing w:val="-2"/>
        </w:rPr>
        <w:t>3912.7</w:t>
      </w:r>
      <w:r>
        <w:rPr>
          <w:spacing w:val="-2"/>
        </w:rPr>
        <w:t>万股已发行的境外上市外资股（</w:t>
      </w:r>
      <w:r>
        <w:rPr>
          <w:rFonts w:ascii="Times New Roman" w:hAnsi="Times New Roman" w:cs="Times New Roman" w:eastAsia="Times New Roman" w:hint="default"/>
          <w:spacing w:val="-2"/>
        </w:rPr>
        <w:t>H</w:t>
      </w:r>
      <w:r>
        <w:rPr>
          <w:spacing w:val="-2"/>
        </w:rPr>
        <w:t>股），回购的股份以实际发生数额为准并相应减少</w:t>
      </w:r>
      <w:r>
        <w:rPr>
          <w:spacing w:val="-54"/>
        </w:rPr>
        <w:t> </w:t>
      </w:r>
      <w:r>
        <w:rPr>
          <w:spacing w:val="-54"/>
        </w:rPr>
      </w:r>
      <w:r>
        <w:rPr/>
        <w:t>注册资本。</w:t>
      </w:r>
    </w:p>
    <w:p>
      <w:pPr>
        <w:pStyle w:val="BodyText"/>
        <w:spacing w:line="240" w:lineRule="auto" w:before="72"/>
        <w:ind w:left="514" w:right="182"/>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日，国家外汇管理局寿光市支局批复同意了公司回购</w:t>
      </w:r>
      <w:r>
        <w:rPr>
          <w:rFonts w:ascii="Times New Roman" w:hAnsi="Times New Roman" w:cs="Times New Roman" w:eastAsia="Times New Roman" w:hint="default"/>
        </w:rPr>
        <w:t>H</w:t>
      </w:r>
      <w:r>
        <w:rPr/>
        <w:t>股股份的购汇额度。</w:t>
      </w:r>
    </w:p>
    <w:p>
      <w:pPr>
        <w:pStyle w:val="BodyText"/>
        <w:spacing w:line="340" w:lineRule="auto" w:before="102"/>
        <w:ind w:left="514" w:right="182" w:hanging="6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、回购进展情况 公司自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日起正式实施回购部分</w:t>
      </w:r>
      <w:r>
        <w:rPr>
          <w:rFonts w:ascii="Times New Roman" w:hAnsi="Times New Roman" w:cs="Times New Roman" w:eastAsia="Times New Roman" w:hint="default"/>
        </w:rPr>
        <w:t>H</w:t>
      </w:r>
      <w:r>
        <w:rPr/>
        <w:t>股方案，截至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日回购期限已届满，公司回购</w:t>
      </w:r>
      <w:r>
        <w:rPr>
          <w:rFonts w:ascii="Times New Roman" w:hAnsi="Times New Roman" w:cs="Times New Roman" w:eastAsia="Times New Roman" w:hint="default"/>
        </w:rPr>
        <w:t>H</w:t>
      </w:r>
      <w:r>
        <w:rPr/>
        <w:t>股为</w:t>
      </w:r>
      <w:r>
        <w:rPr>
          <w:rFonts w:ascii="Times New Roman" w:hAnsi="Times New Roman" w:cs="Times New Roman" w:eastAsia="Times New Roman" w:hint="default"/>
        </w:rPr>
        <w:t>39,066,500</w:t>
      </w:r>
    </w:p>
    <w:p>
      <w:pPr>
        <w:pStyle w:val="BodyText"/>
        <w:spacing w:line="228" w:lineRule="exact"/>
        <w:ind w:left="153" w:right="0"/>
        <w:jc w:val="both"/>
        <w:rPr>
          <w:rFonts w:ascii="Times New Roman" w:hAnsi="Times New Roman" w:cs="Times New Roman" w:eastAsia="Times New Roman" w:hint="default"/>
        </w:rPr>
      </w:pPr>
      <w:r>
        <w:rPr>
          <w:spacing w:val="-4"/>
        </w:rPr>
        <w:t>股，占公司总股本的比例为</w:t>
      </w:r>
      <w:r>
        <w:rPr>
          <w:rFonts w:ascii="Times New Roman" w:hAnsi="Times New Roman" w:cs="Times New Roman" w:eastAsia="Times New Roman" w:hint="default"/>
          <w:spacing w:val="-4"/>
        </w:rPr>
        <w:t>1.9776%</w:t>
      </w:r>
      <w:r>
        <w:rPr>
          <w:spacing w:val="-4"/>
        </w:rPr>
        <w:t>，购买最高价为港币</w:t>
      </w:r>
      <w:r>
        <w:rPr>
          <w:rFonts w:ascii="Times New Roman" w:hAnsi="Times New Roman" w:cs="Times New Roman" w:eastAsia="Times New Roman" w:hint="default"/>
          <w:spacing w:val="-4"/>
        </w:rPr>
        <w:t>3.60</w:t>
      </w:r>
      <w:r>
        <w:rPr>
          <w:spacing w:val="-4"/>
        </w:rPr>
        <w:t>元</w:t>
      </w:r>
      <w:r>
        <w:rPr>
          <w:rFonts w:ascii="Times New Roman" w:hAnsi="Times New Roman" w:cs="Times New Roman" w:eastAsia="Times New Roman" w:hint="default"/>
          <w:spacing w:val="-4"/>
        </w:rPr>
        <w:t>/</w:t>
      </w:r>
      <w:r>
        <w:rPr>
          <w:spacing w:val="-4"/>
        </w:rPr>
        <w:t>股，最低价为港币</w:t>
      </w:r>
      <w:r>
        <w:rPr>
          <w:rFonts w:ascii="Times New Roman" w:hAnsi="Times New Roman" w:cs="Times New Roman" w:eastAsia="Times New Roman" w:hint="default"/>
          <w:spacing w:val="-4"/>
        </w:rPr>
        <w:t>3.17</w:t>
      </w:r>
      <w:r>
        <w:rPr>
          <w:spacing w:val="-4"/>
        </w:rPr>
        <w:t>元</w:t>
      </w:r>
      <w:r>
        <w:rPr>
          <w:rFonts w:ascii="Times New Roman" w:hAnsi="Times New Roman" w:cs="Times New Roman" w:eastAsia="Times New Roman" w:hint="default"/>
          <w:spacing w:val="-4"/>
        </w:rPr>
        <w:t>/</w:t>
      </w:r>
      <w:r>
        <w:rPr>
          <w:spacing w:val="-4"/>
        </w:rPr>
        <w:t>股，支付总金额为港币</w:t>
      </w:r>
      <w:r>
        <w:rPr>
          <w:rFonts w:ascii="Times New Roman" w:hAnsi="Times New Roman" w:cs="Times New Roman" w:eastAsia="Times New Roman" w:hint="default"/>
          <w:spacing w:val="-4"/>
        </w:rPr>
        <w:t>133,556,245.00</w:t>
      </w:r>
    </w:p>
    <w:p>
      <w:pPr>
        <w:pStyle w:val="BodyText"/>
        <w:spacing w:line="357" w:lineRule="auto" w:before="64"/>
        <w:ind w:left="513" w:right="3381" w:hanging="360"/>
        <w:jc w:val="left"/>
      </w:pPr>
      <w:r>
        <w:rPr/>
        <w:t>元（不含印花税、佣金）。 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日，公司已完成注销回购的境外上市外资股</w:t>
      </w:r>
      <w:r>
        <w:rPr>
          <w:rFonts w:ascii="Times New Roman" w:hAnsi="Times New Roman" w:cs="Times New Roman" w:eastAsia="Times New Roman" w:hint="default"/>
        </w:rPr>
        <w:t>H</w:t>
      </w:r>
      <w:r>
        <w:rPr/>
        <w:t>股</w:t>
      </w:r>
      <w:r>
        <w:rPr>
          <w:rFonts w:ascii="Times New Roman" w:hAnsi="Times New Roman" w:cs="Times New Roman" w:eastAsia="Times New Roman" w:hint="default"/>
        </w:rPr>
        <w:t>39,066,500</w:t>
      </w:r>
      <w:r>
        <w:rPr/>
        <w:t>股。</w:t>
      </w:r>
    </w:p>
    <w:p>
      <w:pPr>
        <w:pStyle w:val="BodyText"/>
        <w:spacing w:line="214" w:lineRule="exact"/>
        <w:ind w:left="513" w:right="91"/>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日，公司取得山东省商务厅《关于山东晨鸣纸业集团股份有限公司减资的批复》（鲁商务外资字</w:t>
      </w:r>
      <w:r>
        <w:rPr>
          <w:rFonts w:ascii="Times New Roman" w:hAnsi="Times New Roman" w:cs="Times New Roman" w:eastAsia="Times New Roman" w:hint="default"/>
        </w:rPr>
        <w:t>[2014]158</w:t>
      </w:r>
    </w:p>
    <w:p>
      <w:pPr>
        <w:pStyle w:val="BodyText"/>
        <w:spacing w:line="240" w:lineRule="auto" w:before="62"/>
        <w:ind w:left="153" w:right="0"/>
        <w:jc w:val="both"/>
      </w:pPr>
      <w:r>
        <w:rPr/>
        <w:t>号）和减资后的外商投资企业批准证书，同意公司注册资本由</w:t>
      </w:r>
      <w:r>
        <w:rPr>
          <w:rFonts w:ascii="Times New Roman" w:hAnsi="Times New Roman" w:cs="Times New Roman" w:eastAsia="Times New Roman" w:hint="default"/>
        </w:rPr>
        <w:t>197,547.1967</w:t>
      </w:r>
      <w:r>
        <w:rPr/>
        <w:t>万元人民币减至</w:t>
      </w:r>
      <w:r>
        <w:rPr>
          <w:rFonts w:ascii="Times New Roman" w:hAnsi="Times New Roman" w:cs="Times New Roman" w:eastAsia="Times New Roman" w:hint="default"/>
        </w:rPr>
        <w:t>193,640.5467</w:t>
      </w:r>
      <w:r>
        <w:rPr/>
        <w:t>万元人民币。</w:t>
      </w:r>
    </w:p>
    <w:p>
      <w:pPr>
        <w:pStyle w:val="BodyText"/>
        <w:spacing w:line="240" w:lineRule="auto" w:before="62"/>
        <w:ind w:left="513" w:right="91"/>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w:t>
      </w:r>
      <w:r>
        <w:rPr>
          <w:spacing w:val="-88"/>
        </w:rPr>
        <w:t>，</w:t>
      </w:r>
      <w:r>
        <w:rPr/>
        <w:t>公司在山东省工商行政管理局办理了减资备案手续</w:t>
      </w:r>
      <w:r>
        <w:rPr>
          <w:spacing w:val="-88"/>
        </w:rPr>
        <w:t>，</w:t>
      </w:r>
      <w:r>
        <w:rPr/>
        <w:t>取得了减资后的营业执照</w:t>
      </w:r>
      <w:r>
        <w:rPr>
          <w:spacing w:val="-88"/>
        </w:rPr>
        <w:t>，</w:t>
      </w:r>
      <w:r>
        <w:rPr/>
        <w:t>注册资本为</w:t>
      </w:r>
      <w:r>
        <w:rPr>
          <w:rFonts w:ascii="Times New Roman" w:hAnsi="Times New Roman" w:cs="Times New Roman" w:eastAsia="Times New Roman" w:hint="default"/>
        </w:rPr>
        <w:t>193,640.5</w:t>
      </w:r>
      <w:r>
        <w:rPr>
          <w:rFonts w:ascii="Times New Roman" w:hAnsi="Times New Roman" w:cs="Times New Roman" w:eastAsia="Times New Roman" w:hint="default"/>
          <w:spacing w:val="-2"/>
        </w:rPr>
        <w:t>4</w:t>
      </w:r>
      <w:r>
        <w:rPr>
          <w:rFonts w:ascii="Times New Roman" w:hAnsi="Times New Roman" w:cs="Times New Roman" w:eastAsia="Times New Roman" w:hint="default"/>
        </w:rPr>
        <w:t>67</w:t>
      </w:r>
    </w:p>
    <w:p>
      <w:pPr>
        <w:pStyle w:val="BodyText"/>
        <w:spacing w:line="240" w:lineRule="auto" w:before="62"/>
        <w:ind w:left="153" w:right="0"/>
        <w:jc w:val="both"/>
      </w:pPr>
      <w:r>
        <w:rPr/>
        <w:t>万元人民币。</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r>
        <w:rPr/>
        <w:t>十八、</w:t>
      </w:r>
      <w:r>
        <w:rPr>
          <w:spacing w:val="-19"/>
        </w:rPr>
        <w:t> </w:t>
      </w:r>
      <w:r>
        <w:rPr/>
        <w:t>报告期后事项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82" w:firstLine="360"/>
        <w:jc w:val="left"/>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11</w:t>
      </w:r>
      <w:r>
        <w:rPr>
          <w:spacing w:val="-4"/>
        </w:rPr>
        <w:t>日，公司取得山东省国资委《关于山东晨鸣纸业集团股份有限公司非公开发行优先股有关问题的批复》（鲁</w:t>
      </w:r>
      <w:r>
        <w:rPr/>
        <w:t> 国资产权字</w:t>
      </w:r>
      <w:r>
        <w:rPr>
          <w:rFonts w:ascii="Times New Roman" w:hAnsi="Times New Roman" w:cs="Times New Roman" w:eastAsia="Times New Roman" w:hint="default"/>
        </w:rPr>
        <w:t>[2015]4</w:t>
      </w:r>
      <w:r>
        <w:rPr/>
        <w:t>号），同意公司非公开发行不超过</w:t>
      </w:r>
      <w:r>
        <w:rPr>
          <w:rFonts w:ascii="Times New Roman" w:hAnsi="Times New Roman" w:cs="Times New Roman" w:eastAsia="Times New Roman" w:hint="default"/>
        </w:rPr>
        <w:t>4500</w:t>
      </w:r>
      <w:r>
        <w:rPr/>
        <w:t>万股优先股方案。</w:t>
      </w:r>
    </w:p>
    <w:p>
      <w:pPr>
        <w:pStyle w:val="BodyText"/>
        <w:spacing w:line="300" w:lineRule="auto" w:before="13"/>
        <w:ind w:left="153" w:right="182"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日，公司召开</w:t>
      </w:r>
      <w:r>
        <w:rPr>
          <w:rFonts w:ascii="Times New Roman" w:hAnsi="Times New Roman" w:cs="Times New Roman" w:eastAsia="Times New Roman" w:hint="default"/>
          <w:spacing w:val="-2"/>
        </w:rPr>
        <w:t>2015</w:t>
      </w:r>
      <w:r>
        <w:rPr>
          <w:spacing w:val="-2"/>
        </w:rPr>
        <w:t>年第一次临时股东大会和</w:t>
      </w:r>
      <w:r>
        <w:rPr>
          <w:rFonts w:ascii="Times New Roman" w:hAnsi="Times New Roman" w:cs="Times New Roman" w:eastAsia="Times New Roman" w:hint="default"/>
          <w:spacing w:val="-2"/>
        </w:rPr>
        <w:t>2015</w:t>
      </w:r>
      <w:r>
        <w:rPr>
          <w:spacing w:val="-2"/>
        </w:rPr>
        <w:t>年第一次境内上市股份（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B</w:t>
      </w:r>
      <w:r>
        <w:rPr>
          <w:spacing w:val="-2"/>
        </w:rPr>
        <w:t>股）类别股东大会、境外</w:t>
      </w:r>
      <w:r>
        <w:rPr/>
        <w:t> 上市股份（</w:t>
      </w:r>
      <w:r>
        <w:rPr>
          <w:rFonts w:ascii="Times New Roman" w:hAnsi="Times New Roman" w:cs="Times New Roman" w:eastAsia="Times New Roman" w:hint="default"/>
        </w:rPr>
        <w:t>H</w:t>
      </w:r>
      <w:r>
        <w:rPr/>
        <w:t>股）类别股东大会，分别审议通过了《关于非公开发行优先股方案的议案》。</w:t>
      </w:r>
    </w:p>
    <w:p>
      <w:pPr>
        <w:spacing w:after="0" w:line="30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82"/>
        <w:jc w:val="left"/>
        <w:rPr>
          <w:b w:val="0"/>
          <w:bCs w:val="0"/>
        </w:rPr>
      </w:pPr>
      <w:bookmarkStart w:name="_bookmark6" w:id="7"/>
      <w:bookmarkEnd w:id="7"/>
      <w:r>
        <w:rPr>
          <w:b w:val="0"/>
          <w:bCs w:val="0"/>
        </w:rPr>
      </w:r>
      <w:r>
        <w:rPr/>
        <w:t>第七节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82"/>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82"/>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单位：股</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931"/>
        <w:gridCol w:w="1103"/>
        <w:gridCol w:w="748"/>
        <w:gridCol w:w="749"/>
        <w:gridCol w:w="748"/>
        <w:gridCol w:w="748"/>
        <w:gridCol w:w="926"/>
        <w:gridCol w:w="926"/>
        <w:gridCol w:w="1091"/>
        <w:gridCol w:w="713"/>
      </w:tblGrid>
      <w:tr>
        <w:trPr>
          <w:trHeight w:val="402" w:hRule="exact"/>
        </w:trPr>
        <w:tc>
          <w:tcPr>
            <w:tcW w:w="1931" w:type="dxa"/>
            <w:tcBorders>
              <w:top w:val="single" w:sz="4" w:space="0" w:color="000000"/>
              <w:left w:val="single" w:sz="4" w:space="0" w:color="000000"/>
              <w:bottom w:val="nil" w:sz="6" w:space="0" w:color="auto"/>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9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31" w:type="dxa"/>
            <w:vMerge w:val="restart"/>
            <w:tcBorders>
              <w:top w:val="nil" w:sz="6" w:space="0" w:color="auto"/>
              <w:left w:val="single" w:sz="4" w:space="0" w:color="000000"/>
              <w:right w:val="single" w:sz="4" w:space="0" w:color="000000"/>
            </w:tcBorders>
            <w:shd w:val="clear" w:color="auto" w:fill="D3D3D3"/>
          </w:tcPr>
          <w:p>
            <w:pPr/>
          </w:p>
        </w:tc>
        <w:tc>
          <w:tcPr>
            <w:tcW w:w="1103" w:type="dxa"/>
            <w:tcBorders>
              <w:top w:val="single" w:sz="4" w:space="0" w:color="000000"/>
              <w:left w:val="single" w:sz="4" w:space="0" w:color="000000"/>
              <w:bottom w:val="nil" w:sz="6" w:space="0" w:color="auto"/>
              <w:right w:val="single" w:sz="4" w:space="0" w:color="000000"/>
            </w:tcBorders>
            <w:shd w:val="clear" w:color="auto" w:fill="D3D3D3"/>
          </w:tcPr>
          <w:p>
            <w:pPr/>
          </w:p>
        </w:tc>
        <w:tc>
          <w:tcPr>
            <w:tcW w:w="748" w:type="dxa"/>
            <w:tcBorders>
              <w:top w:val="single" w:sz="4" w:space="0" w:color="000000"/>
              <w:left w:val="single" w:sz="4" w:space="0" w:color="000000"/>
              <w:bottom w:val="nil" w:sz="6" w:space="0" w:color="auto"/>
              <w:right w:val="single" w:sz="4" w:space="0" w:color="000000"/>
            </w:tcBorders>
            <w:shd w:val="clear" w:color="auto" w:fill="D3D3D3"/>
          </w:tcPr>
          <w:p>
            <w:pPr/>
          </w:p>
        </w:tc>
        <w:tc>
          <w:tcPr>
            <w:tcW w:w="74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79" w:right="97"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748" w:type="dxa"/>
            <w:tcBorders>
              <w:top w:val="single" w:sz="4" w:space="0" w:color="000000"/>
              <w:left w:val="single" w:sz="4" w:space="0" w:color="000000"/>
              <w:bottom w:val="nil" w:sz="6" w:space="0" w:color="auto"/>
              <w:right w:val="single" w:sz="4" w:space="0" w:color="000000"/>
            </w:tcBorders>
            <w:shd w:val="clear" w:color="auto" w:fill="D3D3D3"/>
          </w:tcPr>
          <w:p>
            <w:pPr/>
          </w:p>
        </w:tc>
        <w:tc>
          <w:tcPr>
            <w:tcW w:w="74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88" w:right="97"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26" w:type="dxa"/>
            <w:tcBorders>
              <w:top w:val="single" w:sz="4" w:space="0" w:color="000000"/>
              <w:left w:val="single" w:sz="4" w:space="0" w:color="000000"/>
              <w:bottom w:val="nil" w:sz="6" w:space="0" w:color="auto"/>
              <w:right w:val="single" w:sz="4" w:space="0" w:color="000000"/>
            </w:tcBorders>
            <w:shd w:val="clear" w:color="auto" w:fill="D3D3D3"/>
          </w:tcPr>
          <w:p>
            <w:pPr/>
          </w:p>
        </w:tc>
        <w:tc>
          <w:tcPr>
            <w:tcW w:w="9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tcBorders>
              <w:top w:val="single" w:sz="4" w:space="0" w:color="000000"/>
              <w:left w:val="single" w:sz="4" w:space="0" w:color="000000"/>
              <w:bottom w:val="nil" w:sz="6" w:space="0" w:color="auto"/>
              <w:right w:val="single" w:sz="4" w:space="0" w:color="000000"/>
            </w:tcBorders>
            <w:shd w:val="clear" w:color="auto" w:fill="D3D3D3"/>
          </w:tcPr>
          <w:p>
            <w:pPr/>
          </w:p>
        </w:tc>
        <w:tc>
          <w:tcPr>
            <w:tcW w:w="71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6" w:hRule="exact"/>
        </w:trPr>
        <w:tc>
          <w:tcPr>
            <w:tcW w:w="1931" w:type="dxa"/>
            <w:vMerge/>
            <w:tcBorders>
              <w:left w:val="single" w:sz="4" w:space="0" w:color="000000"/>
              <w:bottom w:val="nil" w:sz="6" w:space="0" w:color="auto"/>
              <w:right w:val="single" w:sz="4" w:space="0" w:color="000000"/>
            </w:tcBorders>
            <w:shd w:val="clear" w:color="auto" w:fill="D3D3D3"/>
          </w:tcPr>
          <w:p>
            <w:pPr/>
          </w:p>
        </w:tc>
        <w:tc>
          <w:tcPr>
            <w:tcW w:w="11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49" w:type="dxa"/>
            <w:vMerge/>
            <w:tcBorders>
              <w:left w:val="single" w:sz="4" w:space="0" w:color="000000"/>
              <w:right w:val="single" w:sz="4" w:space="0" w:color="000000"/>
            </w:tcBorders>
            <w:shd w:val="clear" w:color="auto" w:fill="D3D3D3"/>
          </w:tcPr>
          <w:p>
            <w:pPr/>
          </w:p>
        </w:tc>
        <w:tc>
          <w:tcPr>
            <w:tcW w:w="74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48" w:type="dxa"/>
            <w:vMerge/>
            <w:tcBorders>
              <w:left w:val="single" w:sz="4" w:space="0" w:color="000000"/>
              <w:right w:val="single" w:sz="4" w:space="0" w:color="000000"/>
            </w:tcBorders>
            <w:shd w:val="clear" w:color="auto" w:fill="D3D3D3"/>
          </w:tcPr>
          <w:p>
            <w:pPr/>
          </w:p>
        </w:tc>
        <w:tc>
          <w:tcPr>
            <w:tcW w:w="9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31" w:type="dxa"/>
            <w:vMerge w:val="restart"/>
            <w:tcBorders>
              <w:top w:val="nil" w:sz="6" w:space="0" w:color="auto"/>
              <w:left w:val="single" w:sz="4" w:space="0" w:color="000000"/>
              <w:right w:val="single" w:sz="4" w:space="0" w:color="000000"/>
            </w:tcBorders>
            <w:shd w:val="clear" w:color="auto" w:fill="D3D3D3"/>
          </w:tcPr>
          <w:p>
            <w:pPr/>
          </w:p>
        </w:tc>
        <w:tc>
          <w:tcPr>
            <w:tcW w:w="1103" w:type="dxa"/>
            <w:vMerge/>
            <w:tcBorders>
              <w:left w:val="single" w:sz="4" w:space="0" w:color="000000"/>
              <w:bottom w:val="nil" w:sz="6" w:space="0" w:color="auto"/>
              <w:right w:val="single" w:sz="4" w:space="0" w:color="000000"/>
            </w:tcBorders>
            <w:shd w:val="clear" w:color="auto" w:fill="D3D3D3"/>
          </w:tcPr>
          <w:p>
            <w:pPr/>
          </w:p>
        </w:tc>
        <w:tc>
          <w:tcPr>
            <w:tcW w:w="748" w:type="dxa"/>
            <w:vMerge/>
            <w:tcBorders>
              <w:left w:val="single" w:sz="4" w:space="0" w:color="000000"/>
              <w:bottom w:val="nil" w:sz="6" w:space="0" w:color="auto"/>
              <w:right w:val="single" w:sz="4" w:space="0" w:color="000000"/>
            </w:tcBorders>
            <w:shd w:val="clear" w:color="auto" w:fill="D3D3D3"/>
          </w:tcPr>
          <w:p>
            <w:pPr/>
          </w:p>
        </w:tc>
        <w:tc>
          <w:tcPr>
            <w:tcW w:w="749" w:type="dxa"/>
            <w:vMerge/>
            <w:tcBorders>
              <w:left w:val="single" w:sz="4" w:space="0" w:color="000000"/>
              <w:right w:val="single" w:sz="4" w:space="0" w:color="000000"/>
            </w:tcBorders>
            <w:shd w:val="clear" w:color="auto" w:fill="D3D3D3"/>
          </w:tcPr>
          <w:p>
            <w:pPr/>
          </w:p>
        </w:tc>
        <w:tc>
          <w:tcPr>
            <w:tcW w:w="748" w:type="dxa"/>
            <w:vMerge/>
            <w:tcBorders>
              <w:left w:val="single" w:sz="4" w:space="0" w:color="000000"/>
              <w:bottom w:val="nil" w:sz="6" w:space="0" w:color="auto"/>
              <w:right w:val="single" w:sz="4" w:space="0" w:color="000000"/>
            </w:tcBorders>
            <w:shd w:val="clear" w:color="auto" w:fill="D3D3D3"/>
          </w:tcPr>
          <w:p>
            <w:pPr/>
          </w:p>
        </w:tc>
        <w:tc>
          <w:tcPr>
            <w:tcW w:w="748" w:type="dxa"/>
            <w:vMerge/>
            <w:tcBorders>
              <w:left w:val="single" w:sz="4" w:space="0" w:color="000000"/>
              <w:right w:val="single" w:sz="4" w:space="0" w:color="000000"/>
            </w:tcBorders>
            <w:shd w:val="clear" w:color="auto" w:fill="D3D3D3"/>
          </w:tcPr>
          <w:p>
            <w:pPr/>
          </w:p>
        </w:tc>
        <w:tc>
          <w:tcPr>
            <w:tcW w:w="926" w:type="dxa"/>
            <w:vMerge/>
            <w:tcBorders>
              <w:left w:val="single" w:sz="4" w:space="0" w:color="000000"/>
              <w:bottom w:val="nil" w:sz="6" w:space="0" w:color="auto"/>
              <w:right w:val="single" w:sz="4" w:space="0" w:color="000000"/>
            </w:tcBorders>
            <w:shd w:val="clear" w:color="auto" w:fill="D3D3D3"/>
          </w:tcPr>
          <w:p>
            <w:pPr/>
          </w:p>
        </w:tc>
        <w:tc>
          <w:tcPr>
            <w:tcW w:w="926" w:type="dxa"/>
            <w:vMerge/>
            <w:tcBorders>
              <w:left w:val="single" w:sz="4" w:space="0" w:color="000000"/>
              <w:bottom w:val="nil" w:sz="6" w:space="0" w:color="auto"/>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713"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931" w:type="dxa"/>
            <w:vMerge/>
            <w:tcBorders>
              <w:left w:val="single" w:sz="4" w:space="0" w:color="000000"/>
              <w:bottom w:val="single" w:sz="4" w:space="0" w:color="000000"/>
              <w:right w:val="single" w:sz="4" w:space="0" w:color="000000"/>
            </w:tcBorders>
            <w:shd w:val="clear" w:color="auto" w:fill="D3D3D3"/>
          </w:tcPr>
          <w:p>
            <w:pPr/>
          </w:p>
        </w:tc>
        <w:tc>
          <w:tcPr>
            <w:tcW w:w="1103" w:type="dxa"/>
            <w:tcBorders>
              <w:top w:val="nil" w:sz="6" w:space="0" w:color="auto"/>
              <w:left w:val="single" w:sz="4" w:space="0" w:color="000000"/>
              <w:bottom w:val="single" w:sz="4" w:space="0" w:color="000000"/>
              <w:right w:val="single" w:sz="4" w:space="0" w:color="000000"/>
            </w:tcBorders>
            <w:shd w:val="clear" w:color="auto" w:fill="D3D3D3"/>
          </w:tcPr>
          <w:p>
            <w:pPr/>
          </w:p>
        </w:tc>
        <w:tc>
          <w:tcPr>
            <w:tcW w:w="748" w:type="dxa"/>
            <w:tcBorders>
              <w:top w:val="nil" w:sz="6" w:space="0" w:color="auto"/>
              <w:left w:val="single" w:sz="4" w:space="0" w:color="000000"/>
              <w:bottom w:val="single" w:sz="4" w:space="0" w:color="000000"/>
              <w:right w:val="single" w:sz="4" w:space="0" w:color="000000"/>
            </w:tcBorders>
            <w:shd w:val="clear" w:color="auto" w:fill="D3D3D3"/>
          </w:tcPr>
          <w:p>
            <w:pPr/>
          </w:p>
        </w:tc>
        <w:tc>
          <w:tcPr>
            <w:tcW w:w="749" w:type="dxa"/>
            <w:vMerge/>
            <w:tcBorders>
              <w:left w:val="single" w:sz="4" w:space="0" w:color="000000"/>
              <w:bottom w:val="single" w:sz="4" w:space="0" w:color="000000"/>
              <w:right w:val="single" w:sz="4" w:space="0" w:color="000000"/>
            </w:tcBorders>
            <w:shd w:val="clear" w:color="auto" w:fill="D3D3D3"/>
          </w:tcPr>
          <w:p>
            <w:pPr/>
          </w:p>
        </w:tc>
        <w:tc>
          <w:tcPr>
            <w:tcW w:w="748" w:type="dxa"/>
            <w:tcBorders>
              <w:top w:val="nil" w:sz="6" w:space="0" w:color="auto"/>
              <w:left w:val="single" w:sz="4" w:space="0" w:color="000000"/>
              <w:bottom w:val="single" w:sz="4" w:space="0" w:color="000000"/>
              <w:right w:val="single" w:sz="4" w:space="0" w:color="000000"/>
            </w:tcBorders>
            <w:shd w:val="clear" w:color="auto" w:fill="D3D3D3"/>
          </w:tcPr>
          <w:p>
            <w:pPr/>
          </w:p>
        </w:tc>
        <w:tc>
          <w:tcPr>
            <w:tcW w:w="748" w:type="dxa"/>
            <w:vMerge/>
            <w:tcBorders>
              <w:left w:val="single" w:sz="4" w:space="0" w:color="000000"/>
              <w:bottom w:val="single" w:sz="4" w:space="0" w:color="000000"/>
              <w:right w:val="single" w:sz="4" w:space="0" w:color="000000"/>
            </w:tcBorders>
            <w:shd w:val="clear" w:color="auto" w:fill="D3D3D3"/>
          </w:tcPr>
          <w:p>
            <w:pPr/>
          </w:p>
        </w:tc>
        <w:tc>
          <w:tcPr>
            <w:tcW w:w="926" w:type="dxa"/>
            <w:tcBorders>
              <w:top w:val="nil" w:sz="6" w:space="0" w:color="auto"/>
              <w:left w:val="single" w:sz="4" w:space="0" w:color="000000"/>
              <w:bottom w:val="single" w:sz="4" w:space="0" w:color="000000"/>
              <w:right w:val="single" w:sz="4" w:space="0" w:color="000000"/>
            </w:tcBorders>
            <w:shd w:val="clear" w:color="auto" w:fill="D3D3D3"/>
          </w:tcPr>
          <w:p>
            <w:pPr/>
          </w:p>
        </w:tc>
        <w:tc>
          <w:tcPr>
            <w:tcW w:w="9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71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8,166,219</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8,241,219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1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8,166,219</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8,241,219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1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8,166,219</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8,241,219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1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1,967,305,748</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99.59%</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-39,141,500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-39,141,500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1,928,164,248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99.58%</w:t>
            </w:r>
          </w:p>
        </w:tc>
      </w:tr>
      <w:tr>
        <w:trPr>
          <w:trHeight w:val="402" w:hRule="exact"/>
        </w:trPr>
        <w:tc>
          <w:tcPr>
            <w:tcW w:w="1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1,105,112,237</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1,105,037,237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57.07%</w:t>
            </w:r>
          </w:p>
        </w:tc>
      </w:tr>
      <w:tr>
        <w:trPr>
          <w:trHeight w:val="402" w:hRule="exact"/>
        </w:trPr>
        <w:tc>
          <w:tcPr>
            <w:tcW w:w="1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470,923,511</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470,923,511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24.32%</w:t>
            </w:r>
          </w:p>
        </w:tc>
      </w:tr>
      <w:tr>
        <w:trPr>
          <w:trHeight w:val="402" w:hRule="exact"/>
        </w:trPr>
        <w:tc>
          <w:tcPr>
            <w:tcW w:w="1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391,270,000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19.81%</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-39,066,500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-39,066,500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352,203,500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18.19%</w:t>
            </w:r>
          </w:p>
        </w:tc>
      </w:tr>
      <w:tr>
        <w:trPr>
          <w:trHeight w:val="402" w:hRule="exact"/>
        </w:trPr>
        <w:tc>
          <w:tcPr>
            <w:tcW w:w="1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1,975,471,967</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-39,066,500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-39,066,500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1,936,405,467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82"/>
        <w:jc w:val="left"/>
      </w:pPr>
      <w:r>
        <w:rPr/>
        <w:t>股份变动的原因</w:t>
      </w:r>
    </w:p>
    <w:p>
      <w:pPr>
        <w:pStyle w:val="BodyText"/>
        <w:spacing w:line="240" w:lineRule="auto" w:before="117"/>
        <w:ind w:right="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1"/>
        <w:ind w:right="91" w:firstLine="360"/>
        <w:jc w:val="left"/>
      </w:pPr>
      <w:r>
        <w:rPr>
          <w:rFonts w:ascii="Times New Roman" w:hAnsi="Times New Roman" w:cs="Times New Roman" w:eastAsia="Times New Roman" w:hint="default"/>
          <w:spacing w:val="-1"/>
        </w:rPr>
        <w:t>1</w:t>
      </w:r>
      <w:r>
        <w:rPr>
          <w:spacing w:val="-1"/>
        </w:rPr>
        <w:t>、本次变动前后，有限售条件股份中，境内自然人持股由</w:t>
      </w:r>
      <w:r>
        <w:rPr>
          <w:rFonts w:ascii="Times New Roman" w:hAnsi="Times New Roman" w:cs="Times New Roman" w:eastAsia="Times New Roman" w:hint="default"/>
          <w:spacing w:val="-1"/>
        </w:rPr>
        <w:t>8,166,219</w:t>
      </w:r>
      <w:r>
        <w:rPr>
          <w:spacing w:val="-1"/>
        </w:rPr>
        <w:t>股变为</w:t>
      </w:r>
      <w:r>
        <w:rPr>
          <w:rFonts w:ascii="Times New Roman" w:hAnsi="Times New Roman" w:cs="Times New Roman" w:eastAsia="Times New Roman" w:hint="default"/>
          <w:spacing w:val="-1"/>
        </w:rPr>
        <w:t>8,241,219</w:t>
      </w:r>
      <w:r>
        <w:rPr>
          <w:spacing w:val="-1"/>
        </w:rPr>
        <w:t>股，差额为</w:t>
      </w:r>
      <w:r>
        <w:rPr>
          <w:rFonts w:ascii="Times New Roman" w:hAnsi="Times New Roman" w:cs="Times New Roman" w:eastAsia="Times New Roman" w:hint="default"/>
          <w:spacing w:val="-1"/>
        </w:rPr>
        <w:t>75,000</w:t>
      </w:r>
      <w:r>
        <w:rPr>
          <w:spacing w:val="-1"/>
        </w:rPr>
        <w:t>股，变动原因为：</w:t>
      </w:r>
      <w:r>
        <w:rPr/>
        <w:t> </w:t>
      </w:r>
      <w:r>
        <w:rPr>
          <w:spacing w:val="-2"/>
        </w:rPr>
        <w:t>根据《深圳证券交易所上市公司董事、监事和高级管理人员所持本公司股份管理业务操作指南》规定，报告期内，公司高管</w:t>
      </w:r>
      <w:r>
        <w:rPr>
          <w:spacing w:val="-66"/>
        </w:rPr>
        <w:t> </w:t>
      </w:r>
      <w:r>
        <w:rPr>
          <w:spacing w:val="-66"/>
        </w:rPr>
      </w:r>
      <w:r>
        <w:rPr/>
        <w:t>增持公司部分股份，增持股份中的</w:t>
      </w:r>
      <w:r>
        <w:rPr>
          <w:rFonts w:ascii="Times New Roman" w:hAnsi="Times New Roman" w:cs="Times New Roman" w:eastAsia="Times New Roman" w:hint="default"/>
        </w:rPr>
        <w:t>75,000</w:t>
      </w:r>
      <w:r>
        <w:rPr/>
        <w:t>股，股权性质由无限售条件人民币普通股变为有限售条件境内自然人持股。</w:t>
      </w:r>
    </w:p>
    <w:p>
      <w:pPr>
        <w:pStyle w:val="BodyText"/>
        <w:spacing w:line="300" w:lineRule="auto" w:before="5"/>
        <w:ind w:right="91" w:firstLine="360"/>
        <w:jc w:val="left"/>
      </w:pPr>
      <w:r>
        <w:rPr>
          <w:rFonts w:ascii="Times New Roman" w:hAnsi="Times New Roman" w:cs="Times New Roman" w:eastAsia="Times New Roman" w:hint="default"/>
          <w:spacing w:val="-3"/>
        </w:rPr>
        <w:t>2</w:t>
      </w:r>
      <w:r>
        <w:rPr>
          <w:spacing w:val="-3"/>
        </w:rPr>
        <w:t>、本次变动前后，境外上市的外资股由</w:t>
      </w:r>
      <w:r>
        <w:rPr>
          <w:rFonts w:ascii="Times New Roman" w:hAnsi="Times New Roman" w:cs="Times New Roman" w:eastAsia="Times New Roman" w:hint="default"/>
          <w:spacing w:val="-3"/>
        </w:rPr>
        <w:t>391,270,000</w:t>
      </w:r>
      <w:r>
        <w:rPr>
          <w:spacing w:val="-3"/>
        </w:rPr>
        <w:t>股变为</w:t>
      </w:r>
      <w:r>
        <w:rPr>
          <w:rFonts w:ascii="Times New Roman" w:hAnsi="Times New Roman" w:cs="Times New Roman" w:eastAsia="Times New Roman" w:hint="default"/>
          <w:spacing w:val="-3"/>
        </w:rPr>
        <w:t>352,203,500</w:t>
      </w:r>
      <w:r>
        <w:rPr>
          <w:spacing w:val="-3"/>
        </w:rPr>
        <w:t>股，差额为</w:t>
      </w:r>
      <w:r>
        <w:rPr>
          <w:rFonts w:ascii="Times New Roman" w:hAnsi="Times New Roman" w:cs="Times New Roman" w:eastAsia="Times New Roman" w:hint="default"/>
          <w:spacing w:val="-3"/>
        </w:rPr>
        <w:t>39,066,500</w:t>
      </w:r>
      <w:r>
        <w:rPr>
          <w:spacing w:val="-3"/>
        </w:rPr>
        <w:t>股，变动原因为：报告期内，</w:t>
      </w:r>
      <w:r>
        <w:rPr/>
        <w:t> 公司回购部分境外上市外资股（</w:t>
      </w:r>
      <w:r>
        <w:rPr>
          <w:rFonts w:ascii="Times New Roman" w:hAnsi="Times New Roman" w:cs="Times New Roman" w:eastAsia="Times New Roman" w:hint="default"/>
        </w:rPr>
        <w:t>H</w:t>
      </w:r>
      <w:r>
        <w:rPr/>
        <w:t>股）股份，截至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日，公司累计回购</w:t>
      </w:r>
      <w:r>
        <w:rPr>
          <w:rFonts w:ascii="Times New Roman" w:hAnsi="Times New Roman" w:cs="Times New Roman" w:eastAsia="Times New Roman" w:hint="default"/>
        </w:rPr>
        <w:t>H</w:t>
      </w:r>
      <w:r>
        <w:rPr/>
        <w:t>股股份</w:t>
      </w:r>
      <w:r>
        <w:rPr>
          <w:rFonts w:ascii="Times New Roman" w:hAnsi="Times New Roman" w:cs="Times New Roman" w:eastAsia="Times New Roman" w:hint="default"/>
        </w:rPr>
        <w:t>39,066,500</w:t>
      </w:r>
      <w:r>
        <w:rPr/>
        <w:t>股，并于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 在香港中央证券登记有限公司办理完毕回购股份的注销事宜。</w:t>
      </w:r>
    </w:p>
    <w:p>
      <w:pPr>
        <w:pStyle w:val="BodyText"/>
        <w:spacing w:line="240" w:lineRule="auto" w:before="72"/>
        <w:ind w:right="182"/>
        <w:jc w:val="left"/>
      </w:pPr>
      <w:r>
        <w:rPr/>
        <w:t>股份变动的批准情况</w:t>
      </w:r>
    </w:p>
    <w:p>
      <w:pPr>
        <w:pStyle w:val="BodyText"/>
        <w:spacing w:line="240" w:lineRule="auto" w:before="117"/>
        <w:ind w:right="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230" w:firstLine="36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日，公司第七届董事会第一次临时会议审议通过了关于授权董事会回购公司部分</w:t>
      </w:r>
      <w:r>
        <w:rPr>
          <w:rFonts w:ascii="Times New Roman" w:hAnsi="Times New Roman" w:cs="Times New Roman" w:eastAsia="Times New Roman" w:hint="default"/>
        </w:rPr>
        <w:t>H</w:t>
      </w:r>
      <w:r>
        <w:rPr/>
        <w:t>股股份一般性授权的议 案。</w:t>
      </w:r>
    </w:p>
    <w:p>
      <w:pPr>
        <w:pStyle w:val="BodyText"/>
        <w:spacing w:line="240" w:lineRule="auto" w:before="31"/>
        <w:ind w:left="514" w:right="91"/>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日，公司召开</w:t>
      </w:r>
      <w:r>
        <w:rPr>
          <w:rFonts w:ascii="Times New Roman" w:hAnsi="Times New Roman" w:cs="Times New Roman" w:eastAsia="Times New Roman" w:hint="default"/>
        </w:rPr>
        <w:t>2013</w:t>
      </w:r>
      <w:r>
        <w:rPr/>
        <w:t>年第一次临时股东大会、境内上市股份（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B</w:t>
      </w:r>
      <w:r>
        <w:rPr/>
        <w:t>股）类别股东大会和境外上市股份（</w:t>
      </w:r>
      <w:r>
        <w:rPr>
          <w:rFonts w:ascii="Times New Roman" w:hAnsi="Times New Roman" w:cs="Times New Roman" w:eastAsia="Times New Roman" w:hint="default"/>
        </w:rPr>
        <w:t>H</w:t>
      </w:r>
    </w:p>
    <w:p>
      <w:pPr>
        <w:pStyle w:val="BodyText"/>
        <w:spacing w:line="240" w:lineRule="auto" w:before="62"/>
        <w:ind w:right="182"/>
        <w:jc w:val="left"/>
      </w:pPr>
      <w:r>
        <w:rPr/>
        <w:t>股）类别股东大会，分别审议通过了公司回购</w:t>
      </w:r>
      <w:r>
        <w:rPr>
          <w:rFonts w:ascii="Times New Roman" w:hAnsi="Times New Roman" w:cs="Times New Roman" w:eastAsia="Times New Roman" w:hint="default"/>
        </w:rPr>
        <w:t>H</w:t>
      </w:r>
      <w:r>
        <w:rPr/>
        <w:t>股股份的议案。</w:t>
      </w:r>
    </w:p>
    <w:p>
      <w:pPr>
        <w:pStyle w:val="BodyText"/>
        <w:spacing w:line="240" w:lineRule="auto" w:before="62"/>
        <w:ind w:left="514" w:right="0"/>
        <w:jc w:val="left"/>
      </w:pP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10</w:t>
      </w:r>
      <w:r>
        <w:rPr>
          <w:spacing w:val="-3"/>
        </w:rPr>
        <w:t>日，山东省商务厅出具了《关于山东晨鸣纸业集团股份有限公司减资的初步批复》（鲁商务外资字【</w:t>
      </w:r>
      <w:r>
        <w:rPr>
          <w:rFonts w:ascii="Times New Roman" w:hAnsi="Times New Roman" w:cs="Times New Roman" w:eastAsia="Times New Roman" w:hint="default"/>
          <w:spacing w:val="-3"/>
        </w:rPr>
        <w:t>2013</w:t>
      </w:r>
      <w:r>
        <w:rPr>
          <w:spacing w:val="-3"/>
        </w:rPr>
        <w:t>】</w:t>
      </w:r>
    </w:p>
    <w:p>
      <w:pPr>
        <w:pStyle w:val="BodyText"/>
        <w:spacing w:line="300" w:lineRule="auto" w:before="63"/>
        <w:ind w:left="153" w:right="182"/>
        <w:jc w:val="left"/>
      </w:pPr>
      <w:r>
        <w:rPr>
          <w:rFonts w:ascii="Times New Roman" w:hAnsi="Times New Roman" w:cs="Times New Roman" w:eastAsia="Times New Roman" w:hint="default"/>
          <w:spacing w:val="-2"/>
        </w:rPr>
        <w:t>705</w:t>
      </w:r>
      <w:r>
        <w:rPr>
          <w:spacing w:val="-2"/>
        </w:rPr>
        <w:t>号），拟同意公司回购不超过</w:t>
      </w:r>
      <w:r>
        <w:rPr>
          <w:rFonts w:ascii="Times New Roman" w:hAnsi="Times New Roman" w:cs="Times New Roman" w:eastAsia="Times New Roman" w:hint="default"/>
          <w:spacing w:val="-2"/>
        </w:rPr>
        <w:t>3912.7</w:t>
      </w:r>
      <w:r>
        <w:rPr>
          <w:spacing w:val="-2"/>
        </w:rPr>
        <w:t>万股已发行的境外上市外资股（</w:t>
      </w:r>
      <w:r>
        <w:rPr>
          <w:rFonts w:ascii="Times New Roman" w:hAnsi="Times New Roman" w:cs="Times New Roman" w:eastAsia="Times New Roman" w:hint="default"/>
          <w:spacing w:val="-2"/>
        </w:rPr>
        <w:t>H</w:t>
      </w:r>
      <w:r>
        <w:rPr>
          <w:spacing w:val="-2"/>
        </w:rPr>
        <w:t>股），回购的股份以实际发生数额为准并相应减少</w:t>
      </w:r>
      <w:r>
        <w:rPr>
          <w:spacing w:val="-55"/>
        </w:rPr>
        <w:t> </w:t>
      </w:r>
      <w:r>
        <w:rPr>
          <w:spacing w:val="-55"/>
        </w:rPr>
      </w:r>
      <w:r>
        <w:rPr/>
        <w:t>注册资本。</w:t>
      </w:r>
    </w:p>
    <w:p>
      <w:pPr>
        <w:pStyle w:val="BodyText"/>
        <w:spacing w:line="240" w:lineRule="auto" w:before="31"/>
        <w:ind w:left="513" w:right="182"/>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日，国家外汇管理局寿光市支局批复同意了公司回购</w:t>
      </w:r>
      <w:r>
        <w:rPr>
          <w:rFonts w:ascii="Times New Roman" w:hAnsi="Times New Roman" w:cs="Times New Roman" w:eastAsia="Times New Roman" w:hint="default"/>
        </w:rPr>
        <w:t>H</w:t>
      </w:r>
      <w:r>
        <w:rPr/>
        <w:t>股股份的购汇额度。</w:t>
      </w:r>
    </w:p>
    <w:p>
      <w:pPr>
        <w:pStyle w:val="BodyText"/>
        <w:spacing w:line="240" w:lineRule="auto" w:before="62"/>
        <w:ind w:left="513" w:right="182"/>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日，公司在香港中央证券登记有限公司办理完毕回购</w:t>
      </w:r>
      <w:r>
        <w:rPr>
          <w:rFonts w:ascii="Times New Roman" w:hAnsi="Times New Roman" w:cs="Times New Roman" w:eastAsia="Times New Roman" w:hint="default"/>
        </w:rPr>
        <w:t>39,066,500</w:t>
      </w:r>
      <w:r>
        <w:rPr/>
        <w:t>股</w:t>
      </w:r>
      <w:r>
        <w:rPr>
          <w:rFonts w:ascii="Times New Roman" w:hAnsi="Times New Roman" w:cs="Times New Roman" w:eastAsia="Times New Roman" w:hint="default"/>
        </w:rPr>
        <w:t>H</w:t>
      </w:r>
      <w:r>
        <w:rPr/>
        <w:t>股股份的注销事宜。</w:t>
      </w:r>
    </w:p>
    <w:p>
      <w:pPr>
        <w:pStyle w:val="BodyText"/>
        <w:spacing w:line="240" w:lineRule="auto" w:before="62"/>
        <w:ind w:left="513" w:right="91"/>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日，公司取得山东省商务厅《关于山东晨鸣纸业集团股份有限公司减资的批复》（鲁商务外资字</w:t>
      </w:r>
      <w:r>
        <w:rPr>
          <w:rFonts w:ascii="Times New Roman" w:hAnsi="Times New Roman" w:cs="Times New Roman" w:eastAsia="Times New Roman" w:hint="default"/>
        </w:rPr>
        <w:t>[2014]158</w:t>
      </w:r>
    </w:p>
    <w:p>
      <w:pPr>
        <w:spacing w:after="0" w:line="240" w:lineRule="auto"/>
        <w:jc w:val="left"/>
        <w:rPr>
          <w:rFonts w:ascii="Times New Roman" w:hAnsi="Times New Roman" w:cs="Times New Roman" w:eastAsia="Times New Roman" w:hint="default"/>
        </w:rPr>
        <w:sectPr>
          <w:pgSz w:w="11910" w:h="16840"/>
          <w:pgMar w:header="747" w:footer="982" w:top="1060" w:bottom="1180" w:left="980" w:right="94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left="153" w:right="147"/>
        <w:jc w:val="left"/>
      </w:pPr>
      <w:r>
        <w:rPr/>
        <w:t>号）和减资后的外商投资企业批准证书，同意公司注册资本由</w:t>
      </w:r>
      <w:r>
        <w:rPr>
          <w:rFonts w:ascii="Times New Roman" w:hAnsi="Times New Roman" w:cs="Times New Roman" w:eastAsia="Times New Roman" w:hint="default"/>
        </w:rPr>
        <w:t>197,547.1967</w:t>
      </w:r>
      <w:r>
        <w:rPr/>
        <w:t>万元人民币减至</w:t>
      </w:r>
      <w:r>
        <w:rPr>
          <w:rFonts w:ascii="Times New Roman" w:hAnsi="Times New Roman" w:cs="Times New Roman" w:eastAsia="Times New Roman" w:hint="default"/>
        </w:rPr>
        <w:t>193,640.5467</w:t>
      </w:r>
      <w:r>
        <w:rPr/>
        <w:t>万元人民币。</w:t>
      </w:r>
    </w:p>
    <w:p>
      <w:pPr>
        <w:pStyle w:val="BodyText"/>
        <w:spacing w:line="240" w:lineRule="auto" w:before="62"/>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w:t>
      </w:r>
      <w:r>
        <w:rPr>
          <w:spacing w:val="-88"/>
        </w:rPr>
        <w:t>，</w:t>
      </w:r>
      <w:r>
        <w:rPr/>
        <w:t>公司在山东省工商行政管理局办理了减资备案手续</w:t>
      </w:r>
      <w:r>
        <w:rPr>
          <w:spacing w:val="-88"/>
        </w:rPr>
        <w:t>，</w:t>
      </w:r>
      <w:r>
        <w:rPr/>
        <w:t>取得了减资后的营业执照</w:t>
      </w:r>
      <w:r>
        <w:rPr>
          <w:spacing w:val="-88"/>
        </w:rPr>
        <w:t>，</w:t>
      </w:r>
      <w:r>
        <w:rPr/>
        <w:t>注册资本为</w:t>
      </w:r>
      <w:r>
        <w:rPr>
          <w:rFonts w:ascii="Times New Roman" w:hAnsi="Times New Roman" w:cs="Times New Roman" w:eastAsia="Times New Roman" w:hint="default"/>
        </w:rPr>
        <w:t>193,640.5</w:t>
      </w:r>
      <w:r>
        <w:rPr>
          <w:rFonts w:ascii="Times New Roman" w:hAnsi="Times New Roman" w:cs="Times New Roman" w:eastAsia="Times New Roman" w:hint="default"/>
          <w:spacing w:val="-2"/>
        </w:rPr>
        <w:t>4</w:t>
      </w:r>
      <w:r>
        <w:rPr>
          <w:rFonts w:ascii="Times New Roman" w:hAnsi="Times New Roman" w:cs="Times New Roman" w:eastAsia="Times New Roman" w:hint="default"/>
        </w:rPr>
        <w:t>67</w:t>
      </w:r>
    </w:p>
    <w:p>
      <w:pPr>
        <w:pStyle w:val="BodyText"/>
        <w:spacing w:line="360" w:lineRule="auto" w:before="63"/>
        <w:ind w:left="153" w:right="8151"/>
        <w:jc w:val="left"/>
      </w:pPr>
      <w:r>
        <w:rPr/>
        <w:t>万元人民币。 股份变动的过户情况</w:t>
      </w:r>
    </w:p>
    <w:p>
      <w:pPr>
        <w:pStyle w:val="BodyText"/>
        <w:spacing w:line="357" w:lineRule="auto" w:before="27"/>
        <w:ind w:left="153" w:right="411"/>
        <w:jc w:val="left"/>
      </w:pPr>
      <w:r>
        <w:rPr/>
        <w:t>□ 适用 √ 不适用 股份变动对最近一年和最近一期基本每股收益和稀释每股收益、归属于公司普通股股东的每股净资产等财务指标的影响</w:t>
      </w:r>
    </w:p>
    <w:p>
      <w:pPr>
        <w:pStyle w:val="BodyText"/>
        <w:spacing w:line="360" w:lineRule="auto" w:before="27"/>
        <w:ind w:left="153" w:right="5811"/>
        <w:jc w:val="left"/>
      </w:pPr>
      <w:r>
        <w:rPr/>
        <w:t>□ 适用 √ 不适用 公司认为必要或证券监管机构要求披露的其他内容</w:t>
      </w:r>
    </w:p>
    <w:p>
      <w:pPr>
        <w:pStyle w:val="BodyText"/>
        <w:spacing w:line="240" w:lineRule="auto" w:before="26"/>
        <w:ind w:left="153" w:right="147"/>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47"/>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47"/>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7"/>
        <w:gridCol w:w="1368"/>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99" w:right="47"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张，固定</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38,000,000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38,000,000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pStyle w:val="BodyText"/>
        <w:spacing w:line="357" w:lineRule="auto" w:before="51"/>
        <w:ind w:left="514" w:right="147" w:hanging="360"/>
        <w:jc w:val="left"/>
        <w:rPr>
          <w:rFonts w:ascii="Times New Roman" w:hAnsi="Times New Roman" w:cs="Times New Roman" w:eastAsia="Times New Roman" w:hint="default"/>
        </w:rPr>
      </w:pPr>
      <w:r>
        <w:rPr/>
        <w:t>前三年历次证券发行情况的说明 </w:t>
      </w:r>
      <w:r>
        <w:rPr>
          <w:spacing w:val="-3"/>
        </w:rPr>
        <w:t>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26</w:t>
      </w:r>
      <w:r>
        <w:rPr>
          <w:spacing w:val="-3"/>
        </w:rPr>
        <w:t>日发行总额为人民币</w:t>
      </w:r>
      <w:r>
        <w:rPr>
          <w:rFonts w:ascii="Times New Roman" w:hAnsi="Times New Roman" w:cs="Times New Roman" w:eastAsia="Times New Roman" w:hint="default"/>
          <w:spacing w:val="-3"/>
        </w:rPr>
        <w:t>38</w:t>
      </w:r>
      <w:r>
        <w:rPr>
          <w:spacing w:val="-3"/>
        </w:rPr>
        <w:t>亿元的公司债券，债券面值每张</w:t>
      </w:r>
      <w:r>
        <w:rPr>
          <w:rFonts w:ascii="Times New Roman" w:hAnsi="Times New Roman" w:cs="Times New Roman" w:eastAsia="Times New Roman" w:hint="default"/>
          <w:spacing w:val="-3"/>
        </w:rPr>
        <w:t>100</w:t>
      </w:r>
      <w:r>
        <w:rPr>
          <w:spacing w:val="-3"/>
        </w:rPr>
        <w:t>元，共计</w:t>
      </w:r>
      <w:r>
        <w:rPr>
          <w:rFonts w:ascii="Times New Roman" w:hAnsi="Times New Roman" w:cs="Times New Roman" w:eastAsia="Times New Roman" w:hint="default"/>
          <w:spacing w:val="-3"/>
        </w:rPr>
        <w:t>3,800</w:t>
      </w:r>
      <w:r>
        <w:rPr>
          <w:spacing w:val="-3"/>
        </w:rPr>
        <w:t>万张，发行价格为每张</w:t>
      </w:r>
      <w:r>
        <w:rPr>
          <w:rFonts w:ascii="Times New Roman" w:hAnsi="Times New Roman" w:cs="Times New Roman" w:eastAsia="Times New Roman" w:hint="default"/>
          <w:spacing w:val="-3"/>
        </w:rPr>
        <w:t>100</w:t>
      </w:r>
    </w:p>
    <w:p>
      <w:pPr>
        <w:pStyle w:val="BodyText"/>
        <w:spacing w:line="214" w:lineRule="exact"/>
        <w:ind w:right="147"/>
        <w:jc w:val="left"/>
        <w:rPr>
          <w:rFonts w:ascii="Times New Roman" w:hAnsi="Times New Roman" w:cs="Times New Roman" w:eastAsia="Times New Roman" w:hint="default"/>
        </w:rPr>
      </w:pPr>
      <w:r>
        <w:rPr>
          <w:spacing w:val="-4"/>
        </w:rPr>
        <w:t>元，本次债券票面利率为</w:t>
      </w:r>
      <w:r>
        <w:rPr>
          <w:rFonts w:ascii="Times New Roman" w:hAnsi="Times New Roman" w:cs="Times New Roman" w:eastAsia="Times New Roman" w:hint="default"/>
          <w:spacing w:val="-4"/>
        </w:rPr>
        <w:t>5.65%</w:t>
      </w:r>
      <w:r>
        <w:rPr>
          <w:spacing w:val="-4"/>
        </w:rPr>
        <w:t>，共募集资金人民币</w:t>
      </w:r>
      <w:r>
        <w:rPr>
          <w:rFonts w:ascii="Times New Roman" w:hAnsi="Times New Roman" w:cs="Times New Roman" w:eastAsia="Times New Roman" w:hint="default"/>
          <w:spacing w:val="-4"/>
        </w:rPr>
        <w:t>38</w:t>
      </w:r>
      <w:r>
        <w:rPr>
          <w:spacing w:val="-4"/>
        </w:rPr>
        <w:t>亿元，扣除费用人民币</w:t>
      </w:r>
      <w:r>
        <w:rPr>
          <w:rFonts w:ascii="Times New Roman" w:hAnsi="Times New Roman" w:cs="Times New Roman" w:eastAsia="Times New Roman" w:hint="default"/>
          <w:spacing w:val="-4"/>
        </w:rPr>
        <w:t>0.27</w:t>
      </w:r>
      <w:r>
        <w:rPr>
          <w:spacing w:val="-4"/>
        </w:rPr>
        <w:t>亿元后可使用的募集资金净额为人民币</w:t>
      </w:r>
      <w:r>
        <w:rPr>
          <w:rFonts w:ascii="Times New Roman" w:hAnsi="Times New Roman" w:cs="Times New Roman" w:eastAsia="Times New Roman" w:hint="default"/>
          <w:spacing w:val="-4"/>
        </w:rPr>
        <w:t>37.73</w:t>
      </w:r>
    </w:p>
    <w:p>
      <w:pPr>
        <w:pStyle w:val="BodyText"/>
        <w:spacing w:line="302" w:lineRule="auto" w:before="62"/>
        <w:ind w:right="230"/>
        <w:jc w:val="left"/>
      </w:pPr>
      <w:r>
        <w:rPr/>
        <w:t>亿元。累计使用募集资金人民币</w:t>
      </w:r>
      <w:r>
        <w:rPr>
          <w:rFonts w:ascii="Times New Roman" w:hAnsi="Times New Roman" w:cs="Times New Roman" w:eastAsia="Times New Roman" w:hint="default"/>
        </w:rPr>
        <w:t>37.73</w:t>
      </w:r>
      <w:r>
        <w:rPr/>
        <w:t>亿元，其中补充流动资金约人民币</w:t>
      </w:r>
      <w:r>
        <w:rPr>
          <w:rFonts w:ascii="Times New Roman" w:hAnsi="Times New Roman" w:cs="Times New Roman" w:eastAsia="Times New Roman" w:hint="default"/>
        </w:rPr>
        <w:t>2.73</w:t>
      </w:r>
      <w:r>
        <w:rPr/>
        <w:t>亿元，偿还银行借款使用募集资金约人民币</w:t>
      </w:r>
      <w:r>
        <w:rPr>
          <w:rFonts w:ascii="Times New Roman" w:hAnsi="Times New Roman" w:cs="Times New Roman" w:eastAsia="Times New Roman" w:hint="default"/>
        </w:rPr>
        <w:t>35 </w:t>
      </w:r>
      <w:r>
        <w:rPr/>
        <w:t>亿元，主要用于置换短期银行借款。</w:t>
      </w:r>
    </w:p>
    <w:p>
      <w:pPr>
        <w:spacing w:line="240" w:lineRule="auto" w:before="3"/>
        <w:rPr>
          <w:rFonts w:ascii="宋体" w:hAnsi="宋体" w:cs="宋体" w:eastAsia="宋体" w:hint="default"/>
          <w:sz w:val="23"/>
          <w:szCs w:val="23"/>
        </w:rPr>
      </w:pPr>
    </w:p>
    <w:p>
      <w:pPr>
        <w:pStyle w:val="Heading4"/>
        <w:spacing w:line="240" w:lineRule="auto"/>
        <w:ind w:right="147"/>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261" w:firstLine="360"/>
        <w:jc w:val="left"/>
      </w:pPr>
      <w:r>
        <w:rPr/>
        <w:t>（</w:t>
      </w:r>
      <w:r>
        <w:rPr>
          <w:rFonts w:ascii="Times New Roman" w:hAnsi="Times New Roman" w:cs="Times New Roman" w:eastAsia="Times New Roman" w:hint="default"/>
        </w:rPr>
        <w:t>1</w:t>
      </w:r>
      <w:r>
        <w:rPr/>
        <w:t>）报告期内，公司回购部分境外上市外资股（</w:t>
      </w:r>
      <w:r>
        <w:rPr>
          <w:rFonts w:ascii="Times New Roman" w:hAnsi="Times New Roman" w:cs="Times New Roman" w:eastAsia="Times New Roman" w:hint="default"/>
        </w:rPr>
        <w:t>H</w:t>
      </w:r>
      <w:r>
        <w:rPr>
          <w:rFonts w:ascii="Times New Roman" w:hAnsi="Times New Roman" w:cs="Times New Roman" w:eastAsia="Times New Roman" w:hint="default"/>
          <w:spacing w:val="24"/>
        </w:rPr>
        <w:t> </w:t>
      </w:r>
      <w:r>
        <w:rPr/>
        <w:t>股）股份，截至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日，公司累计回购</w:t>
      </w:r>
      <w:r>
        <w:rPr>
          <w:rFonts w:ascii="Times New Roman" w:hAnsi="Times New Roman" w:cs="Times New Roman" w:eastAsia="Times New Roman" w:hint="default"/>
        </w:rPr>
        <w:t>H</w:t>
      </w:r>
      <w:r>
        <w:rPr/>
        <w:t>股股份</w:t>
      </w:r>
      <w:r>
        <w:rPr>
          <w:rFonts w:ascii="Times New Roman" w:hAnsi="Times New Roman" w:cs="Times New Roman" w:eastAsia="Times New Roman" w:hint="default"/>
        </w:rPr>
        <w:t>39,066,500 </w:t>
      </w:r>
      <w:r>
        <w:rPr/>
        <w:t>股，并于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日在香港中央证券登记有限公司办理完毕回购股份的注销事宜。回购</w:t>
      </w:r>
      <w:r>
        <w:rPr>
          <w:rFonts w:ascii="Times New Roman" w:hAnsi="Times New Roman" w:cs="Times New Roman" w:eastAsia="Times New Roman" w:hint="default"/>
        </w:rPr>
        <w:t>H</w:t>
      </w:r>
      <w:r>
        <w:rPr/>
        <w:t>股注销后，公司股份总数由 </w:t>
      </w:r>
      <w:r>
        <w:rPr>
          <w:rFonts w:ascii="Times New Roman" w:hAnsi="Times New Roman" w:cs="Times New Roman" w:eastAsia="Times New Roman" w:hint="default"/>
        </w:rPr>
        <w:t>1,975,471,967</w:t>
      </w:r>
      <w:r>
        <w:rPr/>
        <w:t>股减少至</w:t>
      </w:r>
      <w:r>
        <w:rPr>
          <w:rFonts w:ascii="Times New Roman" w:hAnsi="Times New Roman" w:cs="Times New Roman" w:eastAsia="Times New Roman" w:hint="default"/>
        </w:rPr>
        <w:t>1,936,405,467</w:t>
      </w:r>
      <w:r>
        <w:rPr/>
        <w:t>股。</w:t>
      </w:r>
    </w:p>
    <w:p>
      <w:pPr>
        <w:pStyle w:val="BodyText"/>
        <w:spacing w:line="300" w:lineRule="auto" w:before="13"/>
        <w:ind w:right="147" w:firstLine="360"/>
        <w:jc w:val="left"/>
      </w:pPr>
      <w:r>
        <w:rPr>
          <w:spacing w:val="-1"/>
        </w:rPr>
        <w:t>（</w:t>
      </w:r>
      <w:r>
        <w:rPr>
          <w:rFonts w:ascii="Times New Roman" w:hAnsi="Times New Roman" w:cs="Times New Roman" w:eastAsia="Times New Roman" w:hint="default"/>
          <w:spacing w:val="-1"/>
        </w:rPr>
        <w:t>2</w:t>
      </w:r>
      <w:r>
        <w:rPr>
          <w:spacing w:val="-1"/>
        </w:rPr>
        <w:t>）报告期内，因回购部分</w:t>
      </w:r>
      <w:r>
        <w:rPr>
          <w:rFonts w:ascii="Times New Roman" w:hAnsi="Times New Roman" w:cs="Times New Roman" w:eastAsia="Times New Roman" w:hint="default"/>
          <w:spacing w:val="-1"/>
        </w:rPr>
        <w:t>H</w:t>
      </w:r>
      <w:r>
        <w:rPr>
          <w:spacing w:val="-1"/>
        </w:rPr>
        <w:t>股并注销，公司控股股东</w:t>
      </w:r>
      <w:r>
        <w:rPr>
          <w:rFonts w:ascii="Times New Roman" w:hAnsi="Times New Roman" w:cs="Times New Roman" w:eastAsia="Times New Roman" w:hint="default"/>
          <w:spacing w:val="-1"/>
        </w:rPr>
        <w:t>-</w:t>
      </w:r>
      <w:r>
        <w:rPr>
          <w:spacing w:val="-1"/>
        </w:rPr>
        <w:t>寿光晨鸣控股有限公司的持股比例由</w:t>
      </w:r>
      <w:r>
        <w:rPr>
          <w:rFonts w:ascii="Times New Roman" w:hAnsi="Times New Roman" w:cs="Times New Roman" w:eastAsia="Times New Roman" w:hint="default"/>
          <w:spacing w:val="-1"/>
        </w:rPr>
        <w:t>14.83%</w:t>
      </w:r>
      <w:r>
        <w:rPr>
          <w:spacing w:val="-1"/>
        </w:rPr>
        <w:t>升至</w:t>
      </w:r>
      <w:r>
        <w:rPr>
          <w:rFonts w:ascii="Times New Roman" w:hAnsi="Times New Roman" w:cs="Times New Roman" w:eastAsia="Times New Roman" w:hint="default"/>
          <w:spacing w:val="-1"/>
        </w:rPr>
        <w:t>15.13%</w:t>
      </w:r>
      <w:r>
        <w:rPr>
          <w:spacing w:val="-1"/>
        </w:rPr>
        <w:t>，其他</w:t>
      </w:r>
      <w:r>
        <w:rPr/>
        <w:t> 股东结构影响很小。股份结构的变动情况，请参阅本章节第一部分、股份变动情况。</w:t>
      </w:r>
    </w:p>
    <w:p>
      <w:pPr>
        <w:pStyle w:val="BodyText"/>
        <w:spacing w:line="240" w:lineRule="auto" w:before="31"/>
        <w:ind w:left="514" w:right="147"/>
        <w:jc w:val="left"/>
      </w:pPr>
      <w:r>
        <w:rPr/>
        <w:t>（</w:t>
      </w:r>
      <w:r>
        <w:rPr>
          <w:rFonts w:ascii="Times New Roman" w:hAnsi="Times New Roman" w:cs="Times New Roman" w:eastAsia="Times New Roman" w:hint="default"/>
        </w:rPr>
        <w:t>3</w:t>
      </w:r>
      <w:r>
        <w:rPr/>
        <w:t>）报告期内，因回购部分</w:t>
      </w:r>
      <w:r>
        <w:rPr>
          <w:rFonts w:ascii="Times New Roman" w:hAnsi="Times New Roman" w:cs="Times New Roman" w:eastAsia="Times New Roman" w:hint="default"/>
        </w:rPr>
        <w:t>H</w:t>
      </w:r>
      <w:r>
        <w:rPr/>
        <w:t>股并注销，公司股本减少人民币</w:t>
      </w:r>
      <w:r>
        <w:rPr>
          <w:rFonts w:ascii="Times New Roman" w:hAnsi="Times New Roman" w:cs="Times New Roman" w:eastAsia="Times New Roman" w:hint="default"/>
        </w:rPr>
        <w:t>39,066,500</w:t>
      </w:r>
      <w:r>
        <w:rPr/>
        <w:t>元，资本公积减少人民币</w:t>
      </w:r>
      <w:r>
        <w:rPr>
          <w:rFonts w:ascii="Times New Roman" w:hAnsi="Times New Roman" w:cs="Times New Roman" w:eastAsia="Times New Roman" w:hint="default"/>
        </w:rPr>
        <w:t>66,614,390.17</w:t>
      </w:r>
      <w:r>
        <w:rPr/>
        <w:t>元。</w:t>
      </w:r>
    </w:p>
    <w:p>
      <w:pPr>
        <w:spacing w:line="240" w:lineRule="auto" w:before="12"/>
        <w:rPr>
          <w:rFonts w:ascii="宋体" w:hAnsi="宋体" w:cs="宋体" w:eastAsia="宋体" w:hint="default"/>
          <w:sz w:val="25"/>
          <w:szCs w:val="25"/>
        </w:rPr>
      </w:pPr>
    </w:p>
    <w:p>
      <w:pPr>
        <w:pStyle w:val="Heading4"/>
        <w:spacing w:line="240" w:lineRule="auto"/>
        <w:ind w:right="147"/>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 适用 √ 不适用</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47"/>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47"/>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328"/>
        <w:gridCol w:w="495"/>
        <w:gridCol w:w="1080"/>
        <w:gridCol w:w="376"/>
        <w:gridCol w:w="343"/>
        <w:gridCol w:w="1082"/>
        <w:gridCol w:w="716"/>
        <w:gridCol w:w="188"/>
        <w:gridCol w:w="181"/>
        <w:gridCol w:w="1080"/>
        <w:gridCol w:w="344"/>
        <w:gridCol w:w="214"/>
        <w:gridCol w:w="521"/>
        <w:gridCol w:w="722"/>
        <w:gridCol w:w="1023"/>
      </w:tblGrid>
      <w:tr>
        <w:trPr>
          <w:trHeight w:val="161" w:hRule="exact"/>
        </w:trPr>
        <w:tc>
          <w:tcPr>
            <w:tcW w:w="13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951" w:type="dxa"/>
            <w:gridSpan w:val="3"/>
            <w:vMerge w:val="restart"/>
            <w:tcBorders>
              <w:top w:val="single" w:sz="4" w:space="0" w:color="000000"/>
              <w:left w:val="single" w:sz="9" w:space="0" w:color="D3D3D3"/>
              <w:right w:val="single" w:sz="10" w:space="0" w:color="D3D3D3"/>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128,595  </w:t>
            </w:r>
            <w:r>
              <w:rPr>
                <w:rFonts w:ascii="宋体" w:hAnsi="宋体" w:cs="宋体" w:eastAsia="宋体" w:hint="default"/>
                <w:sz w:val="18"/>
                <w:szCs w:val="18"/>
              </w:rPr>
              <w:t>户（其中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股</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101,044 </w:t>
            </w:r>
            <w:r>
              <w:rPr>
                <w:rFonts w:ascii="宋体" w:hAnsi="宋体" w:cs="宋体" w:eastAsia="宋体" w:hint="default"/>
                <w:sz w:val="18"/>
                <w:szCs w:val="18"/>
              </w:rPr>
              <w:t>户，</w:t>
            </w:r>
            <w:r>
              <w:rPr>
                <w:rFonts w:ascii="Times New Roman" w:hAnsi="Times New Roman" w:cs="Times New Roman" w:eastAsia="Times New Roman" w:hint="default"/>
                <w:sz w:val="18"/>
                <w:szCs w:val="18"/>
              </w:rPr>
              <w:t>B </w:t>
            </w:r>
            <w:r>
              <w:rPr>
                <w:rFonts w:ascii="宋体" w:hAnsi="宋体" w:cs="宋体" w:eastAsia="宋体" w:hint="default"/>
                <w:sz w:val="18"/>
                <w:szCs w:val="18"/>
              </w:rPr>
              <w:t>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27,008</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户，</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543 </w:t>
            </w:r>
            <w:r>
              <w:rPr>
                <w:rFonts w:ascii="宋体" w:hAnsi="宋体" w:cs="宋体" w:eastAsia="宋体" w:hint="default"/>
                <w:sz w:val="18"/>
                <w:szCs w:val="18"/>
              </w:rPr>
              <w:t>户）</w:t>
            </w:r>
          </w:p>
        </w:tc>
        <w:tc>
          <w:tcPr>
            <w:tcW w:w="2141"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2008" w:type="dxa"/>
            <w:gridSpan w:val="5"/>
            <w:vMerge w:val="restart"/>
            <w:tcBorders>
              <w:top w:val="single" w:sz="4" w:space="0" w:color="000000"/>
              <w:left w:val="single" w:sz="9" w:space="0" w:color="D3D3D3"/>
              <w:right w:val="single" w:sz="13" w:space="0" w:color="D3D3D3"/>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122,870  </w:t>
            </w:r>
            <w:r>
              <w:rPr>
                <w:rFonts w:ascii="宋体" w:hAnsi="宋体" w:cs="宋体" w:eastAsia="宋体" w:hint="default"/>
                <w:spacing w:val="5"/>
                <w:sz w:val="18"/>
                <w:szCs w:val="18"/>
              </w:rPr>
              <w:t>户（其中 </w:t>
            </w:r>
            <w:r>
              <w:rPr>
                <w:rFonts w:ascii="Times New Roman" w:hAnsi="Times New Roman" w:cs="Times New Roman" w:eastAsia="Times New Roman" w:hint="default"/>
                <w:sz w:val="18"/>
                <w:szCs w:val="18"/>
              </w:rPr>
              <w:t>A </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w:t>
            </w:r>
          </w:p>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96,097  </w:t>
            </w:r>
            <w:r>
              <w:rPr>
                <w:rFonts w:ascii="宋体" w:hAnsi="宋体" w:cs="宋体" w:eastAsia="宋体" w:hint="default"/>
                <w:sz w:val="18"/>
                <w:szCs w:val="18"/>
              </w:rPr>
              <w:t>户，</w:t>
            </w:r>
            <w:r>
              <w:rPr>
                <w:rFonts w:ascii="Times New Roman" w:hAnsi="Times New Roman" w:cs="Times New Roman" w:eastAsia="Times New Roman" w:hint="default"/>
                <w:sz w:val="18"/>
                <w:szCs w:val="18"/>
              </w:rPr>
              <w:t>B  </w:t>
            </w:r>
            <w:r>
              <w:rPr>
                <w:rFonts w:ascii="宋体" w:hAnsi="宋体" w:cs="宋体" w:eastAsia="宋体" w:hint="default"/>
                <w:sz w:val="18"/>
                <w:szCs w:val="18"/>
              </w:rPr>
              <w:t>股</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26,232</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户，</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541 </w:t>
            </w:r>
            <w:r>
              <w:rPr>
                <w:rFonts w:ascii="宋体" w:hAnsi="宋体" w:cs="宋体" w:eastAsia="宋体" w:hint="default"/>
                <w:sz w:val="18"/>
                <w:szCs w:val="18"/>
              </w:rPr>
              <w:t>户）</w:t>
            </w:r>
          </w:p>
        </w:tc>
        <w:tc>
          <w:tcPr>
            <w:tcW w:w="124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 w:right="140"/>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tc>
        <w:tc>
          <w:tcPr>
            <w:tcW w:w="1023" w:type="dxa"/>
            <w:vMerge w:val="restart"/>
            <w:tcBorders>
              <w:top w:val="single" w:sz="4" w:space="0" w:color="000000"/>
              <w:left w:val="single" w:sz="13"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04" w:hRule="exact"/>
        </w:trPr>
        <w:tc>
          <w:tcPr>
            <w:tcW w:w="13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1951" w:type="dxa"/>
            <w:gridSpan w:val="3"/>
            <w:vMerge/>
            <w:tcBorders>
              <w:left w:val="single" w:sz="9" w:space="0" w:color="D3D3D3"/>
              <w:right w:val="single" w:sz="10" w:space="0" w:color="D3D3D3"/>
            </w:tcBorders>
          </w:tcPr>
          <w:p>
            <w:pPr/>
          </w:p>
        </w:tc>
        <w:tc>
          <w:tcPr>
            <w:tcW w:w="2141"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02" w:lineRule="auto" w:before="51"/>
              <w:ind w:left="11" w:right="137"/>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交易日末普通股股东总数</w:t>
            </w:r>
          </w:p>
        </w:tc>
        <w:tc>
          <w:tcPr>
            <w:tcW w:w="2008" w:type="dxa"/>
            <w:gridSpan w:val="5"/>
            <w:vMerge/>
            <w:tcBorders>
              <w:left w:val="single" w:sz="9" w:space="0" w:color="D3D3D3"/>
              <w:right w:val="single" w:sz="13" w:space="0" w:color="D3D3D3"/>
            </w:tcBorders>
          </w:tcPr>
          <w:p>
            <w:pPr/>
          </w:p>
        </w:tc>
        <w:tc>
          <w:tcPr>
            <w:tcW w:w="1243" w:type="dxa"/>
            <w:gridSpan w:val="2"/>
            <w:vMerge/>
            <w:tcBorders>
              <w:left w:val="single" w:sz="4" w:space="0" w:color="000000"/>
              <w:right w:val="single" w:sz="4" w:space="0" w:color="000000"/>
            </w:tcBorders>
            <w:shd w:val="clear" w:color="auto" w:fill="D3D3D3"/>
          </w:tcPr>
          <w:p>
            <w:pPr/>
          </w:p>
        </w:tc>
        <w:tc>
          <w:tcPr>
            <w:tcW w:w="1023" w:type="dxa"/>
            <w:vMerge/>
            <w:tcBorders>
              <w:left w:val="single" w:sz="13" w:space="0" w:color="D3D3D3"/>
              <w:right w:val="single" w:sz="4" w:space="0" w:color="000000"/>
            </w:tcBorders>
          </w:tcPr>
          <w:p>
            <w:pPr/>
          </w:p>
        </w:tc>
      </w:tr>
      <w:tr>
        <w:trPr>
          <w:trHeight w:val="166" w:hRule="exact"/>
        </w:trPr>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951" w:type="dxa"/>
            <w:gridSpan w:val="3"/>
            <w:vMerge/>
            <w:tcBorders>
              <w:left w:val="single" w:sz="9" w:space="0" w:color="D3D3D3"/>
              <w:bottom w:val="single" w:sz="4" w:space="0" w:color="000000"/>
              <w:right w:val="single" w:sz="10" w:space="0" w:color="D3D3D3"/>
            </w:tcBorders>
          </w:tcPr>
          <w:p>
            <w:pPr/>
          </w:p>
        </w:tc>
        <w:tc>
          <w:tcPr>
            <w:tcW w:w="2141"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2008" w:type="dxa"/>
            <w:gridSpan w:val="5"/>
            <w:vMerge/>
            <w:tcBorders>
              <w:left w:val="single" w:sz="9" w:space="0" w:color="D3D3D3"/>
              <w:bottom w:val="single" w:sz="4" w:space="0" w:color="000000"/>
              <w:right w:val="single" w:sz="13" w:space="0" w:color="D3D3D3"/>
            </w:tcBorders>
          </w:tcPr>
          <w:p>
            <w:pPr/>
          </w:p>
        </w:tc>
        <w:tc>
          <w:tcPr>
            <w:tcW w:w="1243" w:type="dxa"/>
            <w:gridSpan w:val="2"/>
            <w:vMerge/>
            <w:tcBorders>
              <w:left w:val="single" w:sz="4" w:space="0" w:color="000000"/>
              <w:bottom w:val="single" w:sz="4" w:space="0" w:color="000000"/>
              <w:right w:val="single" w:sz="4" w:space="0" w:color="000000"/>
            </w:tcBorders>
            <w:shd w:val="clear" w:color="auto" w:fill="D3D3D3"/>
          </w:tcPr>
          <w:p>
            <w:pPr/>
          </w:p>
        </w:tc>
        <w:tc>
          <w:tcPr>
            <w:tcW w:w="1023" w:type="dxa"/>
            <w:vMerge/>
            <w:tcBorders>
              <w:left w:val="single" w:sz="13" w:space="0" w:color="D3D3D3"/>
              <w:bottom w:val="single" w:sz="4" w:space="0" w:color="000000"/>
              <w:right w:val="single" w:sz="4" w:space="0" w:color="000000"/>
            </w:tcBorders>
          </w:tcPr>
          <w:p>
            <w:pPr/>
          </w:p>
        </w:tc>
      </w:tr>
      <w:tr>
        <w:trPr>
          <w:trHeight w:val="397" w:hRule="exact"/>
        </w:trPr>
        <w:tc>
          <w:tcPr>
            <w:tcW w:w="9694" w:type="dxa"/>
            <w:gridSpan w:val="15"/>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46"/>
              <w:ind w:left="31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01" w:hRule="exact"/>
        </w:trPr>
        <w:tc>
          <w:tcPr>
            <w:tcW w:w="1823" w:type="dxa"/>
            <w:gridSpan w:val="2"/>
            <w:vMerge w:val="restart"/>
            <w:tcBorders>
              <w:top w:val="single" w:sz="4" w:space="0" w:color="FFFFFF"/>
              <w:left w:val="single" w:sz="4" w:space="0" w:color="000000"/>
              <w:right w:val="single" w:sz="4" w:space="0" w:color="000000"/>
            </w:tcBorders>
            <w:shd w:val="clear" w:color="auto" w:fill="D3D3D3"/>
          </w:tcPr>
          <w:p>
            <w:pPr/>
          </w:p>
        </w:tc>
        <w:tc>
          <w:tcPr>
            <w:tcW w:w="1080" w:type="dxa"/>
            <w:vMerge w:val="restart"/>
            <w:tcBorders>
              <w:top w:val="single" w:sz="4" w:space="0" w:color="FFFFFF"/>
              <w:left w:val="single" w:sz="4" w:space="0" w:color="000000"/>
              <w:right w:val="single" w:sz="4" w:space="0" w:color="000000"/>
            </w:tcBorders>
            <w:shd w:val="clear" w:color="auto" w:fill="D3D3D3"/>
          </w:tcPr>
          <w:p>
            <w:pPr/>
          </w:p>
        </w:tc>
        <w:tc>
          <w:tcPr>
            <w:tcW w:w="719" w:type="dxa"/>
            <w:gridSpan w:val="2"/>
            <w:tcBorders>
              <w:top w:val="single" w:sz="4" w:space="0" w:color="FFFFFF"/>
              <w:left w:val="single" w:sz="4" w:space="0" w:color="000000"/>
              <w:bottom w:val="nil" w:sz="6" w:space="0" w:color="auto"/>
              <w:right w:val="single" w:sz="4" w:space="0" w:color="000000"/>
            </w:tcBorders>
            <w:shd w:val="clear" w:color="auto" w:fill="D3D3D3"/>
          </w:tcPr>
          <w:p>
            <w:pPr/>
          </w:p>
        </w:tc>
        <w:tc>
          <w:tcPr>
            <w:tcW w:w="1082" w:type="dxa"/>
            <w:tcBorders>
              <w:top w:val="single" w:sz="4" w:space="0" w:color="FFFFFF"/>
              <w:left w:val="single" w:sz="4" w:space="0" w:color="000000"/>
              <w:bottom w:val="nil" w:sz="6" w:space="0" w:color="auto"/>
              <w:right w:val="single" w:sz="4" w:space="0" w:color="000000"/>
            </w:tcBorders>
            <w:shd w:val="clear" w:color="auto" w:fill="D3D3D3"/>
          </w:tcPr>
          <w:p>
            <w:pPr/>
          </w:p>
        </w:tc>
        <w:tc>
          <w:tcPr>
            <w:tcW w:w="1085" w:type="dxa"/>
            <w:gridSpan w:val="3"/>
            <w:tcBorders>
              <w:top w:val="single" w:sz="4" w:space="0" w:color="FFFFFF"/>
              <w:left w:val="single" w:sz="4" w:space="0" w:color="000000"/>
              <w:bottom w:val="nil" w:sz="6" w:space="0" w:color="auto"/>
              <w:right w:val="single" w:sz="4" w:space="0" w:color="000000"/>
            </w:tcBorders>
            <w:shd w:val="clear" w:color="auto" w:fill="D3D3D3"/>
          </w:tcPr>
          <w:p>
            <w:pPr/>
          </w:p>
        </w:tc>
        <w:tc>
          <w:tcPr>
            <w:tcW w:w="1080" w:type="dxa"/>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1"/>
              <w:ind w:left="83" w:right="84"/>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080" w:type="dxa"/>
            <w:gridSpan w:val="3"/>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1"/>
              <w:ind w:left="83" w:right="84"/>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45" w:type="dxa"/>
            <w:gridSpan w:val="2"/>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8" w:hRule="exact"/>
        </w:trPr>
        <w:tc>
          <w:tcPr>
            <w:tcW w:w="1823" w:type="dxa"/>
            <w:gridSpan w:val="2"/>
            <w:vMerge/>
            <w:tcBorders>
              <w:left w:val="single" w:sz="4" w:space="0" w:color="000000"/>
              <w:bottom w:val="nil" w:sz="6" w:space="0" w:color="auto"/>
              <w:right w:val="single" w:sz="4" w:space="0" w:color="000000"/>
            </w:tcBorders>
            <w:shd w:val="clear" w:color="auto" w:fill="D3D3D3"/>
          </w:tcPr>
          <w:p>
            <w:pPr/>
          </w:p>
        </w:tc>
        <w:tc>
          <w:tcPr>
            <w:tcW w:w="1080" w:type="dxa"/>
            <w:vMerge/>
            <w:tcBorders>
              <w:left w:val="single" w:sz="4" w:space="0" w:color="000000"/>
              <w:bottom w:val="nil" w:sz="6" w:space="0" w:color="auto"/>
              <w:right w:val="single" w:sz="4" w:space="0" w:color="000000"/>
            </w:tcBorders>
            <w:shd w:val="clear" w:color="auto" w:fill="D3D3D3"/>
          </w:tcPr>
          <w:p>
            <w:pPr/>
          </w:p>
        </w:tc>
        <w:tc>
          <w:tcPr>
            <w:tcW w:w="719"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264" w:right="8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82"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265" w:right="85"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85" w:type="dxa"/>
            <w:gridSpan w:val="3"/>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86" w:right="86"/>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80" w:type="dxa"/>
            <w:vMerge/>
            <w:tcBorders>
              <w:left w:val="single" w:sz="4" w:space="0" w:color="000000"/>
              <w:right w:val="single" w:sz="4" w:space="0" w:color="000000"/>
            </w:tcBorders>
            <w:shd w:val="clear" w:color="auto" w:fill="D3D3D3"/>
          </w:tcPr>
          <w:p>
            <w:pPr/>
          </w:p>
        </w:tc>
        <w:tc>
          <w:tcPr>
            <w:tcW w:w="1080" w:type="dxa"/>
            <w:gridSpan w:val="3"/>
            <w:vMerge/>
            <w:tcBorders>
              <w:left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r>
      <w:tr>
        <w:trPr>
          <w:trHeight w:val="184" w:hRule="exact"/>
        </w:trPr>
        <w:tc>
          <w:tcPr>
            <w:tcW w:w="1823"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54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17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19" w:type="dxa"/>
            <w:gridSpan w:val="2"/>
            <w:vMerge/>
            <w:tcBorders>
              <w:left w:val="single" w:sz="4" w:space="0" w:color="000000"/>
              <w:right w:val="single" w:sz="4" w:space="0" w:color="000000"/>
            </w:tcBorders>
            <w:shd w:val="clear" w:color="auto" w:fill="D3D3D3"/>
          </w:tcPr>
          <w:p>
            <w:pPr/>
          </w:p>
        </w:tc>
        <w:tc>
          <w:tcPr>
            <w:tcW w:w="1082" w:type="dxa"/>
            <w:vMerge/>
            <w:tcBorders>
              <w:left w:val="single" w:sz="4" w:space="0" w:color="000000"/>
              <w:right w:val="single" w:sz="4" w:space="0" w:color="000000"/>
            </w:tcBorders>
            <w:shd w:val="clear" w:color="auto" w:fill="D3D3D3"/>
          </w:tcPr>
          <w:p>
            <w:pPr/>
          </w:p>
        </w:tc>
        <w:tc>
          <w:tcPr>
            <w:tcW w:w="1085" w:type="dxa"/>
            <w:gridSpan w:val="3"/>
            <w:vMerge/>
            <w:tcBorders>
              <w:left w:val="single" w:sz="4" w:space="0" w:color="000000"/>
              <w:right w:val="single" w:sz="4" w:space="0" w:color="000000"/>
            </w:tcBorders>
            <w:shd w:val="clear" w:color="auto" w:fill="D3D3D3"/>
          </w:tcPr>
          <w:p>
            <w:pPr/>
          </w:p>
        </w:tc>
        <w:tc>
          <w:tcPr>
            <w:tcW w:w="1080" w:type="dxa"/>
            <w:vMerge/>
            <w:tcBorders>
              <w:left w:val="single" w:sz="4" w:space="0" w:color="000000"/>
              <w:right w:val="single" w:sz="4" w:space="0" w:color="000000"/>
            </w:tcBorders>
            <w:shd w:val="clear" w:color="auto" w:fill="D3D3D3"/>
          </w:tcPr>
          <w:p>
            <w:pPr/>
          </w:p>
        </w:tc>
        <w:tc>
          <w:tcPr>
            <w:tcW w:w="1080" w:type="dxa"/>
            <w:gridSpan w:val="3"/>
            <w:vMerge/>
            <w:tcBorders>
              <w:left w:val="single" w:sz="4" w:space="0" w:color="000000"/>
              <w:right w:val="single" w:sz="4" w:space="0" w:color="000000"/>
            </w:tcBorders>
            <w:shd w:val="clear" w:color="auto" w:fill="D3D3D3"/>
          </w:tcPr>
          <w:p>
            <w:pPr/>
          </w:p>
        </w:tc>
        <w:tc>
          <w:tcPr>
            <w:tcW w:w="72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268" w:right="81"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02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6" w:hRule="exact"/>
        </w:trPr>
        <w:tc>
          <w:tcPr>
            <w:tcW w:w="1823" w:type="dxa"/>
            <w:gridSpan w:val="2"/>
            <w:vMerge/>
            <w:tcBorders>
              <w:left w:val="single" w:sz="4" w:space="0" w:color="000000"/>
              <w:bottom w:val="nil" w:sz="6" w:space="0" w:color="auto"/>
              <w:right w:val="single" w:sz="4" w:space="0" w:color="000000"/>
            </w:tcBorders>
            <w:shd w:val="clear" w:color="auto" w:fill="D3D3D3"/>
          </w:tcPr>
          <w:p>
            <w:pPr/>
          </w:p>
        </w:tc>
        <w:tc>
          <w:tcPr>
            <w:tcW w:w="1080" w:type="dxa"/>
            <w:vMerge/>
            <w:tcBorders>
              <w:left w:val="single" w:sz="4" w:space="0" w:color="000000"/>
              <w:bottom w:val="nil" w:sz="6" w:space="0" w:color="auto"/>
              <w:right w:val="single" w:sz="4" w:space="0" w:color="000000"/>
            </w:tcBorders>
            <w:shd w:val="clear" w:color="auto" w:fill="D3D3D3"/>
          </w:tcPr>
          <w:p>
            <w:pPr/>
          </w:p>
        </w:tc>
        <w:tc>
          <w:tcPr>
            <w:tcW w:w="719" w:type="dxa"/>
            <w:gridSpan w:val="2"/>
            <w:vMerge/>
            <w:tcBorders>
              <w:left w:val="single" w:sz="4" w:space="0" w:color="000000"/>
              <w:right w:val="single" w:sz="4" w:space="0" w:color="000000"/>
            </w:tcBorders>
            <w:shd w:val="clear" w:color="auto" w:fill="D3D3D3"/>
          </w:tcPr>
          <w:p>
            <w:pPr/>
          </w:p>
        </w:tc>
        <w:tc>
          <w:tcPr>
            <w:tcW w:w="1082" w:type="dxa"/>
            <w:vMerge/>
            <w:tcBorders>
              <w:left w:val="single" w:sz="4" w:space="0" w:color="000000"/>
              <w:right w:val="single" w:sz="4" w:space="0" w:color="000000"/>
            </w:tcBorders>
            <w:shd w:val="clear" w:color="auto" w:fill="D3D3D3"/>
          </w:tcPr>
          <w:p>
            <w:pPr/>
          </w:p>
        </w:tc>
        <w:tc>
          <w:tcPr>
            <w:tcW w:w="1085" w:type="dxa"/>
            <w:gridSpan w:val="3"/>
            <w:vMerge/>
            <w:tcBorders>
              <w:left w:val="single" w:sz="4" w:space="0" w:color="000000"/>
              <w:right w:val="single" w:sz="4" w:space="0" w:color="000000"/>
            </w:tcBorders>
            <w:shd w:val="clear" w:color="auto" w:fill="D3D3D3"/>
          </w:tcPr>
          <w:p>
            <w:pPr/>
          </w:p>
        </w:tc>
        <w:tc>
          <w:tcPr>
            <w:tcW w:w="1080" w:type="dxa"/>
            <w:vMerge/>
            <w:tcBorders>
              <w:left w:val="single" w:sz="4" w:space="0" w:color="000000"/>
              <w:right w:val="single" w:sz="4" w:space="0" w:color="000000"/>
            </w:tcBorders>
            <w:shd w:val="clear" w:color="auto" w:fill="D3D3D3"/>
          </w:tcPr>
          <w:p>
            <w:pPr/>
          </w:p>
        </w:tc>
        <w:tc>
          <w:tcPr>
            <w:tcW w:w="1080" w:type="dxa"/>
            <w:gridSpan w:val="3"/>
            <w:vMerge/>
            <w:tcBorders>
              <w:left w:val="single" w:sz="4" w:space="0" w:color="000000"/>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102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1" w:hRule="exact"/>
        </w:trPr>
        <w:tc>
          <w:tcPr>
            <w:tcW w:w="1823" w:type="dxa"/>
            <w:gridSpan w:val="2"/>
            <w:vMerge w:val="restart"/>
            <w:tcBorders>
              <w:top w:val="nil" w:sz="6" w:space="0" w:color="auto"/>
              <w:left w:val="single" w:sz="4" w:space="0" w:color="000000"/>
              <w:right w:val="single" w:sz="4" w:space="0" w:color="000000"/>
            </w:tcBorders>
            <w:shd w:val="clear" w:color="auto" w:fill="D3D3D3"/>
          </w:tcPr>
          <w:p>
            <w:pPr/>
          </w:p>
        </w:tc>
        <w:tc>
          <w:tcPr>
            <w:tcW w:w="1080" w:type="dxa"/>
            <w:vMerge w:val="restart"/>
            <w:tcBorders>
              <w:top w:val="nil" w:sz="6" w:space="0" w:color="auto"/>
              <w:left w:val="single" w:sz="4" w:space="0" w:color="000000"/>
              <w:right w:val="single" w:sz="4" w:space="0" w:color="000000"/>
            </w:tcBorders>
            <w:shd w:val="clear" w:color="auto" w:fill="D3D3D3"/>
          </w:tcPr>
          <w:p>
            <w:pPr/>
          </w:p>
        </w:tc>
        <w:tc>
          <w:tcPr>
            <w:tcW w:w="719" w:type="dxa"/>
            <w:gridSpan w:val="2"/>
            <w:vMerge/>
            <w:tcBorders>
              <w:left w:val="single" w:sz="4" w:space="0" w:color="000000"/>
              <w:bottom w:val="nil" w:sz="6" w:space="0" w:color="auto"/>
              <w:right w:val="single" w:sz="4" w:space="0" w:color="000000"/>
            </w:tcBorders>
            <w:shd w:val="clear" w:color="auto" w:fill="D3D3D3"/>
          </w:tcPr>
          <w:p>
            <w:pPr/>
          </w:p>
        </w:tc>
        <w:tc>
          <w:tcPr>
            <w:tcW w:w="1082" w:type="dxa"/>
            <w:vMerge/>
            <w:tcBorders>
              <w:left w:val="single" w:sz="4" w:space="0" w:color="000000"/>
              <w:bottom w:val="nil" w:sz="6" w:space="0" w:color="auto"/>
              <w:right w:val="single" w:sz="4" w:space="0" w:color="000000"/>
            </w:tcBorders>
            <w:shd w:val="clear" w:color="auto" w:fill="D3D3D3"/>
          </w:tcPr>
          <w:p>
            <w:pPr/>
          </w:p>
        </w:tc>
        <w:tc>
          <w:tcPr>
            <w:tcW w:w="1085" w:type="dxa"/>
            <w:gridSpan w:val="3"/>
            <w:vMerge/>
            <w:tcBorders>
              <w:left w:val="single" w:sz="4" w:space="0" w:color="000000"/>
              <w:bottom w:val="nil" w:sz="6" w:space="0" w:color="auto"/>
              <w:right w:val="single" w:sz="4" w:space="0" w:color="000000"/>
            </w:tcBorders>
            <w:shd w:val="clear" w:color="auto" w:fill="D3D3D3"/>
          </w:tcPr>
          <w:p>
            <w:pPr/>
          </w:p>
        </w:tc>
        <w:tc>
          <w:tcPr>
            <w:tcW w:w="1080" w:type="dxa"/>
            <w:vMerge/>
            <w:tcBorders>
              <w:left w:val="single" w:sz="4" w:space="0" w:color="000000"/>
              <w:right w:val="single" w:sz="4" w:space="0" w:color="000000"/>
            </w:tcBorders>
            <w:shd w:val="clear" w:color="auto" w:fill="D3D3D3"/>
          </w:tcPr>
          <w:p>
            <w:pPr/>
          </w:p>
        </w:tc>
        <w:tc>
          <w:tcPr>
            <w:tcW w:w="1080" w:type="dxa"/>
            <w:gridSpan w:val="3"/>
            <w:vMerge/>
            <w:tcBorders>
              <w:left w:val="single" w:sz="4" w:space="0" w:color="000000"/>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1023" w:type="dxa"/>
            <w:vMerge/>
            <w:tcBorders>
              <w:left w:val="single" w:sz="4" w:space="0" w:color="000000"/>
              <w:bottom w:val="nil" w:sz="6" w:space="0" w:color="auto"/>
              <w:right w:val="single" w:sz="4" w:space="0" w:color="000000"/>
            </w:tcBorders>
            <w:shd w:val="clear" w:color="auto" w:fill="D3D3D3"/>
          </w:tcPr>
          <w:p>
            <w:pPr/>
          </w:p>
        </w:tc>
      </w:tr>
      <w:tr>
        <w:trPr>
          <w:trHeight w:val="186" w:hRule="exact"/>
        </w:trPr>
        <w:tc>
          <w:tcPr>
            <w:tcW w:w="1823" w:type="dxa"/>
            <w:gridSpan w:val="2"/>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719"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0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5"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1080" w:type="dxa"/>
            <w:gridSpan w:val="3"/>
            <w:vMerge/>
            <w:tcBorders>
              <w:left w:val="single" w:sz="4" w:space="0" w:color="000000"/>
              <w:bottom w:val="single" w:sz="4" w:space="0" w:color="000000"/>
              <w:right w:val="single" w:sz="4" w:space="0" w:color="000000"/>
            </w:tcBorders>
            <w:shd w:val="clear" w:color="auto" w:fill="D3D3D3"/>
          </w:tcPr>
          <w:p>
            <w:pPr/>
          </w:p>
        </w:tc>
        <w:tc>
          <w:tcPr>
            <w:tcW w:w="722" w:type="dxa"/>
            <w:vMerge/>
            <w:tcBorders>
              <w:left w:val="single" w:sz="4" w:space="0" w:color="000000"/>
              <w:bottom w:val="single" w:sz="4" w:space="0" w:color="000000"/>
              <w:right w:val="single" w:sz="4" w:space="0" w:color="000000"/>
            </w:tcBorders>
            <w:shd w:val="clear" w:color="auto" w:fill="D3D3D3"/>
          </w:tcPr>
          <w:p>
            <w:pPr/>
          </w:p>
        </w:tc>
        <w:tc>
          <w:tcPr>
            <w:tcW w:w="102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1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香港中央结算代理人 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18.11%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350,634,500</w:t>
            </w:r>
          </w:p>
        </w:tc>
        <w:tc>
          <w:tcPr>
            <w:tcW w:w="10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-39,182,000</w:t>
            </w:r>
          </w:p>
        </w:tc>
        <w:tc>
          <w:tcPr>
            <w:tcW w:w="1080" w:type="dxa"/>
            <w:tcBorders>
              <w:top w:val="single" w:sz="24" w:space="0" w:color="D3D3D3"/>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3"/>
            <w:tcBorders>
              <w:top w:val="single" w:sz="24" w:space="0" w:color="D3D3D3"/>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350,634,500</w:t>
            </w:r>
          </w:p>
        </w:tc>
        <w:tc>
          <w:tcPr>
            <w:tcW w:w="722"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寿光晨鸣控股有限公 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15.13%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293,003,657</w:t>
            </w:r>
          </w:p>
        </w:tc>
        <w:tc>
          <w:tcPr>
            <w:tcW w:w="10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86,600,000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293,003,657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146,500,000</w:t>
            </w:r>
          </w:p>
        </w:tc>
      </w:tr>
      <w:tr>
        <w:trPr>
          <w:trHeight w:val="714" w:hRule="exact"/>
        </w:trPr>
        <w:tc>
          <w:tcPr>
            <w:tcW w:w="1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78"/>
              <w:jc w:val="left"/>
              <w:rPr>
                <w:rFonts w:ascii="Times New Roman" w:hAnsi="Times New Roman" w:cs="Times New Roman" w:eastAsia="Times New Roman" w:hint="default"/>
                <w:sz w:val="18"/>
                <w:szCs w:val="18"/>
              </w:rPr>
            </w:pPr>
            <w:r>
              <w:rPr>
                <w:rFonts w:ascii="Times New Roman"/>
                <w:spacing w:val="-4"/>
                <w:sz w:val="18"/>
              </w:rPr>
              <w:t>PLATINUM</w:t>
            </w:r>
            <w:r>
              <w:rPr>
                <w:rFonts w:ascii="Times New Roman"/>
                <w:spacing w:val="15"/>
                <w:sz w:val="18"/>
              </w:rPr>
              <w:t> </w:t>
            </w:r>
            <w:r>
              <w:rPr>
                <w:rFonts w:ascii="Times New Roman"/>
                <w:sz w:val="18"/>
              </w:rPr>
              <w:t>ASIA</w:t>
            </w:r>
            <w:r>
              <w:rPr>
                <w:rFonts w:ascii="Times New Roman"/>
                <w:spacing w:val="-1"/>
                <w:sz w:val="18"/>
              </w:rPr>
              <w:t> </w:t>
            </w:r>
            <w:r>
              <w:rPr>
                <w:rFonts w:ascii="Times New Roman"/>
                <w:sz w:val="18"/>
              </w:rPr>
              <w:t>FUND</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1.67%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32,341,052</w:t>
            </w:r>
          </w:p>
        </w:tc>
        <w:tc>
          <w:tcPr>
            <w:tcW w:w="10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32,341,052</w:t>
            </w:r>
          </w:p>
        </w:tc>
        <w:tc>
          <w:tcPr>
            <w:tcW w:w="722"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7"/>
              <w:jc w:val="left"/>
              <w:rPr>
                <w:rFonts w:ascii="Times New Roman" w:hAnsi="Times New Roman" w:cs="Times New Roman" w:eastAsia="Times New Roman" w:hint="default"/>
                <w:sz w:val="18"/>
                <w:szCs w:val="18"/>
              </w:rPr>
            </w:pPr>
            <w:r>
              <w:rPr>
                <w:rFonts w:ascii="Times New Roman"/>
                <w:sz w:val="18"/>
              </w:rPr>
              <w:t>BBH A/C</w:t>
            </w:r>
            <w:r>
              <w:rPr>
                <w:rFonts w:ascii="Times New Roman"/>
                <w:spacing w:val="-17"/>
                <w:sz w:val="18"/>
              </w:rPr>
              <w:t> </w:t>
            </w:r>
            <w:r>
              <w:rPr>
                <w:rFonts w:ascii="Times New Roman"/>
                <w:spacing w:val="-4"/>
                <w:sz w:val="18"/>
              </w:rPr>
              <w:t>VANGUARD</w:t>
            </w:r>
            <w:r>
              <w:rPr>
                <w:rFonts w:ascii="Times New Roman"/>
                <w:spacing w:val="-1"/>
                <w:sz w:val="18"/>
              </w:rPr>
              <w:t> </w:t>
            </w:r>
            <w:r>
              <w:rPr>
                <w:rFonts w:ascii="Times New Roman"/>
                <w:sz w:val="18"/>
              </w:rPr>
              <w:t>EMERGING</w:t>
            </w:r>
            <w:r>
              <w:rPr>
                <w:rFonts w:ascii="Times New Roman"/>
                <w:spacing w:val="-1"/>
                <w:sz w:val="18"/>
              </w:rPr>
              <w:t> </w:t>
            </w:r>
            <w:r>
              <w:rPr>
                <w:rFonts w:ascii="Times New Roman"/>
                <w:sz w:val="18"/>
              </w:rPr>
              <w:t>MARKETS</w:t>
            </w:r>
            <w:r>
              <w:rPr>
                <w:rFonts w:ascii="Times New Roman"/>
                <w:spacing w:val="-2"/>
                <w:sz w:val="18"/>
              </w:rPr>
              <w:t> </w:t>
            </w:r>
            <w:r>
              <w:rPr>
                <w:rFonts w:ascii="Times New Roman"/>
                <w:sz w:val="18"/>
              </w:rPr>
              <w:t>STOCK</w:t>
            </w:r>
            <w:r>
              <w:rPr>
                <w:rFonts w:ascii="Times New Roman"/>
                <w:spacing w:val="-1"/>
                <w:sz w:val="18"/>
              </w:rPr>
              <w:t> </w:t>
            </w:r>
            <w:r>
              <w:rPr>
                <w:rFonts w:ascii="Times New Roman"/>
                <w:sz w:val="18"/>
              </w:rPr>
              <w:t>INDEX</w:t>
            </w:r>
            <w:r>
              <w:rPr>
                <w:rFonts w:ascii="Times New Roman"/>
                <w:spacing w:val="-8"/>
                <w:sz w:val="18"/>
              </w:rPr>
              <w:t> </w:t>
            </w:r>
            <w:r>
              <w:rPr>
                <w:rFonts w:ascii="Times New Roman"/>
                <w:sz w:val="18"/>
              </w:rPr>
              <w:t>FUND</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0.62%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11,946,985</w:t>
            </w:r>
          </w:p>
        </w:tc>
        <w:tc>
          <w:tcPr>
            <w:tcW w:w="10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-90,000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11,946,985</w:t>
            </w:r>
          </w:p>
        </w:tc>
        <w:tc>
          <w:tcPr>
            <w:tcW w:w="722"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4"/>
              <w:jc w:val="left"/>
              <w:rPr>
                <w:rFonts w:ascii="Times New Roman" w:hAnsi="Times New Roman" w:cs="Times New Roman" w:eastAsia="Times New Roman" w:hint="default"/>
                <w:sz w:val="18"/>
                <w:szCs w:val="18"/>
              </w:rPr>
            </w:pPr>
            <w:r>
              <w:rPr>
                <w:rFonts w:ascii="Times New Roman"/>
                <w:sz w:val="18"/>
              </w:rPr>
              <w:t>BILL &amp;</w:t>
            </w:r>
            <w:r>
              <w:rPr>
                <w:rFonts w:ascii="Times New Roman"/>
                <w:spacing w:val="-9"/>
                <w:sz w:val="18"/>
              </w:rPr>
              <w:t> </w:t>
            </w:r>
            <w:r>
              <w:rPr>
                <w:rFonts w:ascii="Times New Roman"/>
                <w:sz w:val="18"/>
              </w:rPr>
              <w:t>MELINDA</w:t>
            </w:r>
            <w:r>
              <w:rPr>
                <w:rFonts w:ascii="Times New Roman"/>
                <w:sz w:val="18"/>
              </w:rPr>
              <w:t> </w:t>
            </w:r>
            <w:r>
              <w:rPr>
                <w:rFonts w:ascii="Times New Roman"/>
                <w:spacing w:val="-5"/>
                <w:sz w:val="18"/>
              </w:rPr>
              <w:t>GATES</w:t>
            </w:r>
            <w:r>
              <w:rPr>
                <w:rFonts w:ascii="Times New Roman"/>
                <w:spacing w:val="8"/>
                <w:sz w:val="18"/>
              </w:rPr>
              <w:t> </w:t>
            </w:r>
            <w:r>
              <w:rPr>
                <w:rFonts w:ascii="Times New Roman"/>
                <w:spacing w:val="-3"/>
                <w:sz w:val="18"/>
              </w:rPr>
              <w:t>FOUNDATION</w:t>
            </w:r>
            <w:r>
              <w:rPr>
                <w:rFonts w:ascii="Times New Roman"/>
                <w:spacing w:val="-43"/>
                <w:sz w:val="18"/>
              </w:rPr>
              <w:t> </w:t>
            </w:r>
            <w:r>
              <w:rPr>
                <w:rFonts w:ascii="Times New Roman"/>
                <w:spacing w:val="-43"/>
                <w:sz w:val="18"/>
              </w:rPr>
            </w:r>
            <w:r>
              <w:rPr>
                <w:rFonts w:ascii="Times New Roman"/>
                <w:sz w:val="18"/>
              </w:rPr>
              <w:t>TRUST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0.52%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10,033,077</w:t>
            </w:r>
          </w:p>
        </w:tc>
        <w:tc>
          <w:tcPr>
            <w:tcW w:w="10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-12,724,314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10,033,077</w:t>
            </w:r>
          </w:p>
        </w:tc>
        <w:tc>
          <w:tcPr>
            <w:tcW w:w="722"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0.46%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8,856,400</w:t>
            </w:r>
          </w:p>
        </w:tc>
        <w:tc>
          <w:tcPr>
            <w:tcW w:w="10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768,100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8,856,400</w:t>
            </w:r>
          </w:p>
        </w:tc>
        <w:tc>
          <w:tcPr>
            <w:tcW w:w="722"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融通新蓝筹证券投资 基金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0.41%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8,000,012</w:t>
            </w:r>
          </w:p>
        </w:tc>
        <w:tc>
          <w:tcPr>
            <w:tcW w:w="10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9" w:right="0"/>
              <w:jc w:val="left"/>
              <w:rPr>
                <w:rFonts w:ascii="Times New Roman" w:hAnsi="Times New Roman" w:cs="Times New Roman" w:eastAsia="Times New Roman" w:hint="default"/>
                <w:sz w:val="18"/>
                <w:szCs w:val="18"/>
              </w:rPr>
            </w:pPr>
            <w:r>
              <w:rPr>
                <w:rFonts w:ascii="Times New Roman"/>
                <w:sz w:val="18"/>
              </w:rPr>
              <w:t>8,000,012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8,000,012</w:t>
            </w:r>
          </w:p>
        </w:tc>
        <w:tc>
          <w:tcPr>
            <w:tcW w:w="722"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8"/>
              <w:jc w:val="both"/>
              <w:rPr>
                <w:rFonts w:ascii="宋体" w:hAnsi="宋体" w:cs="宋体" w:eastAsia="宋体" w:hint="default"/>
                <w:sz w:val="18"/>
                <w:szCs w:val="18"/>
              </w:rPr>
            </w:pPr>
            <w:r>
              <w:rPr>
                <w:rFonts w:ascii="宋体" w:hAnsi="宋体" w:cs="宋体" w:eastAsia="宋体" w:hint="default"/>
                <w:sz w:val="18"/>
                <w:szCs w:val="18"/>
              </w:rPr>
              <w:t>中国建设银行－南方 盛元红利股票型证券 投资基金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0.41%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7,999,830</w:t>
            </w:r>
          </w:p>
        </w:tc>
        <w:tc>
          <w:tcPr>
            <w:tcW w:w="10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9" w:right="0"/>
              <w:jc w:val="left"/>
              <w:rPr>
                <w:rFonts w:ascii="Times New Roman" w:hAnsi="Times New Roman" w:cs="Times New Roman" w:eastAsia="Times New Roman" w:hint="default"/>
                <w:sz w:val="18"/>
                <w:szCs w:val="18"/>
              </w:rPr>
            </w:pPr>
            <w:r>
              <w:rPr>
                <w:rFonts w:ascii="Times New Roman"/>
                <w:sz w:val="18"/>
              </w:rPr>
              <w:t>7,999,830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7,999,830</w:t>
            </w:r>
          </w:p>
        </w:tc>
        <w:tc>
          <w:tcPr>
            <w:tcW w:w="722"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仲红蕾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0.35%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6,845,568</w:t>
            </w:r>
          </w:p>
        </w:tc>
        <w:tc>
          <w:tcPr>
            <w:tcW w:w="10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9" w:right="0"/>
              <w:jc w:val="left"/>
              <w:rPr>
                <w:rFonts w:ascii="Times New Roman" w:hAnsi="Times New Roman" w:cs="Times New Roman" w:eastAsia="Times New Roman" w:hint="default"/>
                <w:sz w:val="18"/>
                <w:szCs w:val="18"/>
              </w:rPr>
            </w:pPr>
            <w:r>
              <w:rPr>
                <w:rFonts w:ascii="Times New Roman"/>
                <w:sz w:val="18"/>
              </w:rPr>
              <w:t>6,845,568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6,845,568</w:t>
            </w:r>
          </w:p>
        </w:tc>
        <w:tc>
          <w:tcPr>
            <w:tcW w:w="722"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0.33%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6,434,527</w:t>
            </w:r>
          </w:p>
        </w:tc>
        <w:tc>
          <w:tcPr>
            <w:tcW w:w="10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100,000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6,434,527</w:t>
            </w:r>
          </w:p>
        </w:tc>
        <w:tc>
          <w:tcPr>
            <w:tcW w:w="722"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823"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871" w:type="dxa"/>
            <w:gridSpan w:val="13"/>
            <w:vMerge w:val="restart"/>
            <w:tcBorders>
              <w:top w:val="single" w:sz="4" w:space="0" w:color="000000"/>
              <w:left w:val="single" w:sz="9" w:space="0" w:color="D3D3D3"/>
              <w:right w:val="single" w:sz="4" w:space="0" w:color="000000"/>
            </w:tcBorders>
          </w:tcPr>
          <w:p>
            <w:pPr>
              <w:pStyle w:val="TableParagraph"/>
              <w:spacing w:line="319" w:lineRule="auto" w:before="51"/>
              <w:ind w:left="16" w:right="96"/>
              <w:jc w:val="both"/>
              <w:rPr>
                <w:rFonts w:ascii="宋体" w:hAnsi="宋体" w:cs="宋体" w:eastAsia="宋体" w:hint="default"/>
                <w:sz w:val="18"/>
                <w:szCs w:val="18"/>
              </w:rPr>
            </w:pPr>
            <w:r>
              <w:rPr>
                <w:rFonts w:ascii="宋体" w:hAnsi="宋体" w:cs="宋体" w:eastAsia="宋体" w:hint="default"/>
                <w:sz w:val="18"/>
                <w:szCs w:val="18"/>
              </w:rPr>
              <w:t>国有法人股东寿光晨鸣控股有限公司与上述股东之间不存在关联关系，也不属于《上市公司股东持 股变动信息披露管理办法》中规定的一致行动人。除此之外，未知其他流通股东是否属于一致行动 人，也未知其他流通股股东之间是否存在关联关系。</w:t>
            </w:r>
          </w:p>
        </w:tc>
      </w:tr>
      <w:tr>
        <w:trPr>
          <w:trHeight w:val="704" w:hRule="exact"/>
        </w:trPr>
        <w:tc>
          <w:tcPr>
            <w:tcW w:w="1823"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上述股东关联关系或 一致行动的说明</w:t>
            </w:r>
          </w:p>
        </w:tc>
        <w:tc>
          <w:tcPr>
            <w:tcW w:w="7871" w:type="dxa"/>
            <w:gridSpan w:val="13"/>
            <w:vMerge/>
            <w:tcBorders>
              <w:left w:val="single" w:sz="9" w:space="0" w:color="D3D3D3"/>
              <w:right w:val="single" w:sz="4" w:space="0" w:color="000000"/>
            </w:tcBorders>
          </w:tcPr>
          <w:p>
            <w:pPr/>
          </w:p>
        </w:tc>
      </w:tr>
      <w:tr>
        <w:trPr>
          <w:trHeight w:val="161" w:hRule="exact"/>
        </w:trPr>
        <w:tc>
          <w:tcPr>
            <w:tcW w:w="1823"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871" w:type="dxa"/>
            <w:gridSpan w:val="13"/>
            <w:vMerge/>
            <w:tcBorders>
              <w:left w:val="single" w:sz="9" w:space="0" w:color="D3D3D3"/>
              <w:bottom w:val="single" w:sz="4" w:space="0" w:color="000000"/>
              <w:right w:val="single" w:sz="4" w:space="0" w:color="000000"/>
            </w:tcBorders>
          </w:tcPr>
          <w:p>
            <w:pPr/>
          </w:p>
        </w:tc>
      </w:tr>
      <w:tr>
        <w:trPr>
          <w:trHeight w:val="402" w:hRule="exact"/>
        </w:trPr>
        <w:tc>
          <w:tcPr>
            <w:tcW w:w="9694" w:type="dxa"/>
            <w:gridSpan w:val="15"/>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1" w:hRule="exact"/>
        </w:trPr>
        <w:tc>
          <w:tcPr>
            <w:tcW w:w="5608" w:type="dxa"/>
            <w:gridSpan w:val="8"/>
            <w:tcBorders>
              <w:top w:val="single" w:sz="4" w:space="0" w:color="FFFFFF"/>
              <w:left w:val="single" w:sz="4" w:space="0" w:color="000000"/>
              <w:bottom w:val="nil" w:sz="6" w:space="0" w:color="auto"/>
              <w:right w:val="single" w:sz="4" w:space="0" w:color="000000"/>
            </w:tcBorders>
            <w:shd w:val="clear" w:color="auto" w:fill="D3D3D3"/>
          </w:tcPr>
          <w:p>
            <w:pPr/>
          </w:p>
        </w:tc>
        <w:tc>
          <w:tcPr>
            <w:tcW w:w="1605" w:type="dxa"/>
            <w:gridSpan w:val="3"/>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1"/>
              <w:ind w:left="175" w:right="67" w:hanging="90"/>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2480" w:type="dxa"/>
            <w:gridSpan w:val="4"/>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1" w:hRule="exact"/>
        </w:trPr>
        <w:tc>
          <w:tcPr>
            <w:tcW w:w="5608" w:type="dxa"/>
            <w:gridSpan w:val="8"/>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605" w:type="dxa"/>
            <w:gridSpan w:val="3"/>
            <w:vMerge/>
            <w:tcBorders>
              <w:left w:val="single" w:sz="4" w:space="0" w:color="000000"/>
              <w:right w:val="single" w:sz="4" w:space="0" w:color="000000"/>
            </w:tcBorders>
            <w:shd w:val="clear" w:color="auto" w:fill="D3D3D3"/>
          </w:tcPr>
          <w:p>
            <w:pPr/>
          </w:p>
        </w:tc>
        <w:tc>
          <w:tcPr>
            <w:tcW w:w="2480" w:type="dxa"/>
            <w:gridSpan w:val="4"/>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5608" w:type="dxa"/>
            <w:gridSpan w:val="8"/>
            <w:vMerge/>
            <w:tcBorders>
              <w:left w:val="single" w:sz="4" w:space="0" w:color="000000"/>
              <w:bottom w:val="nil" w:sz="6" w:space="0" w:color="auto"/>
              <w:right w:val="single" w:sz="4" w:space="0" w:color="000000"/>
            </w:tcBorders>
            <w:shd w:val="clear" w:color="auto" w:fill="D3D3D3"/>
          </w:tcPr>
          <w:p>
            <w:pPr/>
          </w:p>
        </w:tc>
        <w:tc>
          <w:tcPr>
            <w:tcW w:w="1605" w:type="dxa"/>
            <w:gridSpan w:val="3"/>
            <w:vMerge/>
            <w:tcBorders>
              <w:left w:val="single" w:sz="4" w:space="0" w:color="000000"/>
              <w:right w:val="single" w:sz="4" w:space="0" w:color="000000"/>
            </w:tcBorders>
            <w:shd w:val="clear" w:color="auto" w:fill="D3D3D3"/>
          </w:tcPr>
          <w:p>
            <w:pPr/>
          </w:p>
        </w:tc>
        <w:tc>
          <w:tcPr>
            <w:tcW w:w="145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12" w:hRule="exact"/>
        </w:trPr>
        <w:tc>
          <w:tcPr>
            <w:tcW w:w="5608" w:type="dxa"/>
            <w:gridSpan w:val="8"/>
            <w:tcBorders>
              <w:top w:val="nil" w:sz="6" w:space="0" w:color="auto"/>
              <w:left w:val="single" w:sz="4" w:space="0" w:color="000000"/>
              <w:bottom w:val="single" w:sz="4" w:space="0" w:color="000000"/>
              <w:right w:val="single" w:sz="4" w:space="0" w:color="000000"/>
            </w:tcBorders>
            <w:shd w:val="clear" w:color="auto" w:fill="D3D3D3"/>
          </w:tcPr>
          <w:p>
            <w:pPr/>
          </w:p>
        </w:tc>
        <w:tc>
          <w:tcPr>
            <w:tcW w:w="1605" w:type="dxa"/>
            <w:gridSpan w:val="3"/>
            <w:vMerge/>
            <w:tcBorders>
              <w:left w:val="single" w:sz="4" w:space="0" w:color="000000"/>
              <w:bottom w:val="single" w:sz="4" w:space="0" w:color="000000"/>
              <w:right w:val="single" w:sz="4" w:space="0" w:color="000000"/>
            </w:tcBorders>
            <w:shd w:val="clear" w:color="auto" w:fill="D3D3D3"/>
          </w:tcPr>
          <w:p>
            <w:pPr/>
          </w:p>
        </w:tc>
        <w:tc>
          <w:tcPr>
            <w:tcW w:w="1458" w:type="dxa"/>
            <w:gridSpan w:val="3"/>
            <w:vMerge/>
            <w:tcBorders>
              <w:left w:val="single" w:sz="4" w:space="0" w:color="000000"/>
              <w:bottom w:val="single" w:sz="4" w:space="0" w:color="000000"/>
              <w:right w:val="single" w:sz="4" w:space="0" w:color="000000"/>
            </w:tcBorders>
            <w:shd w:val="clear" w:color="auto" w:fill="D3D3D3"/>
          </w:tcPr>
          <w:p>
            <w:pPr/>
          </w:p>
        </w:tc>
        <w:tc>
          <w:tcPr>
            <w:tcW w:w="1023"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3077"/>
        <w:gridCol w:w="2532"/>
        <w:gridCol w:w="1621"/>
        <w:gridCol w:w="1440"/>
        <w:gridCol w:w="1024"/>
      </w:tblGrid>
      <w:tr>
        <w:trPr>
          <w:trHeight w:val="402" w:hRule="exact"/>
        </w:trPr>
        <w:tc>
          <w:tcPr>
            <w:tcW w:w="5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香港中央结算代理人有限公司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350,634,500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350,634,500</w:t>
            </w:r>
          </w:p>
        </w:tc>
      </w:tr>
      <w:tr>
        <w:trPr>
          <w:trHeight w:val="402" w:hRule="exact"/>
        </w:trPr>
        <w:tc>
          <w:tcPr>
            <w:tcW w:w="5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293,003,657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293,003,657</w:t>
            </w:r>
          </w:p>
        </w:tc>
      </w:tr>
      <w:tr>
        <w:trPr>
          <w:trHeight w:val="402" w:hRule="exact"/>
        </w:trPr>
        <w:tc>
          <w:tcPr>
            <w:tcW w:w="5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PLATINUM    </w:t>
            </w:r>
            <w:r>
              <w:rPr>
                <w:rFonts w:ascii="Times New Roman"/>
                <w:sz w:val="18"/>
              </w:rPr>
              <w:t>ASIA  </w:t>
            </w:r>
            <w:r>
              <w:rPr>
                <w:rFonts w:ascii="Times New Roman"/>
                <w:spacing w:val="41"/>
                <w:sz w:val="18"/>
              </w:rPr>
              <w:t> </w:t>
            </w:r>
            <w:r>
              <w:rPr>
                <w:rFonts w:ascii="Times New Roman"/>
                <w:sz w:val="18"/>
              </w:rPr>
              <w:t>FUND</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32,341,052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32,341,052</w:t>
            </w:r>
          </w:p>
        </w:tc>
      </w:tr>
      <w:tr>
        <w:trPr>
          <w:trHeight w:val="402" w:hRule="exact"/>
        </w:trPr>
        <w:tc>
          <w:tcPr>
            <w:tcW w:w="5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BBH</w:t>
            </w:r>
            <w:r>
              <w:rPr>
                <w:rFonts w:ascii="Times New Roman"/>
                <w:spacing w:val="-13"/>
                <w:sz w:val="18"/>
              </w:rPr>
              <w:t> </w:t>
            </w:r>
            <w:r>
              <w:rPr>
                <w:rFonts w:ascii="Times New Roman"/>
                <w:sz w:val="18"/>
              </w:rPr>
              <w:t>A/C</w:t>
            </w:r>
            <w:r>
              <w:rPr>
                <w:rFonts w:ascii="Times New Roman"/>
                <w:spacing w:val="-8"/>
                <w:sz w:val="18"/>
              </w:rPr>
              <w:t> </w:t>
            </w:r>
            <w:r>
              <w:rPr>
                <w:rFonts w:ascii="Times New Roman"/>
                <w:spacing w:val="-4"/>
                <w:sz w:val="18"/>
              </w:rPr>
              <w:t>VANGUARD </w:t>
            </w:r>
            <w:r>
              <w:rPr>
                <w:rFonts w:ascii="Times New Roman"/>
                <w:sz w:val="18"/>
              </w:rPr>
              <w:t>EMERGING</w:t>
            </w:r>
            <w:r>
              <w:rPr>
                <w:rFonts w:ascii="Times New Roman"/>
                <w:spacing w:val="-5"/>
                <w:sz w:val="18"/>
              </w:rPr>
              <w:t> </w:t>
            </w:r>
            <w:r>
              <w:rPr>
                <w:rFonts w:ascii="Times New Roman"/>
                <w:sz w:val="18"/>
              </w:rPr>
              <w:t>MARKETS</w:t>
            </w:r>
            <w:r>
              <w:rPr>
                <w:rFonts w:ascii="Times New Roman"/>
                <w:spacing w:val="-4"/>
                <w:sz w:val="18"/>
              </w:rPr>
              <w:t> </w:t>
            </w:r>
            <w:r>
              <w:rPr>
                <w:rFonts w:ascii="Times New Roman"/>
                <w:sz w:val="18"/>
              </w:rPr>
              <w:t>STOCK</w:t>
            </w:r>
            <w:r>
              <w:rPr>
                <w:rFonts w:ascii="Times New Roman"/>
                <w:spacing w:val="-4"/>
                <w:sz w:val="18"/>
              </w:rPr>
              <w:t> </w:t>
            </w:r>
            <w:r>
              <w:rPr>
                <w:rFonts w:ascii="Times New Roman"/>
                <w:sz w:val="18"/>
              </w:rPr>
              <w:t>INDEX</w:t>
            </w:r>
            <w:r>
              <w:rPr>
                <w:rFonts w:ascii="Times New Roman"/>
                <w:spacing w:val="-4"/>
                <w:sz w:val="18"/>
              </w:rPr>
              <w:t> </w:t>
            </w:r>
            <w:r>
              <w:rPr>
                <w:rFonts w:ascii="Times New Roman"/>
                <w:sz w:val="18"/>
              </w:rPr>
              <w:t>FUND</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11,946,985</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11,946,985</w:t>
            </w:r>
          </w:p>
        </w:tc>
      </w:tr>
      <w:tr>
        <w:trPr>
          <w:trHeight w:val="402" w:hRule="exact"/>
        </w:trPr>
        <w:tc>
          <w:tcPr>
            <w:tcW w:w="5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BILL &amp; MELINDA </w:t>
            </w:r>
            <w:r>
              <w:rPr>
                <w:rFonts w:ascii="Times New Roman"/>
                <w:spacing w:val="-5"/>
                <w:sz w:val="18"/>
              </w:rPr>
              <w:t>GATES </w:t>
            </w:r>
            <w:r>
              <w:rPr>
                <w:rFonts w:ascii="Times New Roman"/>
                <w:spacing w:val="-3"/>
                <w:sz w:val="18"/>
              </w:rPr>
              <w:t>FOUNDATION</w:t>
            </w:r>
            <w:r>
              <w:rPr>
                <w:rFonts w:ascii="Times New Roman"/>
                <w:spacing w:val="-8"/>
                <w:sz w:val="18"/>
              </w:rPr>
              <w:t> </w:t>
            </w:r>
            <w:r>
              <w:rPr>
                <w:rFonts w:ascii="Times New Roman"/>
                <w:sz w:val="18"/>
              </w:rPr>
              <w:t>TRUST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10,033,077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10,033,077</w:t>
            </w:r>
          </w:p>
        </w:tc>
      </w:tr>
      <w:tr>
        <w:trPr>
          <w:trHeight w:val="402" w:hRule="exact"/>
        </w:trPr>
        <w:tc>
          <w:tcPr>
            <w:tcW w:w="5609"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金幸</w:t>
            </w:r>
          </w:p>
        </w:tc>
        <w:tc>
          <w:tcPr>
            <w:tcW w:w="16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866" w:right="0"/>
              <w:jc w:val="left"/>
              <w:rPr>
                <w:rFonts w:ascii="Times New Roman" w:hAnsi="Times New Roman" w:cs="Times New Roman" w:eastAsia="Times New Roman" w:hint="default"/>
                <w:sz w:val="18"/>
                <w:szCs w:val="18"/>
              </w:rPr>
            </w:pPr>
            <w:r>
              <w:rPr>
                <w:rFonts w:ascii="Times New Roman"/>
                <w:sz w:val="18"/>
              </w:rPr>
              <w:t>8,856,400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5609" w:type="dxa"/>
            <w:gridSpan w:val="2"/>
            <w:vMerge/>
            <w:tcBorders>
              <w:left w:val="single" w:sz="4" w:space="0" w:color="000000"/>
              <w:bottom w:val="single" w:sz="4" w:space="0" w:color="000000"/>
              <w:right w:val="single" w:sz="4" w:space="0" w:color="000000"/>
            </w:tcBorders>
          </w:tcPr>
          <w:p>
            <w:pPr/>
          </w:p>
        </w:tc>
        <w:tc>
          <w:tcPr>
            <w:tcW w:w="1621"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6,856,400</w:t>
            </w:r>
          </w:p>
        </w:tc>
      </w:tr>
      <w:tr>
        <w:trPr>
          <w:trHeight w:val="402" w:hRule="exact"/>
        </w:trPr>
        <w:tc>
          <w:tcPr>
            <w:tcW w:w="5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融通新蓝筹证券投资基金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8,000,012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8,000,012</w:t>
            </w:r>
          </w:p>
        </w:tc>
      </w:tr>
      <w:tr>
        <w:trPr>
          <w:trHeight w:val="402" w:hRule="exact"/>
        </w:trPr>
        <w:tc>
          <w:tcPr>
            <w:tcW w:w="5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中国建设银行－南方盛元红利股票型证券投资基金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7,999,830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7,999,830</w:t>
            </w:r>
          </w:p>
        </w:tc>
      </w:tr>
      <w:tr>
        <w:trPr>
          <w:trHeight w:val="402" w:hRule="exact"/>
        </w:trPr>
        <w:tc>
          <w:tcPr>
            <w:tcW w:w="5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仲红蕾</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6,845,568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6,845,568</w:t>
            </w:r>
          </w:p>
        </w:tc>
      </w:tr>
      <w:tr>
        <w:trPr>
          <w:trHeight w:val="402" w:hRule="exact"/>
        </w:trPr>
        <w:tc>
          <w:tcPr>
            <w:tcW w:w="5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6,434,527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6,434,527</w:t>
            </w:r>
          </w:p>
        </w:tc>
      </w:tr>
      <w:tr>
        <w:trPr>
          <w:trHeight w:val="1026" w:hRule="exact"/>
        </w:trPr>
        <w:tc>
          <w:tcPr>
            <w:tcW w:w="3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w:t>
            </w:r>
          </w:p>
          <w:p>
            <w:pPr>
              <w:pStyle w:val="TableParagraph"/>
              <w:spacing w:line="302" w:lineRule="auto" w:before="61"/>
              <w:ind w:left="22" w:right="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名股 东之间关联关系或一致行动的说明</w:t>
            </w:r>
          </w:p>
        </w:tc>
        <w:tc>
          <w:tcPr>
            <w:tcW w:w="6617" w:type="dxa"/>
            <w:gridSpan w:val="4"/>
            <w:tcBorders>
              <w:top w:val="single" w:sz="4" w:space="0" w:color="000000"/>
              <w:left w:val="single" w:sz="10" w:space="0" w:color="D3D3D3"/>
              <w:bottom w:val="single" w:sz="4" w:space="0" w:color="000000"/>
              <w:right w:val="single" w:sz="4" w:space="0" w:color="000000"/>
            </w:tcBorders>
          </w:tcPr>
          <w:p>
            <w:pPr>
              <w:pStyle w:val="TableParagraph"/>
              <w:spacing w:line="316" w:lineRule="auto" w:before="51"/>
              <w:ind w:left="27" w:right="20"/>
              <w:jc w:val="left"/>
              <w:rPr>
                <w:rFonts w:ascii="宋体" w:hAnsi="宋体" w:cs="宋体" w:eastAsia="宋体" w:hint="default"/>
                <w:sz w:val="18"/>
                <w:szCs w:val="18"/>
              </w:rPr>
            </w:pPr>
            <w:r>
              <w:rPr>
                <w:rFonts w:ascii="宋体" w:hAnsi="宋体" w:cs="宋体" w:eastAsia="宋体" w:hint="default"/>
                <w:spacing w:val="-4"/>
                <w:sz w:val="18"/>
                <w:szCs w:val="18"/>
              </w:rPr>
              <w:t>国有法人股东寿光晨鸣控股有限公司与上述股东之间不存在关联关系，也不属于《上</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市公司股东持股变动信息披露管理办法》中规定的一致行动人。除此之外，未知其 他流通股东是否属于一致行动人，也未知其他流通股股东之间是否存在关联关系。</w:t>
            </w:r>
          </w:p>
        </w:tc>
      </w:tr>
    </w:tbl>
    <w:p>
      <w:pPr>
        <w:pStyle w:val="BodyText"/>
        <w:spacing w:line="240" w:lineRule="auto" w:before="51"/>
        <w:ind w:right="147"/>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47"/>
        <w:jc w:val="left"/>
      </w:pPr>
      <w:r>
        <w:rPr/>
        <w:t>□ 是 √ 否</w:t>
      </w:r>
    </w:p>
    <w:p>
      <w:pPr>
        <w:pStyle w:val="BodyText"/>
        <w:spacing w:line="240" w:lineRule="auto" w:before="116"/>
        <w:ind w:right="147"/>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147"/>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法人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0"/>
        <w:gridCol w:w="1440"/>
        <w:gridCol w:w="1620"/>
        <w:gridCol w:w="1260"/>
        <w:gridCol w:w="1226"/>
        <w:gridCol w:w="1861"/>
      </w:tblGrid>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43" w:right="59"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78348518-9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对造纸、电力、热力、 林业项目的投资</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4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公司将继续致力于造纸、电力、热力和林业项目等的投资。</w:t>
            </w:r>
          </w:p>
        </w:tc>
      </w:tr>
      <w:tr>
        <w:trPr>
          <w:trHeight w:val="1026"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5"/>
                <w:sz w:val="18"/>
                <w:szCs w:val="18"/>
              </w:rPr>
              <w:t>经营成果、财务状况、现金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流等</w:t>
            </w:r>
          </w:p>
        </w:tc>
        <w:tc>
          <w:tcPr>
            <w:tcW w:w="74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年度，晨鸣控股实现营业收入人民币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亿元，营业成本人民币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日，晨鸣控股总资产为人民币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 </w:t>
            </w:r>
            <w:r>
              <w:rPr>
                <w:rFonts w:ascii="宋体" w:hAnsi="宋体" w:cs="宋体" w:eastAsia="宋体" w:hint="default"/>
                <w:sz w:val="18"/>
                <w:szCs w:val="18"/>
              </w:rPr>
              <w:t>亿元，总负债为人民币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439 </w:t>
            </w:r>
            <w:r>
              <w:rPr>
                <w:rFonts w:ascii="宋体" w:hAnsi="宋体" w:cs="宋体" w:eastAsia="宋体" w:hint="default"/>
                <w:sz w:val="18"/>
                <w:szCs w:val="18"/>
              </w:rPr>
              <w:t>亿元；经营活动产生的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现金流净额为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亿元（未经审计</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026"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4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2"/>
              <w:jc w:val="left"/>
              <w:rPr>
                <w:rFonts w:ascii="宋体" w:hAnsi="宋体" w:cs="宋体" w:eastAsia="宋体" w:hint="default"/>
                <w:sz w:val="18"/>
                <w:szCs w:val="18"/>
              </w:rPr>
            </w:pPr>
            <w:r>
              <w:rPr>
                <w:rFonts w:ascii="宋体" w:hAnsi="宋体" w:cs="宋体" w:eastAsia="宋体" w:hint="default"/>
                <w:sz w:val="18"/>
                <w:szCs w:val="18"/>
              </w:rPr>
              <w:t>寿光晨鸣控股有限公司持有本公司</w:t>
            </w:r>
            <w:r>
              <w:rPr>
                <w:rFonts w:ascii="宋体" w:hAnsi="宋体" w:cs="宋体" w:eastAsia="宋体" w:hint="default"/>
                <w:spacing w:val="-27"/>
                <w:sz w:val="18"/>
                <w:szCs w:val="18"/>
              </w:rPr>
              <w:t> </w:t>
            </w:r>
            <w:r>
              <w:rPr>
                <w:rFonts w:ascii="Times New Roman" w:hAnsi="Times New Roman" w:cs="Times New Roman" w:eastAsia="Times New Roman" w:hint="default"/>
                <w:spacing w:val="-4"/>
                <w:sz w:val="18"/>
                <w:szCs w:val="18"/>
              </w:rPr>
              <w:t>15.13%</w:t>
            </w:r>
            <w:r>
              <w:rPr>
                <w:rFonts w:ascii="宋体" w:hAnsi="宋体" w:cs="宋体" w:eastAsia="宋体" w:hint="default"/>
                <w:spacing w:val="-4"/>
                <w:sz w:val="18"/>
                <w:szCs w:val="18"/>
              </w:rPr>
              <w:t>的股权，除此之外，不存在控股和参股其他境内外上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市公司股权的情况。</w:t>
            </w:r>
          </w:p>
        </w:tc>
      </w:tr>
    </w:tbl>
    <w:p>
      <w:pPr>
        <w:pStyle w:val="BodyText"/>
        <w:spacing w:line="240" w:lineRule="auto" w:before="51"/>
        <w:ind w:right="147"/>
        <w:jc w:val="left"/>
      </w:pPr>
      <w:r>
        <w:rPr/>
        <w:t>控股股东报告期内变更</w:t>
      </w:r>
    </w:p>
    <w:p>
      <w:pPr>
        <w:pStyle w:val="BodyText"/>
        <w:spacing w:line="357" w:lineRule="auto" w:before="117"/>
        <w:ind w:right="7070"/>
        <w:jc w:val="left"/>
      </w:pPr>
      <w:r>
        <w:rPr/>
        <w:t>□ 适用 √ 不适用 公司报告期控股股东未发生变更。</w:t>
      </w:r>
    </w:p>
    <w:p>
      <w:pPr>
        <w:spacing w:line="240" w:lineRule="auto" w:before="13"/>
        <w:rPr>
          <w:rFonts w:ascii="宋体" w:hAnsi="宋体" w:cs="宋体" w:eastAsia="宋体" w:hint="default"/>
          <w:sz w:val="19"/>
          <w:szCs w:val="19"/>
        </w:rPr>
      </w:pPr>
    </w:p>
    <w:p>
      <w:pPr>
        <w:pStyle w:val="Heading4"/>
        <w:spacing w:line="240" w:lineRule="auto"/>
        <w:ind w:right="147"/>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法人</w:t>
      </w:r>
    </w:p>
    <w:p>
      <w:pPr>
        <w:spacing w:after="0" w:line="240" w:lineRule="auto"/>
        <w:jc w:val="lef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826"/>
        <w:gridCol w:w="1661"/>
        <w:gridCol w:w="1704"/>
        <w:gridCol w:w="1254"/>
        <w:gridCol w:w="1135"/>
        <w:gridCol w:w="2113"/>
      </w:tblGrid>
      <w:tr>
        <w:trPr>
          <w:trHeight w:val="714" w:hRule="exact"/>
        </w:trPr>
        <w:tc>
          <w:tcPr>
            <w:tcW w:w="18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645" w:right="78"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寿光市国有资产监督 管理办公室</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付心刚</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137078300401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7"/>
              <w:jc w:val="left"/>
              <w:rPr>
                <w:rFonts w:ascii="宋体" w:hAnsi="宋体" w:cs="宋体" w:eastAsia="宋体" w:hint="default"/>
                <w:sz w:val="18"/>
                <w:szCs w:val="18"/>
              </w:rPr>
            </w:pPr>
            <w:r>
              <w:rPr>
                <w:rFonts w:ascii="宋体" w:hAnsi="宋体" w:cs="宋体" w:eastAsia="宋体" w:hint="default"/>
                <w:sz w:val="18"/>
                <w:szCs w:val="18"/>
              </w:rPr>
              <w:t>负责全市企事业单位国有 资产管理及资本运营工作</w:t>
            </w:r>
          </w:p>
        </w:tc>
      </w:tr>
      <w:tr>
        <w:trPr>
          <w:trHeight w:val="714" w:hRule="exact"/>
        </w:trPr>
        <w:tc>
          <w:tcPr>
            <w:tcW w:w="34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6206"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3"/>
              <w:jc w:val="left"/>
              <w:rPr>
                <w:rFonts w:ascii="宋体" w:hAnsi="宋体" w:cs="宋体" w:eastAsia="宋体" w:hint="default"/>
                <w:sz w:val="18"/>
                <w:szCs w:val="18"/>
              </w:rPr>
            </w:pPr>
            <w:r>
              <w:rPr>
                <w:rFonts w:ascii="宋体" w:hAnsi="宋体" w:cs="宋体" w:eastAsia="宋体" w:hint="default"/>
                <w:sz w:val="18"/>
                <w:szCs w:val="18"/>
              </w:rPr>
              <w:t>寿光市国有资产监督管理办公室负责全市企事业单位国有资产管理及资本运 营，致力于国有资产的保值、增值。</w:t>
            </w:r>
          </w:p>
        </w:tc>
      </w:tr>
      <w:tr>
        <w:trPr>
          <w:trHeight w:val="402" w:hRule="exact"/>
        </w:trPr>
        <w:tc>
          <w:tcPr>
            <w:tcW w:w="34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经营成果、财务状况、现金流等</w:t>
            </w:r>
          </w:p>
        </w:tc>
        <w:tc>
          <w:tcPr>
            <w:tcW w:w="62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4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实际控制人报告期内控制的其他境内外上市 公司的股权情况</w:t>
            </w:r>
          </w:p>
        </w:tc>
        <w:tc>
          <w:tcPr>
            <w:tcW w:w="6206"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除本公司外，寿光市国有资产监督管理办公室不存在控制的其他境内外上市公 司的股权情况。</w:t>
            </w:r>
          </w:p>
        </w:tc>
      </w:tr>
    </w:tbl>
    <w:p>
      <w:pPr>
        <w:pStyle w:val="BodyText"/>
        <w:spacing w:line="240" w:lineRule="auto" w:before="51"/>
        <w:ind w:right="147"/>
        <w:jc w:val="left"/>
      </w:pPr>
      <w:r>
        <w:rPr/>
        <w:t>实际控制人报告期内变更</w:t>
      </w:r>
    </w:p>
    <w:p>
      <w:pPr>
        <w:pStyle w:val="BodyText"/>
        <w:spacing w:line="360" w:lineRule="auto" w:before="117"/>
        <w:ind w:right="5810"/>
        <w:jc w:val="left"/>
      </w:pPr>
      <w:r>
        <w:rPr/>
        <w:t>□ 适用 √ 不适用 公司报告期实际控制人未发生变更。 公司与实际控制人之间的产权及控制关系的方框图</w:t>
      </w:r>
    </w:p>
    <w:p>
      <w:pPr>
        <w:spacing w:line="240" w:lineRule="auto" w:before="1"/>
        <w:rPr>
          <w:rFonts w:ascii="宋体" w:hAnsi="宋体" w:cs="宋体" w:eastAsia="宋体" w:hint="default"/>
          <w:sz w:val="21"/>
          <w:szCs w:val="21"/>
        </w:rPr>
      </w:pPr>
    </w:p>
    <w:p>
      <w:pPr>
        <w:spacing w:line="5097" w:lineRule="exact"/>
        <w:ind w:left="2165" w:right="0" w:firstLine="0"/>
        <w:rPr>
          <w:rFonts w:ascii="宋体" w:hAnsi="宋体" w:cs="宋体" w:eastAsia="宋体" w:hint="default"/>
          <w:sz w:val="20"/>
          <w:szCs w:val="20"/>
        </w:rPr>
      </w:pPr>
      <w:r>
        <w:rPr>
          <w:rFonts w:ascii="宋体" w:hAnsi="宋体" w:cs="宋体" w:eastAsia="宋体" w:hint="default"/>
          <w:position w:val="-101"/>
          <w:sz w:val="20"/>
          <w:szCs w:val="20"/>
        </w:rPr>
        <w:drawing>
          <wp:inline distT="0" distB="0" distL="0" distR="0">
            <wp:extent cx="3562958" cy="323697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3562958" cy="3236976"/>
                    </a:xfrm>
                    <a:prstGeom prst="rect">
                      <a:avLst/>
                    </a:prstGeom>
                  </pic:spPr>
                </pic:pic>
              </a:graphicData>
            </a:graphic>
          </wp:inline>
        </w:drawing>
      </w:r>
      <w:r>
        <w:rPr>
          <w:rFonts w:ascii="宋体" w:hAnsi="宋体" w:cs="宋体" w:eastAsia="宋体" w:hint="default"/>
          <w:position w:val="-101"/>
          <w:sz w:val="20"/>
          <w:szCs w:val="20"/>
        </w:rPr>
      </w:r>
    </w:p>
    <w:p>
      <w:pPr>
        <w:spacing w:line="240" w:lineRule="auto" w:before="3"/>
        <w:rPr>
          <w:rFonts w:ascii="宋体" w:hAnsi="宋体" w:cs="宋体" w:eastAsia="宋体" w:hint="default"/>
          <w:sz w:val="24"/>
          <w:szCs w:val="24"/>
        </w:rPr>
      </w:pPr>
    </w:p>
    <w:p>
      <w:pPr>
        <w:pStyle w:val="BodyText"/>
        <w:spacing w:line="240" w:lineRule="auto"/>
        <w:ind w:right="147"/>
        <w:jc w:val="left"/>
      </w:pPr>
      <w:r>
        <w:rPr/>
        <w:t>实际控制人通过信托或其他资产管理方式控制公司</w:t>
      </w:r>
    </w:p>
    <w:p>
      <w:pPr>
        <w:pStyle w:val="BodyText"/>
        <w:spacing w:line="240" w:lineRule="auto" w:before="116"/>
        <w:ind w:right="147"/>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147"/>
        <w:jc w:val="left"/>
        <w:rPr>
          <w:b w:val="0"/>
          <w:bCs w:val="0"/>
        </w:rPr>
      </w:pPr>
      <w:r>
        <w:rPr>
          <w:rFonts w:ascii="Times New Roman" w:hAnsi="Times New Roman" w:cs="Times New Roman" w:eastAsia="Times New Roman" w:hint="default"/>
        </w:rPr>
        <w:t>4</w:t>
      </w:r>
      <w:r>
        <w:rPr/>
        <w:t>、其他持股在</w:t>
      </w:r>
      <w:r>
        <w:rPr>
          <w:spacing w:val="-61"/>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47"/>
        <w:jc w:val="left"/>
        <w:rPr>
          <w:b w:val="0"/>
          <w:bCs w:val="0"/>
        </w:rPr>
      </w:pPr>
      <w:r>
        <w:rPr/>
        <w:t>四、公司股东及其一致行动人在报告期提出或实施股份增持计划的情况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2750"/>
        <w:jc w:val="left"/>
      </w:pPr>
      <w:r>
        <w:rPr/>
        <w:t>□ 适用 √ 不适用 在公司所知的范围内，没有公司股东及其一致行动人在报告期提出或实施股份增持计划。</w:t>
      </w:r>
    </w:p>
    <w:p>
      <w:pPr>
        <w:spacing w:after="0" w:line="360" w:lineRule="auto"/>
        <w:jc w:val="left"/>
        <w:sectPr>
          <w:footerReference w:type="default" r:id="rId15"/>
          <w:pgSz w:w="11910" w:h="16840"/>
          <w:pgMar w:footer="982" w:header="747" w:top="1060" w:bottom="1180" w:left="980" w:right="980"/>
          <w:pgNumType w:start="5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82"/>
        <w:jc w:val="left"/>
        <w:rPr>
          <w:b w:val="0"/>
          <w:bCs w:val="0"/>
        </w:rPr>
      </w:pPr>
      <w:bookmarkStart w:name="_bookmark7" w:id="8"/>
      <w:bookmarkEnd w:id="8"/>
      <w:r>
        <w:rPr>
          <w:b w:val="0"/>
          <w:bCs w:val="0"/>
        </w:rPr>
      </w:r>
      <w:r>
        <w:rPr/>
        <w:t>第八节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274" w:right="182"/>
        <w:jc w:val="left"/>
        <w:rPr>
          <w:b w:val="0"/>
          <w:bCs w:val="0"/>
        </w:rPr>
      </w:pPr>
      <w:r>
        <w:rPr/>
        <w:t>非公开发行优先股情况说明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182"/>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日，公司第七届董事会第五次临时会议审议通过了《关于非公开发行优先股方案的议案》等相关议案。</w:t>
      </w:r>
    </w:p>
    <w:p>
      <w:pPr>
        <w:pStyle w:val="BodyText"/>
        <w:spacing w:line="300" w:lineRule="auto" w:before="62"/>
        <w:ind w:right="182" w:firstLine="360"/>
        <w:jc w:val="left"/>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11</w:t>
      </w:r>
      <w:r>
        <w:rPr>
          <w:spacing w:val="-4"/>
        </w:rPr>
        <w:t>日，公司取得山东省国资委《关于山东晨鸣纸业集团股份有限公司非公开发行优先股有关问题的批复》（鲁</w:t>
      </w:r>
      <w:r>
        <w:rPr/>
        <w:t> 国资产权字</w:t>
      </w:r>
      <w:r>
        <w:rPr>
          <w:rFonts w:ascii="Times New Roman" w:hAnsi="Times New Roman" w:cs="Times New Roman" w:eastAsia="Times New Roman" w:hint="default"/>
        </w:rPr>
        <w:t>[2015]4</w:t>
      </w:r>
      <w:r>
        <w:rPr/>
        <w:t>号），同意公司非公开发行不超过</w:t>
      </w:r>
      <w:r>
        <w:rPr>
          <w:rFonts w:ascii="Times New Roman" w:hAnsi="Times New Roman" w:cs="Times New Roman" w:eastAsia="Times New Roman" w:hint="default"/>
        </w:rPr>
        <w:t>4500</w:t>
      </w:r>
      <w:r>
        <w:rPr/>
        <w:t>万股优先股方案。</w:t>
      </w:r>
    </w:p>
    <w:p>
      <w:pPr>
        <w:pStyle w:val="BodyText"/>
        <w:spacing w:line="300" w:lineRule="auto" w:before="13"/>
        <w:ind w:left="153" w:right="182"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日，公司召开</w:t>
      </w:r>
      <w:r>
        <w:rPr>
          <w:rFonts w:ascii="Times New Roman" w:hAnsi="Times New Roman" w:cs="Times New Roman" w:eastAsia="Times New Roman" w:hint="default"/>
          <w:spacing w:val="-2"/>
        </w:rPr>
        <w:t>2015</w:t>
      </w:r>
      <w:r>
        <w:rPr>
          <w:spacing w:val="-2"/>
        </w:rPr>
        <w:t>年第一次临时股东大会和</w:t>
      </w:r>
      <w:r>
        <w:rPr>
          <w:rFonts w:ascii="Times New Roman" w:hAnsi="Times New Roman" w:cs="Times New Roman" w:eastAsia="Times New Roman" w:hint="default"/>
          <w:spacing w:val="-2"/>
        </w:rPr>
        <w:t>2015</w:t>
      </w:r>
      <w:r>
        <w:rPr>
          <w:spacing w:val="-2"/>
        </w:rPr>
        <w:t>年第一次境内上市股份（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B</w:t>
      </w:r>
      <w:r>
        <w:rPr>
          <w:spacing w:val="-2"/>
        </w:rPr>
        <w:t>股）类别股东大会、境外</w:t>
      </w:r>
      <w:r>
        <w:rPr/>
        <w:t> 上市股份（</w:t>
      </w:r>
      <w:r>
        <w:rPr>
          <w:rFonts w:ascii="Times New Roman" w:hAnsi="Times New Roman" w:cs="Times New Roman" w:eastAsia="Times New Roman" w:hint="default"/>
        </w:rPr>
        <w:t>H</w:t>
      </w:r>
      <w:r>
        <w:rPr/>
        <w:t>股）类别股东大会，分别审议通过了《关于非公开发行优先股方案的议案》等相关议案。</w:t>
      </w:r>
    </w:p>
    <w:p>
      <w:pPr>
        <w:pStyle w:val="BodyText"/>
        <w:spacing w:line="300" w:lineRule="auto" w:before="13"/>
        <w:ind w:left="153" w:right="89" w:firstLine="30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日，公司收到中国证券监督管理委员会（以下简称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）《中国证监会行政许可申请受理通知书》 </w:t>
      </w:r>
      <w:r>
        <w:rPr>
          <w:rFonts w:ascii="Times New Roman" w:hAnsi="Times New Roman" w:cs="Times New Roman" w:eastAsia="Times New Roman" w:hint="default"/>
          <w:spacing w:val="-2"/>
        </w:rPr>
        <w:t>(150373</w:t>
      </w:r>
      <w:r>
        <w:rPr>
          <w:spacing w:val="-2"/>
        </w:rPr>
        <w:t>号</w:t>
      </w:r>
      <w:r>
        <w:rPr>
          <w:rFonts w:ascii="Times New Roman" w:hAnsi="Times New Roman" w:cs="Times New Roman" w:eastAsia="Times New Roman" w:hint="default"/>
          <w:spacing w:val="-2"/>
        </w:rPr>
        <w:t>)</w:t>
      </w:r>
      <w:r>
        <w:rPr>
          <w:spacing w:val="-2"/>
        </w:rPr>
        <w:t>，中国证监会依法对公司提交的《上市公司发行优先股核准》行政许可申请材料进行了审查，认为申请材料齐全，</w:t>
      </w:r>
      <w:r>
        <w:rPr>
          <w:spacing w:val="-84"/>
        </w:rPr>
        <w:t> </w:t>
      </w:r>
      <w:r>
        <w:rPr>
          <w:spacing w:val="-84"/>
        </w:rPr>
      </w:r>
      <w:r>
        <w:rPr/>
        <w:t>符合法定形式，决定对该行政许可申请予以受理。</w:t>
      </w:r>
    </w:p>
    <w:p>
      <w:pPr>
        <w:pStyle w:val="BodyText"/>
        <w:spacing w:line="240" w:lineRule="auto" w:before="31"/>
        <w:ind w:left="454" w:right="182"/>
        <w:jc w:val="left"/>
      </w:pPr>
      <w:r>
        <w:rPr/>
        <w:t>截至本报告披露日，尚未收到中国证监会的有关批复，公司将根据中国证监会的审批情况，及时履行信息披露义务。</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680" w:right="147"/>
        <w:jc w:val="left"/>
        <w:rPr>
          <w:b w:val="0"/>
          <w:bCs w:val="0"/>
        </w:rPr>
      </w:pPr>
      <w:bookmarkStart w:name="_bookmark8" w:id="9"/>
      <w:bookmarkEnd w:id="9"/>
      <w:r>
        <w:rPr>
          <w:b w:val="0"/>
          <w:bCs w:val="0"/>
        </w:rPr>
      </w:r>
      <w:r>
        <w:rPr/>
        <w:t>第九节</w:t>
      </w:r>
      <w:r>
        <w:rPr>
          <w:spacing w:val="-16"/>
        </w:rPr>
        <w:t> </w:t>
      </w:r>
      <w:r>
        <w:rPr/>
        <w:t>董事、监事、高级管理人员和员工情况</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47"/>
        <w:jc w:val="left"/>
        <w:rPr>
          <w:b w:val="0"/>
          <w:bCs w:val="0"/>
        </w:rPr>
      </w:pP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877"/>
        <w:gridCol w:w="882"/>
        <w:gridCol w:w="882"/>
        <w:gridCol w:w="882"/>
        <w:gridCol w:w="882"/>
        <w:gridCol w:w="881"/>
        <w:gridCol w:w="882"/>
        <w:gridCol w:w="882"/>
        <w:gridCol w:w="882"/>
        <w:gridCol w:w="882"/>
        <w:gridCol w:w="880"/>
      </w:tblGrid>
      <w:tr>
        <w:trPr>
          <w:trHeight w:val="1026" w:hRule="exact"/>
        </w:trPr>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55" w:right="7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75" w:right="74"/>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4"/>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6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74" w:right="7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5"/>
                <w:sz w:val="18"/>
                <w:szCs w:val="18"/>
              </w:rPr>
              <w:t>董事长、总</w:t>
            </w:r>
            <w:r>
              <w:rPr>
                <w:rFonts w:ascii="宋体" w:hAnsi="宋体" w:cs="宋体" w:eastAsia="宋体" w:hint="default"/>
                <w:sz w:val="18"/>
                <w:szCs w:val="18"/>
              </w:rPr>
              <w:t> 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6,334,527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6,434,527</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2,423,640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2,423,640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  峰</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5"/>
                <w:sz w:val="18"/>
                <w:szCs w:val="18"/>
              </w:rPr>
              <w:t>董事、副总</w:t>
            </w:r>
            <w:r>
              <w:rPr>
                <w:rFonts w:ascii="宋体" w:hAnsi="宋体" w:cs="宋体" w:eastAsia="宋体" w:hint="default"/>
                <w:sz w:val="18"/>
                <w:szCs w:val="18"/>
              </w:rPr>
              <w:t> 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471,818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471,818</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5"/>
                <w:sz w:val="18"/>
                <w:szCs w:val="18"/>
              </w:rPr>
              <w:t>董事、副总</w:t>
            </w:r>
            <w:r>
              <w:rPr>
                <w:rFonts w:ascii="宋体" w:hAnsi="宋体" w:cs="宋体" w:eastAsia="宋体" w:hint="default"/>
                <w:sz w:val="18"/>
                <w:szCs w:val="18"/>
              </w:rPr>
              <w:t> 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437,433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437,433</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628,915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628,915</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5"/>
                <w:sz w:val="18"/>
                <w:szCs w:val="18"/>
              </w:rPr>
              <w:t>董事、副总</w:t>
            </w:r>
            <w:r>
              <w:rPr>
                <w:rFonts w:ascii="宋体" w:hAnsi="宋体" w:cs="宋体" w:eastAsia="宋体" w:hint="default"/>
                <w:sz w:val="18"/>
                <w:szCs w:val="18"/>
              </w:rPr>
              <w:t> 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123,007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123,007</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崔友平</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39,606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39,606</w:t>
            </w:r>
          </w:p>
        </w:tc>
      </w:tr>
      <w:tr>
        <w:trPr>
          <w:trHeight w:val="715"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  菊</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877"/>
        <w:gridCol w:w="882"/>
        <w:gridCol w:w="882"/>
        <w:gridCol w:w="882"/>
        <w:gridCol w:w="882"/>
        <w:gridCol w:w="881"/>
        <w:gridCol w:w="882"/>
        <w:gridCol w:w="882"/>
        <w:gridCol w:w="882"/>
        <w:gridCol w:w="882"/>
        <w:gridCol w:w="880"/>
      </w:tblGrid>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47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尹启祥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77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郭光耀</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72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李雪芹</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49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429,348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429,348</w:t>
            </w:r>
          </w:p>
        </w:tc>
      </w:tr>
      <w:tr>
        <w:trPr>
          <w:trHeight w:val="1026"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王春方</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5"/>
                <w:sz w:val="18"/>
                <w:szCs w:val="18"/>
              </w:rPr>
              <w:t>书、副总经</w:t>
            </w:r>
            <w:r>
              <w:rPr>
                <w:rFonts w:ascii="宋体" w:hAnsi="宋体" w:cs="宋体" w:eastAsia="宋体" w:hint="default"/>
                <w:sz w:val="18"/>
                <w:szCs w:val="18"/>
              </w:rPr>
              <w:t> 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4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39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胡长青</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49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1,238</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邵震中</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54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常立亭</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61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李振中</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41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潘兆昌</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公司秘书 合资格会 计师</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5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4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45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76" w:right="0"/>
              <w:jc w:val="left"/>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76" w:right="0"/>
              <w:jc w:val="left"/>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11,019,532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11,119,532</w:t>
            </w:r>
          </w:p>
        </w:tc>
      </w:tr>
    </w:tbl>
    <w:p>
      <w:pPr>
        <w:spacing w:line="240" w:lineRule="auto" w:before="2"/>
        <w:rPr>
          <w:rFonts w:ascii="宋体" w:hAnsi="宋体" w:cs="宋体" w:eastAsia="宋体" w:hint="default"/>
          <w:b/>
          <w:bCs/>
          <w:sz w:val="18"/>
          <w:szCs w:val="18"/>
        </w:rPr>
      </w:pPr>
    </w:p>
    <w:p>
      <w:pPr>
        <w:pStyle w:val="Heading2"/>
        <w:spacing w:line="240" w:lineRule="auto" w:before="26"/>
        <w:ind w:right="182"/>
        <w:jc w:val="left"/>
        <w:rPr>
          <w:b w:val="0"/>
          <w:bCs w:val="0"/>
        </w:rPr>
      </w:pPr>
      <w:r>
        <w:rPr/>
        <w:pict>
          <v:group style="position:absolute;margin-left:143.520004pt;margin-top:-83.244064pt;width:43.65pt;height:15.6pt;mso-position-horizontal-relative:page;mso-position-vertical-relative:paragraph;z-index:-1129360" coordorigin="2870,-1665" coordsize="873,312">
            <v:shape style="position:absolute;left:2870;top:-1665;width:873;height:312" coordorigin="2870,-1665" coordsize="873,312" path="m2870,-1353l3743,-1353,3743,-1665,2870,-1665,2870,-1353xe" filled="true" fillcolor="#ffffff" stroked="false">
              <v:path arrowok="t"/>
              <v:fill type="solid"/>
            </v:shape>
            <w10:wrap type="none"/>
          </v:group>
        </w:pict>
      </w: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2"/>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Heading5"/>
        <w:spacing w:line="240" w:lineRule="auto" w:before="102"/>
        <w:ind w:left="576" w:right="182"/>
        <w:jc w:val="left"/>
        <w:rPr>
          <w:b w:val="0"/>
          <w:bCs w:val="0"/>
        </w:rPr>
      </w:pPr>
      <w:r>
        <w:rPr>
          <w:rFonts w:ascii="Times New Roman" w:hAnsi="Times New Roman" w:cs="Times New Roman" w:eastAsia="Times New Roman" w:hint="default"/>
        </w:rPr>
        <w:t>1</w:t>
      </w:r>
      <w:r>
        <w:rPr/>
        <w:t>、公司董事简介</w:t>
      </w:r>
      <w:r>
        <w:rPr>
          <w:b w:val="0"/>
          <w:bCs w:val="0"/>
        </w:rPr>
      </w:r>
    </w:p>
    <w:p>
      <w:pPr>
        <w:pStyle w:val="BodyText"/>
        <w:spacing w:line="300" w:lineRule="auto" w:before="62"/>
        <w:ind w:left="514" w:right="182" w:firstLine="6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）执行董事简介</w:t>
      </w:r>
      <w:r>
        <w:rPr>
          <w:rFonts w:ascii="宋体" w:hAnsi="宋体" w:cs="宋体" w:eastAsia="宋体" w:hint="default"/>
          <w:b/>
          <w:bCs/>
          <w:w w:val="99"/>
        </w:rPr>
        <w:t> </w:t>
      </w:r>
      <w:r>
        <w:rPr>
          <w:spacing w:val="-2"/>
        </w:rPr>
        <w:t>陈洪国先生，</w:t>
      </w:r>
      <w:r>
        <w:rPr>
          <w:rFonts w:ascii="Times New Roman" w:hAnsi="Times New Roman" w:cs="Times New Roman" w:eastAsia="Times New Roman" w:hint="default"/>
          <w:spacing w:val="-2"/>
        </w:rPr>
        <w:t>1987</w:t>
      </w:r>
      <w:r>
        <w:rPr>
          <w:spacing w:val="-2"/>
        </w:rPr>
        <w:t>年加入本公司，历任车间主任、分厂厂长、副总经理、公司董事、武汉晨鸣汉阳纸业股份有限公司董</w:t>
      </w:r>
    </w:p>
    <w:p>
      <w:pPr>
        <w:pStyle w:val="BodyText"/>
        <w:spacing w:line="316" w:lineRule="auto" w:before="13"/>
        <w:ind w:left="514" w:right="91" w:hanging="360"/>
        <w:jc w:val="left"/>
      </w:pPr>
      <w:r>
        <w:rPr>
          <w:spacing w:val="-4"/>
        </w:rPr>
        <w:t>事长等职务，现任本公司董事长兼总经理，寿光晨鸣控股有限公司董事长。陈洪国先生为本公司副总经理李雪芹女士的配偶。</w:t>
      </w:r>
      <w:r>
        <w:rPr>
          <w:spacing w:val="-44"/>
        </w:rPr>
        <w:t> </w:t>
      </w:r>
      <w:r>
        <w:rPr>
          <w:spacing w:val="-44"/>
        </w:rPr>
      </w:r>
      <w:r>
        <w:rPr>
          <w:spacing w:val="-2"/>
        </w:rPr>
        <w:t>尹同远先生，</w:t>
      </w:r>
      <w:r>
        <w:rPr>
          <w:rFonts w:ascii="Times New Roman" w:hAnsi="Times New Roman" w:cs="Times New Roman" w:eastAsia="Times New Roman" w:hint="default"/>
          <w:spacing w:val="-2"/>
        </w:rPr>
        <w:t>1982</w:t>
      </w:r>
      <w:r>
        <w:rPr>
          <w:spacing w:val="-2"/>
        </w:rPr>
        <w:t>年加入本公司，历任车间主任、技术处长、副厂长、常务副厂长、总经理等职务，现任本公司副董事</w:t>
      </w:r>
    </w:p>
    <w:p>
      <w:pPr>
        <w:pStyle w:val="BodyText"/>
        <w:spacing w:line="235" w:lineRule="exact"/>
        <w:ind w:right="182"/>
        <w:jc w:val="left"/>
      </w:pPr>
      <w:r>
        <w:rPr/>
        <w:t>长、寿光晨鸣控股有限公司董事。</w:t>
      </w:r>
    </w:p>
    <w:p>
      <w:pPr>
        <w:pStyle w:val="BodyText"/>
        <w:spacing w:line="300" w:lineRule="auto" w:before="76"/>
        <w:ind w:right="100" w:firstLine="359"/>
        <w:jc w:val="both"/>
      </w:pPr>
      <w:r>
        <w:rPr/>
        <w:t>李</w:t>
      </w:r>
      <w:r>
        <w:rPr>
          <w:spacing w:val="72"/>
        </w:rPr>
        <w:t> </w:t>
      </w:r>
      <w:r>
        <w:rPr>
          <w:spacing w:val="-3"/>
        </w:rPr>
        <w:t>峰先生，</w:t>
      </w:r>
      <w:r>
        <w:rPr>
          <w:rFonts w:ascii="Times New Roman" w:hAnsi="Times New Roman" w:cs="Times New Roman" w:eastAsia="Times New Roman" w:hint="default"/>
          <w:spacing w:val="-3"/>
        </w:rPr>
        <w:t>1992</w:t>
      </w:r>
      <w:r>
        <w:rPr>
          <w:spacing w:val="-3"/>
        </w:rPr>
        <w:t>年加入本公司，历任公司车间主任、总经理助理，武汉晨鸣汉阳纸业股份有限公司副总经理、董事长，</w:t>
      </w:r>
      <w:r>
        <w:rPr/>
        <w:t> 现任本公司执行董事、副总经理，分管武汉晨鸣工作。李峰先生为本公司副总经理李雪芹女士的弟弟。</w:t>
      </w:r>
    </w:p>
    <w:p>
      <w:pPr>
        <w:pStyle w:val="BodyText"/>
        <w:spacing w:line="309" w:lineRule="auto" w:before="31"/>
        <w:ind w:right="189" w:firstLine="360"/>
        <w:jc w:val="both"/>
      </w:pPr>
      <w:r>
        <w:rPr>
          <w:spacing w:val="-2"/>
        </w:rPr>
        <w:t>耿光林先生，</w:t>
      </w:r>
      <w:r>
        <w:rPr>
          <w:rFonts w:ascii="Times New Roman" w:hAnsi="Times New Roman" w:cs="Times New Roman" w:eastAsia="Times New Roman" w:hint="default"/>
          <w:spacing w:val="-2"/>
        </w:rPr>
        <w:t>1992</w:t>
      </w:r>
      <w:r>
        <w:rPr>
          <w:spacing w:val="-2"/>
        </w:rPr>
        <w:t>年加入本公司，历任本公司车间主任、武汉晨鸣汉阳纸业股份有限公司董事长、吉林晨鸣纸业有限责</w:t>
      </w:r>
      <w:r>
        <w:rPr/>
        <w:t> </w:t>
      </w:r>
      <w:r>
        <w:rPr>
          <w:spacing w:val="-2"/>
        </w:rPr>
        <w:t>任公司董事长、江西晨鸣纸业有限责任公司董事长等职务，现任公司董事、副总经理，寿光晨鸣控股有限公司董事，分管寿</w:t>
      </w:r>
      <w:r>
        <w:rPr>
          <w:spacing w:val="-66"/>
        </w:rPr>
        <w:t> </w:t>
      </w:r>
      <w:r>
        <w:rPr>
          <w:spacing w:val="-66"/>
        </w:rPr>
      </w:r>
      <w:r>
        <w:rPr/>
        <w:t>光晨鸣工作。</w:t>
      </w:r>
    </w:p>
    <w:p>
      <w:pPr>
        <w:pStyle w:val="BodyText"/>
        <w:spacing w:line="300" w:lineRule="auto" w:before="24"/>
        <w:ind w:right="190" w:firstLine="360"/>
        <w:jc w:val="both"/>
      </w:pPr>
      <w:r>
        <w:rPr>
          <w:spacing w:val="-2"/>
        </w:rPr>
        <w:t>周少华先生，</w:t>
      </w:r>
      <w:r>
        <w:rPr>
          <w:rFonts w:ascii="Times New Roman" w:hAnsi="Times New Roman" w:cs="Times New Roman" w:eastAsia="Times New Roman" w:hint="default"/>
          <w:spacing w:val="-2"/>
        </w:rPr>
        <w:t>1997</w:t>
      </w:r>
      <w:r>
        <w:rPr>
          <w:spacing w:val="-2"/>
        </w:rPr>
        <w:t>年加入公司，历任武汉晨鸣汉阳纸业股份有限公司常务副总经理、总工程师、副董事长，江西晨鸣纸</w:t>
      </w:r>
      <w:r>
        <w:rPr/>
        <w:t> 业有限责任公司董事长，现任本公司董事、副总经理。</w:t>
      </w:r>
    </w:p>
    <w:p>
      <w:pPr>
        <w:pStyle w:val="BodyText"/>
        <w:spacing w:line="240" w:lineRule="auto" w:before="31"/>
        <w:ind w:left="514" w:right="0"/>
        <w:jc w:val="left"/>
      </w:pPr>
      <w:r>
        <w:rPr/>
        <w:t>侯焕才先生，</w:t>
      </w:r>
      <w:r>
        <w:rPr>
          <w:rFonts w:ascii="Times New Roman" w:hAnsi="Times New Roman" w:cs="Times New Roman" w:eastAsia="Times New Roman" w:hint="default"/>
        </w:rPr>
        <w:t>1983</w:t>
      </w:r>
      <w:r>
        <w:rPr/>
        <w:t>年加入本公司，历任车间主任、分厂厂长、吉林晨鸣纸业有限公司董事长、江西晨鸣纸业有限责任公</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182"/>
        <w:jc w:val="left"/>
      </w:pPr>
      <w:r>
        <w:rPr/>
        <w:t>司董事长、第一届和第二届监事会主席。现任本公司董事，分管湛江晨鸣工作。</w:t>
      </w:r>
    </w:p>
    <w:p>
      <w:pPr>
        <w:pStyle w:val="BodyText"/>
        <w:spacing w:line="300" w:lineRule="auto" w:before="76"/>
        <w:ind w:left="513" w:right="182" w:firstLine="6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）公司非执行董事简介</w:t>
      </w:r>
      <w:r>
        <w:rPr>
          <w:rFonts w:ascii="宋体" w:hAnsi="宋体" w:cs="宋体" w:eastAsia="宋体" w:hint="default"/>
          <w:b/>
          <w:bCs/>
          <w:spacing w:val="1"/>
          <w:w w:val="99"/>
        </w:rPr>
        <w:t> </w:t>
      </w:r>
      <w:r>
        <w:rPr>
          <w:spacing w:val="-2"/>
        </w:rPr>
        <w:t>杨桂花女士，</w:t>
      </w:r>
      <w:r>
        <w:rPr>
          <w:rFonts w:ascii="Times New Roman" w:hAnsi="Times New Roman" w:cs="Times New Roman" w:eastAsia="Times New Roman" w:hint="default"/>
          <w:spacing w:val="-2"/>
        </w:rPr>
        <w:t>49</w:t>
      </w:r>
      <w:r>
        <w:rPr>
          <w:spacing w:val="-2"/>
        </w:rPr>
        <w:t>岁，博士学位，曾任济南高级薄页纸厂技术员、齐鲁工业大学轻化与环境工程学院教师，教育部重点实</w:t>
      </w:r>
    </w:p>
    <w:p>
      <w:pPr>
        <w:pStyle w:val="BodyText"/>
        <w:spacing w:line="309" w:lineRule="auto" w:before="13"/>
        <w:ind w:left="153" w:right="100"/>
        <w:jc w:val="both"/>
      </w:pPr>
      <w:r>
        <w:rPr/>
        <w:t>验室</w:t>
      </w:r>
      <w:r>
        <w:rPr>
          <w:rFonts w:ascii="Times New Roman" w:hAnsi="Times New Roman" w:cs="Times New Roman" w:eastAsia="Times New Roman" w:hint="default"/>
        </w:rPr>
        <w:t>“</w:t>
      </w:r>
      <w:r>
        <w:rPr/>
        <w:t>制浆造纸绿色化学技术与生物质资源化利用</w:t>
      </w:r>
      <w:r>
        <w:rPr>
          <w:rFonts w:ascii="Times New Roman" w:hAnsi="Times New Roman" w:cs="Times New Roman" w:eastAsia="Times New Roman" w:hint="default"/>
        </w:rPr>
        <w:t>”</w:t>
      </w:r>
      <w:r>
        <w:rPr/>
        <w:t>方向带头人。现为齐鲁工业大学教授，</w:t>
      </w:r>
      <w:r>
        <w:rPr>
          <w:rFonts w:ascii="Times New Roman" w:hAnsi="Times New Roman" w:cs="Times New Roman" w:eastAsia="Times New Roman" w:hint="default"/>
        </w:rPr>
        <w:t>“</w:t>
      </w:r>
      <w:r>
        <w:rPr/>
        <w:t>百千万人才工程</w:t>
      </w:r>
      <w:r>
        <w:rPr>
          <w:rFonts w:ascii="Times New Roman" w:hAnsi="Times New Roman" w:cs="Times New Roman" w:eastAsia="Times New Roman" w:hint="default"/>
        </w:rPr>
        <w:t>”</w:t>
      </w:r>
      <w:r>
        <w:rPr/>
        <w:t>国家级人选，国 </w:t>
      </w:r>
      <w:r>
        <w:rPr>
          <w:spacing w:val="-2"/>
        </w:rPr>
        <w:t>家有突出贡献中青年专家，国务院特殊津贴专家，山东省高等学校首席专家，济南市第十批专业技术拔尖人才，山东造纸学</w:t>
      </w:r>
      <w:r>
        <w:rPr>
          <w:spacing w:val="-66"/>
        </w:rPr>
        <w:t> </w:t>
      </w:r>
      <w:r>
        <w:rPr>
          <w:spacing w:val="-66"/>
        </w:rPr>
      </w:r>
      <w:r>
        <w:rPr>
          <w:spacing w:val="-2"/>
        </w:rPr>
        <w:t>会常务理事，中国造纸学会会员，美国化学学会会员，中国林学会林产化工分会会员。</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月开始任本公司非执行董事。</w:t>
      </w:r>
    </w:p>
    <w:p>
      <w:pPr>
        <w:pStyle w:val="BodyText"/>
        <w:spacing w:line="300" w:lineRule="auto" w:before="5"/>
        <w:ind w:left="153" w:right="191" w:firstLine="359"/>
        <w:jc w:val="both"/>
      </w:pPr>
      <w:r>
        <w:rPr>
          <w:spacing w:val="-2"/>
        </w:rPr>
        <w:t>王效群先生，</w:t>
      </w:r>
      <w:r>
        <w:rPr>
          <w:rFonts w:ascii="Times New Roman" w:hAnsi="Times New Roman" w:cs="Times New Roman" w:eastAsia="Times New Roman" w:hint="default"/>
          <w:spacing w:val="-2"/>
        </w:rPr>
        <w:t>1984</w:t>
      </w:r>
      <w:r>
        <w:rPr>
          <w:spacing w:val="-2"/>
        </w:rPr>
        <w:t>年至</w:t>
      </w:r>
      <w:r>
        <w:rPr>
          <w:rFonts w:ascii="Times New Roman" w:hAnsi="Times New Roman" w:cs="Times New Roman" w:eastAsia="Times New Roman" w:hint="default"/>
          <w:spacing w:val="-2"/>
        </w:rPr>
        <w:t>1988</w:t>
      </w:r>
      <w:r>
        <w:rPr>
          <w:spacing w:val="-2"/>
        </w:rPr>
        <w:t>年任寿光市财政局企财科科长，</w:t>
      </w:r>
      <w:r>
        <w:rPr>
          <w:rFonts w:ascii="Times New Roman" w:hAnsi="Times New Roman" w:cs="Times New Roman" w:eastAsia="Times New Roman" w:hint="default"/>
          <w:spacing w:val="-2"/>
        </w:rPr>
        <w:t>1989</w:t>
      </w:r>
      <w:r>
        <w:rPr>
          <w:spacing w:val="-2"/>
        </w:rPr>
        <w:t>年至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月任寿光市国有资产管理局副局长，</w:t>
      </w:r>
      <w:r>
        <w:rPr>
          <w:rFonts w:ascii="Times New Roman" w:hAnsi="Times New Roman" w:cs="Times New Roman" w:eastAsia="Times New Roman" w:hint="default"/>
          <w:spacing w:val="-2"/>
        </w:rPr>
        <w:t>2008</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月退休。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月开始担任本公司非执行董事。</w:t>
      </w:r>
    </w:p>
    <w:p>
      <w:pPr>
        <w:pStyle w:val="BodyText"/>
        <w:spacing w:line="300" w:lineRule="auto" w:before="13"/>
        <w:ind w:left="513" w:right="91" w:hanging="45"/>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）独立非执行董事简介</w:t>
      </w:r>
      <w:r>
        <w:rPr>
          <w:rFonts w:ascii="宋体" w:hAnsi="宋体" w:cs="宋体" w:eastAsia="宋体" w:hint="default"/>
          <w:b/>
          <w:bCs/>
          <w:spacing w:val="1"/>
          <w:w w:val="99"/>
        </w:rPr>
        <w:t> </w:t>
      </w:r>
      <w:r>
        <w:rPr>
          <w:spacing w:val="-7"/>
        </w:rPr>
        <w:t>王爱国先生，教授、博士生导师、会计学博士后，全国优秀教师、山东省教学名师、山东省高等学校首席专家（会计学）、</w:t>
      </w:r>
    </w:p>
    <w:p>
      <w:pPr>
        <w:pStyle w:val="BodyText"/>
        <w:spacing w:line="316" w:lineRule="auto" w:before="31"/>
        <w:ind w:left="153" w:right="91"/>
        <w:jc w:val="left"/>
      </w:pPr>
      <w:r>
        <w:rPr>
          <w:spacing w:val="-2"/>
        </w:rPr>
        <w:t>山东省有突出贡献的中青年专家，历任山东经济学院会计系副主任、山东经济学院研究生部副主任、山东经济学院会计学院</w:t>
      </w:r>
      <w:r>
        <w:rPr>
          <w:spacing w:val="-66"/>
        </w:rPr>
        <w:t> </w:t>
      </w:r>
      <w:r>
        <w:rPr>
          <w:spacing w:val="-66"/>
        </w:rPr>
      </w:r>
      <w:r>
        <w:rPr>
          <w:spacing w:val="-2"/>
        </w:rPr>
        <w:t>院长、山东财经大学会计学院院长，现任济南大学管理学院院长、兼任中国会计学会理事、中国资产评估协会理事、山东省</w:t>
      </w:r>
      <w:r>
        <w:rPr>
          <w:spacing w:val="-66"/>
        </w:rPr>
        <w:t> </w:t>
      </w:r>
      <w:r>
        <w:rPr>
          <w:spacing w:val="-66"/>
        </w:rPr>
      </w:r>
      <w:r>
        <w:rPr/>
        <w:t>会计教育委员会副会长兼秘书长、山东省企业信用评级专家委员会委员等职务，兼任山东钢铁集团股份有限公司独立董事、 </w:t>
      </w:r>
      <w:r>
        <w:rPr>
          <w:spacing w:val="-2"/>
        </w:rPr>
        <w:t>中国玉米油股份有限公司独立非执行董事、海信科龙电器股份有限公司独立非执行董事、山东省章丘鼓风机股份有限公司独</w:t>
      </w:r>
      <w:r>
        <w:rPr>
          <w:spacing w:val="-64"/>
        </w:rPr>
        <w:t> </w:t>
      </w:r>
      <w:r>
        <w:rPr>
          <w:spacing w:val="-64"/>
        </w:rPr>
      </w:r>
      <w:r>
        <w:rPr/>
        <w:t>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月开始担任公司独立非执行董事。</w:t>
      </w:r>
    </w:p>
    <w:p>
      <w:pPr>
        <w:pStyle w:val="BodyText"/>
        <w:spacing w:line="312" w:lineRule="auto"/>
        <w:ind w:left="153" w:right="188" w:firstLine="360"/>
        <w:jc w:val="both"/>
      </w:pPr>
      <w:r>
        <w:rPr>
          <w:spacing w:val="-2"/>
        </w:rPr>
        <w:t>张志元先生，教授、管理学博士、经济学博士后。历任山东经济学院财政金融学院院长、山东区域经济研究院院长。现</w:t>
      </w:r>
      <w:r>
        <w:rPr/>
        <w:t> </w:t>
      </w:r>
      <w:r>
        <w:rPr>
          <w:spacing w:val="-2"/>
        </w:rPr>
        <w:t>任山东财经大学金融学院院长、区域经济研究院院长，博士生导师。金融学国家级特色专业建设点负责人，山东省重点学科</w:t>
      </w:r>
      <w:r>
        <w:rPr>
          <w:spacing w:val="-66"/>
        </w:rPr>
        <w:t> </w:t>
      </w:r>
      <w:r>
        <w:rPr>
          <w:spacing w:val="-66"/>
        </w:rPr>
      </w:r>
      <w:r>
        <w:rPr>
          <w:spacing w:val="-2"/>
        </w:rPr>
        <w:t>首席专家，金融产业优化与区域发展管理协同创新中心首席科学家，山东省政府决策服务调研基地负责人，山东省区域经济</w:t>
      </w:r>
      <w:r>
        <w:rPr>
          <w:spacing w:val="-66"/>
        </w:rPr>
        <w:t> </w:t>
      </w:r>
      <w:r>
        <w:rPr>
          <w:spacing w:val="-66"/>
        </w:rPr>
      </w:r>
      <w:r>
        <w:rPr>
          <w:spacing w:val="-2"/>
        </w:rPr>
        <w:t>发展研究基地负责人兼首席专家，山东省高校学科带头人，山东省</w:t>
      </w:r>
      <w:r>
        <w:rPr>
          <w:rFonts w:ascii="Times New Roman" w:hAnsi="Times New Roman" w:cs="Times New Roman" w:eastAsia="Times New Roman" w:hint="default"/>
          <w:spacing w:val="-2"/>
        </w:rPr>
        <w:t>“</w:t>
      </w:r>
      <w:r>
        <w:rPr>
          <w:spacing w:val="-2"/>
        </w:rPr>
        <w:t>百人工程</w:t>
      </w:r>
      <w:r>
        <w:rPr>
          <w:rFonts w:ascii="Times New Roman" w:hAnsi="Times New Roman" w:cs="Times New Roman" w:eastAsia="Times New Roman" w:hint="default"/>
          <w:spacing w:val="-2"/>
        </w:rPr>
        <w:t>”</w:t>
      </w:r>
      <w:r>
        <w:rPr>
          <w:spacing w:val="-2"/>
        </w:rPr>
        <w:t>理论人才，山东省高校十大师德标兵。兼任山</w:t>
      </w:r>
      <w:r>
        <w:rPr>
          <w:spacing w:val="-44"/>
        </w:rPr>
        <w:t> </w:t>
      </w:r>
      <w:r>
        <w:rPr>
          <w:spacing w:val="-44"/>
        </w:rPr>
      </w:r>
      <w:r>
        <w:rPr>
          <w:spacing w:val="-2"/>
        </w:rPr>
        <w:t>东区域经济学会副会长兼秘书长、山东省金融学会常务理事兼学术委员会委员、中国区域经济学会常务理事等。近年来，主</w:t>
      </w:r>
      <w:r>
        <w:rPr>
          <w:spacing w:val="-66"/>
        </w:rPr>
        <w:t> </w:t>
      </w:r>
      <w:r>
        <w:rPr>
          <w:spacing w:val="-66"/>
        </w:rPr>
      </w:r>
      <w:r>
        <w:rPr/>
        <w:t>持国家项目</w:t>
      </w:r>
      <w:r>
        <w:rPr>
          <w:rFonts w:ascii="Times New Roman" w:hAnsi="Times New Roman" w:cs="Times New Roman" w:eastAsia="Times New Roman" w:hint="default"/>
        </w:rPr>
        <w:t>4</w:t>
      </w:r>
      <w:r>
        <w:rPr/>
        <w:t>项、地方政府委托项目</w:t>
      </w:r>
      <w:r>
        <w:rPr>
          <w:rFonts w:ascii="Times New Roman" w:hAnsi="Times New Roman" w:cs="Times New Roman" w:eastAsia="Times New Roman" w:hint="default"/>
        </w:rPr>
        <w:t>10</w:t>
      </w:r>
      <w:r>
        <w:rPr/>
        <w:t>余项，多项成果获教育部和山东省科研奖励。担任山东省、济南市、日照市等多家地</w:t>
      </w:r>
      <w:r>
        <w:rPr>
          <w:spacing w:val="-83"/>
        </w:rPr>
        <w:t> </w:t>
      </w:r>
      <w:r>
        <w:rPr>
          <w:spacing w:val="-83"/>
        </w:rPr>
      </w:r>
      <w:r>
        <w:rPr/>
        <w:t>方政府的专家顾问。山东天业恒基股份有限公司独立董事。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月开始担任公司独立非执行董事。</w:t>
      </w:r>
    </w:p>
    <w:p>
      <w:pPr>
        <w:pStyle w:val="BodyText"/>
        <w:spacing w:line="316" w:lineRule="auto" w:before="3"/>
        <w:ind w:left="153" w:right="189" w:firstLine="360"/>
        <w:jc w:val="both"/>
      </w:pPr>
      <w:r>
        <w:rPr/>
        <w:t>张</w:t>
      </w:r>
      <w:r>
        <w:rPr>
          <w:spacing w:val="9"/>
        </w:rPr>
        <w:t> </w:t>
      </w:r>
      <w:r>
        <w:rPr/>
        <w:t>宏女士，现任山东大学教授、博士生导师、跨国公司研究所所长、中国国际贸易学会理事、山东省对外贸易学会理</w:t>
      </w:r>
      <w:r>
        <w:rPr/>
        <w:t> </w:t>
      </w:r>
      <w:r>
        <w:rPr>
          <w:spacing w:val="-2"/>
        </w:rPr>
        <w:t>事、山东省商业学会理事、山东省日本学会理事，兼任希努尔男装股份有限公司独立董事、山东共达电声股份有限公司独立</w:t>
      </w:r>
      <w:r>
        <w:rPr>
          <w:spacing w:val="-66"/>
        </w:rPr>
        <w:t> </w:t>
      </w:r>
      <w:r>
        <w:rPr>
          <w:spacing w:val="-66"/>
        </w:rPr>
      </w:r>
      <w:r>
        <w:rPr/>
        <w:t>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月开始担任本公司独立非执行董事。</w:t>
      </w:r>
    </w:p>
    <w:p>
      <w:pPr>
        <w:pStyle w:val="BodyText"/>
        <w:spacing w:line="309" w:lineRule="auto"/>
        <w:ind w:left="153" w:right="188" w:firstLine="360"/>
        <w:jc w:val="both"/>
      </w:pPr>
      <w:r>
        <w:rPr>
          <w:spacing w:val="-2"/>
        </w:rPr>
        <w:t>潘爱玲女士，经济学博士，财务管理博士后，现为山东大学管理学院教授，博士生导师，会计学科带头人，山东大学投</w:t>
      </w:r>
      <w:r>
        <w:rPr/>
        <w:t> </w:t>
      </w:r>
      <w:r>
        <w:rPr>
          <w:spacing w:val="-2"/>
        </w:rPr>
        <w:t>融资研究中心主任，中国注册会计师非执业会员，山东省会计学会理事，山东省比较管理研究会常务理事，台湾东吴大学客</w:t>
      </w:r>
      <w:r>
        <w:rPr>
          <w:spacing w:val="-66"/>
        </w:rPr>
        <w:t> </w:t>
      </w:r>
      <w:r>
        <w:rPr>
          <w:spacing w:val="-66"/>
        </w:rPr>
      </w:r>
      <w:r>
        <w:rPr>
          <w:spacing w:val="-2"/>
        </w:rPr>
        <w:t>座教授，美国康涅狄格大学访问学者，新世纪</w:t>
      </w:r>
      <w:r>
        <w:rPr>
          <w:rFonts w:ascii="Times New Roman" w:hAnsi="Times New Roman" w:cs="Times New Roman" w:eastAsia="Times New Roman" w:hint="default"/>
          <w:spacing w:val="-2"/>
        </w:rPr>
        <w:t>“</w:t>
      </w:r>
      <w:r>
        <w:rPr>
          <w:spacing w:val="-2"/>
        </w:rPr>
        <w:t>百千万人才工程</w:t>
      </w:r>
      <w:r>
        <w:rPr>
          <w:rFonts w:ascii="Times New Roman" w:hAnsi="Times New Roman" w:cs="Times New Roman" w:eastAsia="Times New Roman" w:hint="default"/>
          <w:spacing w:val="-2"/>
        </w:rPr>
        <w:t>”</w:t>
      </w:r>
      <w:r>
        <w:rPr>
          <w:spacing w:val="-2"/>
        </w:rPr>
        <w:t>国家级人选，享受国务院政府特贴专家，山东省有突出贡献</w:t>
      </w:r>
      <w:r>
        <w:rPr>
          <w:spacing w:val="-44"/>
        </w:rPr>
        <w:t> </w:t>
      </w:r>
      <w:r>
        <w:rPr>
          <w:spacing w:val="-44"/>
        </w:rPr>
      </w:r>
      <w:r>
        <w:rPr>
          <w:spacing w:val="-2"/>
        </w:rPr>
        <w:t>的中青年专家。国家社科基金重大招标课题首席专家，完成多项国家级及省级课题，发表学术论文</w:t>
      </w:r>
      <w:r>
        <w:rPr>
          <w:rFonts w:ascii="Times New Roman" w:hAnsi="Times New Roman" w:cs="Times New Roman" w:eastAsia="Times New Roman" w:hint="default"/>
          <w:spacing w:val="-2"/>
        </w:rPr>
        <w:t>80</w:t>
      </w:r>
      <w:r>
        <w:rPr>
          <w:spacing w:val="-2"/>
        </w:rPr>
        <w:t>余篇，兼任中国重汽集</w:t>
      </w:r>
      <w:r>
        <w:rPr>
          <w:spacing w:val="-64"/>
        </w:rPr>
        <w:t> </w:t>
      </w:r>
      <w:r>
        <w:rPr>
          <w:spacing w:val="-64"/>
        </w:rPr>
      </w:r>
      <w:r>
        <w:rPr/>
        <w:t>团济南卡车股份有限公司独立董事、浪潮软件股份有限公司独立董事。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月开始担任本公司独立非执行董事。</w:t>
      </w:r>
    </w:p>
    <w:p>
      <w:pPr>
        <w:pStyle w:val="BodyText"/>
        <w:spacing w:line="302" w:lineRule="auto" w:before="5"/>
        <w:ind w:left="513" w:right="182" w:firstLine="59"/>
        <w:jc w:val="left"/>
      </w:pPr>
      <w:r>
        <w:rPr>
          <w:rFonts w:ascii="Times New Roman" w:hAnsi="Times New Roman" w:cs="Times New Roman" w:eastAsia="Times New Roman" w:hint="default"/>
          <w:b/>
          <w:bCs/>
        </w:rPr>
        <w:t>2</w:t>
      </w:r>
      <w:r>
        <w:rPr>
          <w:rFonts w:ascii="宋体" w:hAnsi="宋体" w:cs="宋体" w:eastAsia="宋体" w:hint="default"/>
          <w:b/>
          <w:bCs/>
        </w:rPr>
        <w:t>、公司监事简介</w:t>
      </w:r>
      <w:r>
        <w:rPr>
          <w:rFonts w:ascii="宋体" w:hAnsi="宋体" w:cs="宋体" w:eastAsia="宋体" w:hint="default"/>
          <w:b/>
          <w:bCs/>
          <w:w w:val="99"/>
        </w:rPr>
        <w:t> </w:t>
      </w:r>
      <w:r>
        <w:rPr>
          <w:spacing w:val="-2"/>
        </w:rPr>
        <w:t>高俊杰先生，</w:t>
      </w:r>
      <w:r>
        <w:rPr>
          <w:rFonts w:ascii="Times New Roman" w:hAnsi="Times New Roman" w:cs="Times New Roman" w:eastAsia="Times New Roman" w:hint="default"/>
          <w:spacing w:val="-2"/>
        </w:rPr>
        <w:t>1994</w:t>
      </w:r>
      <w:r>
        <w:rPr>
          <w:spacing w:val="-2"/>
        </w:rPr>
        <w:t>年加入公司，历任公司法律事务科科长、审计部部长等职务，现任公司监事会主席、总经理助理分管</w:t>
      </w:r>
    </w:p>
    <w:p>
      <w:pPr>
        <w:pStyle w:val="BodyText"/>
        <w:spacing w:line="316" w:lineRule="auto" w:before="11"/>
        <w:ind w:left="514" w:right="182" w:hanging="360"/>
        <w:jc w:val="left"/>
        <w:rPr>
          <w:rFonts w:ascii="Times New Roman" w:hAnsi="Times New Roman" w:cs="Times New Roman" w:eastAsia="Times New Roman" w:hint="default"/>
        </w:rPr>
      </w:pPr>
      <w:r>
        <w:rPr/>
        <w:t>证券与投资管理部工作、寿光晨鸣控股有限公司监事、寿光市恒联企业投资有限公司监事。 </w:t>
      </w:r>
      <w:r>
        <w:rPr>
          <w:spacing w:val="-5"/>
        </w:rPr>
        <w:t>尹启祥先生，曾任寿光市经济贸易委员会主任、山东省寿光市体政部部长、寿光市轻化局局长等职务，</w:t>
      </w:r>
      <w:r>
        <w:rPr>
          <w:rFonts w:ascii="Times New Roman" w:hAnsi="Times New Roman" w:cs="Times New Roman" w:eastAsia="Times New Roman" w:hint="default"/>
          <w:spacing w:val="-5"/>
        </w:rPr>
        <w:t>1998</w:t>
      </w:r>
      <w:r>
        <w:rPr>
          <w:spacing w:val="-5"/>
        </w:rPr>
        <w:t>年退休。</w:t>
      </w:r>
      <w:r>
        <w:rPr>
          <w:rFonts w:ascii="Times New Roman" w:hAnsi="Times New Roman" w:cs="Times New Roman" w:eastAsia="Times New Roman" w:hint="default"/>
          <w:spacing w:val="-5"/>
        </w:rPr>
        <w:t>2010</w:t>
      </w:r>
    </w:p>
    <w:p>
      <w:pPr>
        <w:pStyle w:val="BodyText"/>
        <w:spacing w:line="300" w:lineRule="auto"/>
        <w:ind w:left="514" w:right="90" w:hanging="360"/>
        <w:jc w:val="left"/>
      </w:pPr>
      <w:r>
        <w:rPr/>
        <w:t>年</w:t>
      </w:r>
      <w:r>
        <w:rPr>
          <w:rFonts w:ascii="Times New Roman" w:hAnsi="Times New Roman" w:cs="Times New Roman" w:eastAsia="Times New Roman" w:hint="default"/>
        </w:rPr>
        <w:t>4</w:t>
      </w:r>
      <w:r>
        <w:rPr/>
        <w:t>月开始任本公司监事。 郭光耀先生，</w:t>
      </w:r>
      <w:r>
        <w:rPr>
          <w:rFonts w:ascii="Times New Roman" w:hAnsi="Times New Roman" w:cs="Times New Roman" w:eastAsia="Times New Roman" w:hint="default"/>
        </w:rPr>
        <w:t>1969</w:t>
      </w:r>
      <w:r>
        <w:rPr/>
        <w:t>年至</w:t>
      </w:r>
      <w:r>
        <w:rPr>
          <w:rFonts w:ascii="Times New Roman" w:hAnsi="Times New Roman" w:cs="Times New Roman" w:eastAsia="Times New Roman" w:hint="default"/>
        </w:rPr>
        <w:t>1981</w:t>
      </w:r>
      <w:r>
        <w:rPr/>
        <w:t>年于航空部太行仪表厂工作，任主管工艺员、工程师；</w:t>
      </w:r>
      <w:r>
        <w:rPr>
          <w:rFonts w:ascii="Times New Roman" w:hAnsi="Times New Roman" w:cs="Times New Roman" w:eastAsia="Times New Roman" w:hint="default"/>
        </w:rPr>
        <w:t>1981</w:t>
      </w:r>
      <w:r>
        <w:rPr/>
        <w:t>年至</w:t>
      </w:r>
      <w:r>
        <w:rPr>
          <w:rFonts w:ascii="Times New Roman" w:hAnsi="Times New Roman" w:cs="Times New Roman" w:eastAsia="Times New Roman" w:hint="default"/>
        </w:rPr>
        <w:t>1987</w:t>
      </w:r>
      <w:r>
        <w:rPr/>
        <w:t>年于寿光化肥厂工作，</w:t>
      </w:r>
    </w:p>
    <w:p>
      <w:pPr>
        <w:pStyle w:val="BodyText"/>
        <w:spacing w:line="300" w:lineRule="auto" w:before="13"/>
        <w:ind w:right="180"/>
        <w:jc w:val="left"/>
      </w:pPr>
      <w:r>
        <w:rPr/>
        <w:t>历任副厂长、党委书记；</w:t>
      </w:r>
      <w:r>
        <w:rPr>
          <w:rFonts w:ascii="Times New Roman" w:hAnsi="Times New Roman" w:cs="Times New Roman" w:eastAsia="Times New Roman" w:hint="default"/>
        </w:rPr>
        <w:t>1987</w:t>
      </w:r>
      <w:r>
        <w:rPr/>
        <w:t>年至</w:t>
      </w:r>
      <w:r>
        <w:rPr>
          <w:rFonts w:ascii="Times New Roman" w:hAnsi="Times New Roman" w:cs="Times New Roman" w:eastAsia="Times New Roman" w:hint="default"/>
        </w:rPr>
        <w:t>1989</w:t>
      </w:r>
      <w:r>
        <w:rPr/>
        <w:t>年在寿光市啤酒厂工作，任党委书记、总工程师；</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3</w:t>
      </w:r>
      <w:r>
        <w:rPr/>
        <w:t>月在寿光市经贸委工作，</w:t>
      </w:r>
      <w:r>
        <w:rPr>
          <w:spacing w:val="-83"/>
        </w:rPr>
        <w:t> </w:t>
      </w:r>
      <w:r>
        <w:rPr>
          <w:spacing w:val="-83"/>
        </w:rPr>
      </w:r>
      <w:r>
        <w:rPr/>
        <w:t>任副主任、机关党委书记，兼寿光市企业管理办公室主任，</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月退休。</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月开始任本公司监事。</w:t>
      </w:r>
    </w:p>
    <w:p>
      <w:pPr>
        <w:pStyle w:val="BodyText"/>
        <w:spacing w:line="300" w:lineRule="auto" w:before="13"/>
        <w:ind w:right="188" w:firstLine="360"/>
        <w:jc w:val="both"/>
      </w:pPr>
      <w:r>
        <w:rPr/>
        <w:t>王</w:t>
      </w:r>
      <w:r>
        <w:rPr>
          <w:spacing w:val="7"/>
        </w:rPr>
        <w:t> </w:t>
      </w:r>
      <w:r>
        <w:rPr/>
        <w:t>菊女士，</w:t>
      </w:r>
      <w:r>
        <w:rPr>
          <w:rFonts w:ascii="Times New Roman" w:hAnsi="Times New Roman" w:cs="Times New Roman" w:eastAsia="Times New Roman" w:hint="default"/>
        </w:rPr>
        <w:t>1987</w:t>
      </w:r>
      <w:r>
        <w:rPr/>
        <w:t>年加入本公司，历任车间副主任、主任、寿光晨鸣总经理助理、寿光晨鸣副总经理、寿光晨鸣制浆工 厂副总经理，现任本公司监事。</w:t>
      </w:r>
    </w:p>
    <w:p>
      <w:pPr>
        <w:pStyle w:val="BodyText"/>
        <w:spacing w:line="300" w:lineRule="auto" w:before="31"/>
        <w:ind w:right="188" w:firstLine="360"/>
        <w:jc w:val="both"/>
      </w:pPr>
      <w:r>
        <w:rPr>
          <w:spacing w:val="-2"/>
        </w:rPr>
        <w:t>杨洪芹女士，</w:t>
      </w:r>
      <w:r>
        <w:rPr>
          <w:rFonts w:ascii="Times New Roman" w:hAnsi="Times New Roman" w:cs="Times New Roman" w:eastAsia="Times New Roman" w:hint="default"/>
          <w:spacing w:val="-2"/>
        </w:rPr>
        <w:t>1987</w:t>
      </w:r>
      <w:r>
        <w:rPr>
          <w:spacing w:val="-2"/>
        </w:rPr>
        <w:t>年加入本公司，历任公司质检科副科长、科长、售后服务处处长、物业管理公司经理，现任本公司监</w:t>
      </w:r>
      <w:r>
        <w:rPr/>
        <w:t> 事、山东晨鸣热电股份有限公司总经理助理。</w:t>
      </w:r>
    </w:p>
    <w:p>
      <w:pPr>
        <w:pStyle w:val="BodyText"/>
        <w:spacing w:line="340" w:lineRule="auto" w:before="31"/>
        <w:ind w:left="514" w:right="182" w:firstLine="45"/>
        <w:jc w:val="left"/>
      </w:pPr>
      <w:r>
        <w:rPr>
          <w:rFonts w:ascii="Times New Roman" w:hAnsi="Times New Roman" w:cs="Times New Roman" w:eastAsia="Times New Roman" w:hint="default"/>
          <w:b/>
          <w:bCs/>
        </w:rPr>
        <w:t>3</w:t>
      </w:r>
      <w:r>
        <w:rPr>
          <w:rFonts w:ascii="宋体" w:hAnsi="宋体" w:cs="宋体" w:eastAsia="宋体" w:hint="default"/>
          <w:b/>
          <w:bCs/>
        </w:rPr>
        <w:t>、公司高级管理人员简介</w:t>
      </w:r>
      <w:r>
        <w:rPr>
          <w:rFonts w:ascii="宋体" w:hAnsi="宋体" w:cs="宋体" w:eastAsia="宋体" w:hint="default"/>
          <w:b/>
          <w:bCs/>
          <w:spacing w:val="1"/>
          <w:w w:val="99"/>
        </w:rPr>
        <w:t> </w:t>
      </w:r>
      <w:r>
        <w:rPr>
          <w:spacing w:val="-2"/>
        </w:rPr>
        <w:t>李雪芹女士，先后荣获</w:t>
      </w:r>
      <w:r>
        <w:rPr>
          <w:rFonts w:ascii="Times New Roman" w:hAnsi="Times New Roman" w:cs="Times New Roman" w:eastAsia="Times New Roman" w:hint="default"/>
          <w:spacing w:val="-2"/>
        </w:rPr>
        <w:t>“</w:t>
      </w:r>
      <w:r>
        <w:rPr>
          <w:spacing w:val="-2"/>
        </w:rPr>
        <w:t>山东省劳动模范、全国劳动模范、全国五一劳动奖章等称号</w:t>
      </w:r>
      <w:r>
        <w:rPr>
          <w:rFonts w:ascii="Times New Roman" w:hAnsi="Times New Roman" w:cs="Times New Roman" w:eastAsia="Times New Roman" w:hint="default"/>
          <w:spacing w:val="-2"/>
        </w:rPr>
        <w:t>”</w:t>
      </w:r>
      <w:r>
        <w:rPr>
          <w:spacing w:val="-2"/>
        </w:rPr>
        <w:t>，第十届、第十一届、第十二届全</w:t>
      </w:r>
    </w:p>
    <w:p>
      <w:pPr>
        <w:spacing w:after="0" w:line="3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2" w:lineRule="auto" w:before="44"/>
        <w:ind w:left="153" w:right="141"/>
        <w:jc w:val="left"/>
      </w:pPr>
      <w:r>
        <w:rPr/>
        <w:t>国人大代表，</w:t>
      </w:r>
      <w:r>
        <w:rPr>
          <w:rFonts w:ascii="Times New Roman" w:hAnsi="Times New Roman" w:cs="Times New Roman" w:eastAsia="Times New Roman" w:hint="default"/>
        </w:rPr>
        <w:t>1987</w:t>
      </w:r>
      <w:r>
        <w:rPr/>
        <w:t>年加入本公司，历任本公司审计部部长、副总经理等职务，自</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月开始担任本公司副总经理，寿光</w:t>
      </w:r>
      <w:r>
        <w:rPr>
          <w:spacing w:val="-84"/>
        </w:rPr>
        <w:t> </w:t>
      </w:r>
      <w:r>
        <w:rPr>
          <w:spacing w:val="-84"/>
        </w:rPr>
      </w:r>
      <w:r>
        <w:rPr/>
        <w:t>晨鸣控股有限公司董事。李雪芹女士为本公司董事长陈洪国先生的配偶。</w:t>
      </w:r>
    </w:p>
    <w:p>
      <w:pPr>
        <w:pStyle w:val="BodyText"/>
        <w:spacing w:line="309" w:lineRule="auto" w:before="68"/>
        <w:ind w:left="153" w:right="150" w:firstLine="360"/>
        <w:jc w:val="both"/>
      </w:pPr>
      <w:r>
        <w:rPr>
          <w:spacing w:val="-2"/>
        </w:rPr>
        <w:t>王春方先生，大学本科学历，长江商学院</w:t>
      </w:r>
      <w:r>
        <w:rPr>
          <w:rFonts w:ascii="Times New Roman" w:hAnsi="Times New Roman" w:cs="Times New Roman" w:eastAsia="Times New Roman" w:hint="default"/>
          <w:spacing w:val="-2"/>
        </w:rPr>
        <w:t>CFO</w:t>
      </w:r>
      <w:r>
        <w:rPr>
          <w:spacing w:val="-2"/>
        </w:rPr>
        <w:t>班学员，寿光市会计协会副会长，</w:t>
      </w:r>
      <w:r>
        <w:rPr>
          <w:rFonts w:ascii="Times New Roman" w:hAnsi="Times New Roman" w:cs="Times New Roman" w:eastAsia="Times New Roman" w:hint="default"/>
          <w:spacing w:val="-2"/>
        </w:rPr>
        <w:t>1997</w:t>
      </w:r>
      <w:r>
        <w:rPr>
          <w:spacing w:val="-2"/>
        </w:rPr>
        <w:t>年加入本公司，历任公司销售分公</w:t>
      </w:r>
      <w:r>
        <w:rPr/>
        <w:t> </w:t>
      </w:r>
      <w:r>
        <w:rPr>
          <w:spacing w:val="-2"/>
        </w:rPr>
        <w:t>司财务主管、销售总公司财务总监、吉林晨鸣纸业有限责任公司财务总监、公司总经理助理、财务部长、公司财务总监等职</w:t>
      </w:r>
      <w:r>
        <w:rPr>
          <w:spacing w:val="-66"/>
        </w:rPr>
        <w:t> </w:t>
      </w:r>
      <w:r>
        <w:rPr>
          <w:spacing w:val="-66"/>
        </w:rPr>
      </w:r>
      <w:r>
        <w:rPr/>
        <w:t>务。现任公司副总经理、董事会秘书兼财务公司、融资租赁公司董事长。</w:t>
      </w:r>
    </w:p>
    <w:p>
      <w:pPr>
        <w:pStyle w:val="BodyText"/>
        <w:spacing w:line="300" w:lineRule="auto" w:before="24"/>
        <w:ind w:left="153" w:right="151" w:firstLine="360"/>
        <w:jc w:val="both"/>
      </w:pPr>
      <w:r>
        <w:rPr>
          <w:spacing w:val="-2"/>
        </w:rPr>
        <w:t>胡长青先生，</w:t>
      </w:r>
      <w:r>
        <w:rPr>
          <w:rFonts w:ascii="Times New Roman" w:hAnsi="Times New Roman" w:cs="Times New Roman" w:eastAsia="Times New Roman" w:hint="default"/>
          <w:spacing w:val="-2"/>
        </w:rPr>
        <w:t>1988</w:t>
      </w:r>
      <w:r>
        <w:rPr>
          <w:spacing w:val="-2"/>
        </w:rPr>
        <w:t>年加入本公司，历任本公司技改部长、分厂厂长、副总经理、董事等职务，现任公司副总经理，分管</w:t>
      </w:r>
      <w:r>
        <w:rPr/>
        <w:t> 湛江晨鸣浆纸项目工作。</w:t>
      </w:r>
    </w:p>
    <w:p>
      <w:pPr>
        <w:pStyle w:val="BodyText"/>
        <w:spacing w:line="300" w:lineRule="auto" w:before="31"/>
        <w:ind w:left="153" w:right="148" w:firstLine="360"/>
        <w:jc w:val="both"/>
      </w:pPr>
      <w:r>
        <w:rPr>
          <w:spacing w:val="-2"/>
        </w:rPr>
        <w:t>邵震中先生，</w:t>
      </w:r>
      <w:r>
        <w:rPr>
          <w:rFonts w:ascii="Times New Roman" w:hAnsi="Times New Roman" w:cs="Times New Roman" w:eastAsia="Times New Roman" w:hint="default"/>
          <w:spacing w:val="-2"/>
        </w:rPr>
        <w:t>52</w:t>
      </w:r>
      <w:r>
        <w:rPr>
          <w:spacing w:val="-2"/>
        </w:rPr>
        <w:t>岁，大学本科学历，</w:t>
      </w:r>
      <w:r>
        <w:rPr>
          <w:rFonts w:ascii="Times New Roman" w:hAnsi="Times New Roman" w:cs="Times New Roman" w:eastAsia="Times New Roman" w:hint="default"/>
          <w:spacing w:val="-2"/>
        </w:rPr>
        <w:t>2013</w:t>
      </w:r>
      <w:r>
        <w:rPr>
          <w:spacing w:val="-2"/>
        </w:rPr>
        <w:t>年加入本公司。历任上海巴特勒机械制造有限公司市场部经理、芬欧汇川（中</w:t>
      </w:r>
      <w:r>
        <w:rPr/>
        <w:t> 国）有限公司亚太区销售及市场副总裁，现任公司副总经理。</w:t>
      </w:r>
    </w:p>
    <w:p>
      <w:pPr>
        <w:pStyle w:val="BodyText"/>
        <w:spacing w:line="300" w:lineRule="auto" w:before="31"/>
        <w:ind w:left="153" w:right="149" w:firstLine="360"/>
        <w:jc w:val="both"/>
      </w:pPr>
      <w:r>
        <w:rPr>
          <w:spacing w:val="-2"/>
        </w:rPr>
        <w:t>李振中先生，</w:t>
      </w:r>
      <w:r>
        <w:rPr>
          <w:rFonts w:ascii="Times New Roman" w:hAnsi="Times New Roman" w:cs="Times New Roman" w:eastAsia="Times New Roman" w:hint="default"/>
          <w:spacing w:val="-2"/>
        </w:rPr>
        <w:t>1995</w:t>
      </w:r>
      <w:r>
        <w:rPr>
          <w:spacing w:val="-2"/>
        </w:rPr>
        <w:t>年加入本公司，历任销售公司上海管理区首席代表、轻涂文化纸产品销售经理等职务，现任公司副总</w:t>
      </w:r>
      <w:r>
        <w:rPr/>
        <w:t> 经理。</w:t>
      </w:r>
    </w:p>
    <w:p>
      <w:pPr>
        <w:pStyle w:val="BodyText"/>
        <w:spacing w:line="300" w:lineRule="auto" w:before="31"/>
        <w:ind w:left="513" w:right="147"/>
        <w:jc w:val="left"/>
      </w:pPr>
      <w:r>
        <w:rPr/>
        <w:t>常立亭先生，</w:t>
      </w:r>
      <w:r>
        <w:rPr>
          <w:rFonts w:ascii="Times New Roman" w:hAnsi="Times New Roman" w:cs="Times New Roman" w:eastAsia="Times New Roman" w:hint="default"/>
        </w:rPr>
        <w:t>1985</w:t>
      </w:r>
      <w:r>
        <w:rPr/>
        <w:t>年加入本公司</w:t>
      </w:r>
      <w:r>
        <w:rPr>
          <w:rFonts w:ascii="Times New Roman" w:hAnsi="Times New Roman" w:cs="Times New Roman" w:eastAsia="Times New Roman" w:hint="default"/>
        </w:rPr>
        <w:t>,</w:t>
      </w:r>
      <w:r>
        <w:rPr/>
        <w:t>历任公司工会主席、销售公司产品总经理，现任公司工会主席、副总经理。 </w:t>
      </w:r>
      <w:r>
        <w:rPr>
          <w:spacing w:val="-2"/>
        </w:rPr>
        <w:t>潘兆昌先生，现为香港会计师公会及澳洲会计师公会资深会计师，取得中央昆士兰大学会计系硕士学位和南格斯大学工</w:t>
      </w:r>
    </w:p>
    <w:p>
      <w:pPr>
        <w:pStyle w:val="BodyText"/>
        <w:spacing w:line="340" w:lineRule="auto" w:before="31"/>
        <w:ind w:left="153" w:right="3471"/>
        <w:jc w:val="left"/>
      </w:pPr>
      <w:r>
        <w:rPr/>
        <w:t>商管理硕士学位。</w:t>
      </w:r>
      <w:r>
        <w:rPr>
          <w:rFonts w:ascii="Times New Roman" w:hAnsi="Times New Roman" w:cs="Times New Roman" w:eastAsia="Times New Roman" w:hint="default"/>
        </w:rPr>
        <w:t>2008</w:t>
      </w:r>
      <w:r>
        <w:rPr/>
        <w:t>年加入本公司，现任本公司之合资格会计师及公司秘书。 在股东单位任职情况</w:t>
      </w:r>
    </w:p>
    <w:p>
      <w:pPr>
        <w:pStyle w:val="BodyText"/>
        <w:spacing w:line="240" w:lineRule="auto" w:before="41"/>
        <w:ind w:left="153" w:right="147"/>
        <w:jc w:val="left"/>
      </w:pPr>
      <w:r>
        <w:rPr/>
        <w:t>√ 适用 □ 不适用</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218"/>
        <w:gridCol w:w="2410"/>
        <w:gridCol w:w="1621"/>
        <w:gridCol w:w="1490"/>
        <w:gridCol w:w="1571"/>
        <w:gridCol w:w="1384"/>
      </w:tblGrid>
      <w:tr>
        <w:trPr>
          <w:trHeight w:val="714" w:hRule="exact"/>
        </w:trPr>
        <w:tc>
          <w:tcPr>
            <w:tcW w:w="1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25" w:right="84"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46" w:right="55"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李雪芹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6066" w:type="dxa"/>
            <w:gridSpan w:val="4"/>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47"/>
        <w:jc w:val="left"/>
      </w:pPr>
      <w:r>
        <w:rPr/>
        <w:t>在其他单位任职情况</w:t>
      </w:r>
    </w:p>
    <w:p>
      <w:pPr>
        <w:pStyle w:val="BodyText"/>
        <w:spacing w:line="240" w:lineRule="auto" w:before="116"/>
        <w:ind w:right="147"/>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00"/>
        <w:gridCol w:w="2880"/>
        <w:gridCol w:w="1080"/>
        <w:gridCol w:w="1620"/>
        <w:gridCol w:w="1620"/>
        <w:gridCol w:w="1468"/>
      </w:tblGrid>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4" w:right="84"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9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8" w:right="97"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山东钢铁集团股份有限公司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中国玉米油股份有限公司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海信科龙电器股份有限公司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山东省章丘鼓风机股份有限公司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中国重汽集团济南卡车股份有限公 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浪潮软件股份有限公司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  宏</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希努尔男装股份有限公司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  宏</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山东共达电声股份有限公司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7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57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以上三位均为公司独立董事。</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147"/>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r>
        <w:rPr/>
        <w:t>董事、监事、高级管理人员报酬的决策程序、确定依据、实际支付情况</w:t>
      </w:r>
    </w:p>
    <w:p>
      <w:pPr>
        <w:pStyle w:val="BodyText"/>
        <w:spacing w:line="312" w:lineRule="auto" w:before="115"/>
        <w:ind w:right="147" w:firstLine="359"/>
        <w:jc w:val="both"/>
      </w:pPr>
      <w:r>
        <w:rPr>
          <w:rFonts w:ascii="Times New Roman" w:hAnsi="Times New Roman" w:cs="Times New Roman" w:eastAsia="Times New Roman" w:hint="default"/>
        </w:rPr>
        <w:t>1</w:t>
      </w:r>
      <w:r>
        <w:rPr/>
        <w:t>、公司每位执行董事与高级管理人员年度薪酬在人民币</w:t>
      </w:r>
      <w:r>
        <w:rPr>
          <w:rFonts w:ascii="Times New Roman" w:hAnsi="Times New Roman" w:cs="Times New Roman" w:eastAsia="Times New Roman" w:hint="default"/>
        </w:rPr>
        <w:t>20</w:t>
      </w:r>
      <w:r>
        <w:rPr/>
        <w:t>万元</w:t>
      </w:r>
      <w:r>
        <w:rPr>
          <w:rFonts w:ascii="Times New Roman" w:hAnsi="Times New Roman" w:cs="Times New Roman" w:eastAsia="Times New Roman" w:hint="default"/>
        </w:rPr>
        <w:t>-500</w:t>
      </w:r>
      <w:r>
        <w:rPr/>
        <w:t>万元（含税）之间，具体分配金额由董事会薪酬与</w:t>
      </w:r>
      <w:r>
        <w:rPr>
          <w:spacing w:val="1"/>
        </w:rPr>
        <w:t> </w:t>
      </w:r>
      <w:r>
        <w:rPr>
          <w:spacing w:val="-2"/>
        </w:rPr>
        <w:t>考核委员会根据公司主要财务指标和经营目标完成情况、公司执行董事和高级管理人员分管工作范围及主要职责情况、岗位</w:t>
      </w:r>
      <w:r>
        <w:rPr>
          <w:spacing w:val="-64"/>
        </w:rPr>
        <w:t> </w:t>
      </w:r>
      <w:r>
        <w:rPr>
          <w:spacing w:val="-64"/>
        </w:rPr>
      </w:r>
      <w:r>
        <w:rPr>
          <w:spacing w:val="-2"/>
        </w:rPr>
        <w:t>工作业绩考评系统中涉及指标的完成情况、业务创新能力和创利能力等确定。具体执行方案由董事会之薪酬与考核委员会制</w:t>
      </w:r>
      <w:r>
        <w:rPr>
          <w:spacing w:val="-64"/>
        </w:rPr>
        <w:t> </w:t>
      </w:r>
      <w:r>
        <w:rPr>
          <w:spacing w:val="-64"/>
        </w:rPr>
      </w:r>
      <w:r>
        <w:rPr/>
        <w:t>定，由董事会审议确定。</w:t>
      </w:r>
    </w:p>
    <w:p>
      <w:pPr>
        <w:pStyle w:val="BodyText"/>
        <w:spacing w:line="302" w:lineRule="auto" w:before="62"/>
        <w:ind w:right="147" w:firstLine="359"/>
        <w:jc w:val="both"/>
      </w:pPr>
      <w:r>
        <w:rPr>
          <w:rFonts w:ascii="Times New Roman" w:hAnsi="Times New Roman" w:cs="Times New Roman" w:eastAsia="Times New Roman" w:hint="default"/>
        </w:rPr>
        <w:t>2</w:t>
      </w:r>
      <w:r>
        <w:rPr/>
        <w:t>、公司向每位独立非执行董事和非执行董事每年支付津贴</w:t>
      </w:r>
      <w:r>
        <w:rPr>
          <w:rFonts w:ascii="Times New Roman" w:hAnsi="Times New Roman" w:cs="Times New Roman" w:eastAsia="Times New Roman" w:hint="default"/>
        </w:rPr>
        <w:t>4-10</w:t>
      </w:r>
      <w:r>
        <w:rPr/>
        <w:t>万元人民币（税后），独立非执行董事和非执行董事出</w:t>
      </w:r>
      <w:r>
        <w:rPr>
          <w:spacing w:val="1"/>
        </w:rPr>
        <w:t> </w:t>
      </w:r>
      <w:r>
        <w:rPr/>
        <w:t>席公司董事会和股东大会的差旅费及按《公司章程》行使职权所需的合理费用由公司据实报销。</w:t>
      </w:r>
    </w:p>
    <w:p>
      <w:pPr>
        <w:pStyle w:val="BodyText"/>
        <w:spacing w:line="338" w:lineRule="auto" w:before="69"/>
        <w:ind w:right="1580" w:firstLine="360"/>
        <w:jc w:val="left"/>
      </w:pPr>
      <w:r>
        <w:rPr>
          <w:rFonts w:ascii="Times New Roman" w:hAnsi="Times New Roman" w:cs="Times New Roman" w:eastAsia="Times New Roman" w:hint="default"/>
        </w:rPr>
        <w:t>3</w:t>
      </w:r>
      <w:r>
        <w:rPr/>
        <w:t>、本公司各董事、监事及高级管理人员薪酬详情载于财务报告附注（十二）关键管理人员报酬内。 公司报告期内董事、监事和高级管理人员报酬情况</w:t>
      </w:r>
    </w:p>
    <w:p>
      <w:pPr>
        <w:pStyle w:val="BodyText"/>
        <w:spacing w:line="240" w:lineRule="auto" w:before="43"/>
        <w:ind w:left="0" w:right="149"/>
        <w:jc w:val="right"/>
      </w:pPr>
      <w:r>
        <w:rPr/>
        <w:t>单位：万元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213"/>
        <w:gridCol w:w="2053"/>
        <w:gridCol w:w="900"/>
        <w:gridCol w:w="902"/>
        <w:gridCol w:w="991"/>
        <w:gridCol w:w="1212"/>
        <w:gridCol w:w="1212"/>
        <w:gridCol w:w="1210"/>
      </w:tblGrid>
      <w:tr>
        <w:trPr>
          <w:trHeight w:val="714" w:hRule="exact"/>
        </w:trPr>
        <w:tc>
          <w:tcPr>
            <w:tcW w:w="1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0" w:right="6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0" w:right="6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291.64</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181.92</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峰</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117.74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84.83</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139.01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97.51</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40.31</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109.25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崔友平</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28.29</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菊</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15.05</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尹启祥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郭光耀</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李雪芹</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146.58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104.16</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王春方</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108.06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78.05</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胡长青</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182.98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118.73</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邵震中</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329.56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199.18</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常立亭</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213"/>
        <w:gridCol w:w="2053"/>
        <w:gridCol w:w="900"/>
        <w:gridCol w:w="902"/>
        <w:gridCol w:w="991"/>
        <w:gridCol w:w="1212"/>
        <w:gridCol w:w="1212"/>
        <w:gridCol w:w="1210"/>
      </w:tblGrid>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李振中</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6" w:right="0"/>
              <w:jc w:val="left"/>
              <w:rPr>
                <w:rFonts w:ascii="Times New Roman" w:hAnsi="Times New Roman" w:cs="Times New Roman" w:eastAsia="Times New Roman" w:hint="default"/>
                <w:sz w:val="18"/>
                <w:szCs w:val="18"/>
              </w:rPr>
            </w:pPr>
            <w:r>
              <w:rPr>
                <w:rFonts w:ascii="Times New Roman"/>
                <w:sz w:val="18"/>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105.94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78.23</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潘兆昌</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公司秘书、合资格会计师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6" w:right="0"/>
              <w:jc w:val="left"/>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11.93</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85" w:right="0"/>
              <w:jc w:val="left"/>
              <w:rPr>
                <w:rFonts w:ascii="Times New Roman" w:hAnsi="Times New Roman" w:cs="Times New Roman" w:eastAsia="Times New Roman" w:hint="default"/>
                <w:sz w:val="18"/>
                <w:szCs w:val="18"/>
              </w:rPr>
            </w:pPr>
            <w:r>
              <w:rPr>
                <w:rFonts w:ascii="Times New Roman"/>
                <w:sz w:val="18"/>
              </w:rPr>
              <w:t>--</w:t>
            </w:r>
          </w:p>
        </w:tc>
        <w:tc>
          <w:tcPr>
            <w:tcW w:w="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2,283.78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1,495.59</w:t>
            </w:r>
          </w:p>
        </w:tc>
      </w:tr>
    </w:tbl>
    <w:p>
      <w:pPr>
        <w:pStyle w:val="BodyText"/>
        <w:spacing w:line="240" w:lineRule="auto" w:before="51"/>
        <w:ind w:right="182"/>
        <w:jc w:val="left"/>
      </w:pPr>
      <w:r>
        <w:rPr/>
        <w:t>公司董事、监事、高级管理人员报告期内被授予的股权激励情况</w:t>
      </w:r>
    </w:p>
    <w:p>
      <w:pPr>
        <w:pStyle w:val="BodyText"/>
        <w:spacing w:line="240" w:lineRule="auto" w:before="117"/>
        <w:ind w:right="18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82"/>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0"/>
        <w:gridCol w:w="1620"/>
        <w:gridCol w:w="1620"/>
        <w:gridCol w:w="1980"/>
        <w:gridCol w:w="2728"/>
      </w:tblGrid>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2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崔友平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因个人原因离职</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股东大会选举</w:t>
            </w:r>
          </w:p>
        </w:tc>
      </w:tr>
    </w:tbl>
    <w:p>
      <w:pPr>
        <w:spacing w:line="240" w:lineRule="auto" w:before="2"/>
        <w:rPr>
          <w:rFonts w:ascii="宋体" w:hAnsi="宋体" w:cs="宋体" w:eastAsia="宋体" w:hint="default"/>
          <w:b/>
          <w:bCs/>
          <w:sz w:val="18"/>
          <w:szCs w:val="18"/>
        </w:rPr>
      </w:pPr>
    </w:p>
    <w:p>
      <w:pPr>
        <w:pStyle w:val="Heading2"/>
        <w:spacing w:line="240" w:lineRule="auto" w:before="26"/>
        <w:ind w:right="182"/>
        <w:jc w:val="left"/>
        <w:rPr>
          <w:b w:val="0"/>
          <w:bCs w:val="0"/>
        </w:rPr>
      </w:pPr>
      <w:r>
        <w:rPr/>
        <w:t>五、</w:t>
      </w:r>
      <w:r>
        <w:rPr>
          <w:spacing w:val="-10"/>
        </w:rPr>
        <w:t> </w:t>
      </w:r>
      <w:r>
        <w:rPr/>
        <w:t>董事及监事资料变动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根据香港上市规则第</w:t>
      </w:r>
      <w:r>
        <w:rPr>
          <w:rFonts w:ascii="Times New Roman" w:hAnsi="Times New Roman" w:cs="Times New Roman" w:eastAsia="Times New Roman" w:hint="default"/>
        </w:rPr>
        <w:t>13.51(B)</w:t>
      </w:r>
      <w:r>
        <w:rPr>
          <w:rFonts w:ascii="Times New Roman" w:hAnsi="Times New Roman" w:cs="Times New Roman" w:eastAsia="Times New Roman" w:hint="default"/>
          <w:spacing w:val="25"/>
        </w:rPr>
        <w:t> </w:t>
      </w:r>
      <w:r>
        <w:rPr/>
        <w:t>条，董事及监事资料自本公司截至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日止年度之年报日期起之变动载列如下：</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070"/>
        <w:gridCol w:w="6588"/>
      </w:tblGrid>
      <w:tr>
        <w:trPr>
          <w:trHeight w:val="422" w:hRule="exact"/>
        </w:trPr>
        <w:tc>
          <w:tcPr>
            <w:tcW w:w="307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董事姓名</w:t>
            </w:r>
            <w:r>
              <w:rPr>
                <w:rFonts w:ascii="宋体" w:hAnsi="宋体" w:cs="宋体" w:eastAsia="宋体" w:hint="default"/>
                <w:sz w:val="18"/>
                <w:szCs w:val="18"/>
              </w:rPr>
            </w:r>
          </w:p>
        </w:tc>
        <w:tc>
          <w:tcPr>
            <w:tcW w:w="65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变动详情</w:t>
            </w:r>
            <w:r>
              <w:rPr>
                <w:rFonts w:ascii="宋体" w:hAnsi="宋体" w:cs="宋体" w:eastAsia="宋体" w:hint="default"/>
                <w:sz w:val="18"/>
                <w:szCs w:val="18"/>
              </w:rPr>
            </w:r>
          </w:p>
        </w:tc>
      </w:tr>
      <w:tr>
        <w:trPr>
          <w:trHeight w:val="431" w:hRule="exact"/>
        </w:trPr>
        <w:tc>
          <w:tcPr>
            <w:tcW w:w="307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崔友平</w:t>
            </w:r>
          </w:p>
        </w:tc>
        <w:tc>
          <w:tcPr>
            <w:tcW w:w="658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自</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日离任非执行董事</w:t>
            </w:r>
          </w:p>
        </w:tc>
      </w:tr>
      <w:tr>
        <w:trPr>
          <w:trHeight w:val="428"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杨桂花</w:t>
            </w:r>
          </w:p>
        </w:tc>
        <w:tc>
          <w:tcPr>
            <w:tcW w:w="6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自</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日起出任非执行董事</w:t>
            </w:r>
          </w:p>
        </w:tc>
      </w:tr>
    </w:tbl>
    <w:p>
      <w:pPr>
        <w:spacing w:line="240" w:lineRule="auto" w:before="2"/>
        <w:rPr>
          <w:rFonts w:ascii="宋体" w:hAnsi="宋体" w:cs="宋体" w:eastAsia="宋体" w:hint="default"/>
          <w:sz w:val="18"/>
          <w:szCs w:val="18"/>
        </w:rPr>
      </w:pPr>
    </w:p>
    <w:p>
      <w:pPr>
        <w:pStyle w:val="Heading2"/>
        <w:spacing w:line="240" w:lineRule="auto" w:before="26"/>
        <w:ind w:right="182"/>
        <w:jc w:val="left"/>
        <w:rPr>
          <w:b w:val="0"/>
          <w:bCs w:val="0"/>
        </w:rPr>
      </w:pPr>
      <w:r>
        <w:rPr/>
        <w:t>六、报告期核心技术团队或关键技术人员变动情况（非董事、监事、高级管理人员）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2" w:firstLine="360"/>
        <w:jc w:val="left"/>
      </w:pPr>
      <w:r>
        <w:rPr>
          <w:spacing w:val="-2"/>
        </w:rPr>
        <w:t>报告期内，公司核心技术团队或关键技术人员（非董事、监事、高级管理人员）等对公司核心竞争力有重大影响的人员</w:t>
      </w:r>
      <w:r>
        <w:rPr/>
        <w:t> 未发生变动，未对公司经营产生影响。</w:t>
      </w:r>
    </w:p>
    <w:p>
      <w:pPr>
        <w:spacing w:line="240" w:lineRule="auto" w:before="10"/>
        <w:rPr>
          <w:rFonts w:ascii="宋体" w:hAnsi="宋体" w:cs="宋体" w:eastAsia="宋体" w:hint="default"/>
          <w:sz w:val="20"/>
          <w:szCs w:val="20"/>
        </w:rPr>
      </w:pPr>
    </w:p>
    <w:p>
      <w:pPr>
        <w:pStyle w:val="Heading2"/>
        <w:spacing w:line="240" w:lineRule="auto"/>
        <w:ind w:right="182"/>
        <w:jc w:val="left"/>
        <w:rPr>
          <w:b w:val="0"/>
          <w:bCs w:val="0"/>
        </w:rPr>
      </w:pPr>
      <w:r>
        <w:rPr/>
        <w:t>七、公司员工情况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182"/>
        <w:jc w:val="left"/>
      </w:pPr>
      <w:r>
        <w:rPr/>
        <w:t>报告期末，集团在职员工总数为</w:t>
      </w:r>
      <w:r>
        <w:rPr>
          <w:rFonts w:ascii="Times New Roman" w:hAnsi="Times New Roman" w:cs="Times New Roman" w:eastAsia="Times New Roman" w:hint="default"/>
        </w:rPr>
        <w:t>12,833</w:t>
      </w:r>
      <w:r>
        <w:rPr/>
        <w:t>人。</w:t>
      </w:r>
    </w:p>
    <w:p>
      <w:pPr>
        <w:pStyle w:val="BodyText"/>
        <w:spacing w:line="240" w:lineRule="auto" w:before="62"/>
        <w:ind w:left="513" w:right="182"/>
        <w:jc w:val="left"/>
      </w:pPr>
      <w:r>
        <w:rPr/>
        <w:t>（</w:t>
      </w:r>
      <w:r>
        <w:rPr>
          <w:rFonts w:ascii="Times New Roman" w:hAnsi="Times New Roman" w:cs="Times New Roman" w:eastAsia="Times New Roman" w:hint="default"/>
        </w:rPr>
        <w:t>1</w:t>
      </w:r>
      <w:r>
        <w:rPr/>
        <w:t>）专业构成</w:t>
      </w:r>
    </w:p>
    <w:p>
      <w:pPr>
        <w:spacing w:line="240" w:lineRule="auto" w:before="2"/>
        <w:rPr>
          <w:rFonts w:ascii="宋体" w:hAnsi="宋体" w:cs="宋体" w:eastAsia="宋体" w:hint="default"/>
          <w:sz w:val="17"/>
          <w:szCs w:val="17"/>
        </w:rPr>
      </w:pPr>
    </w:p>
    <w:p>
      <w:pPr>
        <w:spacing w:line="4018" w:lineRule="exact"/>
        <w:ind w:left="229" w:right="0" w:firstLine="0"/>
        <w:rPr>
          <w:rFonts w:ascii="宋体" w:hAnsi="宋体" w:cs="宋体" w:eastAsia="宋体" w:hint="default"/>
          <w:sz w:val="20"/>
          <w:szCs w:val="20"/>
        </w:rPr>
      </w:pPr>
      <w:r>
        <w:rPr>
          <w:rFonts w:ascii="宋体" w:hAnsi="宋体" w:cs="宋体" w:eastAsia="宋体" w:hint="default"/>
          <w:position w:val="-79"/>
          <w:sz w:val="20"/>
          <w:szCs w:val="20"/>
        </w:rPr>
        <w:pict>
          <v:group style="width:473.65pt;height:200.95pt;mso-position-horizontal-relative:char;mso-position-vertical-relative:line" coordorigin="0,0" coordsize="9473,4019">
            <v:group style="position:absolute;left:1;top:1;width:9472;height:4018" coordorigin="1,1" coordsize="9472,4018">
              <v:shape style="position:absolute;left:1;top:1;width:9472;height:4018" coordorigin="1,1" coordsize="9472,4018" path="m1,1l9472,1,9472,4018,1,4018,1,1xe" filled="false" stroked="true" strokeweight=".06pt" strokecolor="#000000">
                <v:path arrowok="t"/>
              </v:shape>
              <v:shape style="position:absolute;left:2169;top:1022;width:5132;height:1604" type="#_x0000_t75" stroked="false">
                <v:imagedata r:id="rId17" o:title=""/>
              </v:shape>
            </v:group>
            <v:group style="position:absolute;left:1814;top:3731;width:5831;height:239" coordorigin="1814,3731" coordsize="5831,239">
              <v:shape style="position:absolute;left:1814;top:3731;width:5831;height:239" coordorigin="1814,3731" coordsize="5831,239" path="m1814,3731l7645,3731,7645,3970,1814,3970,1814,3731xe" filled="false" stroked="true" strokeweight=".06pt" strokecolor="#000000">
                <v:path arrowok="t"/>
              </v:shape>
            </v:group>
            <v:group style="position:absolute;left:1883;top:3856;width:98;height:2" coordorigin="1883,3856" coordsize="98,2">
              <v:shape style="position:absolute;left:1883;top:3856;width:98;height:2" coordorigin="1883,3856" coordsize="98,0" path="m1883,3856l1981,3856e" filled="false" stroked="true" strokeweight="4.199551pt" strokecolor="#339a65">
                <v:path arrowok="t"/>
              </v:shape>
            </v:group>
            <v:group style="position:absolute;left:1883;top:3814;width:98;height:84" coordorigin="1883,3814" coordsize="98,84">
              <v:shape style="position:absolute;left:1883;top:3814;width:98;height:84" coordorigin="1883,3814" coordsize="98,84" path="m1883,3814l1981,3814,1981,3898,1883,3898,1883,3814xe" filled="false" stroked="true" strokeweight=".640692pt" strokecolor="#000000">
                <v:path arrowok="t"/>
              </v:shape>
            </v:group>
            <v:group style="position:absolute;left:2846;top:3856;width:99;height:2" coordorigin="2846,3856" coordsize="99,2">
              <v:shape style="position:absolute;left:2846;top:3856;width:99;height:2" coordorigin="2846,3856" coordsize="99,0" path="m2846,3856l2944,3856e" filled="false" stroked="true" strokeweight="4.199551pt" strokecolor="#ffff00">
                <v:path arrowok="t"/>
              </v:shape>
            </v:group>
            <v:group style="position:absolute;left:2846;top:3814;width:99;height:84" coordorigin="2846,3814" coordsize="99,84">
              <v:shape style="position:absolute;left:2846;top:3814;width:99;height:84" coordorigin="2846,3814" coordsize="99,84" path="m2846,3814l2944,3814,2944,3898,2846,3898,2846,3814xe" filled="false" stroked="true" strokeweight=".640090pt" strokecolor="#000000">
                <v:path arrowok="t"/>
              </v:shape>
            </v:group>
            <v:group style="position:absolute;left:3808;top:3856;width:99;height:2" coordorigin="3808,3856" coordsize="99,2">
              <v:shape style="position:absolute;left:3808;top:3856;width:99;height:2" coordorigin="3808,3856" coordsize="99,0" path="m3808,3856l3906,3856e" filled="false" stroked="true" strokeweight="4.199551pt" strokecolor="#00ccff">
                <v:path arrowok="t"/>
              </v:shape>
            </v:group>
            <v:group style="position:absolute;left:3808;top:3814;width:99;height:84" coordorigin="3808,3814" coordsize="99,84">
              <v:shape style="position:absolute;left:3808;top:3814;width:99;height:84" coordorigin="3808,3814" coordsize="99,84" path="m3808,3814l3906,3814,3906,3898,3808,3898,3808,3814xe" filled="false" stroked="true" strokeweight=".640090pt" strokecolor="#000000">
                <v:path arrowok="t"/>
              </v:shape>
            </v:group>
            <v:group style="position:absolute;left:4770;top:3856;width:99;height:2" coordorigin="4770,3856" coordsize="99,2">
              <v:shape style="position:absolute;left:4770;top:3856;width:99;height:2" coordorigin="4770,3856" coordsize="99,0" path="m4770,3856l4869,3856e" filled="false" stroked="true" strokeweight="4.199551pt" strokecolor="#ff9a00">
                <v:path arrowok="t"/>
              </v:shape>
            </v:group>
            <v:group style="position:absolute;left:4770;top:3814;width:99;height:84" coordorigin="4770,3814" coordsize="99,84">
              <v:shape style="position:absolute;left:4770;top:3814;width:99;height:84" coordorigin="4770,3814" coordsize="99,84" path="m4770,3814l4869,3814,4869,3898,4770,3898,4770,3814xe" filled="false" stroked="true" strokeweight=".640090pt" strokecolor="#000000">
                <v:path arrowok="t"/>
              </v:shape>
            </v:group>
            <v:group style="position:absolute;left:5733;top:3856;width:99;height:2" coordorigin="5733,3856" coordsize="99,2">
              <v:shape style="position:absolute;left:5733;top:3856;width:99;height:2" coordorigin="5733,3856" coordsize="99,0" path="m5733,3856l5831,3856e" filled="false" stroked="true" strokeweight="4.199551pt" strokecolor="#ccffcc">
                <v:path arrowok="t"/>
              </v:shape>
            </v:group>
            <v:group style="position:absolute;left:5733;top:3814;width:99;height:84" coordorigin="5733,3814" coordsize="99,84">
              <v:shape style="position:absolute;left:5733;top:3814;width:99;height:84" coordorigin="5733,3814" coordsize="99,84" path="m5733,3814l5831,3814,5831,3898,5733,3898,5733,3814xe" filled="false" stroked="true" strokeweight=".640090pt" strokecolor="#000000">
                <v:path arrowok="t"/>
              </v:shape>
            </v:group>
            <v:group style="position:absolute;left:6696;top:3856;width:98;height:2" coordorigin="6696,3856" coordsize="98,2">
              <v:shape style="position:absolute;left:6696;top:3856;width:98;height:2" coordorigin="6696,3856" coordsize="98,0" path="m6696,3856l6794,3856e" filled="false" stroked="true" strokeweight="4.199551pt" strokecolor="#cc9aff">
                <v:path arrowok="t"/>
              </v:shape>
            </v:group>
            <v:group style="position:absolute;left:6696;top:3814;width:98;height:84" coordorigin="6696,3814" coordsize="98,84">
              <v:shape style="position:absolute;left:6696;top:3814;width:98;height:84" coordorigin="6696,3814" coordsize="98,84" path="m6696,3814l6794,3814,6794,3898,6696,3898,6696,3814xe" filled="false" stroked="true" strokeweight=".640692pt" strokecolor="#000000">
                <v:path arrowok="t"/>
              </v:shape>
            </v:group>
            <v:group style="position:absolute;left:1;top:1;width:9472;height:4018" coordorigin="1,1" coordsize="9472,4018">
              <v:shape style="position:absolute;left:1;top:1;width:9472;height:4018" coordorigin="1,1" coordsize="9472,4018" path="m1,1l9472,1,9472,4018,1,4018,1,1xe" filled="false" stroked="true" strokeweight=".06pt" strokecolor="#000000">
                <v:path arrowok="t"/>
              </v:shape>
              <v:shape style="position:absolute;left:1814;top:3731;width:5831;height:263" type="#_x0000_t202" filled="false" stroked="false">
                <v:textbox inset="0,0,0,0">
                  <w:txbxContent>
                    <w:p>
                      <w:pPr>
                        <w:tabs>
                          <w:tab w:pos="1186" w:val="left" w:leader="none"/>
                          <w:tab w:pos="2149" w:val="left" w:leader="none"/>
                          <w:tab w:pos="3111" w:val="left" w:leader="none"/>
                          <w:tab w:pos="4073" w:val="left" w:leader="none"/>
                          <w:tab w:pos="5036" w:val="left" w:leader="none"/>
                        </w:tabs>
                        <w:spacing w:before="6"/>
                        <w:ind w:left="223" w:right="0" w:firstLine="0"/>
                        <w:jc w:val="left"/>
                        <w:rPr>
                          <w:rFonts w:ascii="宋体" w:hAnsi="宋体" w:cs="宋体" w:eastAsia="宋体" w:hint="default"/>
                          <w:sz w:val="15"/>
                          <w:szCs w:val="15"/>
                        </w:rPr>
                      </w:pPr>
                      <w:r>
                        <w:rPr>
                          <w:rFonts w:ascii="宋体" w:hAnsi="宋体" w:cs="宋体" w:eastAsia="宋体" w:hint="default"/>
                          <w:spacing w:val="-1"/>
                          <w:w w:val="120"/>
                          <w:sz w:val="15"/>
                          <w:szCs w:val="15"/>
                        </w:rPr>
                        <w:t>生产人员</w:t>
                        <w:tab/>
                        <w:t>销售人员</w:t>
                        <w:tab/>
                        <w:t>技术人员</w:t>
                        <w:tab/>
                        <w:t>财务人员</w:t>
                        <w:tab/>
                        <w:t>行政人员</w:t>
                        <w:tab/>
                        <w:t>其他人员</w:t>
                      </w:r>
                      <w:r>
                        <w:rPr>
                          <w:rFonts w:ascii="宋体" w:hAnsi="宋体" w:cs="宋体" w:eastAsia="宋体" w:hint="default"/>
                          <w:sz w:val="15"/>
                          <w:szCs w:val="15"/>
                        </w:rPr>
                      </w:r>
                    </w:p>
                  </w:txbxContent>
                </v:textbox>
                <w10:wrap type="none"/>
              </v:shape>
              <v:shape style="position:absolute;left:2763;top:826;width:1235;height:158" type="#_x0000_t202" filled="false" stroked="false">
                <v:textbox inset="0,0,0,0">
                  <w:txbxContent>
                    <w:p>
                      <w:pPr>
                        <w:spacing w:line="156" w:lineRule="exact" w:before="0"/>
                        <w:ind w:left="0" w:right="0" w:firstLine="0"/>
                        <w:jc w:val="left"/>
                        <w:rPr>
                          <w:rFonts w:ascii="Times New Roman" w:hAnsi="Times New Roman" w:cs="Times New Roman" w:eastAsia="Times New Roman" w:hint="default"/>
                          <w:sz w:val="15"/>
                          <w:szCs w:val="15"/>
                        </w:rPr>
                      </w:pPr>
                      <w:r>
                        <w:rPr>
                          <w:rFonts w:ascii="宋体" w:hAnsi="宋体" w:cs="宋体" w:eastAsia="宋体" w:hint="default"/>
                          <w:w w:val="120"/>
                          <w:sz w:val="15"/>
                          <w:szCs w:val="15"/>
                        </w:rPr>
                        <w:t>其他人员</w:t>
                      </w:r>
                      <w:r>
                        <w:rPr>
                          <w:rFonts w:ascii="Times New Roman" w:hAnsi="Times New Roman" w:cs="Times New Roman" w:eastAsia="Times New Roman" w:hint="default"/>
                          <w:w w:val="120"/>
                          <w:position w:val="1"/>
                          <w:sz w:val="15"/>
                          <w:szCs w:val="15"/>
                        </w:rPr>
                        <w:t>,</w:t>
                      </w:r>
                      <w:r>
                        <w:rPr>
                          <w:rFonts w:ascii="Times New Roman" w:hAnsi="Times New Roman" w:cs="Times New Roman" w:eastAsia="Times New Roman" w:hint="default"/>
                          <w:spacing w:val="38"/>
                          <w:w w:val="120"/>
                          <w:position w:val="1"/>
                          <w:sz w:val="15"/>
                          <w:szCs w:val="15"/>
                        </w:rPr>
                        <w:t> </w:t>
                      </w:r>
                      <w:r>
                        <w:rPr>
                          <w:rFonts w:ascii="Times New Roman" w:hAnsi="Times New Roman" w:cs="Times New Roman" w:eastAsia="Times New Roman" w:hint="default"/>
                          <w:spacing w:val="-5"/>
                          <w:w w:val="120"/>
                          <w:position w:val="1"/>
                          <w:sz w:val="15"/>
                          <w:szCs w:val="15"/>
                        </w:rPr>
                        <w:t>1,219</w:t>
                      </w:r>
                      <w:r>
                        <w:rPr>
                          <w:rFonts w:ascii="Times New Roman" w:hAnsi="Times New Roman" w:cs="Times New Roman" w:eastAsia="Times New Roman" w:hint="default"/>
                          <w:spacing w:val="-5"/>
                          <w:sz w:val="15"/>
                          <w:szCs w:val="15"/>
                        </w:rPr>
                      </w:r>
                    </w:p>
                  </w:txbxContent>
                </v:textbox>
                <w10:wrap type="none"/>
              </v:shape>
              <v:shape style="position:absolute;left:1047;top:1064;width:1542;height:422" type="#_x0000_t202" filled="false" stroked="false">
                <v:textbox inset="0,0,0,0">
                  <w:txbxContent>
                    <w:p>
                      <w:pPr>
                        <w:spacing w:line="166" w:lineRule="exact" w:before="0"/>
                        <w:ind w:left="307" w:right="0" w:firstLine="0"/>
                        <w:jc w:val="left"/>
                        <w:rPr>
                          <w:rFonts w:ascii="Times New Roman" w:hAnsi="Times New Roman" w:cs="Times New Roman" w:eastAsia="Times New Roman" w:hint="default"/>
                          <w:sz w:val="15"/>
                          <w:szCs w:val="15"/>
                        </w:rPr>
                      </w:pPr>
                      <w:r>
                        <w:rPr>
                          <w:rFonts w:ascii="宋体" w:hAnsi="宋体" w:cs="宋体" w:eastAsia="宋体" w:hint="default"/>
                          <w:w w:val="120"/>
                          <w:sz w:val="15"/>
                          <w:szCs w:val="15"/>
                        </w:rPr>
                        <w:t>行政人员</w:t>
                      </w:r>
                      <w:r>
                        <w:rPr>
                          <w:rFonts w:ascii="Times New Roman" w:hAnsi="Times New Roman" w:cs="Times New Roman" w:eastAsia="Times New Roman" w:hint="default"/>
                          <w:w w:val="120"/>
                          <w:sz w:val="15"/>
                          <w:szCs w:val="15"/>
                        </w:rPr>
                        <w:t>,</w:t>
                      </w:r>
                      <w:r>
                        <w:rPr>
                          <w:rFonts w:ascii="Times New Roman" w:hAnsi="Times New Roman" w:cs="Times New Roman" w:eastAsia="Times New Roman" w:hint="default"/>
                          <w:spacing w:val="38"/>
                          <w:w w:val="120"/>
                          <w:sz w:val="15"/>
                          <w:szCs w:val="15"/>
                        </w:rPr>
                        <w:t> </w:t>
                      </w:r>
                      <w:r>
                        <w:rPr>
                          <w:rFonts w:ascii="Times New Roman" w:hAnsi="Times New Roman" w:cs="Times New Roman" w:eastAsia="Times New Roman" w:hint="default"/>
                          <w:spacing w:val="-5"/>
                          <w:w w:val="120"/>
                          <w:sz w:val="15"/>
                          <w:szCs w:val="15"/>
                        </w:rPr>
                        <w:t>1,326</w:t>
                      </w:r>
                      <w:r>
                        <w:rPr>
                          <w:rFonts w:ascii="Times New Roman" w:hAnsi="Times New Roman" w:cs="Times New Roman" w:eastAsia="Times New Roman" w:hint="default"/>
                          <w:spacing w:val="-5"/>
                          <w:sz w:val="15"/>
                          <w:szCs w:val="15"/>
                        </w:rPr>
                      </w:r>
                    </w:p>
                    <w:p>
                      <w:pPr>
                        <w:spacing w:before="56"/>
                        <w:ind w:left="0" w:right="0" w:firstLine="0"/>
                        <w:jc w:val="left"/>
                        <w:rPr>
                          <w:rFonts w:ascii="Times New Roman" w:hAnsi="Times New Roman" w:cs="Times New Roman" w:eastAsia="Times New Roman" w:hint="default"/>
                          <w:sz w:val="15"/>
                          <w:szCs w:val="15"/>
                        </w:rPr>
                      </w:pPr>
                      <w:r>
                        <w:rPr>
                          <w:rFonts w:ascii="宋体" w:hAnsi="宋体" w:cs="宋体" w:eastAsia="宋体" w:hint="default"/>
                          <w:w w:val="120"/>
                          <w:sz w:val="15"/>
                          <w:szCs w:val="15"/>
                        </w:rPr>
                        <w:t>财务人员</w:t>
                      </w:r>
                      <w:r>
                        <w:rPr>
                          <w:rFonts w:ascii="Times New Roman" w:hAnsi="Times New Roman" w:cs="Times New Roman" w:eastAsia="Times New Roman" w:hint="default"/>
                          <w:w w:val="120"/>
                          <w:position w:val="1"/>
                          <w:sz w:val="15"/>
                          <w:szCs w:val="15"/>
                        </w:rPr>
                        <w:t>,</w:t>
                      </w:r>
                      <w:r>
                        <w:rPr>
                          <w:rFonts w:ascii="Times New Roman" w:hAnsi="Times New Roman" w:cs="Times New Roman" w:eastAsia="Times New Roman" w:hint="default"/>
                          <w:spacing w:val="32"/>
                          <w:w w:val="120"/>
                          <w:position w:val="1"/>
                          <w:sz w:val="15"/>
                          <w:szCs w:val="15"/>
                        </w:rPr>
                        <w:t> </w:t>
                      </w:r>
                      <w:r>
                        <w:rPr>
                          <w:rFonts w:ascii="Times New Roman" w:hAnsi="Times New Roman" w:cs="Times New Roman" w:eastAsia="Times New Roman" w:hint="default"/>
                          <w:spacing w:val="-5"/>
                          <w:w w:val="120"/>
                          <w:position w:val="1"/>
                          <w:sz w:val="15"/>
                          <w:szCs w:val="15"/>
                        </w:rPr>
                        <w:t>192</w:t>
                      </w:r>
                      <w:r>
                        <w:rPr>
                          <w:rFonts w:ascii="Times New Roman" w:hAnsi="Times New Roman" w:cs="Times New Roman" w:eastAsia="Times New Roman" w:hint="default"/>
                          <w:sz w:val="15"/>
                          <w:szCs w:val="15"/>
                        </w:rPr>
                      </w:r>
                    </w:p>
                  </w:txbxContent>
                </v:textbox>
                <w10:wrap type="none"/>
              </v:shape>
              <v:shape style="position:absolute;left:880;top:2189;width:1235;height:158" type="#_x0000_t202" filled="false" stroked="false">
                <v:textbox inset="0,0,0,0">
                  <w:txbxContent>
                    <w:p>
                      <w:pPr>
                        <w:spacing w:line="156" w:lineRule="exact" w:before="0"/>
                        <w:ind w:left="0" w:right="0" w:firstLine="0"/>
                        <w:jc w:val="left"/>
                        <w:rPr>
                          <w:rFonts w:ascii="Times New Roman" w:hAnsi="Times New Roman" w:cs="Times New Roman" w:eastAsia="Times New Roman" w:hint="default"/>
                          <w:sz w:val="15"/>
                          <w:szCs w:val="15"/>
                        </w:rPr>
                      </w:pPr>
                      <w:r>
                        <w:rPr>
                          <w:rFonts w:ascii="宋体" w:hAnsi="宋体" w:cs="宋体" w:eastAsia="宋体" w:hint="default"/>
                          <w:w w:val="120"/>
                          <w:sz w:val="15"/>
                          <w:szCs w:val="15"/>
                        </w:rPr>
                        <w:t>技术人员</w:t>
                      </w:r>
                      <w:r>
                        <w:rPr>
                          <w:rFonts w:ascii="Times New Roman" w:hAnsi="Times New Roman" w:cs="Times New Roman" w:eastAsia="Times New Roman" w:hint="default"/>
                          <w:w w:val="120"/>
                          <w:position w:val="1"/>
                          <w:sz w:val="15"/>
                          <w:szCs w:val="15"/>
                        </w:rPr>
                        <w:t>,</w:t>
                      </w:r>
                      <w:r>
                        <w:rPr>
                          <w:rFonts w:ascii="Times New Roman" w:hAnsi="Times New Roman" w:cs="Times New Roman" w:eastAsia="Times New Roman" w:hint="default"/>
                          <w:spacing w:val="38"/>
                          <w:w w:val="120"/>
                          <w:position w:val="1"/>
                          <w:sz w:val="15"/>
                          <w:szCs w:val="15"/>
                        </w:rPr>
                        <w:t> </w:t>
                      </w:r>
                      <w:r>
                        <w:rPr>
                          <w:rFonts w:ascii="Times New Roman" w:hAnsi="Times New Roman" w:cs="Times New Roman" w:eastAsia="Times New Roman" w:hint="default"/>
                          <w:spacing w:val="-5"/>
                          <w:w w:val="120"/>
                          <w:position w:val="1"/>
                          <w:sz w:val="15"/>
                          <w:szCs w:val="15"/>
                        </w:rPr>
                        <w:t>1,911</w:t>
                      </w:r>
                      <w:r>
                        <w:rPr>
                          <w:rFonts w:ascii="Times New Roman" w:hAnsi="Times New Roman" w:cs="Times New Roman" w:eastAsia="Times New Roman" w:hint="default"/>
                          <w:spacing w:val="-5"/>
                          <w:sz w:val="15"/>
                          <w:szCs w:val="15"/>
                        </w:rPr>
                      </w:r>
                    </w:p>
                  </w:txbxContent>
                </v:textbox>
                <w10:wrap type="none"/>
              </v:shape>
              <v:shape style="position:absolute;left:7366;top:2153;width:1235;height:158" type="#_x0000_t202" filled="false" stroked="false">
                <v:textbox inset="0,0,0,0">
                  <w:txbxContent>
                    <w:p>
                      <w:pPr>
                        <w:spacing w:line="156" w:lineRule="exact" w:before="0"/>
                        <w:ind w:left="0" w:right="0" w:firstLine="0"/>
                        <w:jc w:val="left"/>
                        <w:rPr>
                          <w:rFonts w:ascii="Times New Roman" w:hAnsi="Times New Roman" w:cs="Times New Roman" w:eastAsia="Times New Roman" w:hint="default"/>
                          <w:sz w:val="15"/>
                          <w:szCs w:val="15"/>
                        </w:rPr>
                      </w:pPr>
                      <w:r>
                        <w:rPr>
                          <w:rFonts w:ascii="宋体" w:hAnsi="宋体" w:cs="宋体" w:eastAsia="宋体" w:hint="default"/>
                          <w:w w:val="120"/>
                          <w:sz w:val="15"/>
                          <w:szCs w:val="15"/>
                        </w:rPr>
                        <w:t>生产人员</w:t>
                      </w:r>
                      <w:r>
                        <w:rPr>
                          <w:rFonts w:ascii="Times New Roman" w:hAnsi="Times New Roman" w:cs="Times New Roman" w:eastAsia="Times New Roman" w:hint="default"/>
                          <w:w w:val="120"/>
                          <w:position w:val="1"/>
                          <w:sz w:val="15"/>
                          <w:szCs w:val="15"/>
                        </w:rPr>
                        <w:t>,</w:t>
                      </w:r>
                      <w:r>
                        <w:rPr>
                          <w:rFonts w:ascii="Times New Roman" w:hAnsi="Times New Roman" w:cs="Times New Roman" w:eastAsia="Times New Roman" w:hint="default"/>
                          <w:spacing w:val="38"/>
                          <w:w w:val="120"/>
                          <w:position w:val="1"/>
                          <w:sz w:val="15"/>
                          <w:szCs w:val="15"/>
                        </w:rPr>
                        <w:t> </w:t>
                      </w:r>
                      <w:r>
                        <w:rPr>
                          <w:rFonts w:ascii="Times New Roman" w:hAnsi="Times New Roman" w:cs="Times New Roman" w:eastAsia="Times New Roman" w:hint="default"/>
                          <w:spacing w:val="-5"/>
                          <w:w w:val="120"/>
                          <w:position w:val="1"/>
                          <w:sz w:val="15"/>
                          <w:szCs w:val="15"/>
                        </w:rPr>
                        <w:t>7,226</w:t>
                      </w:r>
                      <w:r>
                        <w:rPr>
                          <w:rFonts w:ascii="Times New Roman" w:hAnsi="Times New Roman" w:cs="Times New Roman" w:eastAsia="Times New Roman" w:hint="default"/>
                          <w:spacing w:val="-5"/>
                          <w:sz w:val="15"/>
                          <w:szCs w:val="15"/>
                        </w:rPr>
                      </w:r>
                    </w:p>
                  </w:txbxContent>
                </v:textbox>
                <w10:wrap type="none"/>
              </v:shape>
              <v:shape style="position:absolute;left:2037;top:2632;width:1110;height:158" type="#_x0000_t202" filled="false" stroked="false">
                <v:textbox inset="0,0,0,0">
                  <w:txbxContent>
                    <w:p>
                      <w:pPr>
                        <w:spacing w:line="156" w:lineRule="exact" w:before="0"/>
                        <w:ind w:left="0" w:right="0" w:firstLine="0"/>
                        <w:jc w:val="left"/>
                        <w:rPr>
                          <w:rFonts w:ascii="Times New Roman" w:hAnsi="Times New Roman" w:cs="Times New Roman" w:eastAsia="Times New Roman" w:hint="default"/>
                          <w:sz w:val="15"/>
                          <w:szCs w:val="15"/>
                        </w:rPr>
                      </w:pPr>
                      <w:r>
                        <w:rPr>
                          <w:rFonts w:ascii="宋体" w:hAnsi="宋体" w:cs="宋体" w:eastAsia="宋体" w:hint="default"/>
                          <w:w w:val="120"/>
                          <w:sz w:val="15"/>
                          <w:szCs w:val="15"/>
                        </w:rPr>
                        <w:t>销售人员</w:t>
                      </w:r>
                      <w:r>
                        <w:rPr>
                          <w:rFonts w:ascii="Times New Roman" w:hAnsi="Times New Roman" w:cs="Times New Roman" w:eastAsia="Times New Roman" w:hint="default"/>
                          <w:w w:val="120"/>
                          <w:position w:val="1"/>
                          <w:sz w:val="15"/>
                          <w:szCs w:val="15"/>
                        </w:rPr>
                        <w:t>,</w:t>
                      </w:r>
                      <w:r>
                        <w:rPr>
                          <w:rFonts w:ascii="Times New Roman" w:hAnsi="Times New Roman" w:cs="Times New Roman" w:eastAsia="Times New Roman" w:hint="default"/>
                          <w:spacing w:val="40"/>
                          <w:w w:val="120"/>
                          <w:position w:val="1"/>
                          <w:sz w:val="15"/>
                          <w:szCs w:val="15"/>
                        </w:rPr>
                        <w:t> </w:t>
                      </w:r>
                      <w:r>
                        <w:rPr>
                          <w:rFonts w:ascii="Times New Roman" w:hAnsi="Times New Roman" w:cs="Times New Roman" w:eastAsia="Times New Roman" w:hint="default"/>
                          <w:spacing w:val="-5"/>
                          <w:w w:val="120"/>
                          <w:position w:val="1"/>
                          <w:sz w:val="15"/>
                          <w:szCs w:val="15"/>
                        </w:rPr>
                        <w:t>959</w:t>
                      </w:r>
                      <w:r>
                        <w:rPr>
                          <w:rFonts w:ascii="Times New Roman" w:hAnsi="Times New Roman" w:cs="Times New Roman" w:eastAsia="Times New Roman" w:hint="default"/>
                          <w:spacing w:val="-5"/>
                          <w:sz w:val="15"/>
                          <w:szCs w:val="15"/>
                        </w:rPr>
                      </w:r>
                    </w:p>
                  </w:txbxContent>
                </v:textbox>
                <w10:wrap type="none"/>
              </v:shape>
            </v:group>
          </v:group>
        </w:pict>
      </w:r>
      <w:r>
        <w:rPr>
          <w:rFonts w:ascii="宋体" w:hAnsi="宋体" w:cs="宋体" w:eastAsia="宋体" w:hint="default"/>
          <w:position w:val="-79"/>
          <w:sz w:val="20"/>
          <w:szCs w:val="20"/>
        </w:rPr>
      </w:r>
    </w:p>
    <w:p>
      <w:pPr>
        <w:spacing w:after="0" w:line="4018" w:lineRule="exact"/>
        <w:rPr>
          <w:rFonts w:ascii="宋体" w:hAnsi="宋体" w:cs="宋体" w:eastAsia="宋体" w:hint="default"/>
          <w:sz w:val="20"/>
          <w:szCs w:val="20"/>
        </w:rPr>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3" w:right="182"/>
        <w:jc w:val="left"/>
      </w:pPr>
      <w:r>
        <w:rPr/>
        <w:t>（</w:t>
      </w:r>
      <w:r>
        <w:rPr>
          <w:rFonts w:ascii="Times New Roman" w:hAnsi="Times New Roman" w:cs="Times New Roman" w:eastAsia="Times New Roman" w:hint="default"/>
        </w:rPr>
        <w:t>2</w:t>
      </w:r>
      <w:r>
        <w:rPr/>
        <w:t>）教育程度</w:t>
      </w:r>
    </w:p>
    <w:p>
      <w:pPr>
        <w:spacing w:line="240" w:lineRule="auto" w:before="5"/>
        <w:rPr>
          <w:rFonts w:ascii="宋体" w:hAnsi="宋体" w:cs="宋体" w:eastAsia="宋体" w:hint="default"/>
          <w:sz w:val="15"/>
          <w:szCs w:val="15"/>
        </w:rPr>
      </w:pPr>
    </w:p>
    <w:p>
      <w:pPr>
        <w:spacing w:line="4069" w:lineRule="exact"/>
        <w:ind w:left="229" w:right="0" w:firstLine="0"/>
        <w:rPr>
          <w:rFonts w:ascii="宋体" w:hAnsi="宋体" w:cs="宋体" w:eastAsia="宋体" w:hint="default"/>
          <w:sz w:val="20"/>
          <w:szCs w:val="20"/>
        </w:rPr>
      </w:pPr>
      <w:r>
        <w:rPr>
          <w:rFonts w:ascii="宋体" w:hAnsi="宋体" w:cs="宋体" w:eastAsia="宋体" w:hint="default"/>
          <w:position w:val="-80"/>
          <w:sz w:val="20"/>
          <w:szCs w:val="20"/>
        </w:rPr>
        <w:pict>
          <v:group style="width:473.6pt;height:203.5pt;mso-position-horizontal-relative:char;mso-position-vertical-relative:line" coordorigin="0,0" coordsize="9472,4070">
            <v:group style="position:absolute;left:4743;top:1064;width:2;height:926" coordorigin="4743,1064" coordsize="2,926">
              <v:shape style="position:absolute;left:4743;top:1064;width:2;height:926" coordorigin="4743,1064" coordsize="0,926" path="m4743,1064l4743,1990e" filled="false" stroked="true" strokeweight="1.440418pt" strokecolor="#4d4d80">
                <v:path arrowok="t"/>
              </v:shape>
            </v:group>
            <v:group style="position:absolute;left:4728;top:1064;width:29;height:926" coordorigin="4728,1064" coordsize="29,926">
              <v:shape style="position:absolute;left:4728;top:1064;width:29;height:926" coordorigin="4728,1064" coordsize="29,926" path="m4728,1508l4757,1064,4757,1547,4728,1990,4728,1508xe" filled="false" stroked="true" strokeweight=".697592pt" strokecolor="#000000">
                <v:path arrowok="t"/>
              </v:shape>
            </v:group>
            <v:group style="position:absolute;left:4743;top:1064;width:2;height:444" coordorigin="4743,1064" coordsize="2,444">
              <v:shape style="position:absolute;left:4743;top:1064;width:2;height:444" coordorigin="4743,1064" coordsize="0,444" path="m4743,1064l4743,1508e" filled="false" stroked="true" strokeweight="1.440418pt" strokecolor="#9a9aff">
                <v:path arrowok="t"/>
              </v:shape>
            </v:group>
            <v:group style="position:absolute;left:4728;top:1064;width:29;height:444" coordorigin="4728,1064" coordsize="29,444">
              <v:shape style="position:absolute;left:4728;top:1064;width:29;height:444" coordorigin="4728,1064" coordsize="29,444" path="m4728,1064l4757,1064,4728,1508,4728,1064xe" filled="false" stroked="true" strokeweight=".697386pt" strokecolor="#000000">
                <v:path arrowok="t"/>
              </v:shape>
            </v:group>
            <v:group style="position:absolute;left:4868;top:1141;width:1060;height:849" coordorigin="4868,1141" coordsize="1060,849">
              <v:shape style="position:absolute;left:4868;top:1141;width:1060;height:849" coordorigin="4868,1141" coordsize="1060,849" path="m4868,1990l4868,1508,5928,1141,5928,1622,4868,1990xe" filled="true" fillcolor="#008000" stroked="false">
                <v:path arrowok="t"/>
                <v:fill type="solid"/>
              </v:shape>
            </v:group>
            <v:group style="position:absolute;left:4868;top:1141;width:1060;height:849" coordorigin="4868,1141" coordsize="1060,849">
              <v:shape style="position:absolute;left:4868;top:1141;width:1060;height:849" coordorigin="4868,1141" coordsize="1060,849" path="m4868,1508l5928,1141,5928,1622,4868,1990,4868,1508xe" filled="false" stroked="true" strokeweight=".658798pt" strokecolor="#000000">
                <v:path arrowok="t"/>
              </v:shape>
            </v:group>
            <v:group style="position:absolute;left:4869;top:1064;width:1060;height:444" coordorigin="4869,1064" coordsize="1060,444">
              <v:shape style="position:absolute;left:4869;top:1064;width:1060;height:444" coordorigin="4869,1064" coordsize="1060,444" path="m4869,1508l4896,1064,5203,1064,5259,1078,5454,1078,5482,1091,5551,1091,5608,1103,5677,1103,5733,1116,5789,1116,5817,1128,5873,1128,5928,1141,4869,1508xe" filled="true" fillcolor="#00ff00" stroked="false">
                <v:path arrowok="t"/>
                <v:fill type="solid"/>
              </v:shape>
            </v:group>
            <v:group style="position:absolute;left:4869;top:1064;width:1060;height:444" coordorigin="4869,1064" coordsize="1060,444">
              <v:shape style="position:absolute;left:4869;top:1064;width:1060;height:444" coordorigin="4869,1064" coordsize="1060,444" path="m4896,1064l5203,1064,5259,1078,5454,1078,5482,1091,5551,1091,5608,1103,5677,1103,5733,1116,5789,1116,5817,1128,5873,1128,5928,1141,4869,1508,4896,1064xe" filled="false" stroked="true" strokeweight=".643413pt" strokecolor="#000000">
                <v:path arrowok="t"/>
              </v:shape>
            </v:group>
            <v:group style="position:absolute;left:6821;top:1622;width:280;height:698" coordorigin="6821,1622" coordsize="280,698">
              <v:shape style="position:absolute;left:6821;top:1622;width:280;height:698" coordorigin="6821,1622" coordsize="280,698" path="m6821,2320l6821,1838,6863,1813,6877,1813,6933,1787,6960,1775,6975,1762,6989,1750,7017,1736,7017,1724,7044,1711,7059,1699,7072,1673,7086,1661,7086,1636,7101,1622,7101,2105,7086,2117,7086,2142,7072,2155,7059,2180,7044,2192,7017,2206,7017,2219,6989,2231,6975,2244,6960,2256,6933,2269,6905,2281,6877,2294,6863,2294,6821,2320xe" filled="true" fillcolor="#800000" stroked="false">
                <v:path arrowok="t"/>
                <v:fill type="solid"/>
              </v:shape>
            </v:group>
            <v:group style="position:absolute;left:6821;top:1597;width:280;height:723" coordorigin="6821,1597" coordsize="280,723">
              <v:shape style="position:absolute;left:6821;top:1597;width:280;height:723" coordorigin="6821,1597" coordsize="280,723" path="m7101,1597l7101,1622,7086,1636,7086,1661,7072,1673,7059,1699,7044,1711,7017,1724,7017,1736,6989,1750,6975,1762,6960,1775,6933,1787,6877,1813,6863,1813,6821,1838,6821,2320,6863,2294,6877,2294,6905,2281,6933,2269,6960,2256,6975,2244,6989,2231,7017,2219,7017,2206,7044,2192,7059,2180,7072,2155,7086,2142,7086,2117,7101,2105,7101,1597xe" filled="false" stroked="true" strokeweight=".689346pt" strokecolor="#000000">
                <v:path arrowok="t"/>
              </v:shape>
            </v:group>
            <v:group style="position:absolute;left:5189;top:1597;width:1633;height:710" coordorigin="5189,1597" coordsize="1633,710">
              <v:shape style="position:absolute;left:5189;top:1597;width:1633;height:710" coordorigin="5189,1597" coordsize="1633,710" path="m6821,2306l5189,2078,5189,1597,6821,1825,6821,2306xe" filled="true" fillcolor="#800000" stroked="false">
                <v:path arrowok="t"/>
                <v:fill type="solid"/>
              </v:shape>
            </v:group>
            <v:group style="position:absolute;left:5189;top:1597;width:1633;height:710" coordorigin="5189,1597" coordsize="1633,710">
              <v:shape style="position:absolute;left:5189;top:1597;width:1633;height:710" coordorigin="5189,1597" coordsize="1633,710" path="m5189,1597l6821,1825,6821,2306,5189,2078,5189,1597xe" filled="false" stroked="true" strokeweight=".644018pt" strokecolor="#000000">
                <v:path arrowok="t"/>
              </v:shape>
            </v:group>
            <v:group style="position:absolute;left:5189;top:1230;width:1912;height:609" coordorigin="5189,1230" coordsize="1912,609">
              <v:shape style="position:absolute;left:5189;top:1230;width:1912;height:609" coordorigin="5189,1230" coordsize="1912,609" path="m6821,1838l5189,1597,6250,1230,6305,1242,6369,1245,6432,1258,6494,1277,6556,1294,6612,1294,6625,1306,6667,1319,6709,1331,6751,1344,6793,1356,6821,1369,6863,1382,6891,1394,6919,1408,6947,1420,6989,1458,7017,1470,7031,1483,7044,1496,7059,1508,7072,1522,7072,1534,7086,1559,7086,1572,7101,1584,7101,1610,7086,1636,7086,1648,7072,1661,7072,1673,7059,1699,7044,1711,7017,1724,7017,1736,6989,1750,6966,1766,6930,1783,6892,1799,6863,1813,6821,1838xe" filled="true" fillcolor="#ff0000" stroked="false">
                <v:path arrowok="t"/>
                <v:fill type="solid"/>
              </v:shape>
            </v:group>
            <v:group style="position:absolute;left:5189;top:1230;width:1912;height:609" coordorigin="5189,1230" coordsize="1912,609">
              <v:shape style="position:absolute;left:5189;top:1230;width:1912;height:609" coordorigin="5189,1230" coordsize="1912,609" path="m6250,1230l6305,1242,6369,1245,6432,1258,6494,1277,6556,1294,6612,1294,6625,1306,6667,1319,6709,1331,6751,1344,6793,1356,6821,1369,6863,1382,6891,1394,6919,1408,6947,1420,6975,1445,6989,1458,7017,1470,7031,1483,7044,1496,7059,1508,7072,1522,7072,1534,7086,1559,7086,1572,7101,1584,7101,1610,7086,1636,7086,1648,7072,1661,7072,1673,7059,1699,7044,1711,7017,1724,7017,1736,6989,1750,6966,1766,6930,1783,6892,1799,6863,1813,6821,1838,5189,1597,6250,1230xe" filled="false" stroked="true" strokeweight=".639754pt" strokecolor="#000000">
                <v:path arrowok="t"/>
              </v:shape>
            </v:group>
            <v:group style="position:absolute;left:2413;top:1724;width:3543;height:900" coordorigin="2413,1724" coordsize="3543,900">
              <v:shape style="position:absolute;left:2413;top:1724;width:3543;height:900" coordorigin="2413,1724" coordsize="3543,900" path="m5189,2573l3418,2573,3361,2561,3306,2548,3250,2548,3194,2536,3138,2522,3096,2509,3041,2509,2999,2497,2944,2484,2902,2472,2860,2459,2818,2447,2776,2434,2734,2422,2706,2408,2659,2392,2609,2372,2563,2349,2525,2320,2497,2306,2483,2294,2455,2269,2441,2244,2426,2231,2426,2219,2413,2206,2413,1724,2426,1736,2426,1750,2441,1762,2483,1813,2525,1838,2552,1864,2580,1876,2648,1907,2690,1923,2776,1952,2818,1964,2860,1978,2902,1990,2944,2003,2999,2016,3041,2028,3096,2028,3138,2041,3194,2053,3250,2066,3306,2066,3361,2078,3418,2092,3487,2092,3542,2105,3599,2105,3668,2117,3794,2117,3822,2130,4087,2130,4157,2142,5956,2142,5956,2408,5928,2422,5886,2434,5844,2447,5803,2459,5761,2472,5719,2472,5677,2484,5621,2497,5580,2509,5469,2536,5412,2536,5357,2548,5301,2561,5245,2561,5189,2573xe" filled="true" fillcolor="#808000" stroked="false">
                <v:path arrowok="t"/>
                <v:fill type="solid"/>
              </v:shape>
              <v:shape style="position:absolute;left:2413;top:1724;width:3543;height:900" coordorigin="2413,1724" coordsize="3543,900" path="m5956,2142l4492,2142,4547,2130,4812,2130,4882,2117,4938,2117,5008,2105,5063,2105,5134,2092,5189,2092,5245,2078,5301,2078,5357,2066,5412,2053,5469,2053,5524,2041,5580,2028,5621,2016,5677,2003,5719,1990,5761,1990,5803,1978,5844,1964,5886,1952,5928,1939,5956,1927,5956,2142xe" filled="true" fillcolor="#808000" stroked="false">
                <v:path arrowok="t"/>
                <v:fill type="solid"/>
              </v:shape>
              <v:shape style="position:absolute;left:2413;top:1724;width:3543;height:900" coordorigin="2413,1724" coordsize="3543,900" path="m5063,2586l3542,2586,3487,2573,5134,2573,5063,2586xe" filled="true" fillcolor="#808000" stroked="false">
                <v:path arrowok="t"/>
                <v:fill type="solid"/>
              </v:shape>
              <v:shape style="position:absolute;left:2413;top:1724;width:3543;height:900" coordorigin="2413,1724" coordsize="3543,900" path="m4938,2598l3668,2598,3599,2586,5008,2586,4938,2598xe" filled="true" fillcolor="#808000" stroked="false">
                <v:path arrowok="t"/>
                <v:fill type="solid"/>
              </v:shape>
              <v:shape style="position:absolute;left:2413;top:1724;width:3543;height:900" coordorigin="2413,1724" coordsize="3543,900" path="m4492,2624l4157,2624,4087,2611,3822,2611,3794,2598,4882,2598,4812,2610,4647,2610,4568,2611,4492,2624xe" filled="true" fillcolor="#808000" stroked="false">
                <v:path arrowok="t"/>
                <v:fill type="solid"/>
              </v:shape>
              <v:shape style="position:absolute;left:2413;top:1724;width:3543;height:900" coordorigin="2413,1724" coordsize="3543,900" path="m4726,2612l4647,2610,4812,2610,4805,2611,4726,2612xe" filled="true" fillcolor="#808000" stroked="false">
                <v:path arrowok="t"/>
                <v:fill type="solid"/>
              </v:shape>
            </v:group>
            <v:group style="position:absolute;left:2413;top:1686;width:3543;height:939" coordorigin="2413,1686" coordsize="3543,939">
              <v:shape style="position:absolute;left:2413;top:1686;width:3543;height:939" coordorigin="2413,1686" coordsize="3543,939" path="m5956,1927l5928,1939,5886,1952,5844,1964,5803,1978,5761,1990,5719,1990,5677,2003,5621,2016,5580,2028,5524,2041,5469,2053,5412,2053,5357,2066,5301,2078,5245,2078,5189,2092,5134,2092,5063,2105,5008,2105,4938,2117,4882,2117,4812,2130,4547,2130,4492,2142,4157,2142,4087,2130,3822,2130,3794,2117,3668,2117,3599,2105,3542,2105,3487,2092,3418,2092,3361,2078,3306,2066,3250,2066,3194,2053,3138,2041,3096,2028,3041,2028,2999,2016,2944,2003,2902,1990,2860,1978,2818,1964,2776,1952,2734,1938,2690,1923,2648,1907,2609,1889,2580,1876,2552,1864,2525,1838,2497,1825,2483,1813,2468,1800,2455,1787,2441,1762,2426,1750,2426,1736,2413,1724,2413,1686,2413,2206,2426,2219,2426,2231,2441,2244,2455,2269,2468,2281,2483,2294,2497,2306,2525,2320,2563,2349,2609,2372,2659,2392,2706,2408,2734,2422,2776,2434,2818,2447,2860,2459,2902,2472,2944,2484,2999,2497,3041,2509,3096,2509,3138,2522,3194,2536,3250,2548,3306,2548,3361,2561,3418,2573,3487,2573,3542,2586,3599,2586,3668,2598,3794,2598,3822,2611,4087,2611,4157,2624,4492,2624,4568,2611,4647,2610,4726,2612,4805,2611,4882,2598,4938,2598,5008,2586,5063,2586,5134,2573,5189,2573,5245,2561,5301,2561,5357,2548,5412,2536,5469,2536,5524,2522,5580,2509,5621,2497,5677,2484,5719,2472,5761,2472,5803,2459,5844,2447,5886,2434,5928,2422,5956,2408,5956,1927xe" filled="false" stroked="true" strokeweight=".63807pt" strokecolor="#000000">
                <v:path arrowok="t"/>
              </v:shape>
            </v:group>
            <v:group style="position:absolute;left:2413;top:1242;width:3543;height:900" coordorigin="2413,1242" coordsize="3543,900">
              <v:shape style="position:absolute;left:2413;top:1242;width:3543;height:900" coordorigin="2413,1242" coordsize="3543,900" path="m5761,1990l2873,1990,2832,1978,2790,1964,2761,1952,2720,1939,2678,1927,2650,1902,2636,1902,2609,1889,2580,1876,2552,1864,2525,1838,2468,1800,2441,1762,2426,1750,2426,1736,2413,1724,2413,1661,2426,1648,2426,1622,2441,1610,2455,1597,2468,1584,2483,1559,2497,1547,2525,1534,2552,1522,2580,1508,2609,1496,2636,1483,2664,1458,2706,1445,2734,1433,2776,1420,2818,1408,2860,1394,2902,1382,2944,1382,2999,1369,3041,1356,3096,1344,3138,1331,3194,1331,3250,1319,3306,1306,3361,1306,3418,1294,3487,1280,3542,1280,3599,1267,3668,1267,3725,1255,3919,1255,3989,1242,4324,1242,4324,1686,5956,1927,5928,1939,5886,1952,5844,1964,5803,1978,5761,1990xe" filled="true" fillcolor="#ffff00" stroked="false">
                <v:path arrowok="t"/>
                <v:fill type="solid"/>
              </v:shape>
              <v:shape style="position:absolute;left:2413;top:1242;width:3543;height:900" coordorigin="2413,1242" coordsize="3543,900" path="m5469,2053l3167,2053,3125,2041,3068,2028,3013,2016,2929,1990,5719,1990,5677,2003,5621,2016,5580,2028,5524,2041,5469,2053xe" filled="true" fillcolor="#ffff00" stroked="false">
                <v:path arrowok="t"/>
                <v:fill type="solid"/>
              </v:shape>
              <v:shape style="position:absolute;left:2413;top:1242;width:3543;height:900" coordorigin="2413,1242" coordsize="3543,900" path="m5301,2078l3334,2078,3278,2066,3222,2053,5412,2053,5357,2066,5301,2078xe" filled="true" fillcolor="#ffff00" stroked="false">
                <v:path arrowok="t"/>
                <v:fill type="solid"/>
              </v:shape>
              <v:shape style="position:absolute;left:2413;top:1242;width:3543;height:900" coordorigin="2413,1242" coordsize="3543,900" path="m5189,2092l3460,2092,3390,2078,5245,2078,5189,2092xe" filled="true" fillcolor="#ffff00" stroked="false">
                <v:path arrowok="t"/>
                <v:fill type="solid"/>
              </v:shape>
              <v:shape style="position:absolute;left:2413;top:1242;width:3543;height:900" coordorigin="2413,1242" coordsize="3543,900" path="m5063,2105l3571,2105,3515,2092,5134,2092,5063,2105xe" filled="true" fillcolor="#ffff00" stroked="false">
                <v:path arrowok="t"/>
                <v:fill type="solid"/>
              </v:shape>
              <v:shape style="position:absolute;left:2413;top:1242;width:3543;height:900" coordorigin="2413,1242" coordsize="3543,900" path="m4938,2117l3696,2117,3641,2105,5008,2105,4938,2117xe" filled="true" fillcolor="#ffff00" stroked="false">
                <v:path arrowok="t"/>
                <v:fill type="solid"/>
              </v:shape>
              <v:shape style="position:absolute;left:2413;top:1242;width:3543;height:900" coordorigin="2413,1242" coordsize="3543,900" path="m4812,2130l3822,2130,3766,2117,4882,2117,4812,2130xe" filled="true" fillcolor="#ffff00" stroked="false">
                <v:path arrowok="t"/>
                <v:fill type="solid"/>
              </v:shape>
              <v:shape style="position:absolute;left:2413;top:1242;width:3543;height:900" coordorigin="2413,1242" coordsize="3543,900" path="m4492,2142l4157,2142,4087,2130,4547,2130,4492,2142xe" filled="true" fillcolor="#ffff00" stroked="false">
                <v:path arrowok="t"/>
                <v:fill type="solid"/>
              </v:shape>
            </v:group>
            <v:group style="position:absolute;left:2413;top:1242;width:3543;height:900" coordorigin="2413,1242" coordsize="3543,900">
              <v:shape style="position:absolute;left:2413;top:1242;width:3543;height:900" coordorigin="2413,1242" coordsize="3543,900" path="m5956,1927l5928,1939,5886,1952,5844,1964,5803,1978,5761,1990,5719,1990,5677,2003,5621,2016,5580,2028,5524,2041,5469,2053,5412,2053,5357,2066,5301,2078,5245,2078,5189,2092,5134,2092,5063,2105,5008,2105,4938,2117,4882,2117,4812,2130,4547,2130,4492,2142,4157,2142,4087,2130,3822,2130,3766,2117,3696,2117,3641,2105,3571,2105,3515,2092,3460,2092,3390,2078,3334,2078,3278,2066,3222,2053,3167,2053,3125,2041,3068,2028,3013,2016,2929,1990,2873,1990,2832,1978,2790,1964,2761,1952,2720,1939,2678,1927,2650,1902,2636,1902,2609,1889,2580,1876,2552,1864,2525,1838,2468,1800,2441,1762,2426,1750,2426,1736,2413,1724,2413,1661,2426,1648,2426,1622,2441,1610,2455,1597,2468,1584,2483,1559,2497,1547,2525,1534,2552,1522,2580,1508,2609,1496,2636,1483,2664,1458,2706,1445,2734,1433,2776,1420,2818,1408,2860,1394,2902,1382,2944,1382,2999,1369,3041,1356,3096,1344,3138,1331,3194,1331,3250,1319,3306,1306,3361,1306,3418,1294,3487,1280,3542,1280,3599,1267,3668,1267,3725,1255,3919,1255,3989,1242,4324,1242,4324,1686,5956,1927xe" filled="false" stroked="true" strokeweight=".637755pt" strokecolor="#000000">
                <v:path arrowok="t"/>
              </v:shape>
              <v:shape style="position:absolute;left:0;top:0;width:9472;height:4070" type="#_x0000_t202" filled="false" stroked="true" strokeweight=".06pt" strokecolor="#000000">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spacing w:before="0"/>
                        <w:ind w:left="872" w:right="0" w:firstLine="0"/>
                        <w:jc w:val="center"/>
                        <w:rPr>
                          <w:rFonts w:ascii="Times New Roman" w:hAnsi="Times New Roman" w:cs="Times New Roman" w:eastAsia="Times New Roman" w:hint="default"/>
                          <w:sz w:val="16"/>
                          <w:szCs w:val="16"/>
                        </w:rPr>
                      </w:pPr>
                      <w:r>
                        <w:rPr>
                          <w:rFonts w:ascii="宋体" w:hAnsi="宋体" w:cs="宋体" w:eastAsia="宋体" w:hint="default"/>
                          <w:w w:val="115"/>
                          <w:sz w:val="16"/>
                          <w:szCs w:val="16"/>
                        </w:rPr>
                        <w:t>研究生及以上</w:t>
                      </w:r>
                      <w:r>
                        <w:rPr>
                          <w:rFonts w:ascii="Times New Roman" w:hAnsi="Times New Roman" w:cs="Times New Roman" w:eastAsia="Times New Roman" w:hint="default"/>
                          <w:w w:val="115"/>
                          <w:position w:val="1"/>
                          <w:sz w:val="16"/>
                          <w:szCs w:val="16"/>
                        </w:rPr>
                        <w:t>, </w:t>
                      </w:r>
                      <w:r>
                        <w:rPr>
                          <w:rFonts w:ascii="Times New Roman" w:hAnsi="Times New Roman" w:cs="Times New Roman" w:eastAsia="Times New Roman" w:hint="default"/>
                          <w:spacing w:val="-4"/>
                          <w:w w:val="115"/>
                          <w:position w:val="1"/>
                          <w:sz w:val="16"/>
                          <w:szCs w:val="16"/>
                        </w:rPr>
                        <w:t>27</w:t>
                      </w:r>
                      <w:r>
                        <w:rPr>
                          <w:rFonts w:ascii="宋体" w:hAnsi="宋体" w:cs="宋体" w:eastAsia="宋体" w:hint="default"/>
                          <w:spacing w:val="-4"/>
                          <w:w w:val="115"/>
                          <w:position w:val="-2"/>
                          <w:sz w:val="16"/>
                          <w:szCs w:val="16"/>
                        </w:rPr>
                        <w:t>本科</w:t>
                      </w:r>
                      <w:r>
                        <w:rPr>
                          <w:rFonts w:ascii="Times New Roman" w:hAnsi="Times New Roman" w:cs="Times New Roman" w:eastAsia="Times New Roman" w:hint="default"/>
                          <w:spacing w:val="-4"/>
                          <w:w w:val="115"/>
                          <w:position w:val="-1"/>
                          <w:sz w:val="16"/>
                          <w:szCs w:val="16"/>
                        </w:rPr>
                        <w:t>, </w:t>
                      </w:r>
                      <w:r>
                        <w:rPr>
                          <w:rFonts w:ascii="Times New Roman" w:hAnsi="Times New Roman" w:cs="Times New Roman" w:eastAsia="Times New Roman" w:hint="default"/>
                          <w:spacing w:val="-3"/>
                          <w:w w:val="115"/>
                          <w:position w:val="-1"/>
                          <w:sz w:val="16"/>
                          <w:szCs w:val="16"/>
                        </w:rPr>
                        <w:t> </w:t>
                      </w:r>
                      <w:r>
                        <w:rPr>
                          <w:rFonts w:ascii="Times New Roman" w:hAnsi="Times New Roman" w:cs="Times New Roman" w:eastAsia="Times New Roman" w:hint="default"/>
                          <w:spacing w:val="-6"/>
                          <w:w w:val="115"/>
                          <w:position w:val="-1"/>
                          <w:sz w:val="16"/>
                          <w:szCs w:val="16"/>
                        </w:rPr>
                        <w:t>1,185</w:t>
                      </w:r>
                      <w:r>
                        <w:rPr>
                          <w:rFonts w:ascii="Times New Roman" w:hAnsi="Times New Roman" w:cs="Times New Roman" w:eastAsia="Times New Roman" w:hint="default"/>
                          <w:spacing w:val="-6"/>
                          <w:sz w:val="16"/>
                          <w:szCs w:val="16"/>
                        </w:rPr>
                      </w:r>
                    </w:p>
                    <w:p>
                      <w:pPr>
                        <w:spacing w:line="240" w:lineRule="auto" w:before="2"/>
                        <w:rPr>
                          <w:rFonts w:ascii="宋体" w:hAnsi="宋体" w:cs="宋体" w:eastAsia="宋体" w:hint="default"/>
                          <w:sz w:val="23"/>
                          <w:szCs w:val="23"/>
                        </w:rPr>
                      </w:pPr>
                    </w:p>
                    <w:p>
                      <w:pPr>
                        <w:spacing w:before="0"/>
                        <w:ind w:left="0" w:right="1469" w:firstLine="0"/>
                        <w:jc w:val="right"/>
                        <w:rPr>
                          <w:rFonts w:ascii="Times New Roman" w:hAnsi="Times New Roman" w:cs="Times New Roman" w:eastAsia="Times New Roman" w:hint="default"/>
                          <w:sz w:val="16"/>
                          <w:szCs w:val="16"/>
                        </w:rPr>
                      </w:pPr>
                      <w:r>
                        <w:rPr>
                          <w:rFonts w:ascii="宋体" w:hAnsi="宋体" w:cs="宋体" w:eastAsia="宋体" w:hint="default"/>
                          <w:w w:val="115"/>
                          <w:sz w:val="16"/>
                          <w:szCs w:val="16"/>
                        </w:rPr>
                        <w:t>大专</w:t>
                      </w:r>
                      <w:r>
                        <w:rPr>
                          <w:rFonts w:ascii="Times New Roman" w:hAnsi="Times New Roman" w:cs="Times New Roman" w:eastAsia="Times New Roman" w:hint="default"/>
                          <w:w w:val="115"/>
                          <w:position w:val="1"/>
                          <w:sz w:val="16"/>
                          <w:szCs w:val="16"/>
                        </w:rPr>
                        <w:t>,</w:t>
                      </w:r>
                      <w:r>
                        <w:rPr>
                          <w:rFonts w:ascii="Times New Roman" w:hAnsi="Times New Roman" w:cs="Times New Roman" w:eastAsia="Times New Roman" w:hint="default"/>
                          <w:spacing w:val="25"/>
                          <w:w w:val="115"/>
                          <w:position w:val="1"/>
                          <w:sz w:val="16"/>
                          <w:szCs w:val="16"/>
                        </w:rPr>
                        <w:t> </w:t>
                      </w:r>
                      <w:r>
                        <w:rPr>
                          <w:rFonts w:ascii="Times New Roman" w:hAnsi="Times New Roman" w:cs="Times New Roman" w:eastAsia="Times New Roman" w:hint="default"/>
                          <w:spacing w:val="-6"/>
                          <w:w w:val="115"/>
                          <w:position w:val="1"/>
                          <w:sz w:val="16"/>
                          <w:szCs w:val="16"/>
                        </w:rPr>
                        <w:t>3,084</w:t>
                      </w:r>
                      <w:r>
                        <w:rPr>
                          <w:rFonts w:ascii="Times New Roman" w:hAnsi="Times New Roman" w:cs="Times New Roman" w:eastAsia="Times New Roman" w:hint="default"/>
                          <w:spacing w:val="-6"/>
                          <w:sz w:val="16"/>
                          <w:szCs w:val="16"/>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3"/>
                        <w:rPr>
                          <w:rFonts w:ascii="宋体" w:hAnsi="宋体" w:cs="宋体" w:eastAsia="宋体" w:hint="default"/>
                          <w:sz w:val="14"/>
                          <w:szCs w:val="14"/>
                        </w:rPr>
                      </w:pPr>
                    </w:p>
                    <w:p>
                      <w:pPr>
                        <w:spacing w:before="0"/>
                        <w:ind w:left="1184" w:right="0" w:firstLine="0"/>
                        <w:jc w:val="left"/>
                        <w:rPr>
                          <w:rFonts w:ascii="Times New Roman" w:hAnsi="Times New Roman" w:cs="Times New Roman" w:eastAsia="Times New Roman" w:hint="default"/>
                          <w:sz w:val="16"/>
                          <w:szCs w:val="16"/>
                        </w:rPr>
                      </w:pPr>
                      <w:r>
                        <w:rPr>
                          <w:rFonts w:ascii="宋体" w:hAnsi="宋体" w:cs="宋体" w:eastAsia="宋体" w:hint="default"/>
                          <w:w w:val="115"/>
                          <w:sz w:val="16"/>
                          <w:szCs w:val="16"/>
                        </w:rPr>
                        <w:t>中专及以下</w:t>
                      </w:r>
                      <w:r>
                        <w:rPr>
                          <w:rFonts w:ascii="Times New Roman" w:hAnsi="Times New Roman" w:cs="Times New Roman" w:eastAsia="Times New Roman" w:hint="default"/>
                          <w:w w:val="115"/>
                          <w:position w:val="1"/>
                          <w:sz w:val="16"/>
                          <w:szCs w:val="16"/>
                        </w:rPr>
                        <w:t>,</w:t>
                      </w:r>
                      <w:r>
                        <w:rPr>
                          <w:rFonts w:ascii="Times New Roman" w:hAnsi="Times New Roman" w:cs="Times New Roman" w:eastAsia="Times New Roman" w:hint="default"/>
                          <w:spacing w:val="15"/>
                          <w:w w:val="115"/>
                          <w:position w:val="1"/>
                          <w:sz w:val="16"/>
                          <w:szCs w:val="16"/>
                        </w:rPr>
                        <w:t> </w:t>
                      </w:r>
                      <w:r>
                        <w:rPr>
                          <w:rFonts w:ascii="Times New Roman" w:hAnsi="Times New Roman" w:cs="Times New Roman" w:eastAsia="Times New Roman" w:hint="default"/>
                          <w:spacing w:val="-6"/>
                          <w:w w:val="115"/>
                          <w:position w:val="1"/>
                          <w:sz w:val="16"/>
                          <w:szCs w:val="16"/>
                        </w:rPr>
                        <w:t>8,537</w:t>
                      </w:r>
                      <w:r>
                        <w:rPr>
                          <w:rFonts w:ascii="Times New Roman" w:hAnsi="Times New Roman" w:cs="Times New Roman" w:eastAsia="Times New Roman" w:hint="default"/>
                          <w:spacing w:val="-6"/>
                          <w:sz w:val="16"/>
                          <w:szCs w:val="16"/>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1"/>
                          <w:szCs w:val="11"/>
                        </w:rPr>
                      </w:pPr>
                    </w:p>
                    <w:p>
                      <w:pPr>
                        <w:tabs>
                          <w:tab w:pos="4421" w:val="left" w:leader="none"/>
                          <w:tab w:pos="5021" w:val="left" w:leader="none"/>
                          <w:tab w:pos="5621" w:val="left" w:leader="none"/>
                        </w:tabs>
                        <w:spacing w:before="0"/>
                        <w:ind w:left="3096" w:right="0" w:firstLine="0"/>
                        <w:jc w:val="left"/>
                        <w:rPr>
                          <w:rFonts w:ascii="宋体" w:hAnsi="宋体" w:cs="宋体" w:eastAsia="宋体" w:hint="default"/>
                          <w:sz w:val="16"/>
                          <w:szCs w:val="16"/>
                        </w:rPr>
                      </w:pPr>
                      <w:r>
                        <w:rPr>
                          <w:rFonts w:ascii="宋体" w:hAnsi="宋体" w:cs="宋体" w:eastAsia="宋体" w:hint="default"/>
                          <w:spacing w:val="-1"/>
                          <w:w w:val="110"/>
                          <w:sz w:val="16"/>
                          <w:szCs w:val="16"/>
                        </w:rPr>
                        <w:t>研究生及以上</w:t>
                        <w:tab/>
                        <w:t>本科</w:t>
                        <w:tab/>
                        <w:t>大专</w:t>
                        <w:tab/>
                        <w:t>中专及以下</w:t>
                      </w:r>
                      <w:r>
                        <w:rPr>
                          <w:rFonts w:ascii="宋体" w:hAnsi="宋体" w:cs="宋体" w:eastAsia="宋体" w:hint="default"/>
                          <w:sz w:val="16"/>
                          <w:szCs w:val="16"/>
                        </w:rPr>
                      </w:r>
                    </w:p>
                  </w:txbxContent>
                </v:textbox>
                <w10:wrap type="none"/>
              </v:shape>
            </v:group>
          </v:group>
        </w:pict>
      </w:r>
      <w:r>
        <w:rPr>
          <w:rFonts w:ascii="宋体" w:hAnsi="宋体" w:cs="宋体" w:eastAsia="宋体" w:hint="default"/>
          <w:position w:val="-80"/>
          <w:sz w:val="20"/>
          <w:szCs w:val="20"/>
        </w:rPr>
      </w:r>
    </w:p>
    <w:p>
      <w:pPr>
        <w:spacing w:line="240" w:lineRule="auto" w:before="0"/>
        <w:rPr>
          <w:rFonts w:ascii="宋体" w:hAnsi="宋体" w:cs="宋体" w:eastAsia="宋体" w:hint="default"/>
          <w:sz w:val="12"/>
          <w:szCs w:val="12"/>
        </w:rPr>
      </w:pPr>
    </w:p>
    <w:p>
      <w:pPr>
        <w:pStyle w:val="BodyText"/>
        <w:spacing w:line="240" w:lineRule="auto" w:before="44"/>
        <w:ind w:left="514" w:right="182"/>
        <w:jc w:val="left"/>
      </w:pPr>
      <w:r>
        <w:rPr/>
        <w:pict>
          <v:group style="position:absolute;margin-left:205.443558pt;margin-top:-19.00106pt;width:9.3pt;height:5.15pt;mso-position-horizontal-relative:page;mso-position-vertical-relative:paragraph;z-index:-1129120" coordorigin="4109,-380" coordsize="186,103">
            <v:group style="position:absolute;left:4153;top:-329;width:98;height:2" coordorigin="4153,-329" coordsize="98,2">
              <v:shape style="position:absolute;left:4153;top:-329;width:98;height:2" coordorigin="4153,-329" coordsize="98,0" path="m4153,-329l4250,-329e" filled="false" stroked="true" strokeweight="4.440083pt" strokecolor="#9a9aff">
                <v:path arrowok="t"/>
              </v:shape>
            </v:group>
            <v:group style="position:absolute;left:4153;top:-373;width:98;height:89" coordorigin="4153,-373" coordsize="98,89">
              <v:shape style="position:absolute;left:4153;top:-373;width:98;height:89" coordorigin="4153,-373" coordsize="98,89" path="m4153,-373l4250,-373,4250,-285,4153,-285,4153,-373xe" filled="false" stroked="true" strokeweight=".662895pt" strokecolor="#000000">
                <v:path arrowok="t"/>
              </v:shape>
            </v:group>
            <w10:wrap type="none"/>
          </v:group>
        </w:pict>
      </w:r>
      <w:r>
        <w:rPr/>
        <w:pict>
          <v:group style="position:absolute;margin-left:271.684967pt;margin-top:-19.00106pt;width:9.3pt;height:5.15pt;mso-position-horizontal-relative:page;mso-position-vertical-relative:paragraph;z-index:-1129096" coordorigin="5434,-380" coordsize="186,103">
            <v:group style="position:absolute;left:5478;top:-329;width:98;height:2" coordorigin="5478,-329" coordsize="98,2">
              <v:shape style="position:absolute;left:5478;top:-329;width:98;height:2" coordorigin="5478,-329" coordsize="98,0" path="m5478,-329l5575,-329e" filled="false" stroked="true" strokeweight="4.440083pt" strokecolor="#00ff00">
                <v:path arrowok="t"/>
              </v:shape>
            </v:group>
            <v:group style="position:absolute;left:5478;top:-373;width:98;height:89" coordorigin="5478,-373" coordsize="98,89">
              <v:shape style="position:absolute;left:5478;top:-373;width:98;height:89" coordorigin="5478,-373" coordsize="98,89" path="m5478,-373l5575,-373,5575,-285,5478,-285,5478,-373xe" filled="false" stroked="true" strokeweight=".662895pt" strokecolor="#000000">
                <v:path arrowok="t"/>
              </v:shape>
            </v:group>
            <w10:wrap type="none"/>
          </v:group>
        </w:pict>
      </w:r>
      <w:r>
        <w:rPr/>
        <w:pict>
          <v:group style="position:absolute;margin-left:301.685089pt;margin-top:-19.00106pt;width:9.3pt;height:5.15pt;mso-position-horizontal-relative:page;mso-position-vertical-relative:paragraph;z-index:-1129072" coordorigin="6034,-380" coordsize="186,103">
            <v:group style="position:absolute;left:6078;top:-329;width:98;height:2" coordorigin="6078,-329" coordsize="98,2">
              <v:shape style="position:absolute;left:6078;top:-329;width:98;height:2" coordorigin="6078,-329" coordsize="98,0" path="m6078,-329l6175,-329e" filled="false" stroked="true" strokeweight="4.440083pt" strokecolor="#ff0000">
                <v:path arrowok="t"/>
              </v:shape>
            </v:group>
            <v:group style="position:absolute;left:6078;top:-373;width:98;height:89" coordorigin="6078,-373" coordsize="98,89">
              <v:shape style="position:absolute;left:6078;top:-373;width:98;height:89" coordorigin="6078,-373" coordsize="98,89" path="m6078,-373l6175,-373,6175,-285,6078,-285,6078,-373xe" filled="false" stroked="true" strokeweight=".662895pt" strokecolor="#000000">
                <v:path arrowok="t"/>
              </v:shape>
            </v:group>
            <w10:wrap type="none"/>
          </v:group>
        </w:pict>
      </w:r>
      <w:r>
        <w:rPr/>
        <w:pict>
          <v:group style="position:absolute;margin-left:331.686279pt;margin-top:-19.00106pt;width:9.3pt;height:5.15pt;mso-position-horizontal-relative:page;mso-position-vertical-relative:paragraph;z-index:-1129048" coordorigin="6634,-380" coordsize="186,103">
            <v:group style="position:absolute;left:6678;top:-329;width:98;height:2" coordorigin="6678,-329" coordsize="98,2">
              <v:shape style="position:absolute;left:6678;top:-329;width:98;height:2" coordorigin="6678,-329" coordsize="98,0" path="m6678,-329l6775,-329e" filled="false" stroked="true" strokeweight="4.440083pt" strokecolor="#ffff00">
                <v:path arrowok="t"/>
              </v:shape>
            </v:group>
            <v:group style="position:absolute;left:6678;top:-373;width:98;height:89" coordorigin="6678,-373" coordsize="98,89">
              <v:shape style="position:absolute;left:6678;top:-373;width:98;height:89" coordorigin="6678,-373" coordsize="98,89" path="m6678,-373l6775,-373,6775,-285,6678,-285,6678,-373xe" filled="false" stroked="true" strokeweight=".662895pt" strokecolor="#000000">
                <v:path arrowok="t"/>
              </v:shape>
            </v:group>
            <w10:wrap type="none"/>
          </v:group>
        </w:pict>
      </w:r>
      <w:r>
        <w:rPr/>
        <w:t>公司需承担费用的离退休职工</w:t>
      </w:r>
      <w:r>
        <w:rPr>
          <w:rFonts w:ascii="Times New Roman" w:hAnsi="Times New Roman" w:cs="Times New Roman" w:eastAsia="Times New Roman" w:hint="default"/>
        </w:rPr>
        <w:t>12</w:t>
      </w:r>
      <w:r>
        <w:rPr/>
        <w:t>名。以上人员包括控股子公司员工。</w:t>
      </w:r>
    </w:p>
    <w:p>
      <w:pPr>
        <w:pStyle w:val="BodyText"/>
        <w:spacing w:line="338" w:lineRule="auto" w:before="103"/>
        <w:ind w:left="514" w:right="90"/>
        <w:jc w:val="left"/>
      </w:pPr>
      <w:r>
        <w:rPr/>
        <w:t>（</w:t>
      </w:r>
      <w:r>
        <w:rPr>
          <w:rFonts w:ascii="Times New Roman" w:hAnsi="Times New Roman" w:cs="Times New Roman" w:eastAsia="Times New Roman" w:hint="default"/>
        </w:rPr>
        <w:t>3</w:t>
      </w:r>
      <w:r>
        <w:rPr/>
        <w:t>）薪酬政策 公司员工的薪酬包括工资奖金及其它福利计划。本公司在遵循中国有关法律及法规的情况下，根据员工的业绩、资历、</w:t>
      </w:r>
    </w:p>
    <w:p>
      <w:pPr>
        <w:pStyle w:val="BodyText"/>
        <w:spacing w:line="240" w:lineRule="auto" w:before="2"/>
        <w:ind w:right="0"/>
        <w:jc w:val="left"/>
      </w:pPr>
      <w:r>
        <w:rPr/>
        <w:t>职务等因素，对不同的员工执行不同的薪酬标准。本集团员工</w:t>
      </w:r>
      <w:r>
        <w:rPr>
          <w:rFonts w:ascii="Times New Roman" w:hAnsi="Times New Roman" w:cs="Times New Roman" w:eastAsia="Times New Roman" w:hint="default"/>
        </w:rPr>
        <w:t>2014</w:t>
      </w:r>
      <w:r>
        <w:rPr/>
        <w:t>年度薪酬详情载列于按企业会计准则编制的财务报表注释</w:t>
      </w:r>
    </w:p>
    <w:p>
      <w:pPr>
        <w:pStyle w:val="BodyText"/>
        <w:spacing w:line="240" w:lineRule="auto" w:before="64"/>
        <w:ind w:right="182"/>
        <w:jc w:val="left"/>
      </w:pPr>
      <w:r>
        <w:rPr>
          <w:rFonts w:ascii="Times New Roman" w:hAnsi="Times New Roman" w:cs="Times New Roman" w:eastAsia="Times New Roman" w:hint="default"/>
        </w:rPr>
        <w:t>[27]</w:t>
      </w:r>
      <w:r>
        <w:rPr/>
        <w:t>。</w:t>
      </w:r>
    </w:p>
    <w:p>
      <w:pPr>
        <w:pStyle w:val="BodyText"/>
        <w:spacing w:line="319" w:lineRule="auto" w:before="101"/>
        <w:ind w:right="182" w:firstLine="360"/>
        <w:jc w:val="left"/>
      </w:pPr>
      <w:r>
        <w:rPr>
          <w:spacing w:val="-2"/>
        </w:rPr>
        <w:t>同时，本集团之中国员工为地方政府组织之国营退休福利计划之成员。本集团须向退休福利计划按彼等薪金成本之若干</w:t>
      </w:r>
      <w:r>
        <w:rPr/>
        <w:t> 百分比供款，为有关福利提供资金。本集团提供的员工退休福利详情载列于按企业会计准则编制的财务报表注释</w:t>
      </w:r>
      <w:r>
        <w:rPr>
          <w:rFonts w:ascii="Times New Roman" w:hAnsi="Times New Roman" w:cs="Times New Roman" w:eastAsia="Times New Roman" w:hint="default"/>
        </w:rPr>
        <w:t>[27]</w:t>
      </w:r>
      <w:r>
        <w:rPr/>
        <w:t>。</w:t>
      </w:r>
    </w:p>
    <w:p>
      <w:pPr>
        <w:pStyle w:val="BodyText"/>
        <w:spacing w:line="338" w:lineRule="auto" w:before="38"/>
        <w:ind w:left="514" w:right="182"/>
        <w:jc w:val="left"/>
      </w:pPr>
      <w:r>
        <w:rPr/>
        <w:t>（</w:t>
      </w:r>
      <w:r>
        <w:rPr>
          <w:rFonts w:ascii="Times New Roman" w:hAnsi="Times New Roman" w:cs="Times New Roman" w:eastAsia="Times New Roman" w:hint="default"/>
        </w:rPr>
        <w:t>4</w:t>
      </w:r>
      <w:r>
        <w:rPr/>
        <w:t>）培训计划 </w:t>
      </w:r>
      <w:r>
        <w:rPr>
          <w:spacing w:val="-2"/>
        </w:rPr>
        <w:t>公司高度重视员工培养工作，积极营造全员学习氛围，集团各部室及各子公司均制定详细的年度培训计划，多形式、多</w:t>
      </w:r>
    </w:p>
    <w:p>
      <w:pPr>
        <w:pStyle w:val="BodyText"/>
        <w:spacing w:line="319" w:lineRule="auto" w:before="2"/>
        <w:ind w:right="91"/>
        <w:jc w:val="left"/>
      </w:pPr>
      <w:r>
        <w:rPr>
          <w:spacing w:val="-4"/>
        </w:rPr>
        <w:t>渠道、分层级、分专业系统开展员工培训工作。修订完善培训管理体系，开发企业内部培训教材，明确培训工作流程、标准。</w:t>
      </w:r>
      <w:r>
        <w:rPr>
          <w:spacing w:val="-44"/>
        </w:rPr>
        <w:t> </w:t>
      </w:r>
      <w:r>
        <w:rPr>
          <w:spacing w:val="-44"/>
        </w:rPr>
      </w:r>
      <w:r>
        <w:rPr/>
        <w:t>开发内部培训资源，培养企业内部讲师，建立企业内部讲师梯队，激励引导员工学习热情，全面提升业务技能。</w:t>
      </w:r>
    </w:p>
    <w:p>
      <w:pPr>
        <w:spacing w:after="0" w:line="319"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627"/>
        <w:jc w:val="center"/>
        <w:rPr>
          <w:b w:val="0"/>
          <w:bCs w:val="0"/>
        </w:rPr>
      </w:pPr>
      <w:bookmarkStart w:name="_bookmark9" w:id="10"/>
      <w:bookmarkEnd w:id="10"/>
      <w:r>
        <w:rPr>
          <w:b w:val="0"/>
          <w:bCs w:val="0"/>
        </w:rPr>
      </w:r>
      <w:r>
        <w:rPr/>
        <w:t>第十节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82"/>
        <w:jc w:val="left"/>
        <w:rPr>
          <w:b w:val="0"/>
          <w:bCs w:val="0"/>
        </w:rPr>
      </w:pPr>
      <w:r>
        <w:rPr/>
        <w:t>一、公司治理的基本状况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182"/>
        <w:jc w:val="left"/>
      </w:pPr>
      <w:r>
        <w:rPr/>
        <w:t>（一）公司治理现状 </w:t>
      </w:r>
      <w:r>
        <w:rPr>
          <w:spacing w:val="-2"/>
        </w:rPr>
        <w:t>报告期内，公司按照《公司法》、《证券法》、《上市公司治理准则》、《深圳证券交易所股票上市规则》、《香港联</w:t>
      </w:r>
    </w:p>
    <w:p>
      <w:pPr>
        <w:pStyle w:val="BodyText"/>
        <w:spacing w:line="224" w:lineRule="exact"/>
        <w:ind w:right="0"/>
        <w:jc w:val="left"/>
      </w:pPr>
      <w:r>
        <w:rPr/>
        <w:t>合交易所上市规则》和中国证监会有关规定的要求规范运作，不断健全和完善公司法人治理结构。除本节第九（一）条另有</w:t>
      </w:r>
    </w:p>
    <w:p>
      <w:pPr>
        <w:pStyle w:val="BodyText"/>
        <w:spacing w:line="240" w:lineRule="auto" w:before="77"/>
        <w:ind w:right="182"/>
        <w:jc w:val="left"/>
      </w:pPr>
      <w:r>
        <w:rPr/>
        <w:t>说明外，董事会认为公司治理的实际情况与《上市公司治理准则》等规范性文件的规定和要求基本相符。</w:t>
      </w:r>
    </w:p>
    <w:p>
      <w:pPr>
        <w:pStyle w:val="BodyText"/>
        <w:spacing w:line="357" w:lineRule="auto" w:before="116"/>
        <w:ind w:left="514" w:right="182"/>
        <w:jc w:val="left"/>
      </w:pPr>
      <w:r>
        <w:rPr/>
        <w:t>（二）公司治理活动 </w:t>
      </w:r>
      <w:r>
        <w:rPr>
          <w:spacing w:val="-2"/>
        </w:rPr>
        <w:t>报告期内，公司在巩固之前年度上市公司治理专项活动的基础上，董事会着力从完善公司治理入手，规范公司运行。根</w:t>
      </w:r>
    </w:p>
    <w:p>
      <w:pPr>
        <w:pStyle w:val="BodyText"/>
        <w:spacing w:line="224" w:lineRule="exact"/>
        <w:ind w:right="0"/>
        <w:jc w:val="left"/>
      </w:pPr>
      <w:r>
        <w:rPr/>
        <w:t>据监管规定，适时完善公司治理制度，修订完善了《重大交易决策制度》、《公司章程》修订案等管理制度。在持续推进公</w:t>
      </w:r>
    </w:p>
    <w:p>
      <w:pPr>
        <w:pStyle w:val="BodyText"/>
        <w:spacing w:line="240" w:lineRule="auto" w:before="77"/>
        <w:ind w:right="182"/>
        <w:jc w:val="left"/>
      </w:pPr>
      <w:r>
        <w:rPr/>
        <w:t>司治理水平提高方面开展了如下活动：</w:t>
      </w:r>
    </w:p>
    <w:p>
      <w:pPr>
        <w:pStyle w:val="BodyText"/>
        <w:spacing w:line="302" w:lineRule="auto" w:before="115"/>
        <w:ind w:right="180" w:firstLine="360"/>
        <w:jc w:val="left"/>
      </w:pPr>
      <w:r>
        <w:rPr>
          <w:rFonts w:ascii="Times New Roman" w:hAnsi="Times New Roman" w:cs="Times New Roman" w:eastAsia="Times New Roman" w:hint="default"/>
        </w:rPr>
        <w:t>1</w:t>
      </w:r>
      <w:r>
        <w:rPr/>
        <w:t>、为确保公司重大交易决策工作的规范、有效，依据《公司法》等有关法律、法规、规范性文件及《公司章程》的规 定，结合公司的实际情况对《重大交易决策制度》进行了修订，经</w:t>
      </w:r>
      <w:r>
        <w:rPr>
          <w:rFonts w:ascii="Times New Roman" w:hAnsi="Times New Roman" w:cs="Times New Roman" w:eastAsia="Times New Roman" w:hint="default"/>
        </w:rPr>
        <w:t>2013</w:t>
      </w:r>
      <w:r>
        <w:rPr/>
        <w:t>年度股东大会审议通过，并实施。</w:t>
      </w:r>
    </w:p>
    <w:p>
      <w:pPr>
        <w:pStyle w:val="BodyText"/>
        <w:spacing w:line="300" w:lineRule="auto" w:before="49"/>
        <w:ind w:right="180" w:firstLine="360"/>
        <w:jc w:val="left"/>
      </w:pPr>
      <w:r>
        <w:rPr>
          <w:rFonts w:ascii="Times New Roman" w:hAnsi="Times New Roman" w:cs="Times New Roman" w:eastAsia="Times New Roman" w:hint="default"/>
        </w:rPr>
        <w:t>2</w:t>
      </w:r>
      <w:r>
        <w:rPr/>
        <w:t>、根据《中华人民共和国公司法》、《国务院关于开展优先股试点的指导意见》、《优先股试点管理办法》的有关规 定，并结合公司拟发行优先股的实际情况，公司对《公司章程》进行了修订，并形成了《公司章程》修订案。经公司</w:t>
      </w:r>
      <w:r>
        <w:rPr>
          <w:rFonts w:ascii="Times New Roman" w:hAnsi="Times New Roman" w:cs="Times New Roman" w:eastAsia="Times New Roman" w:hint="default"/>
        </w:rPr>
        <w:t>2015 </w:t>
      </w:r>
      <w:r>
        <w:rPr/>
        <w:t>年第一次临时股东大会审议通过，并实施。</w:t>
      </w:r>
    </w:p>
    <w:p>
      <w:pPr>
        <w:pStyle w:val="BodyText"/>
        <w:spacing w:line="338" w:lineRule="auto" w:before="71"/>
        <w:ind w:right="182" w:firstLine="360"/>
        <w:jc w:val="left"/>
      </w:pPr>
      <w:r>
        <w:rPr>
          <w:spacing w:val="-2"/>
        </w:rPr>
        <w:t>通过严格执行内部控制的相关制度，促进了公司的规范运作和健康发展，保护了投资者合法权益，公司治理总体情况与</w:t>
      </w:r>
      <w:r>
        <w:rPr/>
        <w:t> 中国证监会的要求不存在差异，随着公司的发展，公司规范运作状况及内部控制水平将不断提升。 公司治理与《公司法》和中国证监会相关规定的要求是否存在差异</w:t>
      </w:r>
    </w:p>
    <w:p>
      <w:pPr>
        <w:pStyle w:val="BodyText"/>
        <w:spacing w:line="360" w:lineRule="auto" w:before="42"/>
        <w:ind w:right="4590"/>
        <w:jc w:val="left"/>
      </w:pPr>
      <w:r>
        <w:rPr/>
        <w:t>□ 是 √ 否 公司治理与《公司法》和中国证监会相关规定的要求不存在差异。</w:t>
      </w:r>
    </w:p>
    <w:p>
      <w:pPr>
        <w:pStyle w:val="BodyText"/>
        <w:spacing w:line="357" w:lineRule="auto" w:before="26"/>
        <w:ind w:left="514" w:right="182" w:hanging="360"/>
        <w:jc w:val="left"/>
      </w:pPr>
      <w:r>
        <w:rPr/>
        <w:t>公司治理专项活动开展情况以及内幕信息知情人登记管理制度的制定、实施情况 </w:t>
      </w:r>
      <w:r>
        <w:rPr>
          <w:spacing w:val="-2"/>
        </w:rPr>
        <w:t>为规范公司内幕信息管理行为，加强公司内幕信息保密工作，维护信息披露的公平原则，公司依据中国证券监督管理委</w:t>
      </w:r>
    </w:p>
    <w:p>
      <w:pPr>
        <w:pStyle w:val="BodyText"/>
        <w:spacing w:line="224" w:lineRule="exact"/>
        <w:ind w:right="91"/>
        <w:jc w:val="left"/>
      </w:pPr>
      <w:r>
        <w:rPr/>
        <w:t>员会《关于上市公司建立内幕信息知情人登记管理制度的规定》（证监会公告[2011]30号）和深圳证券交易所2011年3月15</w:t>
      </w:r>
    </w:p>
    <w:p>
      <w:pPr>
        <w:pStyle w:val="BodyText"/>
        <w:spacing w:line="240" w:lineRule="auto" w:before="76"/>
        <w:ind w:right="0"/>
        <w:jc w:val="left"/>
      </w:pPr>
      <w:r>
        <w:rPr/>
        <w:t>日发布的修订后的《信息披露业务备忘录第34号――内幕信息知情人员登记管理事项》相关要求，并结合实际情况，修订了</w:t>
      </w:r>
    </w:p>
    <w:p>
      <w:pPr>
        <w:pStyle w:val="BodyText"/>
        <w:spacing w:line="319" w:lineRule="auto" w:before="76"/>
        <w:ind w:right="91"/>
        <w:jc w:val="left"/>
      </w:pPr>
      <w:r>
        <w:rPr>
          <w:spacing w:val="-4"/>
        </w:rPr>
        <w:t>《内幕信息知情人登记制度》明确了内幕信息的范围、内幕信息知情人及其范围、登记备案管理、保密及相关的责任追究等。</w:t>
      </w:r>
      <w:r>
        <w:rPr>
          <w:spacing w:val="-46"/>
        </w:rPr>
        <w:t> </w:t>
      </w:r>
      <w:r>
        <w:rPr>
          <w:spacing w:val="-46"/>
        </w:rPr>
      </w:r>
      <w:r>
        <w:rPr>
          <w:spacing w:val="-2"/>
        </w:rPr>
        <w:t>董事会是内幕信息的管理机构，指定董事会秘书为内幕信息管理工作负责人。公司强化内幕信息知情人的登记管理制度和监</w:t>
      </w:r>
      <w:r>
        <w:rPr>
          <w:spacing w:val="-64"/>
        </w:rPr>
        <w:t> </w:t>
      </w:r>
      <w:r>
        <w:rPr>
          <w:spacing w:val="-64"/>
        </w:rPr>
      </w:r>
      <w:r>
        <w:rPr>
          <w:spacing w:val="-2"/>
        </w:rPr>
        <w:t>督检查工作，规范重大信息的内部流转程序，保证信息披露的公平。切实避免内幕信息外泄和内幕交易行为的发生。公司严</w:t>
      </w:r>
      <w:r>
        <w:rPr>
          <w:spacing w:val="-66"/>
        </w:rPr>
        <w:t> </w:t>
      </w:r>
      <w:r>
        <w:rPr>
          <w:spacing w:val="-66"/>
        </w:rPr>
      </w:r>
      <w:r>
        <w:rPr/>
        <w:t>格执行内幕信息知情人登记制度及相关制度，禁止内幕信息知情人在影响公司股价的重大敏感信息披露前买卖公司股份。</w:t>
      </w:r>
    </w:p>
    <w:p>
      <w:pPr>
        <w:pStyle w:val="BodyText"/>
        <w:spacing w:line="240" w:lineRule="auto" w:before="58"/>
        <w:ind w:left="514" w:right="182"/>
        <w:jc w:val="left"/>
      </w:pPr>
      <w:r>
        <w:rPr/>
        <w:t>通过自查，未发现公司内幕信息知情人在敏感期买卖公司股票的行为，无监管处罚记录。</w:t>
      </w:r>
    </w:p>
    <w:p>
      <w:pPr>
        <w:spacing w:line="240" w:lineRule="auto" w:before="0"/>
        <w:rPr>
          <w:rFonts w:ascii="宋体" w:hAnsi="宋体" w:cs="宋体" w:eastAsia="宋体" w:hint="default"/>
          <w:sz w:val="25"/>
          <w:szCs w:val="25"/>
        </w:rPr>
      </w:pPr>
    </w:p>
    <w:p>
      <w:pPr>
        <w:pStyle w:val="Heading2"/>
        <w:spacing w:line="240" w:lineRule="auto"/>
        <w:ind w:right="182"/>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82"/>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60"/>
        <w:gridCol w:w="1080"/>
        <w:gridCol w:w="4140"/>
        <w:gridCol w:w="1080"/>
        <w:gridCol w:w="1080"/>
        <w:gridCol w:w="926"/>
      </w:tblGrid>
      <w:tr>
        <w:trPr>
          <w:trHeight w:val="401"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2"/>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2013 </w:t>
            </w:r>
            <w:r>
              <w:rPr>
                <w:rFonts w:ascii="宋体" w:hAnsi="宋体" w:cs="宋体" w:eastAsia="宋体" w:hint="default"/>
                <w:sz w:val="18"/>
                <w:szCs w:val="18"/>
              </w:rPr>
              <w:t>年度董事会工作报告 </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年度监事 会工作报告；</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年度财务决算报告；</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年度报告全文及摘要；</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年度独立董事述职报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全部审议通 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1"/>
              <w:jc w:val="both"/>
              <w:rPr>
                <w:rFonts w:ascii="Times New Roman" w:hAnsi="Times New Roman" w:cs="Times New Roman" w:eastAsia="Times New Roman" w:hint="default"/>
                <w:sz w:val="18"/>
                <w:szCs w:val="18"/>
              </w:rPr>
            </w:pPr>
            <w:hyperlink r:id="rId18">
              <w:r>
                <w:rPr>
                  <w:rFonts w:ascii="Times New Roman"/>
                  <w:sz w:val="18"/>
                </w:rPr>
                <w:t>http://www.</w:t>
              </w:r>
            </w:hyperlink>
            <w:r>
              <w:rPr>
                <w:rFonts w:ascii="Times New Roman"/>
                <w:sz w:val="18"/>
              </w:rPr>
              <w:t> cninfo.com. cn</w:t>
            </w:r>
          </w:p>
        </w:tc>
      </w:tr>
    </w:tbl>
    <w:p>
      <w:pPr>
        <w:spacing w:after="0" w:line="362" w:lineRule="auto"/>
        <w:jc w:val="both"/>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260"/>
        <w:gridCol w:w="1080"/>
        <w:gridCol w:w="4140"/>
        <w:gridCol w:w="1080"/>
        <w:gridCol w:w="1080"/>
        <w:gridCol w:w="926"/>
      </w:tblGrid>
      <w:tr>
        <w:trPr>
          <w:trHeight w:val="322" w:hRule="exact"/>
        </w:trPr>
        <w:tc>
          <w:tcPr>
            <w:tcW w:w="126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4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w:t>
            </w:r>
            <w:r>
              <w:rPr>
                <w:rFonts w:ascii="Times New Roman" w:hAnsi="Times New Roman" w:cs="Times New Roman" w:eastAsia="Times New Roman" w:hint="default"/>
                <w:sz w:val="18"/>
                <w:szCs w:val="18"/>
              </w:rPr>
              <w:t>7</w:t>
            </w:r>
            <w:r>
              <w:rPr>
                <w:rFonts w:ascii="宋体" w:hAnsi="宋体" w:cs="宋体" w:eastAsia="宋体" w:hint="default"/>
                <w:sz w:val="18"/>
                <w:szCs w:val="18"/>
              </w:rPr>
              <w:t>、关于向银行申</w:t>
            </w:r>
          </w:p>
        </w:tc>
        <w:tc>
          <w:tcPr>
            <w:tcW w:w="1080" w:type="dxa"/>
            <w:vMerge w:val="restart"/>
            <w:tcBorders>
              <w:top w:val="single" w:sz="4" w:space="0" w:color="000000"/>
              <w:left w:val="single" w:sz="4" w:space="0" w:color="000000"/>
              <w:right w:val="single" w:sz="4" w:space="0" w:color="000000"/>
            </w:tcBorders>
          </w:tcPr>
          <w:p>
            <w:pPr>
              <w:pStyle w:val="TableParagraph"/>
              <w:spacing w:line="2536" w:lineRule="exact"/>
              <w:ind w:right="-51"/>
              <w:jc w:val="left"/>
              <w:rPr>
                <w:rFonts w:ascii="宋体" w:hAnsi="宋体" w:cs="宋体" w:eastAsia="宋体" w:hint="default"/>
                <w:sz w:val="20"/>
                <w:szCs w:val="20"/>
              </w:rPr>
            </w:pPr>
            <w:r>
              <w:rPr>
                <w:rFonts w:ascii="宋体" w:hAnsi="宋体" w:cs="宋体" w:eastAsia="宋体" w:hint="default"/>
                <w:position w:val="-50"/>
                <w:sz w:val="20"/>
                <w:szCs w:val="20"/>
              </w:rPr>
              <w:pict>
                <v:group style="width:53.55pt;height:126.85pt;mso-position-horizontal-relative:char;mso-position-vertical-relative:line" coordorigin="0,0" coordsize="1071,2537">
                  <v:group style="position:absolute;left:0;top:0;width:1071;height:2537" coordorigin="0,0" coordsize="1071,2537">
                    <v:shape style="position:absolute;left:0;top:0;width:1071;height:2537" coordorigin="0,0" coordsize="1071,2537" path="m0,2537l1070,2537,1070,0,0,0,0,2537xe" filled="true" fillcolor="#ffffff" stroked="false">
                      <v:path arrowok="t"/>
                      <v:fill type="solid"/>
                    </v:shape>
                  </v:group>
                </v:group>
              </w:pict>
            </w:r>
            <w:r>
              <w:rPr>
                <w:rFonts w:ascii="宋体" w:hAnsi="宋体" w:cs="宋体" w:eastAsia="宋体" w:hint="default"/>
                <w:position w:val="-50"/>
                <w:sz w:val="20"/>
                <w:szCs w:val="20"/>
              </w:rPr>
            </w:r>
          </w:p>
        </w:tc>
        <w:tc>
          <w:tcPr>
            <w:tcW w:w="1080"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
        </w:tc>
      </w:tr>
      <w:tr>
        <w:trPr>
          <w:trHeight w:val="312" w:hRule="exact"/>
        </w:trPr>
        <w:tc>
          <w:tcPr>
            <w:tcW w:w="12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3"/>
                <w:sz w:val="18"/>
                <w:szCs w:val="18"/>
              </w:rPr>
              <w:t>年综合授信额度的议案；</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、关于对控股子公</w:t>
            </w:r>
          </w:p>
        </w:tc>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312" w:hRule="exact"/>
        </w:trPr>
        <w:tc>
          <w:tcPr>
            <w:tcW w:w="12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司提供财务资助的议案；</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、关于聘任</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年度审计</w:t>
            </w:r>
          </w:p>
        </w:tc>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312" w:hRule="exact"/>
        </w:trPr>
        <w:tc>
          <w:tcPr>
            <w:tcW w:w="12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机构的议案；</w:t>
            </w:r>
            <w:r>
              <w:rPr>
                <w:rFonts w:ascii="Times New Roman" w:hAnsi="Times New Roman" w:cs="Times New Roman" w:eastAsia="Times New Roman" w:hint="default"/>
                <w:sz w:val="18"/>
                <w:szCs w:val="18"/>
              </w:rPr>
              <w:t>10</w:t>
            </w:r>
            <w:r>
              <w:rPr>
                <w:rFonts w:ascii="宋体" w:hAnsi="宋体" w:cs="宋体" w:eastAsia="宋体" w:hint="default"/>
                <w:sz w:val="18"/>
                <w:szCs w:val="18"/>
              </w:rPr>
              <w:t>、关于建设年产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万吨化学木浆项</w:t>
            </w:r>
          </w:p>
        </w:tc>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312" w:hRule="exact"/>
        </w:trPr>
        <w:tc>
          <w:tcPr>
            <w:tcW w:w="12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目的议案；</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、关于修订《重大交易决策制度》的议</w:t>
            </w:r>
          </w:p>
        </w:tc>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312" w:hRule="exact"/>
        </w:trPr>
        <w:tc>
          <w:tcPr>
            <w:tcW w:w="12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案；</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、关于执行新会计准则的议案；</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、逐项审议</w:t>
            </w:r>
          </w:p>
        </w:tc>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308" w:hRule="exact"/>
        </w:trPr>
        <w:tc>
          <w:tcPr>
            <w:tcW w:w="12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33"/>
              <w:jc w:val="left"/>
              <w:rPr>
                <w:rFonts w:ascii="宋体" w:hAnsi="宋体" w:cs="宋体" w:eastAsia="宋体" w:hint="default"/>
                <w:sz w:val="18"/>
                <w:szCs w:val="18"/>
              </w:rPr>
            </w:pPr>
            <w:r>
              <w:rPr>
                <w:rFonts w:ascii="宋体" w:hAnsi="宋体" w:cs="宋体" w:eastAsia="宋体" w:hint="default"/>
                <w:sz w:val="18"/>
                <w:szCs w:val="18"/>
              </w:rPr>
              <w:t>关于晨鸣（香港）有限公司发行人民币债券的议案；</w:t>
            </w:r>
          </w:p>
        </w:tc>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357" w:hRule="exact"/>
        </w:trPr>
        <w:tc>
          <w:tcPr>
            <w:tcW w:w="126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4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、关于增补公司第七届董事会董事的议案。</w:t>
            </w:r>
          </w:p>
        </w:tc>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286"/>
        <w:gridCol w:w="1082"/>
        <w:gridCol w:w="4139"/>
        <w:gridCol w:w="1080"/>
        <w:gridCol w:w="1080"/>
        <w:gridCol w:w="1026"/>
      </w:tblGrid>
      <w:tr>
        <w:trPr>
          <w:trHeight w:val="402" w:hRule="exact"/>
        </w:trPr>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1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0" w:lineRule="auto"/>
              <w:ind w:left="22"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、关于为融资租赁公司增资的议案；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、逐项审议关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于发行超短期融资券的议案；</w:t>
            </w:r>
            <w:r>
              <w:rPr>
                <w:rFonts w:ascii="Times New Roman" w:hAnsi="Times New Roman" w:cs="Times New Roman" w:eastAsia="Times New Roman" w:hint="default"/>
                <w:sz w:val="18"/>
                <w:szCs w:val="18"/>
              </w:rPr>
              <w:t>3</w:t>
            </w:r>
            <w:r>
              <w:rPr>
                <w:rFonts w:ascii="宋体" w:hAnsi="宋体" w:cs="宋体" w:eastAsia="宋体" w:hint="default"/>
                <w:sz w:val="18"/>
                <w:szCs w:val="18"/>
              </w:rPr>
              <w:t>、逐项审议关于晨鸣</w:t>
            </w:r>
          </w:p>
          <w:p>
            <w:pPr>
              <w:pStyle w:val="TableParagraph"/>
              <w:spacing w:line="309" w:lineRule="auto" w:before="13"/>
              <w:ind w:left="22" w:right="54"/>
              <w:jc w:val="left"/>
              <w:rPr>
                <w:rFonts w:ascii="宋体" w:hAnsi="宋体" w:cs="宋体" w:eastAsia="宋体" w:hint="default"/>
                <w:sz w:val="18"/>
                <w:szCs w:val="18"/>
              </w:rPr>
            </w:pPr>
            <w:r>
              <w:rPr>
                <w:rFonts w:ascii="宋体" w:hAnsi="宋体" w:cs="宋体" w:eastAsia="宋体" w:hint="default"/>
                <w:sz w:val="18"/>
                <w:szCs w:val="18"/>
              </w:rPr>
              <w:t>（香港）有限公司发行美元债券的议案；</w:t>
            </w:r>
            <w:r>
              <w:rPr>
                <w:rFonts w:ascii="Times New Roman" w:hAnsi="Times New Roman" w:cs="Times New Roman" w:eastAsia="Times New Roman" w:hint="default"/>
                <w:sz w:val="18"/>
                <w:szCs w:val="18"/>
              </w:rPr>
              <w:t>4</w:t>
            </w:r>
            <w:r>
              <w:rPr>
                <w:rFonts w:ascii="宋体" w:hAnsi="宋体" w:cs="宋体" w:eastAsia="宋体" w:hint="default"/>
                <w:sz w:val="18"/>
                <w:szCs w:val="18"/>
              </w:rPr>
              <w:t>、关于取 消部分担保及为部分控股子公司综合授信提供担保 的议案；</w:t>
            </w:r>
            <w:r>
              <w:rPr>
                <w:rFonts w:ascii="Times New Roman" w:hAnsi="Times New Roman" w:cs="Times New Roman" w:eastAsia="Times New Roman" w:hint="default"/>
                <w:sz w:val="18"/>
                <w:szCs w:val="18"/>
              </w:rPr>
              <w:t>5</w:t>
            </w:r>
            <w:r>
              <w:rPr>
                <w:rFonts w:ascii="宋体" w:hAnsi="宋体" w:cs="宋体" w:eastAsia="宋体" w:hint="default"/>
                <w:sz w:val="18"/>
                <w:szCs w:val="18"/>
              </w:rPr>
              <w:t>、逐项审议关于发行中期票据的议案。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全部审议通 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362" w:lineRule="auto"/>
              <w:ind w:left="22" w:right="40"/>
              <w:jc w:val="left"/>
              <w:rPr>
                <w:rFonts w:ascii="Times New Roman" w:hAnsi="Times New Roman" w:cs="Times New Roman" w:eastAsia="Times New Roman" w:hint="default"/>
                <w:sz w:val="18"/>
                <w:szCs w:val="18"/>
              </w:rPr>
            </w:pPr>
            <w:r>
              <w:rPr>
                <w:rFonts w:ascii="Times New Roman"/>
                <w:sz w:val="18"/>
              </w:rPr>
              <w:t>http://www.c ninfo.com.cn</w:t>
            </w:r>
          </w:p>
        </w:tc>
      </w:tr>
    </w:tbl>
    <w:p>
      <w:pPr>
        <w:spacing w:line="240" w:lineRule="auto" w:before="2"/>
        <w:rPr>
          <w:rFonts w:ascii="宋体" w:hAnsi="宋体" w:cs="宋体" w:eastAsia="宋体" w:hint="default"/>
          <w:b/>
          <w:bCs/>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47"/>
        <w:jc w:val="left"/>
        <w:rPr>
          <w:b w:val="0"/>
          <w:bCs w:val="0"/>
        </w:rPr>
      </w:pP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47"/>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51"/>
        <w:ind w:right="5810"/>
        <w:jc w:val="left"/>
      </w:pPr>
      <w:r>
        <w:rPr/>
        <w:t>连续两次未亲自出席董事会的说明 公司独立董事无连续两次未出席董事会的情况。</w:t>
      </w:r>
    </w:p>
    <w:p>
      <w:pPr>
        <w:spacing w:line="240" w:lineRule="auto" w:before="11"/>
        <w:rPr>
          <w:rFonts w:ascii="宋体" w:hAnsi="宋体" w:cs="宋体" w:eastAsia="宋体" w:hint="default"/>
          <w:sz w:val="19"/>
          <w:szCs w:val="19"/>
        </w:rPr>
      </w:pPr>
    </w:p>
    <w:p>
      <w:pPr>
        <w:pStyle w:val="Heading4"/>
        <w:spacing w:line="240" w:lineRule="auto"/>
        <w:ind w:right="147"/>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独立董事对公司有关事项是否提出异议</w:t>
      </w:r>
    </w:p>
    <w:p>
      <w:pPr>
        <w:pStyle w:val="BodyText"/>
        <w:spacing w:line="240" w:lineRule="auto" w:before="116"/>
        <w:ind w:right="147"/>
        <w:jc w:val="left"/>
      </w:pPr>
      <w:r>
        <w:rPr/>
        <w:t>□ 是 √ 否</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报告期内独立董事对公司有关事项未提出异议。</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60" w:lineRule="auto" w:before="116"/>
        <w:ind w:right="5990"/>
        <w:jc w:val="left"/>
      </w:pPr>
      <w:r>
        <w:rPr/>
        <w:t>√ 是 □ 否 独立董事对公司有关建议被采纳或未被采纳的说明</w:t>
      </w:r>
    </w:p>
    <w:p>
      <w:pPr>
        <w:pStyle w:val="BodyText"/>
        <w:spacing w:line="357" w:lineRule="auto" w:before="26"/>
        <w:ind w:left="514" w:right="0"/>
        <w:jc w:val="left"/>
      </w:pPr>
      <w:r>
        <w:rPr/>
        <w:t>公司采纳独立董事建议继续购买董监高责任险，防范职业风险。 </w:t>
      </w:r>
      <w:r>
        <w:rPr>
          <w:spacing w:val="-2"/>
        </w:rPr>
        <w:t>报告期内，公司独立董事严格按照有关法律、法规和《公司章程》的规定，关注公司运作，独立履行职责，对公司的制</w:t>
      </w:r>
    </w:p>
    <w:p>
      <w:pPr>
        <w:pStyle w:val="BodyText"/>
        <w:spacing w:line="224" w:lineRule="exact"/>
        <w:ind w:right="0"/>
        <w:jc w:val="left"/>
      </w:pPr>
      <w:r>
        <w:rPr/>
        <w:t>度完善和日常经营决策等方面提出了很多宝贵的专业性建议</w:t>
      </w:r>
      <w:r>
        <w:rPr>
          <w:spacing w:val="-82"/>
        </w:rPr>
        <w:t>，</w:t>
      </w:r>
      <w:r>
        <w:rPr/>
        <w:t>对报告期内公司发生的需要独立董事发表意见的事项出具了独</w:t>
      </w:r>
    </w:p>
    <w:p>
      <w:pPr>
        <w:pStyle w:val="BodyText"/>
        <w:spacing w:line="240" w:lineRule="auto" w:before="77"/>
        <w:ind w:right="0"/>
        <w:jc w:val="left"/>
      </w:pPr>
      <w:r>
        <w:rPr/>
        <w:t>立、公正意见，为完善公司监督机制，维护公司和全体股东的合法权益发挥了应有的作用。</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800"/>
        <w:gridCol w:w="6300"/>
        <w:gridCol w:w="1754"/>
      </w:tblGrid>
      <w:tr>
        <w:trPr>
          <w:trHeight w:val="347" w:hRule="exact"/>
        </w:trPr>
        <w:tc>
          <w:tcPr>
            <w:tcW w:w="180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531" w:right="0"/>
              <w:jc w:val="left"/>
              <w:rPr>
                <w:rFonts w:ascii="宋体" w:hAnsi="宋体" w:cs="宋体" w:eastAsia="宋体" w:hint="default"/>
                <w:sz w:val="18"/>
                <w:szCs w:val="18"/>
              </w:rPr>
            </w:pPr>
            <w:r>
              <w:rPr>
                <w:rFonts w:ascii="宋体" w:hAnsi="宋体" w:cs="宋体" w:eastAsia="宋体" w:hint="default"/>
                <w:sz w:val="18"/>
                <w:szCs w:val="18"/>
              </w:rPr>
              <w:t>发表时间</w:t>
            </w:r>
          </w:p>
        </w:tc>
        <w:tc>
          <w:tcPr>
            <w:tcW w:w="630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175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意见类型</w:t>
            </w:r>
          </w:p>
        </w:tc>
      </w:tr>
      <w:tr>
        <w:trPr>
          <w:trHeight w:val="347"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6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关于购买写字楼事项</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971"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630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0"/>
              <w:jc w:val="both"/>
              <w:rPr>
                <w:rFonts w:ascii="宋体" w:hAnsi="宋体" w:cs="宋体" w:eastAsia="宋体" w:hint="default"/>
                <w:sz w:val="18"/>
                <w:szCs w:val="18"/>
              </w:rPr>
            </w:pPr>
            <w:r>
              <w:rPr>
                <w:rFonts w:ascii="宋体" w:hAnsi="宋体" w:cs="宋体" w:eastAsia="宋体" w:hint="default"/>
                <w:spacing w:val="-1"/>
                <w:sz w:val="18"/>
                <w:szCs w:val="18"/>
              </w:rPr>
              <w:t>对公司内部控制自我评价报告、关于公司对外担保情况的专项说明、关于</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w:t>
            </w:r>
            <w:r>
              <w:rPr>
                <w:rFonts w:ascii="宋体" w:hAnsi="宋体" w:cs="宋体" w:eastAsia="宋体" w:hint="default"/>
                <w:spacing w:val="-73"/>
                <w:sz w:val="18"/>
                <w:szCs w:val="18"/>
              </w:rPr>
              <w:t> </w:t>
            </w:r>
            <w:r>
              <w:rPr>
                <w:rFonts w:ascii="宋体" w:hAnsi="宋体" w:cs="宋体" w:eastAsia="宋体" w:hint="default"/>
                <w:spacing w:val="-1"/>
                <w:sz w:val="18"/>
                <w:szCs w:val="18"/>
              </w:rPr>
              <w:t>度董事、高管薪酬分配、关于为控股子公司提供财务资助、对关联方占用资金和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关联交易、关于聘任会计师事务所、关于聘任高管人员等事项</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6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关于增补公司第七届董事会董事事项</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660"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63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1"/>
                <w:sz w:val="18"/>
                <w:szCs w:val="18"/>
              </w:rPr>
              <w:t>关于为海鸣矿业和融资租赁公司提供担保、对公司控股股东及其他关联方占用资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金、对外担保情况事项</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6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关于取消部分担保及为部分控股子公司综合授信提供担保</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6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关于为财务公司提供担保、关于公司非公开发行优先股相关事项</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同意</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76" w:right="0"/>
        <w:jc w:val="left"/>
        <w:rPr>
          <w:b w:val="0"/>
          <w:bCs w:val="0"/>
        </w:rPr>
      </w:pPr>
      <w:r>
        <w:rPr/>
        <w:t>（一）审计委员会</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45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年度主要做了以下工作：</w:t>
      </w:r>
    </w:p>
    <w:p>
      <w:pPr>
        <w:pStyle w:val="BodyText"/>
        <w:spacing w:line="302" w:lineRule="auto" w:before="102"/>
        <w:ind w:left="153" w:right="321" w:firstLine="360"/>
        <w:jc w:val="left"/>
      </w:pPr>
      <w:r>
        <w:rPr/>
        <w:t>（</w:t>
      </w:r>
      <w:r>
        <w:rPr>
          <w:rFonts w:ascii="Times New Roman" w:hAnsi="Times New Roman" w:cs="Times New Roman" w:eastAsia="Times New Roman" w:hint="default"/>
        </w:rPr>
        <w:t>1</w:t>
      </w:r>
      <w:r>
        <w:rPr/>
        <w:t>）与公司聘请的外部审计机构对</w:t>
      </w:r>
      <w:r>
        <w:rPr>
          <w:rFonts w:ascii="Times New Roman" w:hAnsi="Times New Roman" w:cs="Times New Roman" w:eastAsia="Times New Roman" w:hint="default"/>
        </w:rPr>
        <w:t>2013</w:t>
      </w:r>
      <w:r>
        <w:rPr/>
        <w:t>年度财务报告的审计工作进行审计前的沟通，并审阅了</w:t>
      </w:r>
      <w:r>
        <w:rPr>
          <w:rFonts w:ascii="Times New Roman" w:hAnsi="Times New Roman" w:cs="Times New Roman" w:eastAsia="Times New Roman" w:hint="default"/>
        </w:rPr>
        <w:t>2013</w:t>
      </w:r>
      <w:r>
        <w:rPr/>
        <w:t>年度审计报告和财 务报告，向公司董事会提交了该报告；</w:t>
      </w:r>
    </w:p>
    <w:p>
      <w:pPr>
        <w:pStyle w:val="BodyText"/>
        <w:spacing w:line="240" w:lineRule="auto" w:before="69"/>
        <w:ind w:left="513" w:right="0"/>
        <w:jc w:val="left"/>
      </w:pPr>
      <w:r>
        <w:rPr/>
        <w:t>（</w:t>
      </w:r>
      <w:r>
        <w:rPr>
          <w:rFonts w:ascii="Times New Roman" w:hAnsi="Times New Roman" w:cs="Times New Roman" w:eastAsia="Times New Roman" w:hint="default"/>
        </w:rPr>
        <w:t>2</w:t>
      </w:r>
      <w:r>
        <w:rPr/>
        <w:t>）审阅截至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日止的本公司第一季度报告，并提交董事会审议通过。</w:t>
      </w:r>
    </w:p>
    <w:p>
      <w:pPr>
        <w:pStyle w:val="BodyText"/>
        <w:spacing w:line="240" w:lineRule="auto" w:before="102"/>
        <w:ind w:left="513" w:right="0"/>
        <w:jc w:val="left"/>
      </w:pPr>
      <w:r>
        <w:rPr/>
        <w:t>（</w:t>
      </w:r>
      <w:r>
        <w:rPr>
          <w:rFonts w:ascii="Times New Roman" w:hAnsi="Times New Roman" w:cs="Times New Roman" w:eastAsia="Times New Roman" w:hint="default"/>
        </w:rPr>
        <w:t>3</w:t>
      </w:r>
      <w:r>
        <w:rPr/>
        <w:t>）审阅截至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日止六个月的本公司半年度财务报告，并提交董事会审议通过。</w:t>
      </w:r>
    </w:p>
    <w:p>
      <w:pPr>
        <w:pStyle w:val="BodyText"/>
        <w:spacing w:line="240" w:lineRule="auto" w:before="103"/>
        <w:ind w:left="513" w:right="0"/>
        <w:jc w:val="left"/>
      </w:pPr>
      <w:r>
        <w:rPr/>
        <w:t>（</w:t>
      </w:r>
      <w:r>
        <w:rPr>
          <w:rFonts w:ascii="Times New Roman" w:hAnsi="Times New Roman" w:cs="Times New Roman" w:eastAsia="Times New Roman" w:hint="default"/>
        </w:rPr>
        <w:t>4</w:t>
      </w:r>
      <w:r>
        <w:rPr/>
        <w:t>）审阅截至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日止的本公司第三季度报告，并提交董事会审议通过。</w:t>
      </w:r>
    </w:p>
    <w:p>
      <w:pPr>
        <w:pStyle w:val="BodyText"/>
        <w:spacing w:line="240" w:lineRule="auto" w:before="102"/>
        <w:ind w:left="513" w:right="0"/>
        <w:jc w:val="left"/>
      </w:pPr>
      <w:r>
        <w:rPr>
          <w:rFonts w:ascii="Times New Roman" w:hAnsi="Times New Roman" w:cs="Times New Roman" w:eastAsia="Times New Roman" w:hint="default"/>
        </w:rPr>
        <w:t>2</w:t>
      </w:r>
      <w:r>
        <w:rPr/>
        <w:t>、对公司</w:t>
      </w:r>
      <w:r>
        <w:rPr>
          <w:rFonts w:ascii="Times New Roman" w:hAnsi="Times New Roman" w:cs="Times New Roman" w:eastAsia="Times New Roman" w:hint="default"/>
        </w:rPr>
        <w:t>2014</w:t>
      </w:r>
      <w:r>
        <w:rPr/>
        <w:t>年度财务报告审计工作情况如下：</w:t>
      </w:r>
    </w:p>
    <w:p>
      <w:pPr>
        <w:pStyle w:val="BodyText"/>
        <w:spacing w:line="300" w:lineRule="auto" w:before="101"/>
        <w:ind w:left="153" w:right="331" w:firstLine="360"/>
        <w:jc w:val="both"/>
      </w:pPr>
      <w:r>
        <w:rPr/>
        <w:t>（</w:t>
      </w:r>
      <w:r>
        <w:rPr>
          <w:rFonts w:ascii="Times New Roman" w:hAnsi="Times New Roman" w:cs="Times New Roman" w:eastAsia="Times New Roman" w:hint="default"/>
        </w:rPr>
        <w:t>1</w:t>
      </w:r>
      <w:r>
        <w:rPr/>
        <w:t>）在会计师进场审计前，与年度审计注册会计师、公司财务部门召开会议，认真审阅了公司</w:t>
      </w:r>
      <w:r>
        <w:rPr>
          <w:rFonts w:ascii="Times New Roman" w:hAnsi="Times New Roman" w:cs="Times New Roman" w:eastAsia="Times New Roman" w:hint="default"/>
        </w:rPr>
        <w:t>2014</w:t>
      </w:r>
      <w:r>
        <w:rPr/>
        <w:t>年度审计工作计划 </w:t>
      </w:r>
      <w:r>
        <w:rPr>
          <w:spacing w:val="-2"/>
        </w:rPr>
        <w:t>及相关资料，与负责公司年度审计工作的瑞华会计师事务所注册会计师协商确定了公司</w:t>
      </w:r>
      <w:r>
        <w:rPr>
          <w:rFonts w:ascii="Times New Roman" w:hAnsi="Times New Roman" w:cs="Times New Roman" w:eastAsia="Times New Roman" w:hint="default"/>
          <w:spacing w:val="-2"/>
        </w:rPr>
        <w:t>2014</w:t>
      </w:r>
      <w:r>
        <w:rPr>
          <w:spacing w:val="-2"/>
        </w:rPr>
        <w:t>年度财务审计报告的时间安排计</w:t>
      </w:r>
      <w:r>
        <w:rPr>
          <w:spacing w:val="-60"/>
        </w:rPr>
        <w:t> </w:t>
      </w:r>
      <w:r>
        <w:rPr/>
        <w:t>划；</w:t>
      </w:r>
    </w:p>
    <w:p>
      <w:pPr>
        <w:pStyle w:val="BodyText"/>
        <w:spacing w:line="240" w:lineRule="auto" w:before="72"/>
        <w:ind w:left="513" w:right="0"/>
        <w:jc w:val="left"/>
      </w:pPr>
      <w:r>
        <w:rPr/>
        <w:t>（</w:t>
      </w:r>
      <w:r>
        <w:rPr>
          <w:rFonts w:ascii="Times New Roman" w:hAnsi="Times New Roman" w:cs="Times New Roman" w:eastAsia="Times New Roman" w:hint="default"/>
        </w:rPr>
        <w:t>2</w:t>
      </w:r>
      <w:r>
        <w:rPr/>
        <w:t>）在年度审计注册会计师进场前认真审阅了公司初步编制的财务会计报表，并出具了同意审计的意见；</w:t>
      </w:r>
    </w:p>
    <w:p>
      <w:pPr>
        <w:pStyle w:val="BodyText"/>
        <w:spacing w:line="302" w:lineRule="auto" w:before="101"/>
        <w:ind w:left="153" w:right="321" w:firstLine="360"/>
        <w:jc w:val="left"/>
      </w:pPr>
      <w:r>
        <w:rPr/>
        <w:t>（</w:t>
      </w:r>
      <w:r>
        <w:rPr>
          <w:rFonts w:ascii="Times New Roman" w:hAnsi="Times New Roman" w:cs="Times New Roman" w:eastAsia="Times New Roman" w:hint="default"/>
        </w:rPr>
        <w:t>3</w:t>
      </w:r>
      <w:r>
        <w:rPr/>
        <w:t>）公司年度审计注册会计师进场后，审计委员会不断加强与会计师的沟通，并发出督促函，督促其在约定的时间内 提交审计报告；</w:t>
      </w:r>
    </w:p>
    <w:p>
      <w:pPr>
        <w:pStyle w:val="BodyText"/>
        <w:spacing w:line="302" w:lineRule="auto" w:before="68"/>
        <w:ind w:left="153" w:right="321" w:firstLine="360"/>
        <w:jc w:val="left"/>
      </w:pPr>
      <w:r>
        <w:rPr/>
        <w:t>（</w:t>
      </w:r>
      <w:r>
        <w:rPr>
          <w:rFonts w:ascii="Times New Roman" w:hAnsi="Times New Roman" w:cs="Times New Roman" w:eastAsia="Times New Roman" w:hint="default"/>
        </w:rPr>
        <w:t>4</w:t>
      </w:r>
      <w:r>
        <w:rPr/>
        <w:t>）公司年度审计注册会计师出具初步审计意见后审计委员会又一次审阅了公司财务报表，认为公司财务报表真实、 准确、完整的反映了公司的整体情况；</w:t>
      </w:r>
    </w:p>
    <w:p>
      <w:pPr>
        <w:pStyle w:val="BodyText"/>
        <w:spacing w:line="240" w:lineRule="auto" w:before="69"/>
        <w:ind w:left="513" w:right="0"/>
        <w:jc w:val="left"/>
      </w:pPr>
      <w:r>
        <w:rPr/>
        <w:t>（</w:t>
      </w:r>
      <w:r>
        <w:rPr>
          <w:rFonts w:ascii="Times New Roman" w:hAnsi="Times New Roman" w:cs="Times New Roman" w:eastAsia="Times New Roman" w:hint="default"/>
        </w:rPr>
        <w:t>5</w:t>
      </w:r>
      <w:r>
        <w:rPr/>
        <w:t>）审计委员会</w:t>
      </w:r>
      <w:r>
        <w:rPr>
          <w:rFonts w:ascii="Times New Roman" w:hAnsi="Times New Roman" w:cs="Times New Roman" w:eastAsia="Times New Roman" w:hint="default"/>
        </w:rPr>
        <w:t>2015</w:t>
      </w:r>
      <w:r>
        <w:rPr/>
        <w:t>年第一次会议审议了公司年度审计会计师事务所出具的本年度审计工作总结，并向董事会提交了</w:t>
      </w:r>
    </w:p>
    <w:p>
      <w:pPr>
        <w:spacing w:after="0" w:line="240" w:lineRule="auto"/>
        <w:jc w:val="left"/>
        <w:sectPr>
          <w:pgSz w:w="11910" w:h="16840"/>
          <w:pgMar w:header="747" w:footer="982" w:top="1060" w:bottom="1180" w:left="980" w:right="800"/>
        </w:sectPr>
      </w:pPr>
    </w:p>
    <w:p>
      <w:pPr>
        <w:spacing w:line="240" w:lineRule="auto" w:before="13"/>
        <w:rPr>
          <w:rFonts w:ascii="宋体" w:hAnsi="宋体" w:cs="宋体" w:eastAsia="宋体" w:hint="default"/>
          <w:sz w:val="25"/>
          <w:szCs w:val="25"/>
        </w:rPr>
      </w:pPr>
    </w:p>
    <w:p>
      <w:pPr>
        <w:pStyle w:val="BodyText"/>
        <w:spacing w:line="240" w:lineRule="auto" w:before="44"/>
        <w:ind w:left="153" w:right="147"/>
        <w:jc w:val="left"/>
      </w:pPr>
      <w:r>
        <w:rPr/>
        <w:t>该报告；</w:t>
      </w:r>
    </w:p>
    <w:p>
      <w:pPr>
        <w:pStyle w:val="BodyText"/>
        <w:spacing w:line="240" w:lineRule="auto" w:before="116"/>
        <w:ind w:left="513" w:right="147"/>
        <w:jc w:val="left"/>
      </w:pPr>
      <w:r>
        <w:rPr/>
        <w:t>（</w:t>
      </w:r>
      <w:r>
        <w:rPr>
          <w:rFonts w:ascii="Times New Roman" w:hAnsi="Times New Roman" w:cs="Times New Roman" w:eastAsia="Times New Roman" w:hint="default"/>
        </w:rPr>
        <w:t>6</w:t>
      </w:r>
      <w:r>
        <w:rPr/>
        <w:t>）审阅截至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日止年度的本公司内部审计及内部控制情况的报告。</w:t>
      </w:r>
    </w:p>
    <w:p>
      <w:pPr>
        <w:spacing w:line="240" w:lineRule="auto" w:before="10"/>
        <w:rPr>
          <w:rFonts w:ascii="宋体" w:hAnsi="宋体" w:cs="宋体" w:eastAsia="宋体" w:hint="default"/>
          <w:sz w:val="25"/>
          <w:szCs w:val="25"/>
        </w:rPr>
      </w:pPr>
    </w:p>
    <w:p>
      <w:pPr>
        <w:pStyle w:val="Heading4"/>
        <w:spacing w:line="240" w:lineRule="auto"/>
        <w:ind w:left="576" w:right="147"/>
        <w:jc w:val="left"/>
        <w:rPr>
          <w:b w:val="0"/>
          <w:bCs w:val="0"/>
        </w:rPr>
      </w:pPr>
      <w:r>
        <w:rPr/>
        <w:t>（二）薪酬与考核委员会</w:t>
      </w:r>
      <w:r>
        <w:rPr>
          <w:b w:val="0"/>
          <w:bCs w:val="0"/>
        </w:rPr>
      </w:r>
    </w:p>
    <w:p>
      <w:pPr>
        <w:spacing w:line="240" w:lineRule="auto" w:before="8"/>
        <w:rPr>
          <w:rFonts w:ascii="宋体" w:hAnsi="宋体" w:cs="宋体" w:eastAsia="宋体" w:hint="default"/>
          <w:b/>
          <w:bCs/>
          <w:sz w:val="27"/>
          <w:szCs w:val="27"/>
        </w:rPr>
      </w:pPr>
    </w:p>
    <w:p>
      <w:pPr>
        <w:pStyle w:val="BodyText"/>
        <w:spacing w:line="309" w:lineRule="auto"/>
        <w:ind w:right="150" w:firstLine="360"/>
        <w:jc w:val="both"/>
      </w:pPr>
      <w:r>
        <w:rPr>
          <w:spacing w:val="-2"/>
        </w:rPr>
        <w:t>公司董事会下设薪酬与考核委员会，主要负责制定公司董事及高管人员的薪酬考核、制定、审查董事及高管人员的薪酬</w:t>
      </w:r>
      <w:r>
        <w:rPr/>
        <w:t> </w:t>
      </w:r>
      <w:r>
        <w:rPr>
          <w:spacing w:val="-2"/>
        </w:rPr>
        <w:t>方案，对董事会负责。报告期内，公司董事会薪酬和考核委员会根据</w:t>
      </w:r>
      <w:r>
        <w:rPr>
          <w:rFonts w:ascii="Times New Roman" w:hAnsi="Times New Roman" w:cs="Times New Roman" w:eastAsia="Times New Roman" w:hint="default"/>
          <w:spacing w:val="-2"/>
        </w:rPr>
        <w:t>2013</w:t>
      </w:r>
      <w:r>
        <w:rPr>
          <w:spacing w:val="-2"/>
        </w:rPr>
        <w:t>年的经营情况、董事及高管人员的考核情况，制定</w:t>
      </w:r>
      <w:r>
        <w:rPr>
          <w:spacing w:val="-62"/>
        </w:rPr>
        <w:t> </w:t>
      </w:r>
      <w:r>
        <w:rPr>
          <w:spacing w:val="-62"/>
        </w:rPr>
      </w:r>
      <w:r>
        <w:rPr/>
        <w:t>了公司董事及高管人员</w:t>
      </w:r>
      <w:r>
        <w:rPr>
          <w:rFonts w:ascii="Times New Roman" w:hAnsi="Times New Roman" w:cs="Times New Roman" w:eastAsia="Times New Roman" w:hint="default"/>
        </w:rPr>
        <w:t>2013</w:t>
      </w:r>
      <w:r>
        <w:rPr/>
        <w:t>年度的薪酬方案，并提交董事会审议。</w:t>
      </w:r>
    </w:p>
    <w:p>
      <w:pPr>
        <w:spacing w:line="240" w:lineRule="auto" w:before="5"/>
        <w:rPr>
          <w:rFonts w:ascii="宋体" w:hAnsi="宋体" w:cs="宋体" w:eastAsia="宋体" w:hint="default"/>
          <w:sz w:val="21"/>
          <w:szCs w:val="21"/>
        </w:rPr>
      </w:pPr>
    </w:p>
    <w:p>
      <w:pPr>
        <w:pStyle w:val="Heading4"/>
        <w:spacing w:line="240" w:lineRule="auto"/>
        <w:ind w:left="576" w:right="147"/>
        <w:jc w:val="left"/>
        <w:rPr>
          <w:b w:val="0"/>
          <w:bCs w:val="0"/>
        </w:rPr>
      </w:pPr>
      <w:r>
        <w:rPr/>
        <w:t>（三）提名委员会</w:t>
      </w:r>
      <w:r>
        <w:rPr>
          <w:b w:val="0"/>
          <w:bCs w:val="0"/>
        </w:rPr>
      </w:r>
    </w:p>
    <w:p>
      <w:pPr>
        <w:spacing w:line="240" w:lineRule="auto" w:before="8"/>
        <w:rPr>
          <w:rFonts w:ascii="宋体" w:hAnsi="宋体" w:cs="宋体" w:eastAsia="宋体" w:hint="default"/>
          <w:b/>
          <w:bCs/>
          <w:sz w:val="27"/>
          <w:szCs w:val="27"/>
        </w:rPr>
      </w:pPr>
    </w:p>
    <w:p>
      <w:pPr>
        <w:pStyle w:val="BodyText"/>
        <w:spacing w:line="302" w:lineRule="auto"/>
        <w:ind w:right="151" w:firstLine="360"/>
        <w:jc w:val="both"/>
      </w:pPr>
      <w:r>
        <w:rPr>
          <w:spacing w:val="-2"/>
        </w:rPr>
        <w:t>报告期内，提名委员会召开一次会议。</w:t>
      </w:r>
      <w:r>
        <w:rPr>
          <w:rFonts w:ascii="Times New Roman" w:hAnsi="Times New Roman" w:cs="Times New Roman" w:eastAsia="Times New Roman" w:hint="default"/>
          <w:spacing w:val="-2"/>
        </w:rPr>
        <w:t>2014</w:t>
      </w:r>
      <w:r>
        <w:rPr>
          <w:spacing w:val="-2"/>
        </w:rPr>
        <w:t>年第一次会议审议了《关于聘任高管人员的议案》，并提交本公司第七届董</w:t>
      </w:r>
      <w:r>
        <w:rPr/>
        <w:t> 事会第四次会议审议通过。</w:t>
      </w:r>
    </w:p>
    <w:p>
      <w:pPr>
        <w:spacing w:line="240" w:lineRule="auto" w:before="3"/>
        <w:rPr>
          <w:rFonts w:ascii="宋体" w:hAnsi="宋体" w:cs="宋体" w:eastAsia="宋体" w:hint="default"/>
          <w:sz w:val="23"/>
          <w:szCs w:val="23"/>
        </w:rPr>
      </w:pPr>
    </w:p>
    <w:p>
      <w:pPr>
        <w:pStyle w:val="Heading4"/>
        <w:spacing w:line="240" w:lineRule="auto"/>
        <w:ind w:left="576" w:right="147"/>
        <w:jc w:val="left"/>
        <w:rPr>
          <w:b w:val="0"/>
          <w:bCs w:val="0"/>
        </w:rPr>
      </w:pPr>
      <w:r>
        <w:rPr/>
        <w:t>（四）战略委员会</w:t>
      </w:r>
      <w:r>
        <w:rPr>
          <w:b w:val="0"/>
          <w:bCs w:val="0"/>
        </w:rPr>
      </w:r>
    </w:p>
    <w:p>
      <w:pPr>
        <w:spacing w:line="240" w:lineRule="auto" w:before="8"/>
        <w:rPr>
          <w:rFonts w:ascii="宋体" w:hAnsi="宋体" w:cs="宋体" w:eastAsia="宋体" w:hint="default"/>
          <w:b/>
          <w:bCs/>
          <w:sz w:val="27"/>
          <w:szCs w:val="27"/>
        </w:rPr>
      </w:pPr>
    </w:p>
    <w:p>
      <w:pPr>
        <w:pStyle w:val="BodyText"/>
        <w:spacing w:line="307" w:lineRule="auto"/>
        <w:ind w:left="153" w:right="148" w:firstLine="360"/>
        <w:jc w:val="both"/>
      </w:pPr>
      <w:r>
        <w:rPr>
          <w:spacing w:val="-2"/>
        </w:rPr>
        <w:t>报告期内，战略委员会召开四次会议。</w:t>
      </w:r>
      <w:r>
        <w:rPr>
          <w:rFonts w:ascii="Times New Roman" w:hAnsi="Times New Roman" w:cs="Times New Roman" w:eastAsia="Times New Roman" w:hint="default"/>
          <w:spacing w:val="-2"/>
        </w:rPr>
        <w:t>2014</w:t>
      </w:r>
      <w:r>
        <w:rPr>
          <w:spacing w:val="-2"/>
        </w:rPr>
        <w:t>年第一次会议审议了《关于成立融资租赁公司的议案》、《关于为黄冈晨鸣</w:t>
      </w:r>
      <w:r>
        <w:rPr/>
        <w:t> </w:t>
      </w:r>
      <w:r>
        <w:rPr>
          <w:spacing w:val="-2"/>
        </w:rPr>
        <w:t>增资的议案》、《关于购买写字楼物业资产的议案》和《关于对外提供委托贷款的议案》，并提交本公司第七届董事会第四</w:t>
      </w:r>
      <w:r>
        <w:rPr>
          <w:spacing w:val="-70"/>
        </w:rPr>
        <w:t> </w:t>
      </w:r>
      <w:r>
        <w:rPr>
          <w:spacing w:val="-70"/>
        </w:rPr>
      </w:r>
      <w:r>
        <w:rPr>
          <w:spacing w:val="-2"/>
        </w:rPr>
        <w:t>次临时会议审议通过；</w:t>
      </w:r>
      <w:r>
        <w:rPr>
          <w:rFonts w:ascii="Times New Roman" w:hAnsi="Times New Roman" w:cs="Times New Roman" w:eastAsia="Times New Roman" w:hint="default"/>
          <w:spacing w:val="-2"/>
        </w:rPr>
        <w:t>2014</w:t>
      </w:r>
      <w:r>
        <w:rPr>
          <w:spacing w:val="-2"/>
        </w:rPr>
        <w:t>年第二次会议审议了《关于建设年产</w:t>
      </w:r>
      <w:r>
        <w:rPr>
          <w:rFonts w:ascii="Times New Roman" w:hAnsi="Times New Roman" w:cs="Times New Roman" w:eastAsia="Times New Roman" w:hint="default"/>
          <w:spacing w:val="-2"/>
        </w:rPr>
        <w:t>40</w:t>
      </w:r>
      <w:r>
        <w:rPr>
          <w:spacing w:val="-2"/>
        </w:rPr>
        <w:t>万吨化学浆项目的议案》、《关于成立山东晨鸣投资有限</w:t>
      </w:r>
      <w:r>
        <w:rPr>
          <w:spacing w:val="-60"/>
        </w:rPr>
        <w:t> </w:t>
      </w:r>
      <w:r>
        <w:rPr>
          <w:spacing w:val="-60"/>
        </w:rPr>
      </w:r>
      <w:r>
        <w:rPr>
          <w:spacing w:val="-2"/>
        </w:rPr>
        <w:t>公司的议案》和《关于成立青岛晨鸣国际物流公司的议案》，并提交本公司第七届董事会第四次会议审议通过；</w:t>
      </w:r>
      <w:r>
        <w:rPr>
          <w:rFonts w:ascii="Times New Roman" w:hAnsi="Times New Roman" w:cs="Times New Roman" w:eastAsia="Times New Roman" w:hint="default"/>
          <w:spacing w:val="-2"/>
        </w:rPr>
        <w:t>2014</w:t>
      </w:r>
      <w:r>
        <w:rPr>
          <w:spacing w:val="-2"/>
        </w:rPr>
        <w:t>年第三</w:t>
      </w:r>
      <w:r>
        <w:rPr>
          <w:spacing w:val="-63"/>
        </w:rPr>
        <w:t> </w:t>
      </w:r>
      <w:r>
        <w:rPr>
          <w:spacing w:val="-2"/>
        </w:rPr>
        <w:t>次会议审议了《关于为融资租赁公司增资的议案》、《关于成立晨鸣林业公司的议案》，并提交本公司第七届董事会第六次</w:t>
      </w:r>
      <w:r>
        <w:rPr>
          <w:spacing w:val="-69"/>
        </w:rPr>
        <w:t> </w:t>
      </w:r>
      <w:r>
        <w:rPr>
          <w:spacing w:val="-69"/>
        </w:rPr>
      </w:r>
      <w:r>
        <w:rPr>
          <w:spacing w:val="-2"/>
        </w:rPr>
        <w:t>会议审议通过；</w:t>
      </w:r>
      <w:r>
        <w:rPr>
          <w:rFonts w:ascii="Times New Roman" w:hAnsi="Times New Roman" w:cs="Times New Roman" w:eastAsia="Times New Roman" w:hint="default"/>
          <w:spacing w:val="-2"/>
        </w:rPr>
        <w:t>2014</w:t>
      </w:r>
      <w:r>
        <w:rPr>
          <w:spacing w:val="-2"/>
        </w:rPr>
        <w:t>年第四次会议审议了《关于为融资租赁公司增资的议案》并提交本公司第七届董事会第七次会议审议通</w:t>
      </w:r>
      <w:r>
        <w:rPr>
          <w:spacing w:val="-62"/>
        </w:rPr>
        <w:t> </w:t>
      </w:r>
      <w:r>
        <w:rPr>
          <w:spacing w:val="-62"/>
        </w:rPr>
      </w:r>
      <w:r>
        <w:rPr/>
        <w:t>过。</w:t>
      </w:r>
    </w:p>
    <w:p>
      <w:pPr>
        <w:pStyle w:val="BodyText"/>
        <w:spacing w:line="316" w:lineRule="auto" w:before="26"/>
        <w:ind w:left="153" w:right="150" w:firstLine="360"/>
        <w:jc w:val="both"/>
      </w:pPr>
      <w:r>
        <w:rPr>
          <w:spacing w:val="-2"/>
        </w:rPr>
        <w:t>战略委员会关注董事会对项目发展和融资等授权情况，与管理层保持着顺畅的日常沟通，对授权范围内各项事务保持充</w:t>
      </w:r>
      <w:r>
        <w:rPr/>
        <w:t> 分了解。</w:t>
      </w:r>
    </w:p>
    <w:p>
      <w:pPr>
        <w:spacing w:line="240" w:lineRule="auto" w:before="10"/>
        <w:rPr>
          <w:rFonts w:ascii="宋体" w:hAnsi="宋体" w:cs="宋体" w:eastAsia="宋体" w:hint="default"/>
          <w:sz w:val="20"/>
          <w:szCs w:val="20"/>
        </w:rPr>
      </w:pPr>
    </w:p>
    <w:p>
      <w:pPr>
        <w:pStyle w:val="Heading2"/>
        <w:spacing w:line="240" w:lineRule="auto"/>
        <w:ind w:right="147"/>
        <w:jc w:val="left"/>
        <w:rPr>
          <w:b w:val="0"/>
          <w:bCs w:val="0"/>
        </w:rPr>
      </w:pPr>
      <w:r>
        <w:rPr/>
        <w:t>五、</w:t>
      </w:r>
      <w:r>
        <w:rPr>
          <w:spacing w:val="-1"/>
        </w:rPr>
        <w:t> </w:t>
      </w:r>
      <w:r>
        <w:rPr/>
        <w:t>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4" w:right="147"/>
        <w:jc w:val="left"/>
      </w:pPr>
      <w:r>
        <w:rPr/>
        <w:t>报告期内，公司监事会召开会议四次。 </w:t>
      </w:r>
      <w:r>
        <w:rPr>
          <w:spacing w:val="-2"/>
        </w:rPr>
        <w:t>第七届监事会第五次会议审议通过了</w:t>
      </w:r>
      <w:r>
        <w:rPr>
          <w:rFonts w:ascii="Times New Roman" w:hAnsi="Times New Roman" w:cs="Times New Roman" w:eastAsia="Times New Roman" w:hint="default"/>
          <w:spacing w:val="-2"/>
        </w:rPr>
        <w:t>2013</w:t>
      </w:r>
      <w:r>
        <w:rPr>
          <w:spacing w:val="-2"/>
        </w:rPr>
        <w:t>年度监事会工作报告、公司</w:t>
      </w:r>
      <w:r>
        <w:rPr>
          <w:rFonts w:ascii="Times New Roman" w:hAnsi="Times New Roman" w:cs="Times New Roman" w:eastAsia="Times New Roman" w:hint="default"/>
          <w:spacing w:val="-2"/>
        </w:rPr>
        <w:t>2013</w:t>
      </w:r>
      <w:r>
        <w:rPr>
          <w:spacing w:val="-2"/>
        </w:rPr>
        <w:t>年度报告全文及摘要、公司</w:t>
      </w:r>
      <w:r>
        <w:rPr>
          <w:rFonts w:ascii="Times New Roman" w:hAnsi="Times New Roman" w:cs="Times New Roman" w:eastAsia="Times New Roman" w:hint="default"/>
          <w:spacing w:val="-2"/>
        </w:rPr>
        <w:t>2013</w:t>
      </w:r>
      <w:r>
        <w:rPr>
          <w:spacing w:val="-2"/>
        </w:rPr>
        <w:t>年度财务决算</w:t>
      </w:r>
    </w:p>
    <w:p>
      <w:pPr>
        <w:pStyle w:val="BodyText"/>
        <w:spacing w:line="300" w:lineRule="auto"/>
        <w:ind w:right="140"/>
        <w:jc w:val="left"/>
      </w:pPr>
      <w:r>
        <w:rPr/>
        <w:t>报告、关于为控股子公司提供财务资助的议案、公司《内部控制自我评价报告》、公司聘任</w:t>
      </w:r>
      <w:r>
        <w:rPr>
          <w:rFonts w:ascii="Times New Roman" w:hAnsi="Times New Roman" w:cs="Times New Roman" w:eastAsia="Times New Roman" w:hint="default"/>
        </w:rPr>
        <w:t>2014</w:t>
      </w:r>
      <w:r>
        <w:rPr/>
        <w:t>年度审计机构的议案等共</w:t>
      </w:r>
      <w:r>
        <w:rPr>
          <w:rFonts w:ascii="Times New Roman" w:hAnsi="Times New Roman" w:cs="Times New Roman" w:eastAsia="Times New Roman" w:hint="default"/>
        </w:rPr>
        <w:t>8 </w:t>
      </w:r>
      <w:r>
        <w:rPr/>
        <w:t>项议案；</w:t>
      </w:r>
    </w:p>
    <w:p>
      <w:pPr>
        <w:pStyle w:val="BodyText"/>
        <w:spacing w:line="300" w:lineRule="auto" w:before="31"/>
        <w:ind w:left="514" w:right="2840"/>
        <w:jc w:val="left"/>
      </w:pPr>
      <w:r>
        <w:rPr/>
        <w:t>第七届监事会第六次会议审议通过了公司</w:t>
      </w:r>
      <w:r>
        <w:rPr>
          <w:rFonts w:ascii="Times New Roman" w:hAnsi="Times New Roman" w:cs="Times New Roman" w:eastAsia="Times New Roman" w:hint="default"/>
        </w:rPr>
        <w:t>2014</w:t>
      </w:r>
      <w:r>
        <w:rPr/>
        <w:t>年一季度报告全文和正文共</w:t>
      </w:r>
      <w:r>
        <w:rPr>
          <w:rFonts w:ascii="Times New Roman" w:hAnsi="Times New Roman" w:cs="Times New Roman" w:eastAsia="Times New Roman" w:hint="default"/>
        </w:rPr>
        <w:t>1</w:t>
      </w:r>
      <w:r>
        <w:rPr/>
        <w:t>项议案； 第七届监事会第七次会议审议通过了公司</w:t>
      </w:r>
      <w:r>
        <w:rPr>
          <w:rFonts w:ascii="Times New Roman" w:hAnsi="Times New Roman" w:cs="Times New Roman" w:eastAsia="Times New Roman" w:hint="default"/>
        </w:rPr>
        <w:t>2014</w:t>
      </w:r>
      <w:r>
        <w:rPr/>
        <w:t>年中期报告全文和摘要共</w:t>
      </w:r>
      <w:r>
        <w:rPr>
          <w:rFonts w:ascii="Times New Roman" w:hAnsi="Times New Roman" w:cs="Times New Roman" w:eastAsia="Times New Roman" w:hint="default"/>
        </w:rPr>
        <w:t>1</w:t>
      </w:r>
      <w:r>
        <w:rPr/>
        <w:t>项议案； 第七届监事会第八次会议审议通过了公司</w:t>
      </w:r>
      <w:r>
        <w:rPr>
          <w:rFonts w:ascii="Times New Roman" w:hAnsi="Times New Roman" w:cs="Times New Roman" w:eastAsia="Times New Roman" w:hint="default"/>
        </w:rPr>
        <w:t>2014</w:t>
      </w:r>
      <w:r>
        <w:rPr/>
        <w:t>年三季度报告全文和正文共</w:t>
      </w:r>
      <w:r>
        <w:rPr>
          <w:rFonts w:ascii="Times New Roman" w:hAnsi="Times New Roman" w:cs="Times New Roman" w:eastAsia="Times New Roman" w:hint="default"/>
        </w:rPr>
        <w:t>1</w:t>
      </w:r>
      <w:r>
        <w:rPr/>
        <w:t>项议案。 监事会在报告期内的监督活动中发现公司是否存在风险</w:t>
      </w:r>
    </w:p>
    <w:p>
      <w:pPr>
        <w:pStyle w:val="BodyText"/>
        <w:spacing w:line="300" w:lineRule="auto" w:before="31"/>
        <w:ind w:left="514" w:right="635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否 监事会对报告期内的监督事项无异议。</w:t>
      </w:r>
    </w:p>
    <w:p>
      <w:pPr>
        <w:spacing w:line="240" w:lineRule="auto" w:before="10"/>
        <w:rPr>
          <w:rFonts w:ascii="宋体" w:hAnsi="宋体" w:cs="宋体" w:eastAsia="宋体" w:hint="default"/>
          <w:sz w:val="21"/>
          <w:szCs w:val="21"/>
        </w:rPr>
      </w:pPr>
    </w:p>
    <w:p>
      <w:pPr>
        <w:pStyle w:val="Heading2"/>
        <w:spacing w:line="240" w:lineRule="auto"/>
        <w:ind w:right="147"/>
        <w:jc w:val="left"/>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4" w:right="950"/>
        <w:jc w:val="left"/>
      </w:pPr>
      <w:r>
        <w:rPr/>
        <w:t>业务独立情况：公司在业务方面完全独立于控股股东，具有独立完整的业务及自主经营能力。 人员分开情况：公司在劳动、人事及工资管理方面与控股股东完全分开。 资产独立情况：公司与控股股东寿光晨鸣控股有限公司在资产方面只有股权投资关系，双方资产完全分开。</w:t>
      </w:r>
    </w:p>
    <w:p>
      <w:pPr>
        <w:spacing w:after="0" w:line="36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9" w:lineRule="auto" w:before="44"/>
        <w:ind w:left="153" w:right="191" w:firstLine="360"/>
        <w:jc w:val="both"/>
      </w:pPr>
      <w:r>
        <w:rPr>
          <w:spacing w:val="-2"/>
        </w:rPr>
        <w:t>机构分开情况：公司拥有完整的组织机构、机构的设置完全按照法定程序并根据公司情况需要设立，公司机构与控股股</w:t>
      </w:r>
      <w:r>
        <w:rPr/>
        <w:t> 东完全分开。</w:t>
      </w:r>
    </w:p>
    <w:p>
      <w:pPr>
        <w:pStyle w:val="BodyText"/>
        <w:spacing w:line="319" w:lineRule="auto" w:before="55"/>
        <w:ind w:left="153" w:right="189" w:firstLine="360"/>
        <w:jc w:val="both"/>
      </w:pPr>
      <w:r>
        <w:rPr>
          <w:spacing w:val="-2"/>
        </w:rPr>
        <w:t>财务分开情况：公司拥有独立的财务部门，并建立了独立的会计核算体系和财务管理制度，在银行单独开立帐户，控股</w:t>
      </w:r>
      <w:r>
        <w:rPr/>
        <w:t> 股东不干涉公司的财务活动。</w:t>
      </w:r>
    </w:p>
    <w:p>
      <w:pPr>
        <w:pStyle w:val="BodyText"/>
        <w:spacing w:line="240" w:lineRule="auto" w:before="58"/>
        <w:ind w:left="513" w:right="0"/>
        <w:jc w:val="left"/>
      </w:pPr>
      <w:r>
        <w:rPr/>
        <w:t>综上所述，公司与控股股东在业务、人员、资产、机构、财务等方面完全分开，具有独立完整的业务及自主经营能力。</w:t>
      </w:r>
    </w:p>
    <w:p>
      <w:pPr>
        <w:spacing w:line="240" w:lineRule="auto" w:before="13"/>
        <w:rPr>
          <w:rFonts w:ascii="宋体" w:hAnsi="宋体" w:cs="宋体" w:eastAsia="宋体" w:hint="default"/>
          <w:sz w:val="24"/>
          <w:szCs w:val="24"/>
        </w:rPr>
      </w:pPr>
    </w:p>
    <w:p>
      <w:pPr>
        <w:pStyle w:val="Heading2"/>
        <w:spacing w:line="240" w:lineRule="auto"/>
        <w:ind w:right="182"/>
        <w:jc w:val="left"/>
        <w:rPr>
          <w:b w:val="0"/>
          <w:bCs w:val="0"/>
        </w:rPr>
      </w:pPr>
      <w:r>
        <w:rPr/>
        <w:t>七、同业竞争情况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82"/>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89" w:firstLine="360"/>
        <w:jc w:val="both"/>
      </w:pPr>
      <w:r>
        <w:rPr>
          <w:spacing w:val="-2"/>
        </w:rPr>
        <w:t>公司对高管人员的考评建立起了月度考评与年度考评相结合的考评机制。月度考评以年度重点工作做指引，结合月度完</w:t>
      </w:r>
      <w:r>
        <w:rPr/>
        <w:t> </w:t>
      </w:r>
      <w:r>
        <w:rPr>
          <w:spacing w:val="-2"/>
        </w:rPr>
        <w:t>成情况及重要绩效指标考评两项硬指标考核为主，并通过互相监督、相互评价，按月进行；年度考评由公司薪酬与考核委员</w:t>
      </w:r>
      <w:r>
        <w:rPr>
          <w:spacing w:val="-66"/>
        </w:rPr>
        <w:t> </w:t>
      </w:r>
      <w:r>
        <w:rPr>
          <w:spacing w:val="-66"/>
        </w:rPr>
      </w:r>
      <w:r>
        <w:rPr/>
        <w:t>会结合高管人员月度考评情况及年度整体情况包括高管综合素质及内部人才培养情况做出评定。</w:t>
      </w:r>
    </w:p>
    <w:p>
      <w:pPr>
        <w:spacing w:line="240" w:lineRule="auto" w:before="6"/>
        <w:rPr>
          <w:rFonts w:ascii="宋体" w:hAnsi="宋体" w:cs="宋体" w:eastAsia="宋体" w:hint="default"/>
          <w:sz w:val="20"/>
          <w:szCs w:val="20"/>
        </w:rPr>
      </w:pPr>
    </w:p>
    <w:p>
      <w:pPr>
        <w:pStyle w:val="Heading2"/>
        <w:spacing w:line="240" w:lineRule="auto"/>
        <w:ind w:right="182"/>
        <w:jc w:val="left"/>
        <w:rPr>
          <w:b w:val="0"/>
          <w:bCs w:val="0"/>
        </w:rPr>
      </w:pPr>
      <w:r>
        <w:rPr/>
        <w:t>九、</w:t>
      </w:r>
      <w:r>
        <w:rPr>
          <w:spacing w:val="-24"/>
        </w:rPr>
        <w:t> </w:t>
      </w:r>
      <w:r>
        <w:rPr/>
        <w:t>根据香港联合交易所有限公司公布的香港上市规则披露</w:t>
      </w:r>
      <w:r>
        <w:rPr>
          <w:b w:val="0"/>
          <w:bCs w:val="0"/>
        </w:rPr>
      </w:r>
    </w:p>
    <w:p>
      <w:pPr>
        <w:spacing w:line="240" w:lineRule="auto" w:before="9"/>
        <w:rPr>
          <w:rFonts w:ascii="宋体" w:hAnsi="宋体" w:cs="宋体" w:eastAsia="宋体" w:hint="default"/>
          <w:b/>
          <w:bCs/>
          <w:sz w:val="26"/>
          <w:szCs w:val="26"/>
        </w:rPr>
      </w:pPr>
    </w:p>
    <w:p>
      <w:pPr>
        <w:spacing w:line="357" w:lineRule="auto" w:before="0"/>
        <w:ind w:left="513" w:right="182" w:firstLine="1"/>
        <w:jc w:val="left"/>
        <w:rPr>
          <w:rFonts w:ascii="宋体" w:hAnsi="宋体" w:cs="宋体" w:eastAsia="宋体" w:hint="default"/>
          <w:sz w:val="18"/>
          <w:szCs w:val="18"/>
        </w:rPr>
      </w:pPr>
      <w:r>
        <w:rPr>
          <w:rFonts w:ascii="宋体" w:hAnsi="宋体" w:cs="宋体" w:eastAsia="宋体" w:hint="default"/>
          <w:b/>
          <w:bCs/>
          <w:sz w:val="18"/>
          <w:szCs w:val="18"/>
        </w:rPr>
        <w:t>（一）遵守《企业管治守则》</w:t>
      </w:r>
      <w:r>
        <w:rPr>
          <w:rFonts w:ascii="宋体" w:hAnsi="宋体" w:cs="宋体" w:eastAsia="宋体" w:hint="default"/>
          <w:b/>
          <w:bCs/>
          <w:w w:val="99"/>
          <w:sz w:val="18"/>
          <w:szCs w:val="18"/>
        </w:rPr>
        <w:t> </w:t>
      </w:r>
      <w:r>
        <w:rPr>
          <w:rFonts w:ascii="宋体" w:hAnsi="宋体" w:cs="宋体" w:eastAsia="宋体" w:hint="default"/>
          <w:spacing w:val="-2"/>
          <w:sz w:val="18"/>
          <w:szCs w:val="18"/>
        </w:rPr>
        <w:t>本公司透过不同的内部监控管制以维持高水平的企业管治常规，董事会并会不时对企业管治常规作出检讨以提高本公司</w:t>
      </w:r>
    </w:p>
    <w:p>
      <w:pPr>
        <w:pStyle w:val="BodyText"/>
        <w:spacing w:line="225" w:lineRule="exact"/>
        <w:ind w:left="153" w:right="182"/>
        <w:jc w:val="left"/>
      </w:pPr>
      <w:r>
        <w:rPr/>
        <w:t>的企业管治标准。</w:t>
      </w:r>
    </w:p>
    <w:p>
      <w:pPr>
        <w:pStyle w:val="BodyText"/>
        <w:spacing w:line="302" w:lineRule="auto" w:before="116"/>
        <w:ind w:left="153" w:right="265" w:firstLine="360"/>
        <w:jc w:val="both"/>
      </w:pPr>
      <w:r>
        <w:rPr/>
        <w:t>除本节第四点</w:t>
      </w:r>
      <w:r>
        <w:rPr>
          <w:rFonts w:ascii="Times New Roman" w:hAnsi="Times New Roman" w:cs="Times New Roman" w:eastAsia="Times New Roman" w:hint="default"/>
        </w:rPr>
        <w:t>“</w:t>
      </w:r>
      <w:r>
        <w:rPr/>
        <w:t>董事长与总经理</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、第九点</w:t>
      </w:r>
      <w:r>
        <w:rPr>
          <w:rFonts w:ascii="Times New Roman" w:hAnsi="Times New Roman" w:cs="Times New Roman" w:eastAsia="Times New Roman" w:hint="default"/>
        </w:rPr>
        <w:t>“</w:t>
      </w:r>
      <w:r>
        <w:rPr/>
        <w:t>审计委员会</w:t>
      </w:r>
      <w:r>
        <w:rPr>
          <w:rFonts w:ascii="Times New Roman" w:hAnsi="Times New Roman" w:cs="Times New Roman" w:eastAsia="Times New Roman" w:hint="default"/>
          <w:b/>
          <w:bCs/>
        </w:rPr>
        <w:t>”</w:t>
      </w:r>
      <w:r>
        <w:rPr/>
        <w:t>及本节第十七点</w:t>
      </w:r>
      <w:r>
        <w:rPr>
          <w:rFonts w:ascii="Times New Roman" w:hAnsi="Times New Roman" w:cs="Times New Roman" w:eastAsia="Times New Roman" w:hint="default"/>
        </w:rPr>
        <w:t>“</w:t>
      </w:r>
      <w:r>
        <w:rPr/>
        <w:t>与股东的沟通</w:t>
      </w:r>
      <w:r>
        <w:rPr>
          <w:rFonts w:ascii="Times New Roman" w:hAnsi="Times New Roman" w:cs="Times New Roman" w:eastAsia="Times New Roman" w:hint="default"/>
        </w:rPr>
        <w:t>”</w:t>
      </w:r>
      <w:r>
        <w:rPr/>
        <w:t>所述内容外，本公司报告期内 全面遵守香港上市规则附录十四所载《企业管治守则》中的原则及守则条文。</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357" w:lineRule="auto"/>
        <w:ind w:left="513" w:right="182" w:firstLine="1"/>
        <w:jc w:val="left"/>
      </w:pPr>
      <w:r>
        <w:rPr>
          <w:rFonts w:ascii="宋体" w:hAnsi="宋体" w:cs="宋体" w:eastAsia="宋体" w:hint="default"/>
          <w:b/>
          <w:bCs/>
        </w:rPr>
        <w:t>（二）董事的证券交易活动</w:t>
      </w:r>
      <w:r>
        <w:rPr>
          <w:rFonts w:ascii="宋体" w:hAnsi="宋体" w:cs="宋体" w:eastAsia="宋体" w:hint="default"/>
          <w:b/>
          <w:bCs/>
          <w:w w:val="99"/>
        </w:rPr>
        <w:t> </w:t>
      </w:r>
      <w:r>
        <w:rPr>
          <w:spacing w:val="-2"/>
        </w:rPr>
        <w:t>公司董事确认公司已经采纳香港上市规则附录十《上市发行人董事进行证券交易标准守则》。经向公司全体董事及监事</w:t>
      </w:r>
    </w:p>
    <w:p>
      <w:pPr>
        <w:pStyle w:val="BodyText"/>
        <w:spacing w:line="225" w:lineRule="exact"/>
        <w:ind w:left="153" w:right="182"/>
        <w:jc w:val="left"/>
      </w:pPr>
      <w:r>
        <w:rPr/>
        <w:t>做出充分咨询后，公司并无获悉任何资料合理的显示各位董事及监事于报告期内未遵守该守则所规定的准则。</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57" w:lineRule="auto"/>
        <w:ind w:left="513" w:right="181" w:firstLine="1"/>
        <w:jc w:val="left"/>
      </w:pPr>
      <w:r>
        <w:rPr>
          <w:rFonts w:ascii="宋体" w:hAnsi="宋体" w:cs="宋体" w:eastAsia="宋体" w:hint="default"/>
          <w:b/>
          <w:bCs/>
        </w:rPr>
        <w:t>（三）董事会</w:t>
      </w:r>
      <w:r>
        <w:rPr>
          <w:rFonts w:ascii="宋体" w:hAnsi="宋体" w:cs="宋体" w:eastAsia="宋体" w:hint="default"/>
          <w:b/>
          <w:bCs/>
          <w:w w:val="99"/>
        </w:rPr>
        <w:t> </w:t>
      </w:r>
      <w:r>
        <w:rPr/>
        <w:t>本公司董事会由股东大会选举产生，并向股东大会负责，行使下列职权：（</w:t>
      </w:r>
      <w:r>
        <w:rPr>
          <w:rFonts w:ascii="Times New Roman" w:hAnsi="Times New Roman" w:cs="Times New Roman" w:eastAsia="Times New Roman" w:hint="default"/>
        </w:rPr>
        <w:t>1</w:t>
      </w:r>
      <w:r>
        <w:rPr/>
        <w:t>）负责召集股东大会，并向股东大会报告</w:t>
      </w:r>
    </w:p>
    <w:p>
      <w:pPr>
        <w:pStyle w:val="BodyText"/>
        <w:spacing w:line="214" w:lineRule="exact"/>
        <w:ind w:left="153" w:right="91"/>
        <w:jc w:val="left"/>
      </w:pPr>
      <w:r>
        <w:rPr>
          <w:spacing w:val="-2"/>
        </w:rPr>
        <w:t>工作；（</w:t>
      </w:r>
      <w:r>
        <w:rPr>
          <w:rFonts w:ascii="Times New Roman" w:hAnsi="Times New Roman" w:cs="Times New Roman" w:eastAsia="Times New Roman" w:hint="default"/>
          <w:spacing w:val="-2"/>
        </w:rPr>
        <w:t>2</w:t>
      </w:r>
      <w:r>
        <w:rPr>
          <w:spacing w:val="-2"/>
        </w:rPr>
        <w:t>）执行股东大会的决议；（</w:t>
      </w:r>
      <w:r>
        <w:rPr>
          <w:rFonts w:ascii="Times New Roman" w:hAnsi="Times New Roman" w:cs="Times New Roman" w:eastAsia="Times New Roman" w:hint="default"/>
          <w:spacing w:val="-2"/>
        </w:rPr>
        <w:t>3</w:t>
      </w:r>
      <w:r>
        <w:rPr>
          <w:spacing w:val="-2"/>
        </w:rPr>
        <w:t>）决定公司的经营计划和投资方案；（</w:t>
      </w:r>
      <w:r>
        <w:rPr>
          <w:rFonts w:ascii="Times New Roman" w:hAnsi="Times New Roman" w:cs="Times New Roman" w:eastAsia="Times New Roman" w:hint="default"/>
          <w:spacing w:val="-2"/>
        </w:rPr>
        <w:t>4</w:t>
      </w:r>
      <w:r>
        <w:rPr>
          <w:spacing w:val="-2"/>
        </w:rPr>
        <w:t>）制定公司的年度财务预算方案、决算方案；</w:t>
      </w:r>
    </w:p>
    <w:p>
      <w:pPr>
        <w:pStyle w:val="BodyText"/>
        <w:spacing w:line="300" w:lineRule="auto" w:before="62"/>
        <w:ind w:left="153" w:right="91"/>
        <w:jc w:val="left"/>
      </w:pPr>
      <w:r>
        <w:rPr>
          <w:spacing w:val="-2"/>
        </w:rPr>
        <w:t>（</w:t>
      </w:r>
      <w:r>
        <w:rPr>
          <w:rFonts w:ascii="Times New Roman" w:hAnsi="Times New Roman" w:cs="Times New Roman" w:eastAsia="Times New Roman" w:hint="default"/>
          <w:spacing w:val="-2"/>
        </w:rPr>
        <w:t>5</w:t>
      </w:r>
      <w:r>
        <w:rPr>
          <w:spacing w:val="-2"/>
        </w:rPr>
        <w:t>）制定公司的利润分配方案和弥补亏损方案；（</w:t>
      </w:r>
      <w:r>
        <w:rPr>
          <w:rFonts w:ascii="Times New Roman" w:hAnsi="Times New Roman" w:cs="Times New Roman" w:eastAsia="Times New Roman" w:hint="default"/>
          <w:spacing w:val="-2"/>
        </w:rPr>
        <w:t>6</w:t>
      </w:r>
      <w:r>
        <w:rPr>
          <w:spacing w:val="-2"/>
        </w:rPr>
        <w:t>）制定公司增加或者减少注册资本的方案以及发行公司债券或其它证券</w:t>
      </w:r>
      <w:r>
        <w:rPr>
          <w:spacing w:val="-63"/>
        </w:rPr>
        <w:t> </w:t>
      </w:r>
      <w:r>
        <w:rPr>
          <w:spacing w:val="-63"/>
        </w:rPr>
      </w:r>
      <w:r>
        <w:rPr>
          <w:spacing w:val="-5"/>
        </w:rPr>
        <w:t>及上市方案；（</w:t>
      </w:r>
      <w:r>
        <w:rPr>
          <w:rFonts w:ascii="Times New Roman" w:hAnsi="Times New Roman" w:cs="Times New Roman" w:eastAsia="Times New Roman" w:hint="default"/>
          <w:spacing w:val="-5"/>
        </w:rPr>
        <w:t>7</w:t>
      </w:r>
      <w:r>
        <w:rPr>
          <w:spacing w:val="-5"/>
        </w:rPr>
        <w:t>）拟定公司重大收购、收购公司股票的方案；（</w:t>
      </w:r>
      <w:r>
        <w:rPr>
          <w:rFonts w:ascii="Times New Roman" w:hAnsi="Times New Roman" w:cs="Times New Roman" w:eastAsia="Times New Roman" w:hint="default"/>
          <w:spacing w:val="-5"/>
        </w:rPr>
        <w:t>8</w:t>
      </w:r>
      <w:r>
        <w:rPr>
          <w:spacing w:val="-5"/>
        </w:rPr>
        <w:t>）拟定公司合并、分立、解散及变更公司形式的方案；（</w:t>
      </w:r>
      <w:r>
        <w:rPr>
          <w:rFonts w:ascii="Times New Roman" w:hAnsi="Times New Roman" w:cs="Times New Roman" w:eastAsia="Times New Roman" w:hint="default"/>
          <w:spacing w:val="-5"/>
        </w:rPr>
        <w:t>9</w:t>
      </w:r>
      <w:r>
        <w:rPr>
          <w:spacing w:val="-5"/>
        </w:rPr>
        <w:t>）</w:t>
      </w:r>
      <w:r>
        <w:rPr>
          <w:spacing w:val="-71"/>
        </w:rPr>
        <w:t> </w:t>
      </w:r>
      <w:r>
        <w:rPr>
          <w:spacing w:val="-4"/>
        </w:rPr>
        <w:t>在股东大会授权范围内，决定公司对外投资、收购出售资产、资产抵押、对外担保事项、委托理财、关联交易等事项；（</w:t>
      </w:r>
      <w:r>
        <w:rPr>
          <w:rFonts w:ascii="Times New Roman" w:hAnsi="Times New Roman" w:cs="Times New Roman" w:eastAsia="Times New Roman" w:hint="default"/>
          <w:spacing w:val="-4"/>
        </w:rPr>
        <w:t>10</w:t>
      </w:r>
      <w:r>
        <w:rPr>
          <w:spacing w:val="-4"/>
        </w:rPr>
        <w:t>）</w:t>
      </w:r>
      <w:r>
        <w:rPr>
          <w:spacing w:val="-42"/>
        </w:rPr>
        <w:t> </w:t>
      </w:r>
      <w:r>
        <w:rPr>
          <w:spacing w:val="-2"/>
        </w:rPr>
        <w:t>决定公司内部管理机构的设置；（</w:t>
      </w:r>
      <w:r>
        <w:rPr>
          <w:rFonts w:ascii="Times New Roman" w:hAnsi="Times New Roman" w:cs="Times New Roman" w:eastAsia="Times New Roman" w:hint="default"/>
          <w:spacing w:val="-2"/>
        </w:rPr>
        <w:t>11</w:t>
      </w:r>
      <w:r>
        <w:rPr>
          <w:spacing w:val="-2"/>
        </w:rPr>
        <w:t>）聘任或者解聘公司经理、董事会秘书，根据经理提名，聘任或者解聘公司副经理、财</w:t>
      </w:r>
      <w:r>
        <w:rPr>
          <w:spacing w:val="-68"/>
        </w:rPr>
        <w:t> </w:t>
      </w:r>
      <w:r>
        <w:rPr>
          <w:spacing w:val="-68"/>
        </w:rPr>
      </w:r>
      <w:r>
        <w:rPr/>
        <w:t>务负责人等高级管理人员，决定其报酬和奖惩事项；（</w:t>
      </w:r>
      <w:r>
        <w:rPr>
          <w:rFonts w:ascii="Times New Roman" w:hAnsi="Times New Roman" w:cs="Times New Roman" w:eastAsia="Times New Roman" w:hint="default"/>
        </w:rPr>
        <w:t>12</w:t>
      </w:r>
      <w:r>
        <w:rPr/>
        <w:t>）制定公司的基本管理制度；（</w:t>
      </w:r>
      <w:r>
        <w:rPr>
          <w:rFonts w:ascii="Times New Roman" w:hAnsi="Times New Roman" w:cs="Times New Roman" w:eastAsia="Times New Roman" w:hint="default"/>
        </w:rPr>
        <w:t>13</w:t>
      </w:r>
      <w:r>
        <w:rPr/>
        <w:t>）制定《公司章程》修改方案；</w:t>
      </w:r>
    </w:p>
    <w:p>
      <w:pPr>
        <w:pStyle w:val="BodyText"/>
        <w:spacing w:line="302" w:lineRule="auto" w:before="13"/>
        <w:ind w:left="153" w:right="182"/>
        <w:jc w:val="left"/>
      </w:pPr>
      <w:r>
        <w:rPr>
          <w:spacing w:val="-2"/>
        </w:rPr>
        <w:t>（</w:t>
      </w:r>
      <w:r>
        <w:rPr>
          <w:rFonts w:ascii="Times New Roman" w:hAnsi="Times New Roman" w:cs="Times New Roman" w:eastAsia="Times New Roman" w:hint="default"/>
          <w:spacing w:val="-2"/>
        </w:rPr>
        <w:t>14</w:t>
      </w:r>
      <w:r>
        <w:rPr>
          <w:spacing w:val="-2"/>
        </w:rPr>
        <w:t>）管理公司资讯披露事项；（</w:t>
      </w:r>
      <w:r>
        <w:rPr>
          <w:rFonts w:ascii="Times New Roman" w:hAnsi="Times New Roman" w:cs="Times New Roman" w:eastAsia="Times New Roman" w:hint="default"/>
          <w:spacing w:val="-2"/>
        </w:rPr>
        <w:t>15</w:t>
      </w:r>
      <w:r>
        <w:rPr>
          <w:spacing w:val="-2"/>
        </w:rPr>
        <w:t>）向股东大会提请聘请或更换为公司审计的会计师事务所；（</w:t>
      </w:r>
      <w:r>
        <w:rPr>
          <w:rFonts w:ascii="Times New Roman" w:hAnsi="Times New Roman" w:cs="Times New Roman" w:eastAsia="Times New Roman" w:hint="default"/>
          <w:spacing w:val="-2"/>
        </w:rPr>
        <w:t>16</w:t>
      </w:r>
      <w:r>
        <w:rPr>
          <w:spacing w:val="-2"/>
        </w:rPr>
        <w:t>）听取公司经理的工作</w:t>
      </w:r>
      <w:r>
        <w:rPr>
          <w:spacing w:val="-62"/>
        </w:rPr>
        <w:t> </w:t>
      </w:r>
      <w:r>
        <w:rPr>
          <w:spacing w:val="-62"/>
        </w:rPr>
      </w:r>
      <w:r>
        <w:rPr/>
        <w:t>汇报并检查经理工作；（</w:t>
      </w:r>
      <w:r>
        <w:rPr>
          <w:rFonts w:ascii="Times New Roman" w:hAnsi="Times New Roman" w:cs="Times New Roman" w:eastAsia="Times New Roman" w:hint="default"/>
        </w:rPr>
        <w:t>17</w:t>
      </w:r>
      <w:r>
        <w:rPr/>
        <w:t>）公司章程规定或者股东大会授予的其它职权。</w:t>
      </w:r>
    </w:p>
    <w:p>
      <w:pPr>
        <w:pStyle w:val="BodyText"/>
        <w:spacing w:line="319" w:lineRule="auto" w:before="49"/>
        <w:ind w:left="153" w:right="191" w:firstLine="360"/>
        <w:jc w:val="both"/>
      </w:pPr>
      <w:r>
        <w:rPr>
          <w:spacing w:val="-2"/>
        </w:rPr>
        <w:t>本公司董事会由六名执行董事：陈洪国（董事长）、尹同远、李峰、耿光林、侯焕才、周少华，两名非执行董事：杨桂</w:t>
      </w:r>
      <w:r>
        <w:rPr/>
        <w:t> 花、王效群及四名独立非执行董事：张志元、王爱国、张宏及潘爱玲组成。其个人简历请参见本年度报告的第九节。</w:t>
      </w:r>
    </w:p>
    <w:p>
      <w:pPr>
        <w:pStyle w:val="BodyText"/>
        <w:spacing w:line="316" w:lineRule="auto" w:before="55"/>
        <w:ind w:left="153" w:right="191" w:firstLine="360"/>
        <w:jc w:val="both"/>
      </w:pPr>
      <w:r>
        <w:rPr>
          <w:spacing w:val="-2"/>
        </w:rPr>
        <w:t>本公司董事会负有领导及监控公司的责任，并集体负责统管并监督公司事务以促使公司成功。本公司的日常管理授权执</w:t>
      </w:r>
      <w:r>
        <w:rPr/>
        <w:t> </w:t>
      </w:r>
      <w:r>
        <w:rPr>
          <w:spacing w:val="-2"/>
        </w:rPr>
        <w:t>行董事或负责各分部及职能的高级管理人员及管理层处理。本公司董事客观行事，所作决定亦符合公司利益。公司管理层及</w:t>
      </w:r>
      <w:r>
        <w:rPr>
          <w:spacing w:val="-66"/>
        </w:rPr>
        <w:t> </w:t>
      </w:r>
      <w:r>
        <w:rPr>
          <w:spacing w:val="-66"/>
        </w:rPr>
      </w:r>
      <w:r>
        <w:rPr>
          <w:spacing w:val="-2"/>
        </w:rPr>
        <w:t>高级管理人员定期召开会议与董事会商讨公司的日常业务运作及表现并具体实施董事会的有关决策。如董事会或任何董事会</w:t>
      </w:r>
    </w:p>
    <w:p>
      <w:pPr>
        <w:spacing w:after="0" w:line="316" w:lineRule="auto"/>
        <w:jc w:val="both"/>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357" w:lineRule="auto" w:before="44"/>
        <w:ind w:left="513" w:right="182" w:hanging="360"/>
        <w:jc w:val="left"/>
      </w:pPr>
      <w:r>
        <w:rPr/>
        <w:t>辖下委员会认为需要寻求独立的专业意见，公司将按董事或该董事会辖下委员会要求安排独立法律意见。 </w:t>
      </w:r>
      <w:r>
        <w:rPr>
          <w:spacing w:val="-2"/>
        </w:rPr>
        <w:t>本公司董事会在报告期内共召开六次会议，定期会议四次，临时会议两次，除崔友平先生、张志元先生因公务无法亲自</w:t>
      </w:r>
    </w:p>
    <w:p>
      <w:pPr>
        <w:pStyle w:val="BodyText"/>
        <w:spacing w:line="225" w:lineRule="exact"/>
        <w:ind w:left="153" w:right="182"/>
        <w:jc w:val="left"/>
      </w:pPr>
      <w:r>
        <w:rPr/>
        <w:t>出席七届四次董事会会议，分别委托王爱国先生、张宏女士代为出席外，公司其它董事均出席了六次董事会。</w:t>
      </w:r>
    </w:p>
    <w:p>
      <w:pPr>
        <w:spacing w:line="240" w:lineRule="auto" w:before="6"/>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988"/>
        <w:gridCol w:w="1290"/>
        <w:gridCol w:w="988"/>
        <w:gridCol w:w="1124"/>
        <w:gridCol w:w="1206"/>
        <w:gridCol w:w="1482"/>
        <w:gridCol w:w="1098"/>
        <w:gridCol w:w="1482"/>
      </w:tblGrid>
      <w:tr>
        <w:trPr>
          <w:trHeight w:val="346" w:hRule="exact"/>
        </w:trPr>
        <w:tc>
          <w:tcPr>
            <w:tcW w:w="988"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6"/>
              <w:ind w:left="3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90"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380" w:type="dxa"/>
            <w:gridSpan w:val="6"/>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2125" w:right="0"/>
              <w:jc w:val="left"/>
              <w:rPr>
                <w:rFonts w:ascii="宋体" w:hAnsi="宋体" w:cs="宋体" w:eastAsia="宋体" w:hint="default"/>
                <w:sz w:val="18"/>
                <w:szCs w:val="18"/>
              </w:rPr>
            </w:pPr>
            <w:r>
              <w:rPr>
                <w:rFonts w:ascii="宋体" w:hAnsi="宋体" w:cs="宋体" w:eastAsia="宋体" w:hint="default"/>
                <w:sz w:val="18"/>
                <w:szCs w:val="18"/>
              </w:rPr>
              <w:t>出席相关会议次数（应出席</w:t>
            </w:r>
            <w:r>
              <w:rPr>
                <w:rFonts w:ascii="Times New Roman" w:hAnsi="Times New Roman" w:cs="Times New Roman" w:eastAsia="Times New Roman" w:hint="default"/>
                <w:sz w:val="18"/>
                <w:szCs w:val="18"/>
              </w:rPr>
              <w:t>/</w:t>
            </w:r>
            <w:r>
              <w:rPr>
                <w:rFonts w:ascii="宋体" w:hAnsi="宋体" w:cs="宋体" w:eastAsia="宋体" w:hint="default"/>
                <w:sz w:val="18"/>
                <w:szCs w:val="18"/>
              </w:rPr>
              <w:t>实际出席）</w:t>
            </w:r>
          </w:p>
        </w:tc>
      </w:tr>
      <w:tr>
        <w:trPr>
          <w:trHeight w:val="664" w:hRule="exact"/>
        </w:trPr>
        <w:tc>
          <w:tcPr>
            <w:tcW w:w="988" w:type="dxa"/>
            <w:vMerge/>
            <w:tcBorders>
              <w:left w:val="single" w:sz="8" w:space="0" w:color="000000"/>
              <w:bottom w:val="single" w:sz="8" w:space="0" w:color="000000"/>
              <w:right w:val="single" w:sz="8" w:space="0" w:color="000000"/>
            </w:tcBorders>
            <w:shd w:val="clear" w:color="auto" w:fill="D9D9D9"/>
          </w:tcPr>
          <w:p>
            <w:pPr/>
          </w:p>
        </w:tc>
        <w:tc>
          <w:tcPr>
            <w:tcW w:w="1290" w:type="dxa"/>
            <w:vMerge/>
            <w:tcBorders>
              <w:left w:val="single" w:sz="8" w:space="0" w:color="000000"/>
              <w:bottom w:val="single" w:sz="8" w:space="0" w:color="000000"/>
              <w:right w:val="single" w:sz="8" w:space="0" w:color="000000"/>
            </w:tcBorders>
            <w:shd w:val="clear" w:color="auto" w:fill="D9D9D9"/>
          </w:tcPr>
          <w:p>
            <w:pPr/>
          </w:p>
        </w:tc>
        <w:tc>
          <w:tcPr>
            <w:tcW w:w="98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董事会会议</w:t>
            </w:r>
          </w:p>
        </w:tc>
        <w:tc>
          <w:tcPr>
            <w:tcW w:w="112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1"/>
              <w:ind w:left="461" w:right="11" w:hanging="450"/>
              <w:jc w:val="left"/>
              <w:rPr>
                <w:rFonts w:ascii="宋体" w:hAnsi="宋体" w:cs="宋体" w:eastAsia="宋体" w:hint="default"/>
                <w:sz w:val="18"/>
                <w:szCs w:val="18"/>
              </w:rPr>
            </w:pPr>
            <w:r>
              <w:rPr>
                <w:rFonts w:ascii="宋体" w:hAnsi="宋体" w:cs="宋体" w:eastAsia="宋体" w:hint="default"/>
                <w:sz w:val="18"/>
                <w:szCs w:val="18"/>
              </w:rPr>
              <w:t>审计委员会会 议</w:t>
            </w:r>
          </w:p>
        </w:tc>
        <w:tc>
          <w:tcPr>
            <w:tcW w:w="120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1"/>
              <w:ind w:left="502" w:right="53" w:hanging="450"/>
              <w:jc w:val="left"/>
              <w:rPr>
                <w:rFonts w:ascii="宋体" w:hAnsi="宋体" w:cs="宋体" w:eastAsia="宋体" w:hint="default"/>
                <w:sz w:val="18"/>
                <w:szCs w:val="18"/>
              </w:rPr>
            </w:pPr>
            <w:r>
              <w:rPr>
                <w:rFonts w:ascii="宋体" w:hAnsi="宋体" w:cs="宋体" w:eastAsia="宋体" w:hint="default"/>
                <w:sz w:val="18"/>
                <w:szCs w:val="18"/>
              </w:rPr>
              <w:t>提名委员会会 议</w:t>
            </w:r>
          </w:p>
        </w:tc>
        <w:tc>
          <w:tcPr>
            <w:tcW w:w="14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1"/>
              <w:ind w:left="551" w:right="8" w:hanging="540"/>
              <w:jc w:val="left"/>
              <w:rPr>
                <w:rFonts w:ascii="宋体" w:hAnsi="宋体" w:cs="宋体" w:eastAsia="宋体" w:hint="default"/>
                <w:sz w:val="18"/>
                <w:szCs w:val="18"/>
              </w:rPr>
            </w:pPr>
            <w:r>
              <w:rPr>
                <w:rFonts w:ascii="宋体" w:hAnsi="宋体" w:cs="宋体" w:eastAsia="宋体" w:hint="default"/>
                <w:sz w:val="18"/>
                <w:szCs w:val="18"/>
              </w:rPr>
              <w:t>薪酬与考核委员会 会议</w:t>
            </w:r>
          </w:p>
        </w:tc>
        <w:tc>
          <w:tcPr>
            <w:tcW w:w="109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1"/>
              <w:ind w:left="359" w:right="86" w:hanging="270"/>
              <w:jc w:val="left"/>
              <w:rPr>
                <w:rFonts w:ascii="宋体" w:hAnsi="宋体" w:cs="宋体" w:eastAsia="宋体" w:hint="default"/>
                <w:sz w:val="18"/>
                <w:szCs w:val="18"/>
              </w:rPr>
            </w:pPr>
            <w:r>
              <w:rPr>
                <w:rFonts w:ascii="宋体" w:hAnsi="宋体" w:cs="宋体" w:eastAsia="宋体" w:hint="default"/>
                <w:sz w:val="18"/>
                <w:szCs w:val="18"/>
              </w:rPr>
              <w:t>战略委员会 会议</w:t>
            </w:r>
          </w:p>
        </w:tc>
        <w:tc>
          <w:tcPr>
            <w:tcW w:w="14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股东会会议</w:t>
            </w:r>
          </w:p>
        </w:tc>
      </w:tr>
      <w:tr>
        <w:trPr>
          <w:trHeight w:val="353" w:hRule="exact"/>
        </w:trPr>
        <w:tc>
          <w:tcPr>
            <w:tcW w:w="9658" w:type="dxa"/>
            <w:gridSpan w:val="8"/>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一、执行董事</w:t>
            </w:r>
          </w:p>
        </w:tc>
      </w:tr>
      <w:tr>
        <w:trPr>
          <w:trHeight w:val="35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6/6</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4/4</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0/0</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6/6</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4/4</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55"/>
                <w:sz w:val="18"/>
                <w:szCs w:val="18"/>
              </w:rPr>
              <w:t> </w:t>
            </w:r>
            <w:r>
              <w:rPr>
                <w:rFonts w:ascii="宋体" w:hAnsi="宋体" w:cs="宋体" w:eastAsia="宋体" w:hint="default"/>
                <w:sz w:val="18"/>
                <w:szCs w:val="18"/>
              </w:rPr>
              <w:t>峰</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6/6</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0/0</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6/6</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0/0</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6/6</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0/1</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6/6</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0/0</w:t>
            </w:r>
          </w:p>
        </w:tc>
      </w:tr>
      <w:tr>
        <w:trPr>
          <w:trHeight w:val="352" w:hRule="exact"/>
        </w:trPr>
        <w:tc>
          <w:tcPr>
            <w:tcW w:w="9658" w:type="dxa"/>
            <w:gridSpan w:val="8"/>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二、非执行董事</w:t>
            </w:r>
          </w:p>
        </w:tc>
      </w:tr>
      <w:tr>
        <w:trPr>
          <w:trHeight w:val="665"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66"/>
              <w:jc w:val="left"/>
              <w:rPr>
                <w:rFonts w:ascii="宋体" w:hAnsi="宋体" w:cs="宋体" w:eastAsia="宋体" w:hint="default"/>
                <w:sz w:val="18"/>
                <w:szCs w:val="18"/>
              </w:rPr>
            </w:pPr>
            <w:r>
              <w:rPr>
                <w:rFonts w:ascii="宋体" w:hAnsi="宋体" w:cs="宋体" w:eastAsia="宋体" w:hint="default"/>
                <w:sz w:val="18"/>
                <w:szCs w:val="18"/>
              </w:rPr>
              <w:t>崔友平（已 离任）</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3/3</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0/0</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3/3</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0/0</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6/6</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0/1</w:t>
            </w:r>
          </w:p>
        </w:tc>
      </w:tr>
      <w:tr>
        <w:trPr>
          <w:trHeight w:val="352" w:hRule="exact"/>
        </w:trPr>
        <w:tc>
          <w:tcPr>
            <w:tcW w:w="9658" w:type="dxa"/>
            <w:gridSpan w:val="8"/>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三、独立非执行董事</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6/6</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0/0</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6/6</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5/5</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0/0</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55"/>
                <w:sz w:val="18"/>
                <w:szCs w:val="18"/>
              </w:rPr>
              <w:t> </w:t>
            </w:r>
            <w:r>
              <w:rPr>
                <w:rFonts w:ascii="宋体" w:hAnsi="宋体" w:cs="宋体" w:eastAsia="宋体" w:hint="default"/>
                <w:sz w:val="18"/>
                <w:szCs w:val="18"/>
              </w:rPr>
              <w:t>宏</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6/6</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5/5</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4/4</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0/0</w:t>
            </w:r>
          </w:p>
        </w:tc>
      </w:tr>
      <w:tr>
        <w:trPr>
          <w:trHeight w:val="433"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6/6</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0/0</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0/0</w:t>
            </w:r>
          </w:p>
        </w:tc>
      </w:tr>
    </w:tbl>
    <w:p>
      <w:pPr>
        <w:pStyle w:val="BodyText"/>
        <w:spacing w:line="357" w:lineRule="auto" w:before="51"/>
        <w:ind w:left="514" w:right="91"/>
        <w:jc w:val="left"/>
      </w:pPr>
      <w:r>
        <w:rPr/>
        <w:t>除在本年报公司董事简介部分所述外，董事会所有成员之间概无任何财务、业务、亲属关系或重大相关关系。 </w:t>
      </w:r>
      <w:r>
        <w:rPr>
          <w:spacing w:val="-2"/>
        </w:rPr>
        <w:t>董事会在本年度举行定期会议4次，每次定期会议均予提前14天通知，以确保全体董事皆有机会提出商讨事项列入议程。</w:t>
      </w:r>
    </w:p>
    <w:p>
      <w:pPr>
        <w:pStyle w:val="BodyText"/>
        <w:spacing w:line="360" w:lineRule="auto"/>
        <w:ind w:left="514" w:right="1530" w:hanging="360"/>
        <w:jc w:val="left"/>
      </w:pPr>
      <w:r>
        <w:rPr/>
        <w:t>其它董事会会议均发出了合理通知，以让所有董事皆有机会腾空出席。 所有董事均可获得董事会秘书的意见及服务，以确保董事会程序及所有适用规则及规例均获得遵守。</w:t>
      </w:r>
    </w:p>
    <w:p>
      <w:pPr>
        <w:spacing w:line="704" w:lineRule="exact" w:before="24"/>
        <w:ind w:left="515" w:right="3871" w:hanging="2"/>
        <w:jc w:val="left"/>
        <w:rPr>
          <w:rFonts w:ascii="宋体" w:hAnsi="宋体" w:cs="宋体" w:eastAsia="宋体" w:hint="default"/>
          <w:sz w:val="18"/>
          <w:szCs w:val="18"/>
        </w:rPr>
      </w:pPr>
      <w:r>
        <w:rPr>
          <w:rFonts w:ascii="宋体" w:hAnsi="宋体" w:cs="宋体" w:eastAsia="宋体" w:hint="default"/>
          <w:sz w:val="18"/>
          <w:szCs w:val="18"/>
        </w:rPr>
        <w:t>本公司已为其董事及高级管理人员购买董事及高级管理人员责任保险。 </w:t>
      </w:r>
      <w:r>
        <w:rPr>
          <w:rFonts w:ascii="宋体" w:hAnsi="宋体" w:cs="宋体" w:eastAsia="宋体" w:hint="default"/>
          <w:b/>
          <w:bCs/>
          <w:sz w:val="18"/>
          <w:szCs w:val="18"/>
        </w:rPr>
        <w:t>董事培圳及专业发展</w:t>
      </w:r>
      <w:r>
        <w:rPr>
          <w:rFonts w:ascii="宋体" w:hAnsi="宋体" w:cs="宋体" w:eastAsia="宋体" w:hint="default"/>
          <w:sz w:val="18"/>
          <w:szCs w:val="18"/>
        </w:rPr>
      </w:r>
    </w:p>
    <w:p>
      <w:pPr>
        <w:pStyle w:val="BodyText"/>
        <w:spacing w:line="319" w:lineRule="auto"/>
        <w:ind w:right="182" w:firstLine="360"/>
        <w:jc w:val="left"/>
      </w:pPr>
      <w:r>
        <w:rPr>
          <w:spacing w:val="-2"/>
        </w:rPr>
        <w:t>所有新委任的董事均获提供必要的入职培训数据，确保其对本公司的运作及业务以至于相关法例、规则及上市规则下的</w:t>
      </w:r>
      <w:r>
        <w:rPr/>
        <w:t> 责任有一定程度的了解。</w:t>
      </w:r>
    </w:p>
    <w:p>
      <w:pPr>
        <w:pStyle w:val="BodyText"/>
        <w:spacing w:line="309" w:lineRule="auto" w:before="56"/>
        <w:ind w:right="90" w:firstLine="360"/>
        <w:jc w:val="left"/>
      </w:pPr>
      <w:r>
        <w:rPr>
          <w:spacing w:val="-2"/>
        </w:rPr>
        <w:t>本公司董事、监事获公司安排已参加了中国证券监督管理委员会山东监管局组织的</w:t>
      </w:r>
      <w:r>
        <w:rPr>
          <w:rFonts w:ascii="Times New Roman" w:hAnsi="Times New Roman" w:cs="Times New Roman" w:eastAsia="Times New Roman" w:hint="default"/>
          <w:spacing w:val="-2"/>
        </w:rPr>
        <w:t>2014</w:t>
      </w:r>
      <w:r>
        <w:rPr>
          <w:spacing w:val="-2"/>
        </w:rPr>
        <w:t>第一期董事、监事培训班和</w:t>
      </w:r>
      <w:r>
        <w:rPr>
          <w:rFonts w:ascii="Times New Roman" w:hAnsi="Times New Roman" w:cs="Times New Roman" w:eastAsia="Times New Roman" w:hint="default"/>
          <w:spacing w:val="-2"/>
        </w:rPr>
        <w:t>2014</w:t>
      </w:r>
      <w:r>
        <w:rPr>
          <w:rFonts w:ascii="Times New Roman" w:hAnsi="Times New Roman" w:cs="Times New Roman" w:eastAsia="Times New Roman" w:hint="default"/>
        </w:rPr>
        <w:t> </w:t>
      </w:r>
      <w:r>
        <w:rPr/>
        <w:t>年第二期董事、监事培圳班，同时亦就香港上市规则修订规定向各董事及监事派发由本公司香港法律顾问准备的简介文件， 以确保各董事及监事遵守有关法例及遵守良好的企业管治常规，并提升其对良好企业管治常规的意识。</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5"/>
        <w:spacing w:line="240" w:lineRule="auto"/>
        <w:ind w:right="182"/>
        <w:jc w:val="left"/>
        <w:rPr>
          <w:b w:val="0"/>
          <w:bCs w:val="0"/>
        </w:rPr>
      </w:pPr>
      <w:r>
        <w:rPr/>
        <w:t>（四）董事长与总经理</w:t>
      </w:r>
      <w:r>
        <w:rPr>
          <w:b w:val="0"/>
          <w:bCs w:val="0"/>
        </w:rPr>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b/>
          <w:bCs/>
          <w:sz w:val="25"/>
          <w:szCs w:val="25"/>
        </w:rPr>
      </w:pPr>
    </w:p>
    <w:p>
      <w:pPr>
        <w:pStyle w:val="BodyText"/>
        <w:spacing w:line="357" w:lineRule="auto" w:before="44"/>
        <w:ind w:left="513" w:right="182"/>
        <w:jc w:val="left"/>
      </w:pPr>
      <w:r>
        <w:rPr/>
        <w:t>本公司董事长及总经理均为陈洪国先生，其个人简历请见本年度报告第九节。 </w:t>
      </w:r>
      <w:r>
        <w:rPr>
          <w:spacing w:val="-2"/>
        </w:rPr>
        <w:t>根据《公司章程》，董事长行使下列职权：（</w:t>
      </w:r>
      <w:r>
        <w:rPr>
          <w:rFonts w:ascii="Times New Roman" w:hAnsi="Times New Roman" w:cs="Times New Roman" w:eastAsia="Times New Roman" w:hint="default"/>
          <w:spacing w:val="-2"/>
        </w:rPr>
        <w:t>1</w:t>
      </w:r>
      <w:r>
        <w:rPr>
          <w:spacing w:val="-2"/>
        </w:rPr>
        <w:t>）主持股东大会和召集、主持董事会会议；（</w:t>
      </w:r>
      <w:r>
        <w:rPr>
          <w:rFonts w:ascii="Times New Roman" w:hAnsi="Times New Roman" w:cs="Times New Roman" w:eastAsia="Times New Roman" w:hint="default"/>
          <w:spacing w:val="-2"/>
        </w:rPr>
        <w:t>2</w:t>
      </w:r>
      <w:r>
        <w:rPr>
          <w:spacing w:val="-2"/>
        </w:rPr>
        <w:t>）督促、检查董事会决议</w:t>
      </w:r>
    </w:p>
    <w:p>
      <w:pPr>
        <w:pStyle w:val="BodyText"/>
        <w:spacing w:line="214" w:lineRule="exact"/>
        <w:ind w:left="153" w:right="0"/>
        <w:jc w:val="left"/>
      </w:pPr>
      <w:r>
        <w:rPr/>
        <w:t>的实施情况；（</w:t>
      </w:r>
      <w:r>
        <w:rPr>
          <w:rFonts w:ascii="Times New Roman" w:hAnsi="Times New Roman" w:cs="Times New Roman" w:eastAsia="Times New Roman" w:hint="default"/>
        </w:rPr>
        <w:t>3</w:t>
      </w:r>
      <w:r>
        <w:rPr/>
        <w:t>）签署公司股票、公司债券及其它有价证券；（</w:t>
      </w:r>
      <w:r>
        <w:rPr>
          <w:rFonts w:ascii="Times New Roman" w:hAnsi="Times New Roman" w:cs="Times New Roman" w:eastAsia="Times New Roman" w:hint="default"/>
        </w:rPr>
        <w:t>4</w:t>
      </w:r>
      <w:r>
        <w:rPr/>
        <w:t>）签署董事会重要文件和其它应由公司法定代表人签署的</w:t>
      </w:r>
    </w:p>
    <w:p>
      <w:pPr>
        <w:pStyle w:val="BodyText"/>
        <w:spacing w:line="300" w:lineRule="auto" w:before="62"/>
        <w:ind w:left="153" w:right="198"/>
        <w:jc w:val="both"/>
      </w:pPr>
      <w:r>
        <w:rPr/>
        <w:t>其它文件；（</w:t>
      </w:r>
      <w:r>
        <w:rPr>
          <w:rFonts w:ascii="Times New Roman" w:hAnsi="Times New Roman" w:cs="Times New Roman" w:eastAsia="Times New Roman" w:hint="default"/>
        </w:rPr>
        <w:t>5</w:t>
      </w:r>
      <w:r>
        <w:rPr/>
        <w:t>）行使法定代表人职权；（</w:t>
      </w:r>
      <w:r>
        <w:rPr>
          <w:rFonts w:ascii="Times New Roman" w:hAnsi="Times New Roman" w:cs="Times New Roman" w:eastAsia="Times New Roman" w:hint="default"/>
        </w:rPr>
        <w:t>6</w:t>
      </w:r>
      <w:r>
        <w:rPr/>
        <w:t>）提名公司总经理人选交董事会通过；（</w:t>
      </w:r>
      <w:r>
        <w:rPr>
          <w:rFonts w:ascii="Times New Roman" w:hAnsi="Times New Roman" w:cs="Times New Roman" w:eastAsia="Times New Roman" w:hint="default"/>
        </w:rPr>
        <w:t>7</w:t>
      </w:r>
      <w:r>
        <w:rPr/>
        <w:t>）在发生特大自然灾害等不可抗力的 紧急情况下，对公司事务行使符合法律规定和公司利益的特别处置权，并在事后向公司董事会和股东大会报告；（</w:t>
      </w:r>
      <w:r>
        <w:rPr>
          <w:rFonts w:ascii="Times New Roman" w:hAnsi="Times New Roman" w:cs="Times New Roman" w:eastAsia="Times New Roman" w:hint="default"/>
        </w:rPr>
        <w:t>8</w:t>
      </w:r>
      <w:r>
        <w:rPr/>
        <w:t>）董事 会授予的其它职权。</w:t>
      </w:r>
    </w:p>
    <w:p>
      <w:pPr>
        <w:pStyle w:val="BodyText"/>
        <w:spacing w:line="300" w:lineRule="auto" w:before="71"/>
        <w:ind w:left="153" w:right="191" w:firstLine="360"/>
        <w:jc w:val="both"/>
      </w:pPr>
      <w:r>
        <w:rPr>
          <w:spacing w:val="-2"/>
        </w:rPr>
        <w:t>总经理行使下列职权：（</w:t>
      </w:r>
      <w:r>
        <w:rPr>
          <w:rFonts w:ascii="Times New Roman" w:hAnsi="Times New Roman" w:cs="Times New Roman" w:eastAsia="Times New Roman" w:hint="default"/>
          <w:spacing w:val="-2"/>
        </w:rPr>
        <w:t>1</w:t>
      </w:r>
      <w:r>
        <w:rPr>
          <w:spacing w:val="-2"/>
        </w:rPr>
        <w:t>）主持公司的生产经营管理工作，组织实施董事会决议；（</w:t>
      </w:r>
      <w:r>
        <w:rPr>
          <w:rFonts w:ascii="Times New Roman" w:hAnsi="Times New Roman" w:cs="Times New Roman" w:eastAsia="Times New Roman" w:hint="default"/>
          <w:spacing w:val="-2"/>
        </w:rPr>
        <w:t>2</w:t>
      </w:r>
      <w:r>
        <w:rPr>
          <w:spacing w:val="-2"/>
        </w:rPr>
        <w:t>）组织实施公司年度经营计划和</w:t>
      </w:r>
      <w:r>
        <w:rPr/>
        <w:t> </w:t>
      </w:r>
      <w:r>
        <w:rPr>
          <w:spacing w:val="-2"/>
        </w:rPr>
        <w:t>投资方案；（</w:t>
      </w:r>
      <w:r>
        <w:rPr>
          <w:rFonts w:ascii="Times New Roman" w:hAnsi="Times New Roman" w:cs="Times New Roman" w:eastAsia="Times New Roman" w:hint="default"/>
          <w:spacing w:val="-2"/>
        </w:rPr>
        <w:t>3</w:t>
      </w:r>
      <w:r>
        <w:rPr>
          <w:spacing w:val="-2"/>
        </w:rPr>
        <w:t>）拟订公司内部管理机构设置方案；（</w:t>
      </w:r>
      <w:r>
        <w:rPr>
          <w:rFonts w:ascii="Times New Roman" w:hAnsi="Times New Roman" w:cs="Times New Roman" w:eastAsia="Times New Roman" w:hint="default"/>
          <w:spacing w:val="-2"/>
        </w:rPr>
        <w:t>4</w:t>
      </w:r>
      <w:r>
        <w:rPr>
          <w:spacing w:val="-2"/>
        </w:rPr>
        <w:t>）拟订公司的基本管理制度；（</w:t>
      </w:r>
      <w:r>
        <w:rPr>
          <w:rFonts w:ascii="Times New Roman" w:hAnsi="Times New Roman" w:cs="Times New Roman" w:eastAsia="Times New Roman" w:hint="default"/>
          <w:spacing w:val="-2"/>
        </w:rPr>
        <w:t>5</w:t>
      </w:r>
      <w:r>
        <w:rPr>
          <w:spacing w:val="-2"/>
        </w:rPr>
        <w:t>）制定公司的基本规章；（</w:t>
      </w:r>
      <w:r>
        <w:rPr>
          <w:rFonts w:ascii="Times New Roman" w:hAnsi="Times New Roman" w:cs="Times New Roman" w:eastAsia="Times New Roman" w:hint="default"/>
          <w:spacing w:val="-2"/>
        </w:rPr>
        <w:t>6</w:t>
      </w:r>
      <w:r>
        <w:rPr>
          <w:spacing w:val="-2"/>
        </w:rPr>
        <w:t>）提请</w:t>
      </w:r>
      <w:r>
        <w:rPr>
          <w:spacing w:val="-66"/>
        </w:rPr>
        <w:t> </w:t>
      </w:r>
      <w:r>
        <w:rPr>
          <w:spacing w:val="-66"/>
        </w:rPr>
      </w:r>
      <w:r>
        <w:rPr>
          <w:spacing w:val="-2"/>
        </w:rPr>
        <w:t>聘任或者解聘公司副经理、财务负责人；（</w:t>
      </w:r>
      <w:r>
        <w:rPr>
          <w:rFonts w:ascii="Times New Roman" w:hAnsi="Times New Roman" w:cs="Times New Roman" w:eastAsia="Times New Roman" w:hint="default"/>
          <w:spacing w:val="-2"/>
        </w:rPr>
        <w:t>7</w:t>
      </w:r>
      <w:r>
        <w:rPr>
          <w:spacing w:val="-2"/>
        </w:rPr>
        <w:t>）聘任或者解聘除应由董事会聘任或者解聘以外的负责管理人员；（</w:t>
      </w:r>
      <w:r>
        <w:rPr>
          <w:rFonts w:ascii="Times New Roman" w:hAnsi="Times New Roman" w:cs="Times New Roman" w:eastAsia="Times New Roman" w:hint="default"/>
          <w:spacing w:val="-2"/>
        </w:rPr>
        <w:t>8</w:t>
      </w:r>
      <w:r>
        <w:rPr>
          <w:spacing w:val="-2"/>
        </w:rPr>
        <w:t>）拟定公</w:t>
      </w:r>
      <w:r>
        <w:rPr>
          <w:spacing w:val="-65"/>
        </w:rPr>
        <w:t> </w:t>
      </w:r>
      <w:r>
        <w:rPr>
          <w:spacing w:val="-65"/>
        </w:rPr>
      </w:r>
      <w:r>
        <w:rPr/>
        <w:t>司职工的工资、福利、奖惩，决定公司职工的聘用和解聘；（</w:t>
      </w:r>
      <w:r>
        <w:rPr>
          <w:rFonts w:ascii="Times New Roman" w:hAnsi="Times New Roman" w:cs="Times New Roman" w:eastAsia="Times New Roman" w:hint="default"/>
        </w:rPr>
        <w:t>9</w:t>
      </w:r>
      <w:r>
        <w:rPr/>
        <w:t>）提议召开董事会临时会议；（</w:t>
      </w:r>
      <w:r>
        <w:rPr>
          <w:rFonts w:ascii="Times New Roman" w:hAnsi="Times New Roman" w:cs="Times New Roman" w:eastAsia="Times New Roman" w:hint="default"/>
        </w:rPr>
        <w:t>10</w:t>
      </w:r>
      <w:r>
        <w:rPr/>
        <w:t>）《公司章程》和董事会 授予的其它职权。</w:t>
      </w:r>
    </w:p>
    <w:p>
      <w:pPr>
        <w:pStyle w:val="BodyText"/>
        <w:spacing w:line="319" w:lineRule="auto" w:before="70"/>
        <w:ind w:left="153" w:right="91" w:firstLine="360"/>
        <w:jc w:val="left"/>
      </w:pPr>
      <w:r>
        <w:rPr/>
        <w:t>陈洪国先生兼任董事长与总经理负责本公司的整体管理，尽管出现与香港上市规则附录十四所载《企业管治常规守则》 </w:t>
      </w:r>
      <w:r>
        <w:rPr>
          <w:spacing w:val="-2"/>
        </w:rPr>
        <w:t>中的原则及守则条文偏离情况，公司董事相信，让陈洪国先生同时兼任董事长及总经理可让本公司更有效地计划及执行业务</w:t>
      </w:r>
      <w:r>
        <w:rPr>
          <w:spacing w:val="-64"/>
        </w:rPr>
        <w:t> </w:t>
      </w:r>
      <w:r>
        <w:rPr>
          <w:spacing w:val="-64"/>
        </w:rPr>
      </w:r>
      <w:r>
        <w:rPr>
          <w:spacing w:val="-2"/>
        </w:rPr>
        <w:t>策略，从而令本集团能够有效、迅速地把握商机。由于所有主要决定是咨询董事会其它成员后才能作出，本公司相信，通过</w:t>
      </w:r>
      <w:r>
        <w:rPr>
          <w:spacing w:val="-66"/>
        </w:rPr>
        <w:t> </w:t>
      </w:r>
      <w:r>
        <w:rPr>
          <w:spacing w:val="-66"/>
        </w:rPr>
      </w:r>
      <w:r>
        <w:rPr/>
        <w:t>董事会及独立非执行董事的监督，此足以维持权力及职权平衡。</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57" w:lineRule="auto"/>
        <w:ind w:left="513" w:right="182" w:firstLine="1"/>
        <w:jc w:val="left"/>
      </w:pPr>
      <w:r>
        <w:rPr>
          <w:rFonts w:ascii="宋体" w:hAnsi="宋体" w:cs="宋体" w:eastAsia="宋体" w:hint="default"/>
          <w:b/>
          <w:bCs/>
        </w:rPr>
        <w:t>（五）独立非执行董事</w:t>
      </w:r>
      <w:r>
        <w:rPr>
          <w:rFonts w:ascii="宋体" w:hAnsi="宋体" w:cs="宋体" w:eastAsia="宋体" w:hint="default"/>
          <w:b/>
          <w:bCs/>
          <w:w w:val="99"/>
        </w:rPr>
        <w:t> </w:t>
      </w:r>
      <w:r>
        <w:rPr>
          <w:spacing w:val="-2"/>
        </w:rPr>
        <w:t>董事会成员中有四名独立非执行董事，符合香港上市规则有关独立非执行董事人数的最低要求。本公司独立非执行董事</w:t>
      </w:r>
    </w:p>
    <w:p>
      <w:pPr>
        <w:pStyle w:val="BodyText"/>
        <w:spacing w:line="237" w:lineRule="exact"/>
        <w:ind w:left="153" w:right="91"/>
        <w:jc w:val="left"/>
      </w:pPr>
      <w:r>
        <w:rPr>
          <w:spacing w:val="-3"/>
        </w:rPr>
        <w:t>王爱国及张宏具备了适当的会计及财务管理专长，符合香港上市规则第</w:t>
      </w:r>
      <w:r>
        <w:rPr>
          <w:rFonts w:ascii="Times New Roman" w:hAnsi="Times New Roman" w:cs="Times New Roman" w:eastAsia="Times New Roman" w:hint="default"/>
          <w:spacing w:val="-3"/>
        </w:rPr>
        <w:t>3.10</w:t>
      </w:r>
      <w:r>
        <w:rPr>
          <w:spacing w:val="-3"/>
        </w:rPr>
        <w:t>条的要求，其个人简历请参见本年度报告第九节。</w:t>
      </w:r>
    </w:p>
    <w:p>
      <w:pPr>
        <w:pStyle w:val="BodyText"/>
        <w:spacing w:line="302" w:lineRule="auto" w:before="62"/>
        <w:ind w:left="153" w:right="191"/>
        <w:jc w:val="both"/>
      </w:pPr>
      <w:r>
        <w:rPr>
          <w:spacing w:val="-1"/>
        </w:rPr>
        <w:t>公司已收取各独立非执行董事根据香港上市规则第</w:t>
      </w:r>
      <w:r>
        <w:rPr>
          <w:rFonts w:ascii="Times New Roman" w:hAnsi="Times New Roman" w:cs="Times New Roman" w:eastAsia="Times New Roman" w:hint="default"/>
          <w:spacing w:val="-1"/>
        </w:rPr>
        <w:t>3.13</w:t>
      </w:r>
      <w:r>
        <w:rPr>
          <w:spacing w:val="-1"/>
        </w:rPr>
        <w:t>条就彼等各自之独立性发出年度确认函。本公司认为各独立非执行董</w:t>
      </w:r>
      <w:r>
        <w:rPr>
          <w:spacing w:val="-74"/>
        </w:rPr>
        <w:t> </w:t>
      </w:r>
      <w:r>
        <w:rPr>
          <w:spacing w:val="-74"/>
        </w:rPr>
      </w:r>
      <w:r>
        <w:rPr/>
        <w:t>事均属独立人士。</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357" w:lineRule="auto"/>
        <w:ind w:left="513" w:right="182" w:firstLine="1"/>
        <w:jc w:val="left"/>
      </w:pPr>
      <w:r>
        <w:rPr>
          <w:rFonts w:ascii="宋体" w:hAnsi="宋体" w:cs="宋体" w:eastAsia="宋体" w:hint="default"/>
          <w:b/>
          <w:bCs/>
        </w:rPr>
        <w:t>（六）董事任期</w:t>
      </w:r>
      <w:r>
        <w:rPr>
          <w:rFonts w:ascii="宋体" w:hAnsi="宋体" w:cs="宋体" w:eastAsia="宋体" w:hint="default"/>
          <w:b/>
          <w:bCs/>
          <w:w w:val="99"/>
        </w:rPr>
        <w:t> </w:t>
      </w:r>
      <w:r>
        <w:rPr>
          <w:spacing w:val="-2"/>
        </w:rPr>
        <w:t>根据《公司章程》，所有董事（包括非执行董事）由股东大会选举产生，任期三年，由</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月起至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月止。董</w:t>
      </w:r>
    </w:p>
    <w:p>
      <w:pPr>
        <w:pStyle w:val="BodyText"/>
        <w:spacing w:line="202" w:lineRule="exact"/>
        <w:ind w:left="153" w:right="182"/>
        <w:jc w:val="left"/>
      </w:pPr>
      <w:r>
        <w:rPr/>
        <w:t>事任期届满，可以连选连任。</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spacing w:line="357" w:lineRule="auto" w:before="0"/>
        <w:ind w:left="513" w:right="91" w:firstLine="1"/>
        <w:jc w:val="left"/>
        <w:rPr>
          <w:rFonts w:ascii="宋体" w:hAnsi="宋体" w:cs="宋体" w:eastAsia="宋体" w:hint="default"/>
          <w:sz w:val="18"/>
          <w:szCs w:val="18"/>
        </w:rPr>
      </w:pPr>
      <w:r>
        <w:rPr>
          <w:rFonts w:ascii="宋体" w:hAnsi="宋体" w:cs="宋体" w:eastAsia="宋体" w:hint="default"/>
          <w:b/>
          <w:bCs/>
          <w:sz w:val="18"/>
          <w:szCs w:val="18"/>
        </w:rPr>
        <w:t>（七）董事对财务报表的责任</w:t>
      </w:r>
      <w:r>
        <w:rPr>
          <w:rFonts w:ascii="宋体" w:hAnsi="宋体" w:cs="宋体" w:eastAsia="宋体" w:hint="default"/>
          <w:b/>
          <w:bCs/>
          <w:w w:val="99"/>
          <w:sz w:val="18"/>
          <w:szCs w:val="18"/>
        </w:rPr>
        <w:t> </w:t>
      </w:r>
      <w:r>
        <w:rPr>
          <w:rFonts w:ascii="宋体" w:hAnsi="宋体" w:cs="宋体" w:eastAsia="宋体" w:hint="default"/>
          <w:sz w:val="18"/>
          <w:szCs w:val="18"/>
        </w:rPr>
        <w:t>董事申明其有责任就各财政年度，编制真实、公允的反映本公司情况的财务报表。董事认为在财务报表的编制过程中，</w:t>
      </w:r>
    </w:p>
    <w:p>
      <w:pPr>
        <w:pStyle w:val="BodyText"/>
        <w:spacing w:line="225" w:lineRule="exact"/>
        <w:ind w:left="153" w:right="182"/>
        <w:jc w:val="left"/>
      </w:pPr>
      <w:r>
        <w:rPr/>
        <w:t>本公司贯彻了适当的会计政策，并遵守所有相关会计准则。</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57" w:lineRule="auto"/>
        <w:ind w:left="513" w:right="182" w:firstLine="1"/>
        <w:jc w:val="left"/>
      </w:pPr>
      <w:r>
        <w:rPr>
          <w:rFonts w:ascii="宋体" w:hAnsi="宋体" w:cs="宋体" w:eastAsia="宋体" w:hint="default"/>
          <w:b/>
          <w:bCs/>
        </w:rPr>
        <w:t>（八）董事委员会</w:t>
      </w:r>
      <w:r>
        <w:rPr>
          <w:rFonts w:ascii="宋体" w:hAnsi="宋体" w:cs="宋体" w:eastAsia="宋体" w:hint="default"/>
          <w:b/>
          <w:bCs/>
          <w:spacing w:val="1"/>
          <w:w w:val="99"/>
        </w:rPr>
        <w:t> </w:t>
      </w:r>
      <w:r>
        <w:rPr>
          <w:spacing w:val="-2"/>
        </w:rPr>
        <w:t>根据企业管治守则，董事会辖下成立三个委员会，分别为审计委员会、薪酬与考核委员会及提名委员会，以监察本公司</w:t>
      </w:r>
    </w:p>
    <w:p>
      <w:pPr>
        <w:pStyle w:val="BodyText"/>
        <w:spacing w:line="360" w:lineRule="auto"/>
        <w:ind w:left="513" w:right="811" w:hanging="360"/>
        <w:jc w:val="left"/>
      </w:pPr>
      <w:r>
        <w:rPr/>
        <w:t>事务之特定范畴。各董事委员会均定有界定书面职权范围。董事委员会之书面职权范围刊载于联交所及公司网页。 除企业管治守则的规定外，公司亦成立战略委员会，以监察公司长期发展战略规划进行研究并提出建议。 董事会整体负责执行企业管治职责，包括</w:t>
      </w:r>
    </w:p>
    <w:p>
      <w:pPr>
        <w:pStyle w:val="BodyText"/>
        <w:spacing w:line="240" w:lineRule="auto" w:before="26"/>
        <w:ind w:left="513" w:right="1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制定及检讨公司的企业管治政策及常规；</w:t>
      </w:r>
    </w:p>
    <w:p>
      <w:pPr>
        <w:pStyle w:val="BodyText"/>
        <w:spacing w:line="240" w:lineRule="auto" w:before="103"/>
        <w:ind w:left="513" w:right="1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检讨及监察董事及高级管理人员的培训及持续专业发展；</w:t>
      </w:r>
    </w:p>
    <w:p>
      <w:pPr>
        <w:pStyle w:val="BodyText"/>
        <w:spacing w:line="240" w:lineRule="auto" w:before="103"/>
        <w:ind w:left="513" w:right="1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检讨及监察公司在遵守法律及监管规定方面的政策及常规；</w:t>
      </w:r>
    </w:p>
    <w:p>
      <w:pPr>
        <w:pStyle w:val="BodyText"/>
        <w:spacing w:line="338" w:lineRule="auto" w:before="102"/>
        <w:ind w:left="513" w:right="549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制定、检讨及监察雇员及董事操守准则； 其中：制定员工及董事的操守准则及合规手册情况</w:t>
      </w:r>
    </w:p>
    <w:p>
      <w:pPr>
        <w:pStyle w:val="BodyText"/>
        <w:spacing w:line="240" w:lineRule="auto" w:before="42"/>
        <w:ind w:left="513" w:right="0"/>
        <w:jc w:val="left"/>
      </w:pPr>
      <w:r>
        <w:rPr/>
        <w:t>①公司制定了《晨鸣纸业管理制度汇编》，对公司员工的行为准则、操守准则、任用与离职管理、工作业绩考核、民主</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147"/>
        <w:jc w:val="left"/>
      </w:pPr>
      <w:r>
        <w:rPr/>
        <w:t>评议等全部管理方面进行了详细规定，做到了制度化和程序化。</w:t>
      </w:r>
    </w:p>
    <w:p>
      <w:pPr>
        <w:pStyle w:val="BodyText"/>
        <w:spacing w:line="319" w:lineRule="auto" w:before="115"/>
        <w:ind w:left="153" w:right="149" w:firstLine="360"/>
        <w:jc w:val="both"/>
      </w:pPr>
      <w:r>
        <w:rPr>
          <w:spacing w:val="-2"/>
        </w:rPr>
        <w:t>②《公司章程》规定了公司董事、监事、经理或者其他高级管理人员的任职资格和操守准则；规定了独立董事的任职资</w:t>
      </w:r>
      <w:r>
        <w:rPr/>
        <w:t> 格和操守准则。</w:t>
      </w:r>
    </w:p>
    <w:p>
      <w:pPr>
        <w:pStyle w:val="BodyText"/>
        <w:spacing w:line="309" w:lineRule="auto" w:before="56"/>
        <w:ind w:left="153" w:right="149" w:firstLine="360"/>
        <w:jc w:val="both"/>
      </w:pPr>
      <w:r>
        <w:rPr>
          <w:spacing w:val="-2"/>
        </w:rPr>
        <w:t>③深圳证券交易所</w:t>
      </w:r>
      <w:r>
        <w:rPr>
          <w:rFonts w:ascii="Times New Roman" w:hAnsi="Times New Roman" w:cs="Times New Roman" w:eastAsia="Times New Roman" w:hint="default"/>
          <w:spacing w:val="-2"/>
        </w:rPr>
        <w:t>2015</w:t>
      </w:r>
      <w:r>
        <w:rPr>
          <w:spacing w:val="-2"/>
        </w:rPr>
        <w:t>年发布实施的《深圳证券交易所主板上市公司规范运作指引》之第三章《董事、监事和高级管理</w:t>
      </w:r>
      <w:r>
        <w:rPr/>
        <w:t> </w:t>
      </w:r>
      <w:r>
        <w:rPr>
          <w:spacing w:val="-2"/>
        </w:rPr>
        <w:t>人员管理》，从董事、监事和高级管理人员对公司所负忠实和勤勉义务，任职、离职资格和条件，持股，行为规范等方面作</w:t>
      </w:r>
      <w:r>
        <w:rPr>
          <w:spacing w:val="-72"/>
        </w:rPr>
        <w:t> </w:t>
      </w:r>
      <w:r>
        <w:rPr>
          <w:spacing w:val="-72"/>
        </w:rPr>
      </w:r>
      <w:r>
        <w:rPr/>
        <w:t>出了规定和限制，也是公司及公司的董事、监事、高级管理人员须遵守的规范性文件。</w:t>
      </w:r>
    </w:p>
    <w:p>
      <w:pPr>
        <w:pStyle w:val="BodyText"/>
        <w:spacing w:line="357" w:lineRule="auto" w:before="63"/>
        <w:ind w:left="513" w:right="147"/>
        <w:jc w:val="left"/>
      </w:pPr>
      <w:r>
        <w:rPr/>
        <w:t>公司雇员及董事监事高管人员遵守操守准则的监察及检讨情况 </w:t>
      </w:r>
      <w:r>
        <w:rPr>
          <w:spacing w:val="-2"/>
        </w:rPr>
        <w:t>公司对员工和干部的考评建立了完善的企业管治体制，由人力资源部负责实施该管制职责，工会、稽察部等协助发挥职</w:t>
      </w:r>
    </w:p>
    <w:p>
      <w:pPr>
        <w:pStyle w:val="BodyText"/>
        <w:spacing w:line="225" w:lineRule="exact"/>
        <w:ind w:left="153" w:right="147"/>
        <w:jc w:val="left"/>
      </w:pPr>
      <w:r>
        <w:rPr/>
        <w:t>责。建立并实施民主评议制度；建立了广泛的投诉管理制度；建立了内部审计制度。</w:t>
      </w:r>
    </w:p>
    <w:p>
      <w:pPr>
        <w:pStyle w:val="BodyText"/>
        <w:spacing w:line="240" w:lineRule="auto" w:before="117"/>
        <w:ind w:left="513" w:right="14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检讨公司遵守企业管治守则及在企业管治报告内的披露。</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57" w:lineRule="auto"/>
        <w:ind w:left="513" w:right="147" w:firstLine="1"/>
        <w:jc w:val="left"/>
      </w:pPr>
      <w:r>
        <w:rPr>
          <w:rFonts w:ascii="宋体" w:hAnsi="宋体" w:cs="宋体" w:eastAsia="宋体" w:hint="default"/>
          <w:b/>
          <w:bCs/>
        </w:rPr>
        <w:t>（九）审计委员会</w:t>
      </w:r>
      <w:r>
        <w:rPr>
          <w:rFonts w:ascii="宋体" w:hAnsi="宋体" w:cs="宋体" w:eastAsia="宋体" w:hint="default"/>
          <w:b/>
          <w:bCs/>
          <w:spacing w:val="1"/>
          <w:w w:val="99"/>
        </w:rPr>
        <w:t> </w:t>
      </w:r>
      <w:r>
        <w:rPr>
          <w:spacing w:val="-2"/>
        </w:rPr>
        <w:t>公司审计委员会由公司三名独立非执行董事及两名非执行董事组成，主要负责公司内、外部审计的沟通、监督和核查工</w:t>
      </w:r>
    </w:p>
    <w:p>
      <w:pPr>
        <w:pStyle w:val="BodyText"/>
        <w:spacing w:line="224" w:lineRule="exact"/>
        <w:ind w:left="153" w:right="0"/>
        <w:jc w:val="left"/>
      </w:pPr>
      <w:r>
        <w:rPr/>
        <w:t>作。审计委员会主任为独立非执行董事张宏，委员包括杨桂花及王爱国。王爱国具备香港上市规则对该委任所要求之适当专</w:t>
      </w:r>
    </w:p>
    <w:p>
      <w:pPr>
        <w:pStyle w:val="BodyText"/>
        <w:spacing w:line="302" w:lineRule="auto" w:before="76"/>
        <w:ind w:left="0" w:right="114"/>
        <w:jc w:val="right"/>
      </w:pPr>
      <w:r>
        <w:rPr>
          <w:spacing w:val="-2"/>
        </w:rPr>
        <w:t>业资格，或具备适当的会计或相关财务管理专长。崔友平于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日离任审计委员会委员后，公司审计委员会人数不符</w:t>
      </w:r>
      <w:r>
        <w:rPr/>
        <w:t> </w:t>
      </w:r>
      <w:r>
        <w:rPr>
          <w:spacing w:val="-1"/>
        </w:rPr>
        <w:t>合上市规则第</w:t>
      </w:r>
      <w:r>
        <w:rPr>
          <w:rFonts w:ascii="Times New Roman" w:hAnsi="Times New Roman" w:cs="Times New Roman" w:eastAsia="Times New Roman" w:hint="default"/>
          <w:spacing w:val="-1"/>
        </w:rPr>
        <w:t>3.21</w:t>
      </w:r>
      <w:r>
        <w:rPr>
          <w:spacing w:val="-1"/>
        </w:rPr>
        <w:t>条下不低于</w:t>
      </w:r>
      <w:r>
        <w:rPr>
          <w:rFonts w:ascii="Times New Roman" w:hAnsi="Times New Roman" w:cs="Times New Roman" w:eastAsia="Times New Roman" w:hint="default"/>
          <w:spacing w:val="-1"/>
        </w:rPr>
        <w:t>3</w:t>
      </w:r>
      <w:r>
        <w:rPr>
          <w:spacing w:val="-1"/>
        </w:rPr>
        <w:t>人规定，直至杨桂花于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27</w:t>
      </w:r>
      <w:r>
        <w:rPr>
          <w:spacing w:val="-1"/>
        </w:rPr>
        <w:t>日出任审计委员会委员后，才符合审计委员会人数要求。</w:t>
      </w:r>
    </w:p>
    <w:p>
      <w:pPr>
        <w:pStyle w:val="BodyText"/>
        <w:spacing w:line="300" w:lineRule="auto" w:before="49"/>
        <w:ind w:left="153" w:right="151" w:firstLine="360"/>
        <w:jc w:val="both"/>
      </w:pPr>
      <w:r>
        <w:rPr/>
        <w:t>本公司审计委员会的主要职责是：（</w:t>
      </w:r>
      <w:r>
        <w:rPr>
          <w:rFonts w:ascii="Times New Roman" w:hAnsi="Times New Roman" w:cs="Times New Roman" w:eastAsia="Times New Roman" w:hint="default"/>
        </w:rPr>
        <w:t>1</w:t>
      </w:r>
      <w:r>
        <w:rPr/>
        <w:t>）提议聘请或更换外部审计机构；（</w:t>
      </w:r>
      <w:r>
        <w:rPr>
          <w:rFonts w:ascii="Times New Roman" w:hAnsi="Times New Roman" w:cs="Times New Roman" w:eastAsia="Times New Roman" w:hint="default"/>
        </w:rPr>
        <w:t>2</w:t>
      </w:r>
      <w:r>
        <w:rPr/>
        <w:t>）监督公司的内部审计制度及实施；（</w:t>
      </w:r>
      <w:r>
        <w:rPr>
          <w:rFonts w:ascii="Times New Roman" w:hAnsi="Times New Roman" w:cs="Times New Roman" w:eastAsia="Times New Roman" w:hint="default"/>
        </w:rPr>
        <w:t>3</w:t>
      </w:r>
      <w:r>
        <w:rPr/>
        <w:t>） </w:t>
      </w:r>
      <w:r>
        <w:rPr>
          <w:spacing w:val="-2"/>
        </w:rPr>
        <w:t>负责内部审计与外部审计之间的沟通；（</w:t>
      </w:r>
      <w:r>
        <w:rPr>
          <w:rFonts w:ascii="Times New Roman" w:hAnsi="Times New Roman" w:cs="Times New Roman" w:eastAsia="Times New Roman" w:hint="default"/>
          <w:spacing w:val="-2"/>
        </w:rPr>
        <w:t>4</w:t>
      </w:r>
      <w:r>
        <w:rPr>
          <w:spacing w:val="-2"/>
        </w:rPr>
        <w:t>）审核公司的财务资讯及其披露；（</w:t>
      </w:r>
      <w:r>
        <w:rPr>
          <w:rFonts w:ascii="Times New Roman" w:hAnsi="Times New Roman" w:cs="Times New Roman" w:eastAsia="Times New Roman" w:hint="default"/>
          <w:spacing w:val="-2"/>
        </w:rPr>
        <w:t>5</w:t>
      </w:r>
      <w:r>
        <w:rPr>
          <w:spacing w:val="-2"/>
        </w:rPr>
        <w:t>）审查公司内控制度，对重大关联交易进行</w:t>
      </w:r>
      <w:r>
        <w:rPr>
          <w:spacing w:val="-66"/>
        </w:rPr>
        <w:t> </w:t>
      </w:r>
      <w:r>
        <w:rPr>
          <w:spacing w:val="-66"/>
        </w:rPr>
      </w:r>
      <w:r>
        <w:rPr/>
        <w:t>审计；（</w:t>
      </w:r>
      <w:r>
        <w:rPr>
          <w:rFonts w:ascii="Times New Roman" w:hAnsi="Times New Roman" w:cs="Times New Roman" w:eastAsia="Times New Roman" w:hint="default"/>
        </w:rPr>
        <w:t>6</w:t>
      </w:r>
      <w:r>
        <w:rPr/>
        <w:t>）公司董事会授予的其它事宜。</w:t>
      </w:r>
    </w:p>
    <w:p>
      <w:pPr>
        <w:pStyle w:val="BodyText"/>
        <w:spacing w:line="302" w:lineRule="auto" w:before="51"/>
        <w:ind w:left="153" w:right="248" w:firstLine="360"/>
        <w:jc w:val="both"/>
      </w:pPr>
      <w:r>
        <w:rPr/>
        <w:t>审计委员会已经联同管理层讨论本集团所采纳的会计准则及惯例，并讨论审阅了本报告，包括审阅了本集团截止</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日按照中国企业会计准则编制的财务报表。</w:t>
      </w:r>
    </w:p>
    <w:p>
      <w:pPr>
        <w:pStyle w:val="BodyText"/>
        <w:spacing w:line="240" w:lineRule="auto" w:before="52"/>
        <w:ind w:left="513" w:right="147"/>
        <w:jc w:val="left"/>
      </w:pPr>
      <w:r>
        <w:rPr/>
        <w:t>审计委员会在报告期内工作情况详见本章节第四部分。</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57" w:lineRule="auto"/>
        <w:ind w:left="513" w:right="147" w:firstLine="1"/>
        <w:jc w:val="left"/>
      </w:pPr>
      <w:r>
        <w:rPr>
          <w:rFonts w:ascii="宋体" w:hAnsi="宋体" w:cs="宋体" w:eastAsia="宋体" w:hint="default"/>
          <w:b/>
          <w:bCs/>
        </w:rPr>
        <w:t>（十）薪酬与考核委员会</w:t>
      </w:r>
      <w:r>
        <w:rPr>
          <w:rFonts w:ascii="宋体" w:hAnsi="宋体" w:cs="宋体" w:eastAsia="宋体" w:hint="default"/>
          <w:b/>
          <w:bCs/>
          <w:spacing w:val="1"/>
          <w:w w:val="99"/>
        </w:rPr>
        <w:t> </w:t>
      </w:r>
      <w:r>
        <w:rPr>
          <w:spacing w:val="-2"/>
        </w:rPr>
        <w:t>本公司已成立薪酬与考核委员会，由三名董事组成，包括主任委员王爱国、委员陈洪国及潘爱玲，其中两名（包括主任</w:t>
      </w:r>
    </w:p>
    <w:p>
      <w:pPr>
        <w:pStyle w:val="BodyText"/>
        <w:spacing w:line="224" w:lineRule="exact"/>
        <w:ind w:left="153" w:right="0"/>
        <w:jc w:val="left"/>
      </w:pPr>
      <w:r>
        <w:rPr/>
        <w:t>委员）为独立非执行董事，符合《企业管治常规守则》的规定。薪酬与考核委员会主要负责制定公司董事及经理人员的考核</w:t>
      </w:r>
    </w:p>
    <w:p>
      <w:pPr>
        <w:pStyle w:val="BodyText"/>
        <w:spacing w:line="357" w:lineRule="auto" w:before="77"/>
        <w:ind w:left="513" w:right="141" w:hanging="360"/>
        <w:jc w:val="left"/>
      </w:pPr>
      <w:r>
        <w:rPr/>
        <w:t>标准并进行考核；负责制定、审查公司董事及经理人员的薪酬政策与方案，对董事会负责。 本公司薪酬与考核委员会的主要职责是：（</w:t>
      </w:r>
      <w:r>
        <w:rPr>
          <w:rFonts w:ascii="Times New Roman" w:hAnsi="Times New Roman" w:cs="Times New Roman" w:eastAsia="Times New Roman" w:hint="default"/>
        </w:rPr>
        <w:t>1</w:t>
      </w:r>
      <w:r>
        <w:rPr/>
        <w:t>）根据董事及高级管理人员管理岗位的主要范围、职责、重要性及其它相</w:t>
      </w:r>
    </w:p>
    <w:p>
      <w:pPr>
        <w:pStyle w:val="BodyText"/>
        <w:spacing w:line="214" w:lineRule="exact"/>
        <w:ind w:left="153" w:right="0"/>
        <w:jc w:val="left"/>
      </w:pPr>
      <w:r>
        <w:rPr/>
        <w:t>关企业相关岗位的薪酬水平制定薪酬计划或方案；（</w:t>
      </w:r>
      <w:r>
        <w:rPr>
          <w:rFonts w:ascii="Times New Roman" w:hAnsi="Times New Roman" w:cs="Times New Roman" w:eastAsia="Times New Roman" w:hint="default"/>
        </w:rPr>
        <w:t>2</w:t>
      </w:r>
      <w:r>
        <w:rPr/>
        <w:t>）薪酬计划或方案主要包括但不限于绩效评价标准、程序及主要评价</w:t>
      </w:r>
    </w:p>
    <w:p>
      <w:pPr>
        <w:pStyle w:val="BodyText"/>
        <w:spacing w:line="302" w:lineRule="auto" w:before="62"/>
        <w:ind w:left="153" w:right="141"/>
        <w:jc w:val="left"/>
      </w:pPr>
      <w:r>
        <w:rPr/>
        <w:t>体系，奖励和惩罚的主要方案和制度等；（</w:t>
      </w:r>
      <w:r>
        <w:rPr>
          <w:rFonts w:ascii="Times New Roman" w:hAnsi="Times New Roman" w:cs="Times New Roman" w:eastAsia="Times New Roman" w:hint="default"/>
        </w:rPr>
        <w:t>3</w:t>
      </w:r>
      <w:r>
        <w:rPr/>
        <w:t>）审查公司董事（非独立非执行董事）及高级管理人员的履行职责情况并对其 进行年度绩效考评；（</w:t>
      </w:r>
      <w:r>
        <w:rPr>
          <w:rFonts w:ascii="Times New Roman" w:hAnsi="Times New Roman" w:cs="Times New Roman" w:eastAsia="Times New Roman" w:hint="default"/>
        </w:rPr>
        <w:t>4</w:t>
      </w:r>
      <w:r>
        <w:rPr/>
        <w:t>）负责对公司薪酬制度执行情况进行监督；（</w:t>
      </w:r>
      <w:r>
        <w:rPr>
          <w:rFonts w:ascii="Times New Roman" w:hAnsi="Times New Roman" w:cs="Times New Roman" w:eastAsia="Times New Roman" w:hint="default"/>
        </w:rPr>
        <w:t>5</w:t>
      </w:r>
      <w:r>
        <w:rPr/>
        <w:t>）董事会授权的其它事宜。</w:t>
      </w:r>
    </w:p>
    <w:p>
      <w:pPr>
        <w:pStyle w:val="BodyText"/>
        <w:spacing w:line="240" w:lineRule="auto" w:before="50"/>
        <w:ind w:left="513" w:right="147"/>
        <w:jc w:val="left"/>
      </w:pPr>
      <w:r>
        <w:rPr/>
        <w:t>薪酬与考核委员会在本报告期内工作情况详见本章节第四部分。</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5"/>
        <w:spacing w:line="240" w:lineRule="auto"/>
        <w:ind w:right="147"/>
        <w:jc w:val="left"/>
        <w:rPr>
          <w:b w:val="0"/>
          <w:bCs w:val="0"/>
        </w:rPr>
      </w:pPr>
      <w:r>
        <w:rPr/>
        <w:t>（十一）提名委员会</w:t>
      </w:r>
      <w:r>
        <w:rPr>
          <w:b w:val="0"/>
          <w:bCs w:val="0"/>
        </w:rPr>
      </w:r>
    </w:p>
    <w:p>
      <w:pPr>
        <w:pStyle w:val="BodyText"/>
        <w:spacing w:line="309" w:lineRule="auto" w:before="115"/>
        <w:ind w:left="153" w:right="150" w:firstLine="359"/>
        <w:jc w:val="both"/>
      </w:pPr>
      <w:r>
        <w:rPr/>
        <w:t>本公司已成立提名委员会，由三名董事组成，包括主任委员张志元（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日离任）</w:t>
      </w:r>
      <w:r>
        <w:rPr>
          <w:spacing w:val="-19"/>
        </w:rPr>
        <w:t> </w:t>
      </w:r>
      <w:r>
        <w:rPr/>
        <w:t>潘爱玲（</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日出 </w:t>
      </w:r>
      <w:r>
        <w:rPr>
          <w:spacing w:val="-2"/>
        </w:rPr>
        <w:t>任），委员陈洪国及王爱国，其中两名（包括主任委员）为独立非执行董事，符合《企业管治常规守则》的规定。提名委员</w:t>
      </w:r>
      <w:r>
        <w:rPr>
          <w:spacing w:val="-69"/>
        </w:rPr>
        <w:t> </w:t>
      </w:r>
      <w:r>
        <w:rPr>
          <w:spacing w:val="-69"/>
        </w:rPr>
      </w:r>
      <w:r>
        <w:rPr/>
        <w:t>会主要负责对公司董事和经理人员的人选、选择标准和程序进行选择并提出建议。</w:t>
      </w:r>
    </w:p>
    <w:p>
      <w:pPr>
        <w:pStyle w:val="BodyText"/>
        <w:spacing w:line="300" w:lineRule="auto" w:before="63"/>
        <w:ind w:left="153" w:right="150" w:firstLine="360"/>
        <w:jc w:val="both"/>
      </w:pPr>
      <w:r>
        <w:rPr/>
        <w:t>本公司提名委员会的主要职责是：（</w:t>
      </w:r>
      <w:r>
        <w:rPr>
          <w:rFonts w:ascii="Times New Roman" w:hAnsi="Times New Roman" w:cs="Times New Roman" w:eastAsia="Times New Roman" w:hint="default"/>
        </w:rPr>
        <w:t>1</w:t>
      </w:r>
      <w:r>
        <w:rPr/>
        <w:t>）根据公司经营活动情况、资产规模和股权结构对董事会的规模和构成向董事会 </w:t>
      </w:r>
      <w:r>
        <w:rPr>
          <w:spacing w:val="-2"/>
        </w:rPr>
        <w:t>提出建议；（</w:t>
      </w:r>
      <w:r>
        <w:rPr>
          <w:rFonts w:ascii="Times New Roman" w:hAnsi="Times New Roman" w:cs="Times New Roman" w:eastAsia="Times New Roman" w:hint="default"/>
          <w:spacing w:val="-2"/>
        </w:rPr>
        <w:t>2</w:t>
      </w:r>
      <w:r>
        <w:rPr>
          <w:spacing w:val="-2"/>
        </w:rPr>
        <w:t>）研究董事、经理人员的选择标准和程序，并向董事会提出建议；（</w:t>
      </w:r>
      <w:r>
        <w:rPr>
          <w:rFonts w:ascii="Times New Roman" w:hAnsi="Times New Roman" w:cs="Times New Roman" w:eastAsia="Times New Roman" w:hint="default"/>
          <w:spacing w:val="-2"/>
        </w:rPr>
        <w:t>3</w:t>
      </w:r>
      <w:r>
        <w:rPr>
          <w:spacing w:val="-2"/>
        </w:rPr>
        <w:t>）广泛搜寻合格的董事和经理人员的人</w:t>
      </w:r>
      <w:r>
        <w:rPr>
          <w:spacing w:val="-65"/>
        </w:rPr>
        <w:t> </w:t>
      </w:r>
      <w:r>
        <w:rPr>
          <w:spacing w:val="-65"/>
        </w:rPr>
      </w:r>
      <w:r>
        <w:rPr>
          <w:spacing w:val="-2"/>
        </w:rPr>
        <w:t>选；（</w:t>
      </w:r>
      <w:r>
        <w:rPr>
          <w:rFonts w:ascii="Times New Roman" w:hAnsi="Times New Roman" w:cs="Times New Roman" w:eastAsia="Times New Roman" w:hint="default"/>
          <w:spacing w:val="-2"/>
        </w:rPr>
        <w:t>4</w:t>
      </w:r>
      <w:r>
        <w:rPr>
          <w:spacing w:val="-2"/>
        </w:rPr>
        <w:t>）对董事候选人和经理人选进行审查并提出建议；（</w:t>
      </w:r>
      <w:r>
        <w:rPr>
          <w:rFonts w:ascii="Times New Roman" w:hAnsi="Times New Roman" w:cs="Times New Roman" w:eastAsia="Times New Roman" w:hint="default"/>
          <w:spacing w:val="-2"/>
        </w:rPr>
        <w:t>5</w:t>
      </w:r>
      <w:r>
        <w:rPr>
          <w:spacing w:val="-2"/>
        </w:rPr>
        <w:t>）对须提请董事会聘任的其它高级管理人员进行审查并提出建</w:t>
      </w:r>
      <w:r>
        <w:rPr>
          <w:spacing w:val="-66"/>
        </w:rPr>
        <w:t> </w:t>
      </w:r>
      <w:r>
        <w:rPr>
          <w:spacing w:val="-66"/>
        </w:rPr>
      </w:r>
      <w:r>
        <w:rPr/>
        <w:t>议；（</w:t>
      </w:r>
      <w:r>
        <w:rPr>
          <w:rFonts w:ascii="Times New Roman" w:hAnsi="Times New Roman" w:cs="Times New Roman" w:eastAsia="Times New Roman" w:hint="default"/>
        </w:rPr>
        <w:t>6</w:t>
      </w:r>
      <w:r>
        <w:rPr/>
        <w:t>）就董事委任及重新委任时向董事会提出建议，就董事出任董事会职务时所需的技能、知识、经验、背景、性别及 其它特质作考虑时同时作出董事多元化平衡，改善董事会效率并确保董事会多元化带来的裨益；</w:t>
      </w:r>
      <w:r>
        <w:rPr>
          <w:rFonts w:ascii="Times New Roman" w:hAnsi="Times New Roman" w:cs="Times New Roman" w:eastAsia="Times New Roman" w:hint="default"/>
        </w:rPr>
        <w:t>(7)</w:t>
      </w:r>
      <w:r>
        <w:rPr>
          <w:rFonts w:ascii="Times New Roman" w:hAnsi="Times New Roman" w:cs="Times New Roman" w:eastAsia="Times New Roman" w:hint="default"/>
          <w:spacing w:val="20"/>
        </w:rPr>
        <w:t> </w:t>
      </w:r>
      <w:r>
        <w:rPr/>
        <w:t>检讨董事会成员多元化</w:t>
      </w:r>
    </w:p>
    <w:p>
      <w:pPr>
        <w:spacing w:after="0" w:line="300" w:lineRule="auto"/>
        <w:jc w:val="both"/>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38" w:lineRule="auto" w:before="44"/>
        <w:ind w:left="513" w:right="211" w:hanging="360"/>
        <w:jc w:val="left"/>
      </w:pPr>
      <w:r>
        <w:rPr/>
        <w:t>政策，定时作出检讨及修改并于每年年度报告内的企业管治报告作出相关披露及</w:t>
      </w:r>
      <w:r>
        <w:rPr>
          <w:rFonts w:ascii="Times New Roman" w:hAnsi="Times New Roman" w:cs="Times New Roman" w:eastAsia="Times New Roman" w:hint="default"/>
        </w:rPr>
        <w:t>(8)</w:t>
      </w:r>
      <w:r>
        <w:rPr/>
        <w:t>董事会授权的其它事宜。 提名委员会于报告期内研究公司对新董事及经理人员的需要后，在考虑董事会成员多元化政策并透过不同途径</w:t>
      </w:r>
      <w:r>
        <w:rPr>
          <w:rFonts w:ascii="Times New Roman" w:hAnsi="Times New Roman" w:cs="Times New Roman" w:eastAsia="Times New Roman" w:hint="default"/>
        </w:rPr>
        <w:t>(</w:t>
      </w:r>
      <w:r>
        <w:rPr/>
        <w:t>包括在</w:t>
      </w:r>
    </w:p>
    <w:p>
      <w:pPr>
        <w:pStyle w:val="BodyText"/>
        <w:spacing w:line="230" w:lineRule="exact"/>
        <w:ind w:left="153" w:right="182"/>
        <w:jc w:val="left"/>
      </w:pPr>
      <w:r>
        <w:rPr/>
        <w:t>本集团内部及人才市场</w:t>
      </w:r>
      <w:r>
        <w:rPr>
          <w:rFonts w:ascii="Times New Roman" w:hAnsi="Times New Roman" w:cs="Times New Roman" w:eastAsia="Times New Roman" w:hint="default"/>
        </w:rPr>
        <w:t>)</w:t>
      </w:r>
      <w:r>
        <w:rPr/>
        <w:t>广泛寻找合适的董事及经理人员人选。在得到被提名人对提名的同意后，提名委员会将召集会议对</w:t>
      </w:r>
    </w:p>
    <w:p>
      <w:pPr>
        <w:pStyle w:val="BodyText"/>
        <w:spacing w:line="319" w:lineRule="auto" w:before="62"/>
        <w:ind w:left="153" w:right="189"/>
        <w:jc w:val="both"/>
      </w:pPr>
      <w:r>
        <w:rPr>
          <w:spacing w:val="-2"/>
        </w:rPr>
        <w:t>初选人员进行资格审查，审查的标准包括初选人员的学历、相关经验及专门技术等。在选举新董事前一至两个月，提名委员</w:t>
      </w:r>
      <w:r>
        <w:rPr>
          <w:spacing w:val="-66"/>
        </w:rPr>
        <w:t> </w:t>
      </w:r>
      <w:r>
        <w:rPr>
          <w:spacing w:val="-66"/>
        </w:rPr>
      </w:r>
      <w:r>
        <w:rPr>
          <w:spacing w:val="-2"/>
        </w:rPr>
        <w:t>会向董事会提出董事候选人的建议和相关材料；在聘任新的高级管理人员前，提名委员会向董事会提出新聘高级管理人员人</w:t>
      </w:r>
      <w:r>
        <w:rPr>
          <w:spacing w:val="-64"/>
        </w:rPr>
        <w:t> </w:t>
      </w:r>
      <w:r>
        <w:rPr>
          <w:spacing w:val="-64"/>
        </w:rPr>
      </w:r>
      <w:r>
        <w:rPr/>
        <w:t>选的建议和相关材料。</w:t>
      </w:r>
    </w:p>
    <w:p>
      <w:pPr>
        <w:pStyle w:val="BodyText"/>
        <w:spacing w:line="240" w:lineRule="auto" w:before="58"/>
        <w:ind w:left="513" w:right="182"/>
        <w:jc w:val="left"/>
      </w:pPr>
      <w:r>
        <w:rPr/>
        <w:t>提名委员会在本报告期内工作情况详见本章节第四部分。</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57" w:lineRule="auto"/>
        <w:ind w:left="513" w:right="182" w:firstLine="1"/>
        <w:jc w:val="left"/>
      </w:pPr>
      <w:r>
        <w:rPr>
          <w:rFonts w:ascii="宋体" w:hAnsi="宋体" w:cs="宋体" w:eastAsia="宋体" w:hint="default"/>
          <w:b/>
          <w:bCs/>
        </w:rPr>
        <w:t>（十二）战略委员会</w:t>
      </w:r>
      <w:r>
        <w:rPr>
          <w:rFonts w:ascii="宋体" w:hAnsi="宋体" w:cs="宋体" w:eastAsia="宋体" w:hint="default"/>
          <w:b/>
          <w:bCs/>
          <w:spacing w:val="1"/>
          <w:w w:val="99"/>
        </w:rPr>
        <w:t> </w:t>
      </w:r>
      <w:r>
        <w:rPr>
          <w:spacing w:val="-2"/>
        </w:rPr>
        <w:t>本公司已成立战略委员会，由三名董事组成，包括主任委员陈洪国，委员尹同远及张宏。战略委员会主要负责对公司长</w:t>
      </w:r>
    </w:p>
    <w:p>
      <w:pPr>
        <w:pStyle w:val="BodyText"/>
        <w:spacing w:line="357" w:lineRule="auto"/>
        <w:ind w:left="513" w:right="182" w:hanging="360"/>
        <w:jc w:val="left"/>
      </w:pPr>
      <w:r>
        <w:rPr/>
        <w:t>期发展战略和重大投资决策进行研究并提出建议。 </w:t>
      </w:r>
      <w:r>
        <w:rPr>
          <w:spacing w:val="-2"/>
        </w:rPr>
        <w:t>本公司战略委员会的主要职责是：（</w:t>
      </w:r>
      <w:r>
        <w:rPr>
          <w:rFonts w:ascii="Times New Roman" w:hAnsi="Times New Roman" w:cs="Times New Roman" w:eastAsia="Times New Roman" w:hint="default"/>
          <w:spacing w:val="-2"/>
        </w:rPr>
        <w:t>1</w:t>
      </w:r>
      <w:r>
        <w:rPr>
          <w:spacing w:val="-2"/>
        </w:rPr>
        <w:t>）公司长期发展战略规划进行研究并提出建议；（</w:t>
      </w:r>
      <w:r>
        <w:rPr>
          <w:rFonts w:ascii="Times New Roman" w:hAnsi="Times New Roman" w:cs="Times New Roman" w:eastAsia="Times New Roman" w:hint="default"/>
          <w:spacing w:val="-2"/>
        </w:rPr>
        <w:t>2</w:t>
      </w:r>
      <w:r>
        <w:rPr>
          <w:spacing w:val="-2"/>
        </w:rPr>
        <w:t>）对《公司章程》规定的须董</w:t>
      </w:r>
    </w:p>
    <w:p>
      <w:pPr>
        <w:pStyle w:val="BodyText"/>
        <w:spacing w:line="214" w:lineRule="exact"/>
        <w:ind w:left="153" w:right="91"/>
        <w:jc w:val="left"/>
      </w:pPr>
      <w:r>
        <w:rPr/>
        <w:t>事会批准的重大投资融资方案进行研究并提出建议；（</w:t>
      </w:r>
      <w:r>
        <w:rPr>
          <w:rFonts w:ascii="Times New Roman" w:hAnsi="Times New Roman" w:cs="Times New Roman" w:eastAsia="Times New Roman" w:hint="default"/>
        </w:rPr>
        <w:t>3</w:t>
      </w:r>
      <w:r>
        <w:rPr/>
        <w:t>）对《公司章程》规定的须经董事会批准的重大资本运作，资产经</w:t>
      </w:r>
    </w:p>
    <w:p>
      <w:pPr>
        <w:pStyle w:val="BodyText"/>
        <w:spacing w:line="240" w:lineRule="auto" w:before="62"/>
        <w:ind w:left="153" w:right="91"/>
        <w:jc w:val="left"/>
      </w:pPr>
      <w:r>
        <w:rPr>
          <w:spacing w:val="-4"/>
        </w:rPr>
        <w:t>营项目进行研究并提出建议；（</w:t>
      </w:r>
      <w:r>
        <w:rPr>
          <w:rFonts w:ascii="Times New Roman" w:hAnsi="Times New Roman" w:cs="Times New Roman" w:eastAsia="Times New Roman" w:hint="default"/>
          <w:spacing w:val="-4"/>
        </w:rPr>
        <w:t>4</w:t>
      </w:r>
      <w:r>
        <w:rPr>
          <w:spacing w:val="-4"/>
        </w:rPr>
        <w:t>）对其它影响公司发展的重大事项进行研究并提出建议；（</w:t>
      </w:r>
      <w:r>
        <w:rPr>
          <w:rFonts w:ascii="Times New Roman" w:hAnsi="Times New Roman" w:cs="Times New Roman" w:eastAsia="Times New Roman" w:hint="default"/>
          <w:spacing w:val="-4"/>
        </w:rPr>
        <w:t>5</w:t>
      </w:r>
      <w:r>
        <w:rPr>
          <w:spacing w:val="-4"/>
        </w:rPr>
        <w:t>）对以上事项的实施进行检查；</w:t>
      </w:r>
    </w:p>
    <w:p>
      <w:pPr>
        <w:pStyle w:val="BodyText"/>
        <w:spacing w:line="338" w:lineRule="auto" w:before="64"/>
        <w:ind w:left="513" w:right="4951" w:hanging="360"/>
        <w:jc w:val="left"/>
      </w:pPr>
      <w:r>
        <w:rPr/>
        <w:t>（</w:t>
      </w:r>
      <w:r>
        <w:rPr>
          <w:rFonts w:ascii="Times New Roman" w:hAnsi="Times New Roman" w:cs="Times New Roman" w:eastAsia="Times New Roman" w:hint="default"/>
        </w:rPr>
        <w:t>6</w:t>
      </w:r>
      <w:r>
        <w:rPr/>
        <w:t>）董事会授权的其它事宜。 战略委员会在本报告期内工作情况详见本章节第四部分。</w:t>
      </w:r>
    </w:p>
    <w:p>
      <w:pPr>
        <w:spacing w:line="240" w:lineRule="auto" w:before="0"/>
        <w:rPr>
          <w:rFonts w:ascii="宋体" w:hAnsi="宋体" w:cs="宋体" w:eastAsia="宋体" w:hint="default"/>
          <w:sz w:val="18"/>
          <w:szCs w:val="18"/>
        </w:rPr>
      </w:pPr>
    </w:p>
    <w:p>
      <w:pPr>
        <w:pStyle w:val="Heading5"/>
        <w:spacing w:line="240" w:lineRule="auto" w:before="159"/>
        <w:ind w:right="182"/>
        <w:jc w:val="left"/>
        <w:rPr>
          <w:b w:val="0"/>
          <w:bCs w:val="0"/>
        </w:rPr>
      </w:pPr>
      <w:r>
        <w:rPr/>
        <w:t>（十三）核数师</w:t>
      </w:r>
      <w:r>
        <w:rPr>
          <w:b w:val="0"/>
          <w:bCs w:val="0"/>
        </w:rPr>
      </w:r>
    </w:p>
    <w:p>
      <w:pPr>
        <w:pStyle w:val="BodyText"/>
        <w:spacing w:line="300" w:lineRule="auto" w:before="115"/>
        <w:ind w:left="153" w:right="181" w:firstLine="36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日，本公司</w:t>
      </w:r>
      <w:r>
        <w:rPr>
          <w:rFonts w:ascii="Times New Roman" w:hAnsi="Times New Roman" w:cs="Times New Roman" w:eastAsia="Times New Roman" w:hint="default"/>
        </w:rPr>
        <w:t>2012</w:t>
      </w:r>
      <w:r>
        <w:rPr/>
        <w:t>年度股东大会同意继续聘任中瑞岳华会计师事务所（特殊普通合伙）作为本公司</w:t>
      </w:r>
      <w:r>
        <w:rPr>
          <w:rFonts w:ascii="Times New Roman" w:hAnsi="Times New Roman" w:cs="Times New Roman" w:eastAsia="Times New Roman" w:hint="default"/>
        </w:rPr>
        <w:t>2013</w:t>
      </w:r>
      <w:r>
        <w:rPr/>
        <w:t>年度 </w:t>
      </w:r>
      <w:r>
        <w:rPr>
          <w:spacing w:val="-2"/>
        </w:rPr>
        <w:t>境内审计机构，负责本公司</w:t>
      </w:r>
      <w:r>
        <w:rPr>
          <w:rFonts w:ascii="Times New Roman" w:hAnsi="Times New Roman" w:cs="Times New Roman" w:eastAsia="Times New Roman" w:hint="default"/>
          <w:spacing w:val="-2"/>
        </w:rPr>
        <w:t>2013</w:t>
      </w:r>
      <w:r>
        <w:rPr>
          <w:spacing w:val="-2"/>
        </w:rPr>
        <w:t>年度境内审计工作。由于中瑞岳华会计师事务所（特殊普通合伙）与国富浩华会计师事务所</w:t>
      </w:r>
    </w:p>
    <w:p>
      <w:pPr>
        <w:pStyle w:val="BodyText"/>
        <w:spacing w:line="240" w:lineRule="auto" w:before="13"/>
        <w:ind w:left="153" w:right="0"/>
        <w:jc w:val="left"/>
      </w:pPr>
      <w:r>
        <w:rPr/>
        <w:t>（特殊普通合伙）进行合并，公司</w:t>
      </w:r>
      <w:r>
        <w:rPr>
          <w:rFonts w:ascii="Times New Roman" w:hAnsi="Times New Roman" w:cs="Times New Roman" w:eastAsia="Times New Roman" w:hint="default"/>
        </w:rPr>
        <w:t>2013</w:t>
      </w:r>
      <w:r>
        <w:rPr/>
        <w:t>年度境内审计工作由瑞华会计师事务所（特殊普通合伙）负责。有关变更已获股东于</w:t>
      </w:r>
    </w:p>
    <w:p>
      <w:pPr>
        <w:pStyle w:val="BodyText"/>
        <w:spacing w:line="240" w:lineRule="auto" w:before="64"/>
        <w:ind w:left="153" w:right="182"/>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日举行之</w:t>
      </w:r>
      <w:r>
        <w:rPr>
          <w:rFonts w:ascii="Times New Roman" w:hAnsi="Times New Roman" w:cs="Times New Roman" w:eastAsia="Times New Roman" w:hint="default"/>
        </w:rPr>
        <w:t>2013</w:t>
      </w:r>
      <w:r>
        <w:rPr/>
        <w:t>年第一次临时股东大会上通过。</w:t>
      </w:r>
    </w:p>
    <w:p>
      <w:pPr>
        <w:pStyle w:val="BodyText"/>
        <w:spacing w:line="302" w:lineRule="auto" w:before="102"/>
        <w:ind w:left="153" w:right="182" w:firstLine="36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日，本公司</w:t>
      </w:r>
      <w:r>
        <w:rPr>
          <w:rFonts w:ascii="Times New Roman" w:hAnsi="Times New Roman" w:cs="Times New Roman" w:eastAsia="Times New Roman" w:hint="default"/>
          <w:spacing w:val="-2"/>
        </w:rPr>
        <w:t>2013</w:t>
      </w:r>
      <w:r>
        <w:rPr>
          <w:spacing w:val="-2"/>
        </w:rPr>
        <w:t>年度股东大会同意继续聘任瑞华会计师事务所（特殊普通合伙）作为本公司</w:t>
      </w:r>
      <w:r>
        <w:rPr>
          <w:rFonts w:ascii="Times New Roman" w:hAnsi="Times New Roman" w:cs="Times New Roman" w:eastAsia="Times New Roman" w:hint="default"/>
          <w:spacing w:val="-2"/>
        </w:rPr>
        <w:t>2014</w:t>
      </w:r>
      <w:r>
        <w:rPr>
          <w:spacing w:val="-2"/>
        </w:rPr>
        <w:t>年度境内审</w:t>
      </w:r>
      <w:r>
        <w:rPr/>
        <w:t> 计机构，负责本公司</w:t>
      </w:r>
      <w:r>
        <w:rPr>
          <w:rFonts w:ascii="Times New Roman" w:hAnsi="Times New Roman" w:cs="Times New Roman" w:eastAsia="Times New Roman" w:hint="default"/>
        </w:rPr>
        <w:t>2014</w:t>
      </w:r>
      <w:r>
        <w:rPr/>
        <w:t>年度境内审计工作。</w:t>
      </w:r>
    </w:p>
    <w:p>
      <w:pPr>
        <w:pStyle w:val="BodyText"/>
        <w:spacing w:line="240" w:lineRule="auto" w:before="50"/>
        <w:ind w:left="513" w:right="91"/>
        <w:jc w:val="left"/>
      </w:pPr>
      <w:r>
        <w:rPr>
          <w:spacing w:val="-4"/>
        </w:rPr>
        <w:t>由瑞华会计师事务所（特殊普通合伙）续任本公司</w:t>
      </w:r>
      <w:r>
        <w:rPr>
          <w:rFonts w:ascii="Times New Roman" w:hAnsi="Times New Roman" w:cs="Times New Roman" w:eastAsia="Times New Roman" w:hint="default"/>
          <w:spacing w:val="-4"/>
        </w:rPr>
        <w:t>2015</w:t>
      </w:r>
      <w:r>
        <w:rPr>
          <w:spacing w:val="-4"/>
        </w:rPr>
        <w:t>年度境内审计机构之决议，将于即将召开之股东周年大会上提呈。</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357" w:lineRule="auto"/>
        <w:ind w:left="513" w:right="182" w:firstLine="1"/>
        <w:jc w:val="left"/>
      </w:pPr>
      <w:r>
        <w:rPr>
          <w:rFonts w:ascii="宋体" w:hAnsi="宋体" w:cs="宋体" w:eastAsia="宋体" w:hint="default"/>
          <w:b/>
          <w:bCs/>
        </w:rPr>
        <w:t>（十四）核数师酬金</w:t>
      </w:r>
      <w:r>
        <w:rPr>
          <w:rFonts w:ascii="宋体" w:hAnsi="宋体" w:cs="宋体" w:eastAsia="宋体" w:hint="default"/>
          <w:b/>
          <w:bCs/>
          <w:spacing w:val="1"/>
          <w:w w:val="99"/>
        </w:rPr>
        <w:t> </w:t>
      </w:r>
      <w:r>
        <w:rPr>
          <w:spacing w:val="-2"/>
        </w:rPr>
        <w:t>瑞华会计师事务所（特殊普通合伙）负责对本集团按照企业会计准则编制</w:t>
      </w:r>
      <w:r>
        <w:rPr>
          <w:rFonts w:ascii="Times New Roman" w:hAnsi="Times New Roman" w:cs="Times New Roman" w:eastAsia="Times New Roman" w:hint="default"/>
          <w:spacing w:val="-2"/>
        </w:rPr>
        <w:t>2014</w:t>
      </w:r>
      <w:r>
        <w:rPr>
          <w:spacing w:val="-2"/>
        </w:rPr>
        <w:t>年度财务报表。公司</w:t>
      </w:r>
      <w:r>
        <w:rPr>
          <w:rFonts w:ascii="Times New Roman" w:hAnsi="Times New Roman" w:cs="Times New Roman" w:eastAsia="Times New Roman" w:hint="default"/>
          <w:spacing w:val="-2"/>
        </w:rPr>
        <w:t>2014</w:t>
      </w:r>
      <w:r>
        <w:rPr>
          <w:spacing w:val="-2"/>
        </w:rPr>
        <w:t>年度向核数师支</w:t>
      </w:r>
    </w:p>
    <w:p>
      <w:pPr>
        <w:pStyle w:val="BodyText"/>
        <w:spacing w:line="214" w:lineRule="exact"/>
        <w:ind w:left="153" w:right="91"/>
        <w:jc w:val="left"/>
      </w:pPr>
      <w:r>
        <w:rPr/>
        <w:t>付了财务报告审计费用共计人民币</w:t>
      </w:r>
      <w:r>
        <w:rPr>
          <w:rFonts w:ascii="Times New Roman" w:hAnsi="Times New Roman" w:cs="Times New Roman" w:eastAsia="Times New Roman" w:hint="default"/>
        </w:rPr>
        <w:t>200</w:t>
      </w:r>
      <w:r>
        <w:rPr/>
        <w:t>万元。非审计费用共计人民币</w:t>
      </w:r>
      <w:r>
        <w:rPr>
          <w:rFonts w:ascii="Times New Roman" w:hAnsi="Times New Roman" w:cs="Times New Roman" w:eastAsia="Times New Roman" w:hint="default"/>
        </w:rPr>
        <w:t>60</w:t>
      </w:r>
      <w:r>
        <w:rPr/>
        <w:t>万元，费用用于内部控制审计，除此之外，年内无其</w:t>
      </w:r>
    </w:p>
    <w:p>
      <w:pPr>
        <w:pStyle w:val="BodyText"/>
        <w:spacing w:line="357" w:lineRule="auto" w:before="64"/>
        <w:ind w:left="513" w:right="91" w:hanging="360"/>
        <w:jc w:val="left"/>
      </w:pPr>
      <w:r>
        <w:rPr/>
        <w:t>他非审计服务费用。 瑞华会计师事务所（特殊普通合伙）对本集团财务呈报所承担责任的声明分别载于本年度报告第十二节、审计报告内。</w:t>
      </w:r>
    </w:p>
    <w:p>
      <w:pPr>
        <w:spacing w:line="240" w:lineRule="auto" w:before="0"/>
        <w:rPr>
          <w:rFonts w:ascii="宋体" w:hAnsi="宋体" w:cs="宋体" w:eastAsia="宋体" w:hint="default"/>
          <w:sz w:val="18"/>
          <w:szCs w:val="18"/>
        </w:rPr>
      </w:pPr>
    </w:p>
    <w:p>
      <w:pPr>
        <w:pStyle w:val="BodyText"/>
        <w:spacing w:line="357" w:lineRule="auto" w:before="145"/>
        <w:ind w:left="513" w:right="91" w:firstLine="1"/>
        <w:jc w:val="left"/>
      </w:pPr>
      <w:r>
        <w:rPr>
          <w:rFonts w:ascii="宋体" w:hAnsi="宋体" w:cs="宋体" w:eastAsia="宋体" w:hint="default"/>
          <w:b/>
          <w:bCs/>
        </w:rPr>
        <w:t>（十五）监事与监事会</w:t>
      </w:r>
      <w:r>
        <w:rPr>
          <w:rFonts w:ascii="宋体" w:hAnsi="宋体" w:cs="宋体" w:eastAsia="宋体" w:hint="default"/>
          <w:b/>
          <w:bCs/>
          <w:w w:val="99"/>
        </w:rPr>
        <w:t> </w:t>
      </w:r>
      <w:r>
        <w:rPr/>
        <w:t>本公司监事会向全体股东负责，对公司财务以及公司董事、经理和其它高级管理人员履行职责的合法合规性进行监督，</w:t>
      </w:r>
    </w:p>
    <w:p>
      <w:pPr>
        <w:pStyle w:val="BodyText"/>
        <w:spacing w:line="224" w:lineRule="exact"/>
        <w:ind w:left="153" w:right="0"/>
        <w:jc w:val="left"/>
      </w:pPr>
      <w:r>
        <w:rPr/>
        <w:t>维护公司及股东的合法权益。监事会成员由三名股东代表、二名公司职工代表组成。股东代表出任的监事由股东大会选举和</w:t>
      </w:r>
    </w:p>
    <w:p>
      <w:pPr>
        <w:pStyle w:val="BodyText"/>
        <w:spacing w:line="360" w:lineRule="auto" w:before="77"/>
        <w:ind w:left="513" w:right="4411" w:hanging="360"/>
        <w:jc w:val="left"/>
      </w:pPr>
      <w:r>
        <w:rPr/>
        <w:t>罢免，职工代表出任的监事由公司职工民主选举和罢免。 监事会在本报告期内工作情况详见本年度报告监事会报告章节。</w:t>
      </w:r>
    </w:p>
    <w:p>
      <w:pPr>
        <w:spacing w:line="240" w:lineRule="auto" w:before="0"/>
        <w:rPr>
          <w:rFonts w:ascii="宋体" w:hAnsi="宋体" w:cs="宋体" w:eastAsia="宋体" w:hint="default"/>
          <w:sz w:val="18"/>
          <w:szCs w:val="18"/>
        </w:rPr>
      </w:pPr>
    </w:p>
    <w:p>
      <w:pPr>
        <w:pStyle w:val="BodyText"/>
        <w:spacing w:line="360" w:lineRule="auto" w:before="142"/>
        <w:ind w:left="513" w:right="1576" w:firstLine="59"/>
        <w:jc w:val="left"/>
      </w:pPr>
      <w:r>
        <w:rPr>
          <w:rFonts w:ascii="宋体" w:hAnsi="宋体" w:cs="宋体" w:eastAsia="宋体" w:hint="default"/>
          <w:b/>
          <w:bCs/>
        </w:rPr>
        <w:t>（十六）公司秘书</w:t>
      </w:r>
      <w:r>
        <w:rPr>
          <w:rFonts w:ascii="宋体" w:hAnsi="宋体" w:cs="宋体" w:eastAsia="宋体" w:hint="default"/>
          <w:b/>
          <w:bCs/>
          <w:spacing w:val="1"/>
          <w:w w:val="99"/>
        </w:rPr>
        <w:t> </w:t>
      </w:r>
      <w:r>
        <w:rPr/>
        <w:t>于回顾年度，公司秘书确认彼已接受不少于十五小时的相关专业培训，合乎上市规则</w:t>
      </w:r>
      <w:r>
        <w:rPr>
          <w:rFonts w:ascii="Times New Roman" w:hAnsi="Times New Roman" w:cs="Times New Roman" w:eastAsia="Times New Roman" w:hint="default"/>
        </w:rPr>
        <w:t>3.29</w:t>
      </w:r>
      <w:r>
        <w:rPr/>
        <w:t>条之要求。</w:t>
      </w:r>
    </w:p>
    <w:p>
      <w:pPr>
        <w:spacing w:after="0" w:line="36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357" w:lineRule="auto" w:before="44"/>
        <w:ind w:left="513" w:right="147" w:firstLine="60"/>
        <w:jc w:val="left"/>
      </w:pPr>
      <w:r>
        <w:rPr>
          <w:rFonts w:ascii="宋体" w:hAnsi="宋体" w:cs="宋体" w:eastAsia="宋体" w:hint="default"/>
          <w:b/>
          <w:bCs/>
        </w:rPr>
        <w:t>（十七）与股东的沟通</w:t>
      </w:r>
      <w:r>
        <w:rPr>
          <w:rFonts w:ascii="宋体" w:hAnsi="宋体" w:cs="宋体" w:eastAsia="宋体" w:hint="default"/>
          <w:b/>
          <w:bCs/>
          <w:w w:val="99"/>
        </w:rPr>
        <w:t> </w:t>
      </w:r>
      <w:r>
        <w:rPr>
          <w:spacing w:val="-2"/>
        </w:rPr>
        <w:t>本公司认为与股东有效沟通极为重要，藉以让股东对本集团业绩作出清晰评估，以及向董事会提问。下为本公司与股东</w:t>
      </w:r>
    </w:p>
    <w:p>
      <w:pPr>
        <w:pStyle w:val="BodyText"/>
        <w:spacing w:line="225" w:lineRule="exact"/>
        <w:ind w:left="153" w:right="147"/>
        <w:jc w:val="left"/>
      </w:pPr>
      <w:r>
        <w:rPr/>
        <w:t>沟通的主要方式：</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57" w:lineRule="auto"/>
        <w:ind w:left="513" w:right="411"/>
        <w:jc w:val="left"/>
      </w:pPr>
      <w:r>
        <w:rPr/>
        <w:t>于公司网页的资料披露 本公司会以最全面及适时的方式向所有希望获得本公司数据的人士披露与集团有关的所有重要资料。本公司的网页</w:t>
      </w:r>
    </w:p>
    <w:p>
      <w:pPr>
        <w:pStyle w:val="BodyText"/>
        <w:spacing w:line="237" w:lineRule="exact"/>
        <w:ind w:left="153" w:right="147"/>
        <w:jc w:val="left"/>
      </w:pPr>
      <w:r>
        <w:rPr>
          <w:rFonts w:ascii="Times New Roman" w:hAnsi="Times New Roman" w:cs="Times New Roman" w:eastAsia="Times New Roman" w:hint="default"/>
        </w:rPr>
        <w:t>(www.chenmingpaper.com)</w:t>
      </w:r>
      <w:r>
        <w:rPr/>
        <w:t>可提供有关本集团的活动及企业事宜的重要资料（如致股东的年度报告及半年度报告、公告、业</w:t>
      </w:r>
    </w:p>
    <w:p>
      <w:pPr>
        <w:pStyle w:val="BodyText"/>
        <w:spacing w:line="360" w:lineRule="auto" w:before="64"/>
        <w:ind w:left="513" w:right="3651" w:hanging="360"/>
        <w:jc w:val="left"/>
      </w:pPr>
      <w:r>
        <w:rPr/>
        <w:t>务发展及营运、企业管治常规及其它数据等），以供股东及其它持份者查阅。 另外，透过联交所发出的公告亦可在本公司的网页查阅。</w:t>
      </w:r>
    </w:p>
    <w:p>
      <w:pPr>
        <w:spacing w:line="240" w:lineRule="auto" w:before="0"/>
        <w:rPr>
          <w:rFonts w:ascii="宋体" w:hAnsi="宋体" w:cs="宋体" w:eastAsia="宋体" w:hint="default"/>
          <w:sz w:val="18"/>
          <w:szCs w:val="18"/>
        </w:rPr>
      </w:pPr>
    </w:p>
    <w:p>
      <w:pPr>
        <w:pStyle w:val="BodyText"/>
        <w:spacing w:line="357" w:lineRule="auto" w:before="142"/>
        <w:ind w:left="513" w:right="147"/>
        <w:jc w:val="left"/>
      </w:pPr>
      <w:r>
        <w:rPr/>
        <w:t>股东大会 </w:t>
      </w:r>
      <w:r>
        <w:rPr>
          <w:spacing w:val="-2"/>
        </w:rPr>
        <w:t>本公司的股东周年大会为董事会直接与股东沟通提供了一个实用的平台。本公司将于股东大会上就每项实质上不同的议</w:t>
      </w:r>
    </w:p>
    <w:p>
      <w:pPr>
        <w:pStyle w:val="BodyText"/>
        <w:spacing w:line="224" w:lineRule="exact"/>
        <w:ind w:left="153" w:right="0"/>
        <w:jc w:val="left"/>
      </w:pPr>
      <w:r>
        <w:rPr/>
        <w:t>题提呈独立决议案。于二零一四年度，公司除了于二零一四年五月九日举行股东周年大会外，还召开了一次临时股东会。各</w:t>
      </w:r>
    </w:p>
    <w:p>
      <w:pPr>
        <w:pStyle w:val="BodyText"/>
        <w:spacing w:line="240" w:lineRule="auto" w:before="77"/>
        <w:ind w:left="153" w:right="147"/>
        <w:jc w:val="left"/>
        <w:rPr>
          <w:rFonts w:ascii="Times New Roman" w:hAnsi="Times New Roman" w:cs="Times New Roman" w:eastAsia="Times New Roman" w:hint="default"/>
        </w:rPr>
      </w:pPr>
      <w:r>
        <w:rPr/>
        <w:t>股东会议的董事出席名单如下</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5317"/>
        <w:gridCol w:w="4346"/>
      </w:tblGrid>
      <w:tr>
        <w:trPr>
          <w:trHeight w:val="411" w:hRule="exact"/>
        </w:trPr>
        <w:tc>
          <w:tcPr>
            <w:tcW w:w="53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3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现场出席董事名单</w:t>
            </w:r>
          </w:p>
        </w:tc>
      </w:tr>
      <w:tr>
        <w:trPr>
          <w:trHeight w:val="444" w:hRule="exact"/>
        </w:trPr>
        <w:tc>
          <w:tcPr>
            <w:tcW w:w="5317"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4346"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18"/>
                <w:szCs w:val="18"/>
              </w:rPr>
            </w:pPr>
            <w:r>
              <w:rPr>
                <w:rFonts w:ascii="宋体" w:hAnsi="宋体" w:cs="宋体" w:eastAsia="宋体" w:hint="default"/>
                <w:sz w:val="18"/>
                <w:szCs w:val="18"/>
              </w:rPr>
              <w:t>尹同远、侯焕才</w:t>
            </w:r>
          </w:p>
        </w:tc>
      </w:tr>
      <w:tr>
        <w:trPr>
          <w:trHeight w:val="427" w:hRule="exact"/>
        </w:trPr>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第一次临时股东会</w:t>
            </w:r>
          </w:p>
        </w:tc>
        <w:tc>
          <w:tcPr>
            <w:tcW w:w="4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尹同远、王效群</w:t>
            </w:r>
          </w:p>
        </w:tc>
      </w:tr>
    </w:tbl>
    <w:p>
      <w:pPr>
        <w:pStyle w:val="BodyText"/>
        <w:spacing w:line="316" w:lineRule="auto" w:before="51"/>
        <w:ind w:right="147" w:firstLine="360"/>
        <w:jc w:val="left"/>
      </w:pPr>
      <w:r>
        <w:rPr>
          <w:spacing w:val="-2"/>
        </w:rPr>
        <w:t>公司董事长及战略委员会主席陈洪国先生、审计委员会主席张宏女士、薪酬与考核委员会主席王爱国先生及提名委员会</w:t>
      </w:r>
      <w:r>
        <w:rPr/>
        <w:t> 主席张志元先生因公务繁忙缺席股东周年大会。公司外聘核数师列席股东周年大会并监票。</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357" w:lineRule="auto"/>
        <w:ind w:left="514" w:right="147"/>
        <w:jc w:val="left"/>
      </w:pPr>
      <w:r>
        <w:rPr/>
        <w:t>按股数投票 </w:t>
      </w:r>
      <w:r>
        <w:rPr>
          <w:spacing w:val="-2"/>
        </w:rPr>
        <w:t>在本公司股东大会上提呈表决的决议案，将会按股数投票的方式进行。于每次股东大会开始时，将会向股东说明按股数</w:t>
      </w:r>
    </w:p>
    <w:p>
      <w:pPr>
        <w:pStyle w:val="BodyText"/>
        <w:spacing w:line="224" w:lineRule="exact"/>
        <w:ind w:right="0"/>
        <w:jc w:val="left"/>
      </w:pPr>
      <w:r>
        <w:rPr/>
        <w:t>投票的程序，亦会回答股东提出与投票程序有关的问题。而按股数投票方式表决的结果会于同日分别登载于联交所及本公司</w:t>
      </w:r>
    </w:p>
    <w:p>
      <w:pPr>
        <w:pStyle w:val="BodyText"/>
        <w:spacing w:line="240" w:lineRule="auto" w:before="77"/>
        <w:ind w:right="147"/>
        <w:jc w:val="left"/>
      </w:pPr>
      <w:r>
        <w:rPr/>
        <w:t>的网页。</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left="514" w:right="147"/>
        <w:jc w:val="left"/>
      </w:pPr>
      <w:r>
        <w:rPr/>
        <w:t>股东权利</w:t>
      </w:r>
    </w:p>
    <w:p>
      <w:pPr>
        <w:pStyle w:val="BodyText"/>
        <w:spacing w:line="338" w:lineRule="auto" w:before="116"/>
        <w:ind w:left="514" w:right="147"/>
        <w:jc w:val="left"/>
      </w:pPr>
      <w:r>
        <w:rPr>
          <w:rFonts w:ascii="Times New Roman" w:hAnsi="Times New Roman" w:cs="Times New Roman" w:eastAsia="Times New Roman" w:hint="default"/>
        </w:rPr>
        <w:t>1</w:t>
      </w:r>
      <w:r>
        <w:rPr/>
        <w:t>、股东召开股东特别大会的程序 </w:t>
      </w:r>
      <w:r>
        <w:rPr>
          <w:spacing w:val="-2"/>
        </w:rPr>
        <w:t>根据本公司章程第</w:t>
      </w:r>
      <w:r>
        <w:rPr>
          <w:rFonts w:ascii="Times New Roman" w:hAnsi="Times New Roman" w:cs="Times New Roman" w:eastAsia="Times New Roman" w:hint="default"/>
          <w:spacing w:val="-2"/>
        </w:rPr>
        <w:t>90</w:t>
      </w:r>
      <w:r>
        <w:rPr>
          <w:spacing w:val="-2"/>
        </w:rPr>
        <w:t>条规定，单独或者合计持有公司百分之十以上股份的股东有权向董事会请求召开临时股东大会，并</w:t>
      </w:r>
    </w:p>
    <w:p>
      <w:pPr>
        <w:pStyle w:val="BodyText"/>
        <w:spacing w:line="217" w:lineRule="exact"/>
        <w:ind w:right="0"/>
        <w:jc w:val="left"/>
      </w:pPr>
      <w:r>
        <w:rPr/>
        <w:t>应当以书面形式向董事会提出。董事会应当根据法律、行政法规和本章程的规定，在收到请求后十日内提出同意或不同意召</w:t>
      </w:r>
    </w:p>
    <w:p>
      <w:pPr>
        <w:pStyle w:val="BodyText"/>
        <w:spacing w:line="319" w:lineRule="auto" w:before="76"/>
        <w:ind w:right="147"/>
        <w:jc w:val="left"/>
      </w:pPr>
      <w:r>
        <w:rPr>
          <w:spacing w:val="-2"/>
        </w:rPr>
        <w:t>开临时股东大会的书面反馈意见。董事会同意召开临时股东大会的，应当在作出董事会决议后的五日内发出召开股东大会的</w:t>
      </w:r>
      <w:r>
        <w:rPr>
          <w:spacing w:val="-64"/>
        </w:rPr>
        <w:t> </w:t>
      </w:r>
      <w:r>
        <w:rPr>
          <w:spacing w:val="-64"/>
        </w:rPr>
      </w:r>
      <w:r>
        <w:rPr/>
        <w:t>通知，通知中对原请求的变更，应当征得相关股东的同意。</w:t>
      </w:r>
    </w:p>
    <w:p>
      <w:pPr>
        <w:pStyle w:val="BodyText"/>
        <w:spacing w:line="319" w:lineRule="auto" w:before="55"/>
        <w:ind w:right="147" w:firstLine="360"/>
        <w:jc w:val="left"/>
      </w:pPr>
      <w:r>
        <w:rPr>
          <w:spacing w:val="-2"/>
        </w:rPr>
        <w:t>董事会不同意召开临时股东大会，或者在收到请求后十日内未作出反馈的，单独或者合计持有公司百分之十以上股份的</w:t>
      </w:r>
      <w:r>
        <w:rPr/>
        <w:t> 股东有权向监事会提议召开临时股东大会，并应当以书面形式向监事会提出请求。</w:t>
      </w:r>
    </w:p>
    <w:p>
      <w:pPr>
        <w:pStyle w:val="BodyText"/>
        <w:spacing w:line="319" w:lineRule="auto" w:before="55"/>
        <w:ind w:right="147" w:firstLine="360"/>
        <w:jc w:val="left"/>
      </w:pPr>
      <w:r>
        <w:rPr>
          <w:spacing w:val="-2"/>
        </w:rPr>
        <w:t>监事会同意召开临时股东大会的，应在收到请求五日内发出召开股东大会的通知，通知中对原提案的变更，应当征得相</w:t>
      </w:r>
      <w:r>
        <w:rPr/>
        <w:t> 关股东的同意。</w:t>
      </w:r>
    </w:p>
    <w:p>
      <w:pPr>
        <w:pStyle w:val="BodyText"/>
        <w:spacing w:line="319" w:lineRule="auto" w:before="56"/>
        <w:ind w:right="147" w:firstLine="360"/>
        <w:jc w:val="left"/>
      </w:pPr>
      <w:r>
        <w:rPr>
          <w:spacing w:val="-2"/>
        </w:rPr>
        <w:t>监事会未在规定期限内发出股东大会通知的，视为监事会不召集和主持股东大会，连续九十日以上单独或者合计持有公</w:t>
      </w:r>
      <w:r>
        <w:rPr/>
        <w:t> 司百分之十以上股份的股东可以自行召集和主持。</w:t>
      </w:r>
    </w:p>
    <w:p>
      <w:pPr>
        <w:pStyle w:val="BodyText"/>
        <w:spacing w:line="302" w:lineRule="auto" w:before="55"/>
        <w:ind w:right="147" w:firstLine="360"/>
        <w:jc w:val="left"/>
      </w:pPr>
      <w:r>
        <w:rPr>
          <w:spacing w:val="-2"/>
        </w:rPr>
        <w:t>根据本公司章程第</w:t>
      </w:r>
      <w:r>
        <w:rPr>
          <w:rFonts w:ascii="Times New Roman" w:hAnsi="Times New Roman" w:cs="Times New Roman" w:eastAsia="Times New Roman" w:hint="default"/>
          <w:spacing w:val="-2"/>
        </w:rPr>
        <w:t>91</w:t>
      </w:r>
      <w:r>
        <w:rPr>
          <w:spacing w:val="-2"/>
        </w:rPr>
        <w:t>条规定，股东决定自行召集股东大会的，须书面通知董事会，同时向公司所在地中国证券监督管理</w:t>
      </w:r>
      <w:r>
        <w:rPr/>
        <w:t> 机构的派出机构和证券交易所备案。在股东大会决议公告前，召集股东持股比例不得低于百分之十。</w:t>
      </w:r>
    </w:p>
    <w:p>
      <w:pPr>
        <w:pStyle w:val="BodyText"/>
        <w:spacing w:line="240" w:lineRule="auto" w:before="68"/>
        <w:ind w:left="514" w:right="0"/>
        <w:jc w:val="left"/>
      </w:pPr>
      <w:r>
        <w:rPr/>
        <w:t>召集股东应在发出股东大会通知及股东大会决议公告时</w:t>
      </w:r>
      <w:r>
        <w:rPr>
          <w:spacing w:val="-82"/>
        </w:rPr>
        <w:t>，</w:t>
      </w:r>
      <w:r>
        <w:rPr/>
        <w:t>向公司所在地中国证券监督管理机构的派出机构和证券交易所</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57" w:lineRule="auto" w:before="44"/>
        <w:ind w:left="513" w:right="0" w:hanging="360"/>
        <w:jc w:val="left"/>
      </w:pPr>
      <w:r>
        <w:rPr/>
        <w:t>提交有关证明材料。 </w:t>
      </w:r>
      <w:r>
        <w:rPr>
          <w:spacing w:val="-2"/>
        </w:rPr>
        <w:t>对于股东自行召集的股东大会，董事会和董事会秘书将予配合。董事会应当提供股权登记日的股东名册。股东自行召集</w:t>
      </w:r>
    </w:p>
    <w:p>
      <w:pPr>
        <w:pStyle w:val="BodyText"/>
        <w:spacing w:line="225" w:lineRule="exact"/>
        <w:ind w:left="153" w:right="0"/>
        <w:jc w:val="left"/>
      </w:pPr>
      <w:r>
        <w:rPr/>
        <w:t>的股东大会，会议所必需的费用由公司承担。</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spacing w:line="338" w:lineRule="auto" w:before="0"/>
        <w:ind w:left="513" w:right="341" w:hanging="5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、将股东的查询送达董事会的程序</w:t>
      </w:r>
      <w:r>
        <w:rPr>
          <w:rFonts w:ascii="宋体" w:hAnsi="宋体" w:cs="宋体" w:eastAsia="宋体" w:hint="default"/>
          <w:b/>
          <w:bCs/>
          <w:spacing w:val="1"/>
          <w:w w:val="99"/>
          <w:sz w:val="18"/>
          <w:szCs w:val="18"/>
        </w:rPr>
        <w:t> </w:t>
      </w:r>
      <w:r>
        <w:rPr>
          <w:rFonts w:ascii="宋体" w:hAnsi="宋体" w:cs="宋体" w:eastAsia="宋体" w:hint="default"/>
          <w:sz w:val="18"/>
          <w:szCs w:val="18"/>
        </w:rPr>
        <w:t>股东可随时以书面形式经公司秘书（</w:t>
      </w:r>
      <w:r>
        <w:rPr>
          <w:rFonts w:ascii="Times New Roman" w:hAnsi="Times New Roman" w:cs="Times New Roman" w:eastAsia="Times New Roman" w:hint="default"/>
          <w:sz w:val="18"/>
          <w:szCs w:val="18"/>
        </w:rPr>
        <w:t>H</w:t>
      </w:r>
      <w:r>
        <w:rPr>
          <w:rFonts w:ascii="宋体" w:hAnsi="宋体" w:cs="宋体" w:eastAsia="宋体" w:hint="default"/>
          <w:sz w:val="18"/>
          <w:szCs w:val="18"/>
        </w:rPr>
        <w:t>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董事会秘书（</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股股东）转交彼等的查询及关注事项予公司的董事</w:t>
      </w:r>
    </w:p>
    <w:p>
      <w:pPr>
        <w:pStyle w:val="BodyText"/>
        <w:spacing w:line="231" w:lineRule="exact"/>
        <w:ind w:left="153" w:right="0"/>
        <w:jc w:val="left"/>
        <w:rPr>
          <w:rFonts w:ascii="Times New Roman" w:hAnsi="Times New Roman" w:cs="Times New Roman" w:eastAsia="Times New Roman" w:hint="default"/>
        </w:rPr>
      </w:pPr>
      <w:r>
        <w:rPr/>
        <w:t>会，公司秘书</w:t>
      </w:r>
      <w:r>
        <w:rPr>
          <w:rFonts w:ascii="Times New Roman" w:hAnsi="Times New Roman" w:cs="Times New Roman" w:eastAsia="Times New Roman" w:hint="default"/>
        </w:rPr>
        <w:t>/</w:t>
      </w:r>
      <w:r>
        <w:rPr/>
        <w:t>董事会秘书的联络详情如下</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927"/>
        <w:gridCol w:w="4927"/>
      </w:tblGrid>
      <w:tr>
        <w:trPr>
          <w:trHeight w:val="426" w:hRule="exact"/>
        </w:trPr>
        <w:tc>
          <w:tcPr>
            <w:tcW w:w="49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公司秘书</w:t>
            </w:r>
          </w:p>
        </w:tc>
        <w:tc>
          <w:tcPr>
            <w:tcW w:w="49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潘兆昌</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王春方</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地址：香港中环环球大厦</w:t>
            </w:r>
            <w:r>
              <w:rPr>
                <w:rFonts w:ascii="Times New Roman" w:hAnsi="Times New Roman" w:cs="Times New Roman" w:eastAsia="Times New Roman" w:hint="default"/>
                <w:sz w:val="18"/>
                <w:szCs w:val="18"/>
              </w:rPr>
              <w:t>22</w:t>
            </w:r>
            <w:r>
              <w:rPr>
                <w:rFonts w:ascii="宋体" w:hAnsi="宋体" w:cs="宋体" w:eastAsia="宋体" w:hint="default"/>
                <w:sz w:val="18"/>
                <w:szCs w:val="18"/>
              </w:rPr>
              <w:t>楼</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地址：山东省寿光市农圣东街</w:t>
            </w:r>
            <w:r>
              <w:rPr>
                <w:rFonts w:ascii="Times New Roman" w:hAnsi="Times New Roman" w:cs="Times New Roman" w:eastAsia="Times New Roman" w:hint="default"/>
                <w:sz w:val="18"/>
                <w:szCs w:val="18"/>
              </w:rPr>
              <w:t>2199</w:t>
            </w:r>
            <w:r>
              <w:rPr>
                <w:rFonts w:ascii="宋体" w:hAnsi="宋体" w:cs="宋体" w:eastAsia="宋体" w:hint="default"/>
                <w:sz w:val="18"/>
                <w:szCs w:val="18"/>
              </w:rPr>
              <w:t>号</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电邮：</w:t>
            </w:r>
            <w:hyperlink r:id="rId11">
              <w:r>
                <w:rPr>
                  <w:rFonts w:ascii="Times New Roman" w:hAnsi="Times New Roman" w:cs="Times New Roman" w:eastAsia="Times New Roman" w:hint="default"/>
                  <w:sz w:val="18"/>
                  <w:szCs w:val="18"/>
                </w:rPr>
                <w:t>kentpoon_1009@yahoo.com.hk</w:t>
              </w:r>
            </w:hyperlink>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电邮：</w:t>
            </w:r>
            <w:hyperlink r:id="rId10">
              <w:r>
                <w:rPr>
                  <w:rFonts w:ascii="Times New Roman" w:hAnsi="Times New Roman" w:cs="Times New Roman" w:eastAsia="Times New Roman" w:hint="default"/>
                  <w:sz w:val="18"/>
                  <w:szCs w:val="18"/>
                </w:rPr>
                <w:t>chenmmingpaper@163.com</w:t>
              </w:r>
            </w:hyperlink>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Times New Roman" w:hAnsi="Times New Roman" w:cs="Times New Roman" w:eastAsia="Times New Roman" w:hint="default"/>
                <w:sz w:val="18"/>
                <w:szCs w:val="18"/>
              </w:rPr>
              <w:t>(852)-2501 0088</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Times New Roman" w:hAnsi="Times New Roman" w:cs="Times New Roman" w:eastAsia="Times New Roman" w:hint="default"/>
                <w:sz w:val="18"/>
                <w:szCs w:val="18"/>
              </w:rPr>
              <w:t>(86)-0536-2158008</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传真：</w:t>
            </w:r>
            <w:r>
              <w:rPr>
                <w:rFonts w:ascii="Times New Roman" w:hAnsi="Times New Roman" w:cs="Times New Roman" w:eastAsia="Times New Roman" w:hint="default"/>
                <w:sz w:val="18"/>
                <w:szCs w:val="18"/>
              </w:rPr>
              <w:t>(852)-2501 0028</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传真：</w:t>
            </w:r>
            <w:r>
              <w:rPr>
                <w:rFonts w:ascii="Times New Roman" w:hAnsi="Times New Roman" w:cs="Times New Roman" w:eastAsia="Times New Roman" w:hint="default"/>
                <w:sz w:val="18"/>
                <w:szCs w:val="18"/>
              </w:rPr>
              <w:t>(86)-0536-2158977</w:t>
            </w:r>
          </w:p>
        </w:tc>
      </w:tr>
    </w:tbl>
    <w:p>
      <w:pPr>
        <w:pStyle w:val="BodyText"/>
        <w:spacing w:line="300" w:lineRule="auto" w:before="51"/>
        <w:ind w:left="153" w:right="311" w:firstLine="360"/>
        <w:jc w:val="left"/>
      </w:pPr>
      <w:r>
        <w:rPr/>
        <w:t>公司秘书</w:t>
      </w:r>
      <w:r>
        <w:rPr>
          <w:rFonts w:ascii="Times New Roman" w:hAnsi="Times New Roman" w:cs="Times New Roman" w:eastAsia="Times New Roman" w:hint="default"/>
        </w:rPr>
        <w:t>/</w:t>
      </w:r>
      <w:r>
        <w:rPr/>
        <w:t>董事会秘书将转交股东的查询及关注事项予本公司的董事会及</w:t>
      </w:r>
      <w:r>
        <w:rPr>
          <w:rFonts w:ascii="Times New Roman" w:hAnsi="Times New Roman" w:cs="Times New Roman" w:eastAsia="Times New Roman" w:hint="default"/>
        </w:rPr>
        <w:t>/</w:t>
      </w:r>
      <w:r>
        <w:rPr/>
        <w:t>或有关的董事会辖下委员会（若适当），以便 回复股东的提问。</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BodyText"/>
        <w:spacing w:line="338" w:lineRule="auto"/>
        <w:ind w:left="513" w:right="0" w:firstLine="1"/>
        <w:jc w:val="left"/>
      </w:pPr>
      <w:r>
        <w:rPr>
          <w:rFonts w:ascii="Times New Roman" w:hAnsi="Times New Roman" w:cs="Times New Roman" w:eastAsia="Times New Roman" w:hint="default"/>
          <w:b/>
          <w:bCs/>
        </w:rPr>
        <w:t>3</w:t>
      </w:r>
      <w:r>
        <w:rPr>
          <w:rFonts w:ascii="宋体" w:hAnsi="宋体" w:cs="宋体" w:eastAsia="宋体" w:hint="default"/>
          <w:b/>
          <w:bCs/>
        </w:rPr>
        <w:t>、将股东建议提呈股东大会的程序</w:t>
      </w:r>
      <w:r>
        <w:rPr>
          <w:rFonts w:ascii="宋体" w:hAnsi="宋体" w:cs="宋体" w:eastAsia="宋体" w:hint="default"/>
          <w:b/>
          <w:bCs/>
          <w:spacing w:val="1"/>
          <w:w w:val="99"/>
        </w:rPr>
        <w:t> </w:t>
      </w:r>
      <w:r>
        <w:rPr/>
        <w:t>根据本公司章程第</w:t>
      </w:r>
      <w:r>
        <w:rPr>
          <w:rFonts w:ascii="Times New Roman" w:hAnsi="Times New Roman" w:cs="Times New Roman" w:eastAsia="Times New Roman" w:hint="default"/>
        </w:rPr>
        <w:t>102</w:t>
      </w:r>
      <w:r>
        <w:rPr/>
        <w:t>条规定，单独或者合并持有公司百分之三以上股份的股东，有权向公司于股东大会提出提案。 </w:t>
      </w:r>
      <w:r>
        <w:rPr>
          <w:spacing w:val="-2"/>
        </w:rPr>
        <w:t>单独或者合计持有公司百分之三以上股份的股东，可以在股东大会召开十个工作日前提出临时提案并书面提交董事会或</w:t>
      </w:r>
    </w:p>
    <w:p>
      <w:pPr>
        <w:pStyle w:val="BodyText"/>
        <w:spacing w:line="357" w:lineRule="auto" w:before="4"/>
        <w:ind w:left="513" w:right="0" w:hanging="360"/>
        <w:jc w:val="left"/>
      </w:pPr>
      <w:r>
        <w:rPr/>
        <w:t>董事会秘书。董事会或董事会秘书应当在收到提案后二个工作日内发出股东大会补充通知，公告临时提案的内容。 </w:t>
      </w:r>
      <w:r>
        <w:rPr>
          <w:spacing w:val="-2"/>
        </w:rPr>
        <w:t>除前款规定的情形外，董事会或董事会秘书在发出股东大会通知公告后，不得修改股东大会通知中已列明的提案或增加</w:t>
      </w:r>
    </w:p>
    <w:p>
      <w:pPr>
        <w:pStyle w:val="BodyText"/>
        <w:spacing w:line="225" w:lineRule="exact"/>
        <w:ind w:left="153" w:right="0"/>
        <w:jc w:val="left"/>
      </w:pPr>
      <w:r>
        <w:rPr/>
        <w:t>新的提案。</w:t>
      </w:r>
    </w:p>
    <w:p>
      <w:pPr>
        <w:pStyle w:val="BodyText"/>
        <w:spacing w:line="319" w:lineRule="auto" w:before="115"/>
        <w:ind w:left="153" w:right="0" w:firstLine="360"/>
        <w:jc w:val="left"/>
      </w:pPr>
      <w:r>
        <w:rPr>
          <w:spacing w:val="-2"/>
        </w:rPr>
        <w:t>股东大会通知中未列明或不符合公司章程规定的提案，股东大会不得进行表决并作出决议。临时股东大会不得决定通告</w:t>
      </w:r>
      <w:r>
        <w:rPr/>
        <w:t> 未载明的事项。</w:t>
      </w:r>
    </w:p>
    <w:p>
      <w:pPr>
        <w:pStyle w:val="BodyText"/>
        <w:spacing w:line="357" w:lineRule="auto" w:before="58"/>
        <w:ind w:left="513" w:right="0"/>
        <w:jc w:val="left"/>
      </w:pPr>
      <w:r>
        <w:rPr/>
        <w:t>投资者关系 </w:t>
      </w:r>
      <w:r>
        <w:rPr>
          <w:spacing w:val="-2"/>
        </w:rPr>
        <w:t>本公司了解本身须向持有权益的人士阐述其业务状况及响应彼等的提问。本公司适时接待及造访投资者，藉以阐释本集</w:t>
      </w:r>
    </w:p>
    <w:p>
      <w:pPr>
        <w:pStyle w:val="BodyText"/>
        <w:spacing w:line="224" w:lineRule="exact"/>
        <w:ind w:left="153" w:right="0"/>
        <w:jc w:val="left"/>
      </w:pPr>
      <w:r>
        <w:rPr/>
        <w:t>团的业务。此外，本公司会迅速地解答公众人士及个别股东提出的问题。在任何情况下，本公司将采取审慎态度以确保不会</w:t>
      </w:r>
    </w:p>
    <w:p>
      <w:pPr>
        <w:pStyle w:val="BodyText"/>
        <w:spacing w:line="240" w:lineRule="auto" w:before="77"/>
        <w:ind w:left="153" w:right="0"/>
        <w:jc w:val="left"/>
      </w:pPr>
      <w:r>
        <w:rPr/>
        <w:t>选择性地披露任何影响股价的数据。</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spacing w:line="357" w:lineRule="auto" w:before="0"/>
        <w:ind w:left="513" w:right="5271" w:firstLine="59"/>
        <w:jc w:val="left"/>
        <w:rPr>
          <w:rFonts w:ascii="宋体" w:hAnsi="宋体" w:cs="宋体" w:eastAsia="宋体" w:hint="default"/>
          <w:sz w:val="18"/>
          <w:szCs w:val="18"/>
        </w:rPr>
      </w:pPr>
      <w:r>
        <w:rPr>
          <w:rFonts w:ascii="宋体" w:hAnsi="宋体" w:cs="宋体" w:eastAsia="宋体" w:hint="default"/>
          <w:b/>
          <w:bCs/>
          <w:sz w:val="18"/>
          <w:szCs w:val="18"/>
        </w:rPr>
        <w:t>（十八）内部控制</w:t>
      </w:r>
      <w:r>
        <w:rPr>
          <w:rFonts w:ascii="宋体" w:hAnsi="宋体" w:cs="宋体" w:eastAsia="宋体" w:hint="default"/>
          <w:b/>
          <w:bCs/>
          <w:spacing w:val="1"/>
          <w:w w:val="99"/>
          <w:sz w:val="18"/>
          <w:szCs w:val="18"/>
        </w:rPr>
        <w:t> </w:t>
      </w:r>
      <w:r>
        <w:rPr>
          <w:rFonts w:ascii="宋体" w:hAnsi="宋体" w:cs="宋体" w:eastAsia="宋体" w:hint="default"/>
          <w:sz w:val="18"/>
          <w:szCs w:val="18"/>
        </w:rPr>
        <w:t>本公司内部控制的详细情况参见本年度报告第十一节。</w:t>
      </w:r>
    </w:p>
    <w:p>
      <w:pPr>
        <w:spacing w:line="240" w:lineRule="auto" w:before="0"/>
        <w:rPr>
          <w:rFonts w:ascii="宋体" w:hAnsi="宋体" w:cs="宋体" w:eastAsia="宋体" w:hint="default"/>
          <w:sz w:val="18"/>
          <w:szCs w:val="18"/>
        </w:rPr>
      </w:pPr>
    </w:p>
    <w:p>
      <w:pPr>
        <w:pStyle w:val="BodyText"/>
        <w:spacing w:line="357" w:lineRule="auto" w:before="145"/>
        <w:ind w:left="513" w:right="0" w:firstLine="59"/>
        <w:jc w:val="left"/>
      </w:pPr>
      <w:r>
        <w:rPr>
          <w:rFonts w:ascii="宋体" w:hAnsi="宋体" w:cs="宋体" w:eastAsia="宋体" w:hint="default"/>
          <w:b/>
          <w:bCs/>
        </w:rPr>
        <w:t>（十九）组织章程文件</w:t>
      </w:r>
      <w:r>
        <w:rPr>
          <w:rFonts w:ascii="宋体" w:hAnsi="宋体" w:cs="宋体" w:eastAsia="宋体" w:hint="default"/>
          <w:b/>
          <w:bCs/>
          <w:w w:val="99"/>
        </w:rPr>
        <w:t> </w:t>
      </w:r>
      <w:r>
        <w:rPr>
          <w:spacing w:val="-2"/>
        </w:rPr>
        <w:t>本公司于二零一四年一月三日、二零一四年五月二十九日及二零一五年二月十三日对公司新组织章程细则作出修订，修</w:t>
      </w:r>
    </w:p>
    <w:p>
      <w:pPr>
        <w:pStyle w:val="BodyText"/>
        <w:spacing w:line="237" w:lineRule="exact"/>
        <w:ind w:left="153" w:right="0"/>
        <w:jc w:val="left"/>
      </w:pPr>
      <w:r>
        <w:rPr/>
        <w:t>订范围主要是完成回购</w:t>
      </w:r>
      <w:r>
        <w:rPr>
          <w:rFonts w:ascii="Times New Roman" w:hAnsi="Times New Roman" w:cs="Times New Roman" w:eastAsia="Times New Roman" w:hint="default"/>
        </w:rPr>
        <w:t>B</w:t>
      </w:r>
      <w:r>
        <w:rPr/>
        <w:t>股注销手续后的股本变化、完成回购</w:t>
      </w:r>
      <w:r>
        <w:rPr>
          <w:rFonts w:ascii="Times New Roman" w:hAnsi="Times New Roman" w:cs="Times New Roman" w:eastAsia="Times New Roman" w:hint="default"/>
        </w:rPr>
        <w:t>H</w:t>
      </w:r>
      <w:r>
        <w:rPr/>
        <w:t>股注销手续后的股本变化及发行优先股，本公司组织章程大</w:t>
      </w:r>
    </w:p>
    <w:p>
      <w:pPr>
        <w:pStyle w:val="BodyText"/>
        <w:spacing w:line="240" w:lineRule="auto" w:before="64"/>
        <w:ind w:left="153" w:right="0"/>
        <w:jc w:val="left"/>
      </w:pPr>
      <w:r>
        <w:rPr/>
        <w:t>纲及新组织章程细则之修订版本可于本公司及联交所网页查阅。</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spacing w:line="357" w:lineRule="auto" w:before="0"/>
        <w:ind w:left="573" w:right="0" w:firstLine="0"/>
        <w:jc w:val="left"/>
        <w:rPr>
          <w:rFonts w:ascii="宋体" w:hAnsi="宋体" w:cs="宋体" w:eastAsia="宋体" w:hint="default"/>
          <w:sz w:val="18"/>
          <w:szCs w:val="18"/>
        </w:rPr>
      </w:pPr>
      <w:r>
        <w:rPr>
          <w:rFonts w:ascii="宋体" w:hAnsi="宋体" w:cs="宋体" w:eastAsia="宋体" w:hint="default"/>
          <w:b/>
          <w:bCs/>
          <w:sz w:val="18"/>
          <w:szCs w:val="18"/>
        </w:rPr>
        <w:t>（二十）董事会成员多元化</w:t>
      </w:r>
      <w:r>
        <w:rPr>
          <w:rFonts w:ascii="宋体" w:hAnsi="宋体" w:cs="宋体" w:eastAsia="宋体" w:hint="default"/>
          <w:b/>
          <w:bCs/>
          <w:w w:val="99"/>
          <w:sz w:val="18"/>
          <w:szCs w:val="18"/>
        </w:rPr>
        <w:t> </w:t>
      </w:r>
      <w:r>
        <w:rPr>
          <w:rFonts w:ascii="宋体" w:hAnsi="宋体" w:cs="宋体" w:eastAsia="宋体" w:hint="default"/>
          <w:sz w:val="18"/>
          <w:szCs w:val="18"/>
        </w:rPr>
        <w:t>本公司于二零一三年八月二十一日制定董事会成员多元化政策并修定提名委员会实施细则，提名委员会会定时检讨董</w:t>
      </w:r>
    </w:p>
    <w:p>
      <w:pPr>
        <w:spacing w:after="0" w:line="357" w:lineRule="auto"/>
        <w:jc w:val="left"/>
        <w:rPr>
          <w:rFonts w:ascii="宋体" w:hAnsi="宋体" w:cs="宋体" w:eastAsia="宋体" w:hint="default"/>
          <w:sz w:val="18"/>
          <w:szCs w:val="18"/>
        </w:rPr>
        <w:sectPr>
          <w:pgSz w:w="11910" w:h="16840"/>
          <w:pgMar w:header="747" w:footer="982" w:top="1060" w:bottom="1180" w:left="980" w:right="800"/>
        </w:sectPr>
      </w:pPr>
    </w:p>
    <w:p>
      <w:pPr>
        <w:spacing w:line="240" w:lineRule="auto" w:before="13"/>
        <w:rPr>
          <w:rFonts w:ascii="宋体" w:hAnsi="宋体" w:cs="宋体" w:eastAsia="宋体" w:hint="default"/>
          <w:sz w:val="25"/>
          <w:szCs w:val="25"/>
        </w:rPr>
      </w:pPr>
    </w:p>
    <w:p>
      <w:pPr>
        <w:pStyle w:val="BodyText"/>
        <w:spacing w:line="357" w:lineRule="auto" w:before="44"/>
        <w:ind w:left="513" w:right="3151" w:hanging="360"/>
        <w:jc w:val="left"/>
      </w:pPr>
      <w:r>
        <w:rPr/>
        <w:t>事会成员多元化政策，作出检讨，改善董事会效率并确保董事会多元化带来的裨益。 董事会成员多元化政策摘要如下：</w:t>
      </w:r>
    </w:p>
    <w:p>
      <w:pPr>
        <w:pStyle w:val="BodyText"/>
        <w:spacing w:line="319" w:lineRule="auto" w:before="27"/>
        <w:ind w:left="153" w:right="188" w:firstLine="360"/>
        <w:jc w:val="both"/>
      </w:pPr>
      <w:r>
        <w:rPr>
          <w:spacing w:val="-2"/>
        </w:rPr>
        <w:t>本公司认同多元化董事会的禆益，并视维持董事会层面多元化为维持公司竞争优势的重要元素之一。一个真正多元化的</w:t>
      </w:r>
      <w:r>
        <w:rPr/>
        <w:t> </w:t>
      </w:r>
      <w:r>
        <w:rPr>
          <w:spacing w:val="-2"/>
        </w:rPr>
        <w:t>董事会应包括具备不同才能、技能、地区及行业经验、背景、性别及其它特质的董事会成员，并应加以利用。多元化董事会</w:t>
      </w:r>
      <w:r>
        <w:rPr>
          <w:spacing w:val="-68"/>
        </w:rPr>
        <w:t> </w:t>
      </w:r>
      <w:r>
        <w:rPr>
          <w:spacing w:val="-68"/>
        </w:rPr>
      </w:r>
      <w:r>
        <w:rPr>
          <w:spacing w:val="-2"/>
        </w:rPr>
        <w:t>成员将于厘定董事会组合时予以考虑，并于可能情况下保持适当平衡。董事会成员的所有委任均按董事会整体运作所需要的</w:t>
      </w:r>
      <w:r>
        <w:rPr>
          <w:spacing w:val="-64"/>
        </w:rPr>
        <w:t> </w:t>
      </w:r>
      <w:r>
        <w:rPr>
          <w:spacing w:val="-64"/>
        </w:rPr>
      </w:r>
      <w:r>
        <w:rPr/>
        <w:t>才能、技能及经验水平而作出。</w:t>
      </w:r>
    </w:p>
    <w:p>
      <w:pPr>
        <w:pStyle w:val="BodyText"/>
        <w:spacing w:line="319" w:lineRule="auto" w:before="55"/>
        <w:ind w:left="153" w:right="91" w:firstLine="360"/>
        <w:jc w:val="left"/>
      </w:pPr>
      <w:r>
        <w:rPr>
          <w:spacing w:val="-2"/>
        </w:rPr>
        <w:t>公司提名委员会负责审阅及评估董事会组成，并就委任公司新任董事向董事会作出推荐建议。提名委员会亦监管董事会</w:t>
      </w:r>
      <w:r>
        <w:rPr/>
        <w:t> </w:t>
      </w:r>
      <w:r>
        <w:rPr>
          <w:spacing w:val="-4"/>
        </w:rPr>
        <w:t>有效性年度审阅的进行。于审阅及评估董事会组成时，提名委员会将考虑各方面多元化的禆益（包括但不限于上文所述者），</w:t>
      </w:r>
      <w:r>
        <w:rPr>
          <w:spacing w:val="-46"/>
        </w:rPr>
        <w:t> </w:t>
      </w:r>
      <w:r>
        <w:rPr>
          <w:spacing w:val="-46"/>
        </w:rPr>
      </w:r>
      <w:r>
        <w:rPr/>
        <w:t>以维持董事会适当范围及平衡的才能、技能、经验及背景。在推荐人选加入董事会时，提名委员会将按客观条件考虑人选， 并适度顾及董事会成员多元化的禆益。</w:t>
      </w:r>
    </w:p>
    <w:p>
      <w:pPr>
        <w:pStyle w:val="BodyText"/>
        <w:spacing w:line="240" w:lineRule="auto" w:before="56"/>
        <w:ind w:left="513" w:right="182"/>
        <w:jc w:val="left"/>
      </w:pPr>
      <w:r>
        <w:rPr/>
        <w:t>本公司董事会的组成已基本实现多元化，具体请见本章九、（三）董事会的组成。</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627"/>
        <w:jc w:val="center"/>
        <w:rPr>
          <w:b w:val="0"/>
          <w:bCs w:val="0"/>
        </w:rPr>
      </w:pPr>
      <w:bookmarkStart w:name="_bookmark10" w:id="11"/>
      <w:bookmarkEnd w:id="11"/>
      <w:r>
        <w:rPr>
          <w:b w:val="0"/>
          <w:bCs w:val="0"/>
        </w:rPr>
      </w:r>
      <w:r>
        <w:rPr/>
        <w:t>第十一节</w:t>
      </w:r>
      <w:r>
        <w:rPr>
          <w:spacing w:val="-7"/>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82"/>
        <w:jc w:val="left"/>
        <w:rPr>
          <w:b w:val="0"/>
          <w:bCs w:val="0"/>
        </w:rPr>
      </w:pP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1" w:firstLine="360"/>
        <w:jc w:val="left"/>
      </w:pPr>
      <w:r>
        <w:rPr>
          <w:spacing w:val="-2"/>
        </w:rPr>
        <w:t>按中国证监会和深交所的要求，公司形成了全面有效的法人治理机构体系，并每年通过各种监管部门及中介机构的检查</w:t>
      </w:r>
      <w:r>
        <w:rPr/>
        <w:t> </w:t>
      </w:r>
      <w:r>
        <w:rPr>
          <w:spacing w:val="-2"/>
        </w:rPr>
        <w:t>审核，股东会、董事会、监事会和经理层严格按相关制度运行，确保其行使决策权、执行权和监督权。同时，董事会还建立</w:t>
      </w:r>
      <w:r>
        <w:rPr>
          <w:spacing w:val="-72"/>
        </w:rPr>
        <w:t> </w:t>
      </w:r>
      <w:r>
        <w:rPr>
          <w:spacing w:val="-72"/>
        </w:rPr>
      </w:r>
      <w:r>
        <w:rPr>
          <w:spacing w:val="-4"/>
        </w:rPr>
        <w:t>了董事会战略委员会、提名委员会、审计委员会、薪酬与考核委员会四个专门委员会。四个专门委员会依据相应的工作细则，</w:t>
      </w:r>
      <w:r>
        <w:rPr>
          <w:spacing w:val="-46"/>
        </w:rPr>
        <w:t> </w:t>
      </w:r>
      <w:r>
        <w:rPr>
          <w:spacing w:val="-46"/>
        </w:rPr>
      </w:r>
      <w:r>
        <w:rPr>
          <w:spacing w:val="-2"/>
        </w:rPr>
        <w:t>分别承担公司重大工作事项讨论与决策的职能，提高了公司董事会决策的科学性和专业性。目前董事会中有一半的董事为公</w:t>
      </w:r>
      <w:r>
        <w:rPr>
          <w:spacing w:val="-64"/>
        </w:rPr>
        <w:t> </w:t>
      </w:r>
      <w:r>
        <w:rPr>
          <w:spacing w:val="-64"/>
        </w:rPr>
      </w:r>
      <w:r>
        <w:rPr/>
        <w:t>司外部董事，能够更好的发挥决策和监督作用。</w:t>
      </w:r>
    </w:p>
    <w:p>
      <w:pPr>
        <w:pStyle w:val="BodyText"/>
        <w:spacing w:line="240" w:lineRule="auto" w:before="55"/>
        <w:ind w:left="514" w:right="91"/>
        <w:jc w:val="left"/>
      </w:pPr>
      <w:r>
        <w:rPr/>
        <w:t>公司根据《公司法》、《证券法》、《上市公司治理准则》等有关法律法规的规定，</w:t>
      </w:r>
      <w:r>
        <w:rPr>
          <w:spacing w:val="-19"/>
        </w:rPr>
        <w:t> </w:t>
      </w:r>
      <w:r>
        <w:rPr/>
        <w:t>制订了《股东大会议事规则》、</w:t>
      </w:r>
    </w:p>
    <w:p>
      <w:pPr>
        <w:pStyle w:val="BodyText"/>
        <w:spacing w:line="316" w:lineRule="auto" w:before="76"/>
        <w:ind w:left="153" w:right="91"/>
        <w:jc w:val="left"/>
      </w:pPr>
      <w:r>
        <w:rPr>
          <w:spacing w:val="-2"/>
        </w:rPr>
        <w:t>《董事会议事规则》、《监事会议事规则》、董事会各专门委员会的《工作细则》、《总经理工作细则》、《信息披露管理</w:t>
      </w:r>
      <w:r>
        <w:rPr>
          <w:spacing w:val="-69"/>
        </w:rPr>
        <w:t> </w:t>
      </w:r>
      <w:r>
        <w:rPr>
          <w:spacing w:val="-69"/>
        </w:rPr>
      </w:r>
      <w:r>
        <w:rPr>
          <w:spacing w:val="-7"/>
        </w:rPr>
        <w:t>制度》、《独立董事工作制度》、《投资者关系管理制度》、《募集资金管理办法》、《内部控制制度》、《财务管理制度》、</w:t>
      </w:r>
    </w:p>
    <w:p>
      <w:pPr>
        <w:pStyle w:val="BodyText"/>
        <w:spacing w:line="240" w:lineRule="auto" w:before="18"/>
        <w:ind w:left="153" w:right="0"/>
        <w:jc w:val="left"/>
      </w:pPr>
      <w:r>
        <w:rPr/>
        <w:t>《防范控股股东及关联方占用上市公司资金制度》、《年报信息披露重大差错责任追究制度》、《外部信息使用人制度》、</w:t>
      </w:r>
    </w:p>
    <w:p>
      <w:pPr>
        <w:pStyle w:val="BodyText"/>
        <w:spacing w:line="319" w:lineRule="auto" w:before="76"/>
        <w:ind w:left="153" w:right="91"/>
        <w:jc w:val="left"/>
      </w:pPr>
      <w:r>
        <w:rPr/>
        <w:t>《内幕信息知情人登记制度》、《重大交易决策制度》、《对外投资决策制度》、《对外担保决策制度》等重大规章制度， 确保了公司股东大会、董事会、监事会的召开、重大决策等行为合法、合规、真实、有效。</w:t>
      </w:r>
    </w:p>
    <w:p>
      <w:pPr>
        <w:pStyle w:val="BodyText"/>
        <w:spacing w:line="319" w:lineRule="auto" w:before="55"/>
        <w:ind w:left="153" w:right="182" w:firstLine="360"/>
        <w:jc w:val="left"/>
      </w:pPr>
      <w:r>
        <w:rPr>
          <w:spacing w:val="-2"/>
        </w:rPr>
        <w:t>公司制订的内部管理与控制制度以公司的基本控制制度为基础，涵盖了财务管理、生产管理、物资采购、产品销售、对</w:t>
      </w:r>
      <w:r>
        <w:rPr/>
        <w:t> 外投资、行政管理等整个生产经营过程，确保各项工作都有章可循，形成了较为规范的管理体系。</w:t>
      </w:r>
    </w:p>
    <w:p>
      <w:pPr>
        <w:spacing w:line="240" w:lineRule="auto" w:before="4"/>
        <w:rPr>
          <w:rFonts w:ascii="宋体" w:hAnsi="宋体" w:cs="宋体" w:eastAsia="宋体" w:hint="default"/>
          <w:sz w:val="22"/>
          <w:szCs w:val="22"/>
        </w:rPr>
      </w:pPr>
    </w:p>
    <w:p>
      <w:pPr>
        <w:pStyle w:val="Heading4"/>
        <w:spacing w:line="240" w:lineRule="auto"/>
        <w:ind w:left="576" w:right="182"/>
        <w:jc w:val="left"/>
        <w:rPr>
          <w:b w:val="0"/>
          <w:bCs w:val="0"/>
        </w:rPr>
      </w:pPr>
      <w:r>
        <w:rPr/>
        <w:t>（一）对控股子公司的管理控制</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right="182" w:firstLine="360"/>
        <w:jc w:val="left"/>
      </w:pPr>
      <w:r>
        <w:rPr>
          <w:spacing w:val="-2"/>
        </w:rPr>
        <w:t>公司严格依照有关法律法规和深交所及香港联交所对上市公司的有关规定对控股子公司进行管理，控股子公司根据《公</w:t>
      </w:r>
      <w:r>
        <w:rPr/>
        <w:t> </w:t>
      </w:r>
      <w:r>
        <w:rPr>
          <w:spacing w:val="-2"/>
        </w:rPr>
        <w:t>司法》的要求建立了董事会、监事会，依法管理和监督经营活动，并结合其实际情况建立健全经营和财务管理制度。公司通</w:t>
      </w:r>
      <w:r>
        <w:rPr>
          <w:spacing w:val="-66"/>
        </w:rPr>
        <w:t> </w:t>
      </w:r>
      <w:r>
        <w:rPr>
          <w:spacing w:val="-66"/>
        </w:rPr>
      </w:r>
      <w:r>
        <w:rPr/>
        <w:t>过行使股东权力决定公司各控股子公司董事会及主要领导的任命和重要决策，这样可以保证对控股子公司的控制权牢固掌 握，对于公司的各种决策和制度能有效、快速地在子公司贯彻执行，达到整个公司各项工作的高度统一。</w:t>
      </w:r>
    </w:p>
    <w:p>
      <w:pPr>
        <w:spacing w:line="240" w:lineRule="auto" w:before="4"/>
        <w:rPr>
          <w:rFonts w:ascii="宋体" w:hAnsi="宋体" w:cs="宋体" w:eastAsia="宋体" w:hint="default"/>
          <w:sz w:val="22"/>
          <w:szCs w:val="22"/>
        </w:rPr>
      </w:pPr>
    </w:p>
    <w:p>
      <w:pPr>
        <w:pStyle w:val="Heading4"/>
        <w:spacing w:line="240" w:lineRule="auto"/>
        <w:ind w:left="576" w:right="182"/>
        <w:jc w:val="left"/>
        <w:rPr>
          <w:b w:val="0"/>
          <w:bCs w:val="0"/>
        </w:rPr>
      </w:pPr>
      <w:r>
        <w:rPr/>
        <w:t>（二）对关联交易的管理控制</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right="90" w:firstLine="360"/>
        <w:jc w:val="left"/>
      </w:pPr>
      <w:r>
        <w:rPr>
          <w:spacing w:val="-2"/>
        </w:rPr>
        <w:t>《公司章程》对公司股东大会、董事会审议关联交易事项的权限、审计程序、关联董事回避、关联股东回避等均作了明</w:t>
      </w:r>
      <w:r>
        <w:rPr/>
        <w:t> </w:t>
      </w:r>
      <w:r>
        <w:rPr>
          <w:spacing w:val="-4"/>
        </w:rPr>
        <w:t>确的规定。根据《深圳证券交易所上市公司内部控制指引》，公司制订了《关联交易管理制度》，对公司关联交易协议类别、</w:t>
      </w:r>
      <w:r>
        <w:rPr>
          <w:spacing w:val="-47"/>
        </w:rPr>
        <w:t> </w:t>
      </w:r>
      <w:r>
        <w:rPr>
          <w:spacing w:val="-47"/>
        </w:rPr>
      </w:r>
      <w:r>
        <w:rPr>
          <w:spacing w:val="-4"/>
        </w:rPr>
        <w:t>判断标准、合同签订、信息披露等内容进行了具体规定。同时公司制定了《防范控股股东及关联方占有公司资金专项制度》，</w:t>
      </w:r>
      <w:r>
        <w:rPr>
          <w:spacing w:val="-44"/>
        </w:rPr>
        <w:t> </w:t>
      </w:r>
      <w:r>
        <w:rPr>
          <w:spacing w:val="-44"/>
        </w:rPr>
      </w:r>
      <w:r>
        <w:rPr/>
        <w:t>现时公司不存在被控股股东及其关联方占用、转移公司资金、资产及其它资源的情况，关联交易事项符合诚实守信、平等、 </w:t>
      </w:r>
      <w:r>
        <w:rPr>
          <w:spacing w:val="-2"/>
        </w:rPr>
        <w:t>自愿、公平、公开、公允的原则，并按照信息披露规定履行了信息披露义务，在公司年度报告中作了详细披露，未发生损害</w:t>
      </w:r>
      <w:r>
        <w:rPr>
          <w:spacing w:val="-67"/>
        </w:rPr>
        <w:t> </w:t>
      </w:r>
      <w:r>
        <w:rPr>
          <w:spacing w:val="-67"/>
        </w:rPr>
      </w:r>
      <w:r>
        <w:rPr/>
        <w:t>公司和其它股东利益的情形，符合《深圳证券交易所上市公司内部控制指引》及相关法律法规的规定。</w:t>
      </w:r>
    </w:p>
    <w:p>
      <w:pPr>
        <w:spacing w:line="240" w:lineRule="auto" w:before="4"/>
        <w:rPr>
          <w:rFonts w:ascii="宋体" w:hAnsi="宋体" w:cs="宋体" w:eastAsia="宋体" w:hint="default"/>
          <w:sz w:val="22"/>
          <w:szCs w:val="22"/>
        </w:rPr>
      </w:pPr>
    </w:p>
    <w:p>
      <w:pPr>
        <w:pStyle w:val="Heading4"/>
        <w:spacing w:line="240" w:lineRule="auto"/>
        <w:ind w:left="576" w:right="182"/>
        <w:jc w:val="left"/>
        <w:rPr>
          <w:b w:val="0"/>
          <w:bCs w:val="0"/>
        </w:rPr>
      </w:pPr>
      <w:r>
        <w:rPr/>
        <w:t>（三）对对外担保的管理控制</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right="189" w:firstLine="360"/>
        <w:jc w:val="both"/>
      </w:pPr>
      <w:r>
        <w:rPr>
          <w:spacing w:val="-2"/>
        </w:rPr>
        <w:t>《公司章程》对对外担保的权限作了具体明确的规定，执行《深圳证券交易所股票上市规则》关于对外担保累计计算的</w:t>
      </w:r>
      <w:r>
        <w:rPr/>
        <w:t> </w:t>
      </w:r>
      <w:r>
        <w:rPr>
          <w:spacing w:val="-2"/>
        </w:rPr>
        <w:t>相关规定。同时公司制定了《对外担保决策制度》，除对控股子公司的担保外，无其它对外担保事项，符合《深圳证券交易</w:t>
      </w:r>
      <w:r>
        <w:rPr>
          <w:spacing w:val="-72"/>
        </w:rPr>
        <w:t> </w:t>
      </w:r>
      <w:r>
        <w:rPr>
          <w:spacing w:val="-72"/>
        </w:rPr>
      </w:r>
      <w:r>
        <w:rPr/>
        <w:t>所上市公司内部控制指引》及相关法律法规的规定。</w:t>
      </w:r>
    </w:p>
    <w:p>
      <w:pPr>
        <w:spacing w:line="240" w:lineRule="auto" w:before="4"/>
        <w:rPr>
          <w:rFonts w:ascii="宋体" w:hAnsi="宋体" w:cs="宋体" w:eastAsia="宋体" w:hint="default"/>
          <w:sz w:val="22"/>
          <w:szCs w:val="22"/>
        </w:rPr>
      </w:pPr>
    </w:p>
    <w:p>
      <w:pPr>
        <w:pStyle w:val="Heading4"/>
        <w:spacing w:line="240" w:lineRule="auto"/>
        <w:ind w:left="576" w:right="182"/>
        <w:jc w:val="left"/>
        <w:rPr>
          <w:b w:val="0"/>
          <w:bCs w:val="0"/>
        </w:rPr>
      </w:pPr>
      <w:r>
        <w:rPr/>
        <w:t>（四）对募集资金使用的管理控制</w:t>
      </w:r>
      <w:r>
        <w:rPr>
          <w:b w:val="0"/>
          <w:bCs w:val="0"/>
        </w:rPr>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b/>
          <w:bCs/>
          <w:sz w:val="25"/>
          <w:szCs w:val="25"/>
        </w:rPr>
      </w:pPr>
    </w:p>
    <w:p>
      <w:pPr>
        <w:pStyle w:val="BodyText"/>
        <w:spacing w:line="319" w:lineRule="auto" w:before="44"/>
        <w:ind w:left="153" w:right="91" w:firstLine="360"/>
        <w:jc w:val="left"/>
      </w:pPr>
      <w:r>
        <w:rPr>
          <w:spacing w:val="-2"/>
        </w:rPr>
        <w:t>公司制订了《募集资金使用管理办法》，对募集资金投向、募集资金使用的审批、未使用的募集资金的存放、变更、募</w:t>
      </w:r>
      <w:r>
        <w:rPr/>
        <w:t> 集资金使用情况的报告和监督以及责任追究等作了明确的规定，做到了专款专用，确保了募集资金安全及依法使用。同时， 公司严格按照规定对募集资金使用情况进行了披露。</w:t>
      </w:r>
    </w:p>
    <w:p>
      <w:pPr>
        <w:spacing w:line="240" w:lineRule="auto" w:before="3"/>
        <w:rPr>
          <w:rFonts w:ascii="宋体" w:hAnsi="宋体" w:cs="宋体" w:eastAsia="宋体" w:hint="default"/>
          <w:sz w:val="22"/>
          <w:szCs w:val="22"/>
        </w:rPr>
      </w:pPr>
    </w:p>
    <w:p>
      <w:pPr>
        <w:pStyle w:val="Heading4"/>
        <w:spacing w:line="240" w:lineRule="auto"/>
        <w:ind w:left="576" w:right="182"/>
        <w:jc w:val="left"/>
        <w:rPr>
          <w:b w:val="0"/>
          <w:bCs w:val="0"/>
        </w:rPr>
      </w:pPr>
      <w:r>
        <w:rPr/>
        <w:t>（五）对资金使用的管理控制</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4" w:right="0"/>
        <w:jc w:val="left"/>
      </w:pPr>
      <w:r>
        <w:rPr/>
        <w:t>公司制定了《资金管理规定》、《融资、担保工作程序》、《财务重大事项提报管理规定》、《应收账款管理规定》、</w:t>
      </w:r>
    </w:p>
    <w:p>
      <w:pPr>
        <w:pStyle w:val="BodyText"/>
        <w:spacing w:line="319" w:lineRule="auto" w:before="76"/>
        <w:ind w:right="191"/>
        <w:jc w:val="both"/>
      </w:pPr>
      <w:r>
        <w:rPr>
          <w:spacing w:val="-2"/>
        </w:rPr>
        <w:t>《大额资金使用管理暂行规定》等制度，对货币资金的收支业务等建立了严格的授权批准程序，办理货币资金业务的不相容</w:t>
      </w:r>
      <w:r>
        <w:rPr>
          <w:spacing w:val="-66"/>
        </w:rPr>
        <w:t> </w:t>
      </w:r>
      <w:r>
        <w:rPr>
          <w:spacing w:val="-66"/>
        </w:rPr>
      </w:r>
      <w:r>
        <w:rPr>
          <w:spacing w:val="-2"/>
        </w:rPr>
        <w:t>岗位已作分离，相关机构和人员存在相互制约关系。公司制定了收付款审批权限等系列程序，严格执行对款项收付的稽核及</w:t>
      </w:r>
      <w:r>
        <w:rPr>
          <w:spacing w:val="-66"/>
        </w:rPr>
        <w:t> </w:t>
      </w:r>
      <w:r>
        <w:rPr>
          <w:spacing w:val="-66"/>
        </w:rPr>
      </w:r>
      <w:r>
        <w:rPr/>
        <w:t>审查。</w:t>
      </w:r>
    </w:p>
    <w:p>
      <w:pPr>
        <w:spacing w:line="240" w:lineRule="auto" w:before="3"/>
        <w:rPr>
          <w:rFonts w:ascii="宋体" w:hAnsi="宋体" w:cs="宋体" w:eastAsia="宋体" w:hint="default"/>
          <w:sz w:val="22"/>
          <w:szCs w:val="22"/>
        </w:rPr>
      </w:pPr>
    </w:p>
    <w:p>
      <w:pPr>
        <w:pStyle w:val="Heading4"/>
        <w:spacing w:line="240" w:lineRule="auto"/>
        <w:ind w:left="576" w:right="182"/>
        <w:jc w:val="left"/>
        <w:rPr>
          <w:b w:val="0"/>
          <w:bCs w:val="0"/>
        </w:rPr>
      </w:pPr>
      <w:r>
        <w:rPr/>
        <w:t>（六）对重大投资的管理控制</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90" w:firstLine="360"/>
        <w:jc w:val="both"/>
      </w:pPr>
      <w:r>
        <w:rPr>
          <w:spacing w:val="-2"/>
        </w:rPr>
        <w:t>公司重大投资坚持合法、审慎、安全、有效的原则，控制投资风险、注重投资效益。《公司章程》中对董事会及股东大</w:t>
      </w:r>
      <w:r>
        <w:rPr/>
        <w:t> </w:t>
      </w:r>
      <w:r>
        <w:rPr>
          <w:spacing w:val="-2"/>
        </w:rPr>
        <w:t>会在重大投资的审批权限方面均有明确规定。同时公司制定了《对外投资决策制度》，符合《深圳证券交易所上市公司内部</w:t>
      </w:r>
      <w:r>
        <w:rPr>
          <w:spacing w:val="-66"/>
        </w:rPr>
        <w:t> </w:t>
      </w:r>
      <w:r>
        <w:rPr>
          <w:spacing w:val="-66"/>
        </w:rPr>
      </w:r>
      <w:r>
        <w:rPr/>
        <w:t>控制指引》及相关法律法规的规定。</w:t>
      </w:r>
    </w:p>
    <w:p>
      <w:pPr>
        <w:spacing w:line="240" w:lineRule="auto" w:before="3"/>
        <w:rPr>
          <w:rFonts w:ascii="宋体" w:hAnsi="宋体" w:cs="宋体" w:eastAsia="宋体" w:hint="default"/>
          <w:sz w:val="22"/>
          <w:szCs w:val="22"/>
        </w:rPr>
      </w:pPr>
    </w:p>
    <w:p>
      <w:pPr>
        <w:pStyle w:val="Heading4"/>
        <w:spacing w:line="240" w:lineRule="auto"/>
        <w:ind w:left="576" w:right="182"/>
        <w:jc w:val="left"/>
        <w:rPr>
          <w:b w:val="0"/>
          <w:bCs w:val="0"/>
        </w:rPr>
      </w:pPr>
      <w:r>
        <w:rPr/>
        <w:t>（七）对财务的管理控制</w:t>
      </w:r>
      <w:r>
        <w:rPr>
          <w:b w:val="0"/>
          <w:bCs w:val="0"/>
        </w:rPr>
      </w:r>
    </w:p>
    <w:p>
      <w:pPr>
        <w:spacing w:line="240" w:lineRule="auto" w:before="9"/>
        <w:rPr>
          <w:rFonts w:ascii="宋体" w:hAnsi="宋体" w:cs="宋体" w:eastAsia="宋体" w:hint="default"/>
          <w:b/>
          <w:bCs/>
          <w:sz w:val="27"/>
          <w:szCs w:val="27"/>
        </w:rPr>
      </w:pPr>
    </w:p>
    <w:p>
      <w:pPr>
        <w:pStyle w:val="BodyText"/>
        <w:spacing w:line="314" w:lineRule="auto"/>
        <w:ind w:right="189" w:firstLine="360"/>
        <w:jc w:val="both"/>
      </w:pPr>
      <w:r>
        <w:rPr>
          <w:spacing w:val="-2"/>
        </w:rPr>
        <w:t>公司已按《公司法》、《会计法》、《企业会计准则》等法律法规及其补充规定的要求制定了《财务会计制度》等有关</w:t>
      </w:r>
      <w:r>
        <w:rPr/>
        <w:t> </w:t>
      </w:r>
      <w:r>
        <w:rPr>
          <w:spacing w:val="-2"/>
        </w:rPr>
        <w:t>财务制度，明确规定了重要财务决策程序与规则，规范了会计凭证、会计帐簿和会计报告的处理程序，明确了会计人员的岗</w:t>
      </w:r>
      <w:r>
        <w:rPr>
          <w:spacing w:val="-66"/>
        </w:rPr>
        <w:t> </w:t>
      </w:r>
      <w:r>
        <w:rPr>
          <w:spacing w:val="-66"/>
        </w:rPr>
      </w:r>
      <w:r>
        <w:rPr>
          <w:spacing w:val="-2"/>
        </w:rPr>
        <w:t>位职责，制定了凭证流转程序。执行交易时能及时编制有关凭证，及时送交会计部门及公司档案室记录及归档，并且将记录</w:t>
      </w:r>
      <w:r>
        <w:rPr>
          <w:spacing w:val="-66"/>
        </w:rPr>
        <w:t> </w:t>
      </w:r>
      <w:r>
        <w:rPr>
          <w:spacing w:val="-66"/>
        </w:rPr>
      </w:r>
      <w:r>
        <w:rPr>
          <w:spacing w:val="-1"/>
        </w:rPr>
        <w:t>同相应的会计分录独立比较，建立健全了会计电算化的内部控制制度。公司导入了</w:t>
      </w:r>
      <w:r>
        <w:rPr>
          <w:rFonts w:ascii="Times New Roman" w:hAnsi="Times New Roman" w:cs="Times New Roman" w:eastAsia="Times New Roman" w:hint="default"/>
          <w:spacing w:val="-1"/>
        </w:rPr>
        <w:t>ERP</w:t>
      </w:r>
      <w:r>
        <w:rPr>
          <w:spacing w:val="-1"/>
        </w:rPr>
        <w:t>管理系统，作为公司的管理控制技术</w:t>
      </w:r>
      <w:r>
        <w:rPr/>
        <w:t> </w:t>
      </w:r>
      <w:r>
        <w:rPr>
          <w:spacing w:val="-2"/>
        </w:rPr>
        <w:t>平台，有效规范了公司和基础信息、业务流程，提高了经营管理效率，能够为公司管理层和董事会及时提供相关信息。公司</w:t>
      </w:r>
      <w:r>
        <w:rPr>
          <w:spacing w:val="-66"/>
        </w:rPr>
        <w:t> </w:t>
      </w:r>
      <w:r>
        <w:rPr>
          <w:spacing w:val="-66"/>
        </w:rPr>
      </w:r>
      <w:r>
        <w:rPr/>
        <w:t>的会计核算体系健全、制度完善，符合相关法律法规的规定。</w:t>
      </w:r>
    </w:p>
    <w:p>
      <w:pPr>
        <w:spacing w:line="240" w:lineRule="auto" w:before="6"/>
        <w:rPr>
          <w:rFonts w:ascii="宋体" w:hAnsi="宋体" w:cs="宋体" w:eastAsia="宋体" w:hint="default"/>
          <w:sz w:val="22"/>
          <w:szCs w:val="22"/>
        </w:rPr>
      </w:pPr>
    </w:p>
    <w:p>
      <w:pPr>
        <w:pStyle w:val="Heading4"/>
        <w:spacing w:line="240" w:lineRule="auto"/>
        <w:ind w:left="576" w:right="182"/>
        <w:jc w:val="left"/>
        <w:rPr>
          <w:b w:val="0"/>
          <w:bCs w:val="0"/>
        </w:rPr>
      </w:pPr>
      <w:r>
        <w:rPr/>
        <w:t>（八）对信息披露的管理控制</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90" w:firstLine="360"/>
        <w:jc w:val="both"/>
      </w:pPr>
      <w:r>
        <w:rPr>
          <w:spacing w:val="-2"/>
        </w:rPr>
        <w:t>公司制订了《信息披露管理制度》、《重大信息内部报告制度》、《投资者关系管理工作规范》、《投资者关系管理制</w:t>
      </w:r>
      <w:r>
        <w:rPr/>
        <w:t> </w:t>
      </w:r>
      <w:r>
        <w:rPr>
          <w:spacing w:val="-2"/>
        </w:rPr>
        <w:t>度》、《年报信息披露重大差错责任追究制度》，明确了重大信息的范围，报告、审核程序和披露办法以及保密规定。公司</w:t>
      </w:r>
      <w:r>
        <w:rPr>
          <w:spacing w:val="-67"/>
        </w:rPr>
        <w:t> </w:t>
      </w:r>
      <w:r>
        <w:rPr>
          <w:spacing w:val="-67"/>
        </w:rPr>
      </w:r>
      <w:r>
        <w:rPr>
          <w:spacing w:val="-2"/>
        </w:rPr>
        <w:t>选择《中国证券报》、《上海证券报》、《证券时报》、《证券日报》、《香港商报》、巨潮资讯网站和香港联合交易所网</w:t>
      </w:r>
      <w:r>
        <w:rPr>
          <w:spacing w:val="-69"/>
        </w:rPr>
        <w:t> </w:t>
      </w:r>
      <w:r>
        <w:rPr>
          <w:spacing w:val="-69"/>
        </w:rPr>
      </w:r>
      <w:r>
        <w:rPr>
          <w:spacing w:val="-2"/>
        </w:rPr>
        <w:t>站作为公开信息披露的渠道，所披露的信息均首先在上述指定媒体披露。公司同时通过公司网站及时公布相关信息，与投资</w:t>
      </w:r>
      <w:r>
        <w:rPr>
          <w:spacing w:val="-66"/>
        </w:rPr>
        <w:t> </w:t>
      </w:r>
      <w:r>
        <w:rPr>
          <w:spacing w:val="-66"/>
        </w:rPr>
      </w:r>
      <w:r>
        <w:rPr/>
        <w:t>者进行广泛交流。公司投资者关系活动规范，确保了信息披露公开、公正、公平。</w:t>
      </w:r>
    </w:p>
    <w:p>
      <w:pPr>
        <w:spacing w:line="240" w:lineRule="auto" w:before="3"/>
        <w:rPr>
          <w:rFonts w:ascii="宋体" w:hAnsi="宋体" w:cs="宋体" w:eastAsia="宋体" w:hint="default"/>
          <w:sz w:val="22"/>
          <w:szCs w:val="22"/>
        </w:rPr>
      </w:pPr>
    </w:p>
    <w:p>
      <w:pPr>
        <w:pStyle w:val="Heading4"/>
        <w:spacing w:line="240" w:lineRule="auto"/>
        <w:ind w:left="576" w:right="182"/>
        <w:jc w:val="left"/>
        <w:rPr>
          <w:b w:val="0"/>
          <w:bCs w:val="0"/>
        </w:rPr>
      </w:pPr>
      <w:r>
        <w:rPr/>
        <w:t>（九）对内部监督的管理控制</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87" w:firstLine="360"/>
        <w:jc w:val="both"/>
      </w:pPr>
      <w:r>
        <w:rPr>
          <w:spacing w:val="-2"/>
        </w:rPr>
        <w:t>公司以《公司内部控制基本规范》、《深圳证券交易所上市公司内部控制指引》、香港联合交易所颁布的《公司管制常</w:t>
      </w:r>
      <w:r>
        <w:rPr/>
        <w:t> </w:t>
      </w:r>
      <w:r>
        <w:rPr>
          <w:spacing w:val="-2"/>
        </w:rPr>
        <w:t>规守则》有关内部监督的要求，与控股股东分开管理，在供、产、销、人、财、物等方面都建立了严格的内部控制制度，有</w:t>
      </w:r>
      <w:r>
        <w:rPr>
          <w:spacing w:val="-69"/>
        </w:rPr>
        <w:t> </w:t>
      </w:r>
      <w:r>
        <w:rPr>
          <w:spacing w:val="-69"/>
        </w:rPr>
      </w:r>
      <w:r>
        <w:rPr>
          <w:spacing w:val="-2"/>
        </w:rPr>
        <w:t>效地保证各种信息的真实准确和资产的安全完整。公司通过内部审计体系建立，制定了《审计垂直管理制度》、《财务审计</w:t>
      </w:r>
      <w:r>
        <w:rPr>
          <w:spacing w:val="-65"/>
        </w:rPr>
        <w:t> </w:t>
      </w:r>
      <w:r>
        <w:rPr>
          <w:spacing w:val="-65"/>
        </w:rPr>
      </w:r>
      <w:r>
        <w:rPr>
          <w:spacing w:val="-2"/>
        </w:rPr>
        <w:t>制度》、《物资采购审计制度》、《建设项目内部审计制度》、《工程决算审计制度》及相关制度细则，有效保障内部监督</w:t>
      </w:r>
      <w:r>
        <w:rPr>
          <w:spacing w:val="-73"/>
        </w:rPr>
        <w:t> </w:t>
      </w:r>
      <w:r>
        <w:rPr>
          <w:spacing w:val="-73"/>
        </w:rPr>
      </w:r>
      <w:r>
        <w:rPr/>
        <w:t>控制制度的执行。</w:t>
      </w:r>
    </w:p>
    <w:p>
      <w:pPr>
        <w:spacing w:line="240" w:lineRule="auto" w:before="3"/>
        <w:rPr>
          <w:rFonts w:ascii="宋体" w:hAnsi="宋体" w:cs="宋体" w:eastAsia="宋体" w:hint="default"/>
          <w:sz w:val="22"/>
          <w:szCs w:val="22"/>
        </w:rPr>
      </w:pPr>
    </w:p>
    <w:p>
      <w:pPr>
        <w:pStyle w:val="Heading4"/>
        <w:spacing w:line="240" w:lineRule="auto"/>
        <w:ind w:left="576" w:right="182"/>
        <w:jc w:val="left"/>
        <w:rPr>
          <w:b w:val="0"/>
          <w:bCs w:val="0"/>
        </w:rPr>
      </w:pPr>
      <w:r>
        <w:rPr/>
        <w:t>（十）公司控股子公司控制结构</w:t>
      </w:r>
      <w:r>
        <w:rPr>
          <w:b w:val="0"/>
          <w:bCs w:val="0"/>
        </w:rPr>
      </w:r>
    </w:p>
    <w:p>
      <w:pPr>
        <w:spacing w:after="0" w:line="240" w:lineRule="auto"/>
        <w:jc w:val="left"/>
        <w:sectPr>
          <w:pgSz w:w="11910" w:h="16840"/>
          <w:pgMar w:header="747" w:footer="982" w:top="1060" w:bottom="1180" w:left="980" w:right="940"/>
        </w:sectPr>
      </w:pPr>
    </w:p>
    <w:p>
      <w:pPr>
        <w:pStyle w:val="BodyText"/>
        <w:spacing w:line="240" w:lineRule="auto" w:before="17"/>
        <w:ind w:left="0" w:right="1439"/>
        <w:jc w:val="right"/>
      </w:pPr>
      <w:r>
        <w:rPr/>
        <w:pict>
          <v:shape style="position:absolute;margin-left:71.990997pt;margin-top:22.761759pt;width:769.98pt;height:455.459985pt;mso-position-horizontal-relative:page;mso-position-vertical-relative:paragraph;z-index:1768" type="#_x0000_t75" stroked="false">
            <v:imagedata r:id="rId21" o:title=""/>
          </v:shape>
        </w:pict>
      </w:r>
      <w:r>
        <w:rPr/>
        <w:t>山东晨鸣纸业集团股份有限公司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left="0" w:right="1439"/>
        <w:jc w:val="right"/>
        <w:rPr>
          <w:rFonts w:ascii="Times New Roman" w:hAnsi="Times New Roman" w:cs="Times New Roman" w:eastAsia="Times New Roman" w:hint="default"/>
        </w:rPr>
      </w:pPr>
      <w:r>
        <w:rPr>
          <w:rFonts w:ascii="Times New Roman"/>
        </w:rPr>
        <w:t>75</w:t>
      </w:r>
    </w:p>
    <w:p>
      <w:pPr>
        <w:spacing w:after="0" w:line="240" w:lineRule="auto"/>
        <w:jc w:val="right"/>
        <w:rPr>
          <w:rFonts w:ascii="Times New Roman" w:hAnsi="Times New Roman" w:cs="Times New Roman" w:eastAsia="Times New Roman" w:hint="default"/>
        </w:rPr>
        <w:sectPr>
          <w:headerReference w:type="default" r:id="rId19"/>
          <w:footerReference w:type="default" r:id="rId20"/>
          <w:pgSz w:w="16840" w:h="11910" w:orient="landscape"/>
          <w:pgMar w:header="0" w:footer="0" w:top="800" w:bottom="28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9"/>
          <w:szCs w:val="29"/>
        </w:rPr>
      </w:pPr>
    </w:p>
    <w:p>
      <w:pPr>
        <w:pStyle w:val="Heading2"/>
        <w:spacing w:line="240" w:lineRule="auto" w:before="26"/>
        <w:ind w:right="182"/>
        <w:jc w:val="left"/>
        <w:rPr>
          <w:b w:val="0"/>
          <w:bCs w:val="0"/>
        </w:rPr>
      </w:pPr>
      <w:r>
        <w:rPr/>
        <w:t>二、董事会关于内部控制责任的声明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1" w:firstLine="360"/>
        <w:jc w:val="left"/>
      </w:pPr>
      <w:r>
        <w:rPr>
          <w:spacing w:val="-4"/>
        </w:rPr>
        <w:t>公司董事会认为：公司以《公司法》、《上市公司治理准则》、《企业内部控制基本规范》和《企业内部控制应用指引》</w:t>
      </w:r>
      <w:r>
        <w:rPr/>
        <w:t> </w:t>
      </w:r>
      <w:r>
        <w:rPr>
          <w:spacing w:val="-2"/>
        </w:rPr>
        <w:t>等法律、法规为指导，结合实际情况建立了涵盖公司经营活动的各种内部控制制度，并得到了有效的执行，合理保证企业经</w:t>
      </w:r>
      <w:r>
        <w:rPr>
          <w:spacing w:val="-66"/>
        </w:rPr>
        <w:t> </w:t>
      </w:r>
      <w:r>
        <w:rPr>
          <w:spacing w:val="-66"/>
        </w:rPr>
      </w:r>
      <w:r>
        <w:rPr>
          <w:spacing w:val="-2"/>
        </w:rPr>
        <w:t>营管理合法合规、资产安全、财务报告及相关信息真实完整，有效地控制了风险，保证公司经营活动的正常进行。公司内部</w:t>
      </w:r>
      <w:r>
        <w:rPr>
          <w:spacing w:val="-66"/>
        </w:rPr>
        <w:t> </w:t>
      </w:r>
      <w:r>
        <w:rPr>
          <w:spacing w:val="-66"/>
        </w:rPr>
      </w:r>
      <w:r>
        <w:rPr>
          <w:spacing w:val="-2"/>
        </w:rPr>
        <w:t>控制的实际情况与有关规范性文件的规定和要求相符。公司也将根据公司发展需要和针对执行过程中发现的不足，不断对内</w:t>
      </w:r>
      <w:r>
        <w:rPr>
          <w:spacing w:val="-64"/>
        </w:rPr>
        <w:t> </w:t>
      </w:r>
      <w:r>
        <w:rPr>
          <w:spacing w:val="-64"/>
        </w:rPr>
      </w:r>
      <w:r>
        <w:rPr/>
        <w:t>控制度进行改进、充实和完善，为公司健康、稳定的发展奠定坚实基础。</w:t>
      </w:r>
    </w:p>
    <w:p>
      <w:pPr>
        <w:pStyle w:val="BodyText"/>
        <w:spacing w:line="302" w:lineRule="auto" w:before="55"/>
        <w:ind w:right="182" w:firstLine="360"/>
        <w:jc w:val="left"/>
      </w:pPr>
      <w:r>
        <w:rPr>
          <w:spacing w:val="-2"/>
        </w:rPr>
        <w:t>本公司《董事会关于</w:t>
      </w:r>
      <w:r>
        <w:rPr>
          <w:rFonts w:ascii="Times New Roman" w:hAnsi="Times New Roman" w:cs="Times New Roman" w:eastAsia="Times New Roman" w:hint="default"/>
          <w:spacing w:val="-2"/>
        </w:rPr>
        <w:t>2014</w:t>
      </w:r>
      <w:r>
        <w:rPr>
          <w:spacing w:val="-2"/>
        </w:rPr>
        <w:t>年内部控制自我评价报告》及审计机构对公司内部控制报告的审核评价意见请详见深圳证券交</w:t>
      </w:r>
      <w:r>
        <w:rPr/>
        <w:t> 易所和巨潮资讯网网站。</w:t>
      </w:r>
    </w:p>
    <w:p>
      <w:pPr>
        <w:spacing w:line="240" w:lineRule="auto" w:before="5"/>
        <w:rPr>
          <w:rFonts w:ascii="宋体" w:hAnsi="宋体" w:cs="宋体" w:eastAsia="宋体" w:hint="default"/>
          <w:sz w:val="21"/>
          <w:szCs w:val="21"/>
        </w:rPr>
      </w:pPr>
    </w:p>
    <w:p>
      <w:pPr>
        <w:pStyle w:val="Heading2"/>
        <w:spacing w:line="240" w:lineRule="auto"/>
        <w:ind w:right="182"/>
        <w:jc w:val="left"/>
        <w:rPr>
          <w:b w:val="0"/>
          <w:bCs w:val="0"/>
        </w:rPr>
      </w:pPr>
      <w:r>
        <w:rPr/>
        <w:t>三、建立财务报告内部控制的依据</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3" w:right="91" w:firstLine="360"/>
        <w:jc w:val="left"/>
      </w:pPr>
      <w:r>
        <w:rPr>
          <w:spacing w:val="-2"/>
        </w:rPr>
        <w:t>公司已按《公司法》、《会计法》、《企业会计准则》等法律法规及其补充规定的要求制定了《现金、银行存款、票据</w:t>
      </w:r>
      <w:r>
        <w:rPr/>
        <w:t> </w:t>
      </w:r>
      <w:r>
        <w:rPr>
          <w:spacing w:val="-2"/>
        </w:rPr>
        <w:t>管理制度》、《付款管理制度》、《财产清查及存货减值管理制度》、《固定资产管理制度》、《无形资产管理制度》等一</w:t>
      </w:r>
      <w:r>
        <w:rPr>
          <w:spacing w:val="-70"/>
        </w:rPr>
        <w:t> </w:t>
      </w:r>
      <w:r>
        <w:rPr>
          <w:spacing w:val="-70"/>
        </w:rPr>
      </w:r>
      <w:r>
        <w:rPr>
          <w:spacing w:val="-2"/>
        </w:rPr>
        <w:t>系列财务管理控制制度，明确规定了重要财务决策程序与规则，规范了会计凭证、会计帐簿和会计报告的处理程序，明确了</w:t>
      </w:r>
      <w:r>
        <w:rPr>
          <w:spacing w:val="-66"/>
        </w:rPr>
        <w:t> </w:t>
      </w:r>
      <w:r>
        <w:rPr>
          <w:spacing w:val="-66"/>
        </w:rPr>
      </w:r>
      <w:r>
        <w:rPr>
          <w:spacing w:val="-4"/>
        </w:rPr>
        <w:t>会计人员的岗位职责，制定了凭证流转程序。执行交易时能及时编制有关凭证，及时送交会计部门及公司档案室记录及归档，</w:t>
      </w:r>
      <w:r>
        <w:rPr>
          <w:spacing w:val="-44"/>
        </w:rPr>
        <w:t> </w:t>
      </w:r>
      <w:r>
        <w:rPr>
          <w:spacing w:val="-44"/>
        </w:rPr>
      </w:r>
      <w:r>
        <w:rPr/>
        <w:t>并且将记录同相应的会计分录独立比较，建立健全了会计电算化的内部控制制度。公司导入了</w:t>
      </w:r>
      <w:r>
        <w:rPr>
          <w:rFonts w:ascii="Times New Roman" w:hAnsi="Times New Roman" w:cs="Times New Roman" w:eastAsia="Times New Roman" w:hint="default"/>
        </w:rPr>
        <w:t>ERP</w:t>
      </w:r>
      <w:r>
        <w:rPr/>
        <w:t>管理系统，作为公司的管 </w:t>
      </w:r>
      <w:r>
        <w:rPr>
          <w:spacing w:val="-2"/>
        </w:rPr>
        <w:t>理控制技术平台，有效规范了公司和基础信息、业务流程，提高了经营管理效率，能够为公司管理层和董事会及时提供相关</w:t>
      </w:r>
      <w:r>
        <w:rPr>
          <w:spacing w:val="-66"/>
        </w:rPr>
        <w:t> </w:t>
      </w:r>
      <w:r>
        <w:rPr>
          <w:spacing w:val="-66"/>
        </w:rPr>
      </w:r>
      <w:r>
        <w:rPr/>
        <w:t>信息。公司的会计核算体系健全、制度完善，符合相关法律法规的规定。</w:t>
      </w:r>
    </w:p>
    <w:p>
      <w:pPr>
        <w:spacing w:line="240" w:lineRule="auto" w:before="10"/>
        <w:rPr>
          <w:rFonts w:ascii="宋体" w:hAnsi="宋体" w:cs="宋体" w:eastAsia="宋体" w:hint="default"/>
          <w:sz w:val="20"/>
          <w:szCs w:val="20"/>
        </w:rPr>
      </w:pPr>
    </w:p>
    <w:p>
      <w:pPr>
        <w:pStyle w:val="Heading2"/>
        <w:spacing w:line="240" w:lineRule="auto"/>
        <w:ind w:right="182"/>
        <w:jc w:val="left"/>
        <w:rPr>
          <w:b w:val="0"/>
          <w:bCs w:val="0"/>
        </w:rPr>
      </w:pP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82"/>
        <w:jc w:val="left"/>
        <w:rPr>
          <w:b w:val="0"/>
          <w:bCs w:val="0"/>
        </w:rPr>
      </w:pP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2"/>
        <w:jc w:val="left"/>
      </w:pPr>
      <w:r>
        <w:rPr/>
        <w:t>内部控制审计报告</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我们认为，山东晨鸣纸业集团股份有限公司于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 方面保持了有效的财务报告内部控制。</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pStyle w:val="BodyText"/>
        <w:spacing w:line="240" w:lineRule="auto" w:before="51"/>
        <w:ind w:right="182"/>
        <w:jc w:val="left"/>
      </w:pPr>
      <w:r>
        <w:rPr/>
        <w:t>会计师事务所是否出具非标准意见的内部控制审计报告</w:t>
      </w:r>
    </w:p>
    <w:p>
      <w:pPr>
        <w:pStyle w:val="BodyText"/>
        <w:spacing w:line="338" w:lineRule="auto" w:before="117"/>
        <w:ind w:right="369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3"/>
        <w:ind w:right="1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footerReference w:type="default" r:id="rId22"/>
          <w:pgSz w:w="11910" w:h="16840"/>
          <w:pgMar w:footer="982" w:header="0" w:top="1060" w:bottom="1180" w:left="980" w:right="940"/>
          <w:pgNumType w:start="76"/>
        </w:sectPr>
      </w:pPr>
    </w:p>
    <w:p>
      <w:pPr>
        <w:spacing w:line="240" w:lineRule="auto" w:before="8"/>
        <w:rPr>
          <w:rFonts w:ascii="宋体" w:hAnsi="宋体" w:cs="宋体" w:eastAsia="宋体" w:hint="default"/>
          <w:sz w:val="23"/>
          <w:szCs w:val="23"/>
        </w:rPr>
      </w:pPr>
    </w:p>
    <w:p>
      <w:pPr>
        <w:pStyle w:val="Heading2"/>
        <w:spacing w:line="240" w:lineRule="auto" w:before="26"/>
        <w:ind w:right="147"/>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47" w:firstLine="360"/>
        <w:jc w:val="left"/>
      </w:pPr>
      <w:r>
        <w:rPr>
          <w:spacing w:val="-2"/>
        </w:rPr>
        <w:t>公司在《信息披露管理制度》中对信息披露违规、差错的有关责任认定及问责方式等事项进行了明确规定。报告期内未</w:t>
      </w:r>
      <w:r>
        <w:rPr/>
        <w:t> 发生重大会计差错更正、重大遗漏信息补充以及业绩预告修正等情况。</w:t>
      </w:r>
    </w:p>
    <w:p>
      <w:pPr>
        <w:spacing w:after="0" w:line="319" w:lineRule="auto"/>
        <w:jc w:val="left"/>
        <w:sectPr>
          <w:pgSz w:w="11910" w:h="16840"/>
          <w:pgMar w:header="0"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627"/>
        <w:jc w:val="center"/>
        <w:rPr>
          <w:b w:val="0"/>
          <w:bCs w:val="0"/>
        </w:rPr>
      </w:pPr>
      <w:bookmarkStart w:name="_bookmark11" w:id="12"/>
      <w:bookmarkEnd w:id="12"/>
      <w:r>
        <w:rPr>
          <w:b w:val="0"/>
          <w:bCs w:val="0"/>
        </w:rPr>
      </w:r>
      <w:r>
        <w:rPr/>
        <w:t>第十二节</w:t>
      </w:r>
      <w:r>
        <w:rPr>
          <w:spacing w:val="-7"/>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82"/>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[2015]37020004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王传顺、景传轩</w:t>
            </w:r>
          </w:p>
        </w:tc>
      </w:tr>
    </w:tbl>
    <w:p>
      <w:pPr>
        <w:pStyle w:val="BodyText"/>
        <w:spacing w:line="240" w:lineRule="auto" w:before="52"/>
        <w:ind w:left="3590" w:right="3627"/>
        <w:jc w:val="center"/>
      </w:pPr>
      <w:r>
        <w:rPr/>
        <w:t>审计报告正文</w:t>
      </w:r>
    </w:p>
    <w:p>
      <w:pPr>
        <w:pStyle w:val="Heading5"/>
        <w:spacing w:line="240" w:lineRule="auto" w:before="116"/>
        <w:ind w:left="154" w:right="182"/>
        <w:jc w:val="left"/>
        <w:rPr>
          <w:b w:val="0"/>
          <w:bCs w:val="0"/>
        </w:rPr>
      </w:pPr>
      <w:r>
        <w:rPr/>
        <w:t>山东晨鸣纸业集团股份有限公司全体股东：</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44"/>
        <w:ind w:right="189" w:firstLine="360"/>
        <w:jc w:val="both"/>
      </w:pPr>
      <w:r>
        <w:rPr>
          <w:spacing w:val="-2"/>
        </w:rPr>
        <w:t>我们审计了后附的山东晨鸣纸业集团股份有限公司（以下简称</w:t>
      </w:r>
      <w:r>
        <w:rPr>
          <w:rFonts w:ascii="Times New Roman" w:hAnsi="Times New Roman" w:cs="Times New Roman" w:eastAsia="Times New Roman" w:hint="default"/>
          <w:spacing w:val="-2"/>
        </w:rPr>
        <w:t>“</w:t>
      </w:r>
      <w:r>
        <w:rPr>
          <w:spacing w:val="-2"/>
        </w:rPr>
        <w:t>晨鸣纸业公司</w:t>
      </w:r>
      <w:r>
        <w:rPr>
          <w:rFonts w:ascii="Times New Roman" w:hAnsi="Times New Roman" w:cs="Times New Roman" w:eastAsia="Times New Roman" w:hint="default"/>
          <w:spacing w:val="-2"/>
        </w:rPr>
        <w:t>”</w:t>
      </w:r>
      <w:r>
        <w:rPr>
          <w:spacing w:val="-2"/>
        </w:rPr>
        <w:t>）的财务报表，包括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w:t>
      </w:r>
      <w:r>
        <w:rPr/>
        <w:t> </w:t>
      </w:r>
      <w:r>
        <w:rPr>
          <w:spacing w:val="-2"/>
        </w:rPr>
        <w:t>及公司的资产负债表，</w:t>
      </w:r>
      <w:r>
        <w:rPr>
          <w:rFonts w:ascii="Times New Roman" w:hAnsi="Times New Roman" w:cs="Times New Roman" w:eastAsia="Times New Roman" w:hint="default"/>
          <w:spacing w:val="-2"/>
        </w:rPr>
        <w:t>2014</w:t>
      </w:r>
      <w:r>
        <w:rPr>
          <w:spacing w:val="-2"/>
        </w:rPr>
        <w:t>年度合并及公司的利润表、合并及公司的现金流量表和合并及公司的股东权益变动表以及财务报</w:t>
      </w:r>
      <w:r>
        <w:rPr>
          <w:spacing w:val="-60"/>
        </w:rPr>
        <w:t> </w:t>
      </w:r>
      <w:r>
        <w:rPr>
          <w:spacing w:val="-60"/>
        </w:rPr>
      </w:r>
      <w:r>
        <w:rPr/>
        <w:t>表附注。</w:t>
      </w:r>
    </w:p>
    <w:p>
      <w:pPr>
        <w:spacing w:line="240" w:lineRule="auto" w:before="3"/>
        <w:rPr>
          <w:rFonts w:ascii="宋体" w:hAnsi="宋体" w:cs="宋体" w:eastAsia="宋体" w:hint="default"/>
          <w:sz w:val="26"/>
          <w:szCs w:val="26"/>
        </w:rPr>
      </w:pPr>
    </w:p>
    <w:p>
      <w:pPr>
        <w:spacing w:line="316" w:lineRule="auto" w:before="0"/>
        <w:ind w:left="513" w:right="91" w:firstLine="1"/>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编制和公允列报财务报表是晨鸣纸业公司管理层的责任。这种责任包括：（</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）按照企业会计准则的规定编制财务报表，</w:t>
      </w:r>
    </w:p>
    <w:p>
      <w:pPr>
        <w:pStyle w:val="BodyText"/>
        <w:spacing w:line="248" w:lineRule="exact"/>
        <w:ind w:left="153" w:right="182"/>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left="513" w:right="182" w:firstLine="1"/>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18"/>
        <w:ind w:left="153" w:right="182"/>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8"/>
        <w:ind w:left="153" w:right="91"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240" w:lineRule="auto" w:before="18"/>
        <w:ind w:left="513" w:right="182"/>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left="513" w:right="182" w:firstLine="1"/>
        <w:jc w:val="left"/>
      </w:pPr>
      <w:r>
        <w:rPr>
          <w:rFonts w:ascii="宋体" w:hAnsi="宋体" w:cs="宋体" w:eastAsia="宋体" w:hint="default"/>
          <w:b/>
          <w:bCs/>
        </w:rPr>
        <w:t>三、审计意见</w:t>
      </w:r>
      <w:r>
        <w:rPr>
          <w:rFonts w:ascii="宋体" w:hAnsi="宋体" w:cs="宋体" w:eastAsia="宋体" w:hint="default"/>
          <w:b/>
          <w:bCs/>
          <w:w w:val="99"/>
        </w:rPr>
        <w:t> </w:t>
      </w:r>
      <w:r>
        <w:rPr/>
        <w:t>我们认为，上述财务报表在所有重大方面按照企业会计准则的规定编制，公允反映了山东晨鸣纸业集团股份有限公司</w:t>
      </w:r>
    </w:p>
    <w:p>
      <w:pPr>
        <w:pStyle w:val="BodyText"/>
        <w:spacing w:line="240" w:lineRule="auto" w:before="18"/>
        <w:ind w:left="153" w:right="182"/>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2014</w:t>
      </w:r>
      <w:r>
        <w:rPr/>
        <w:t>年度合并及公司的经营成果和现金流量。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tbl>
      <w:tblPr>
        <w:tblW w:w="0" w:type="auto"/>
        <w:jc w:val="left"/>
        <w:tblInd w:w="985" w:type="dxa"/>
        <w:tblLayout w:type="fixed"/>
        <w:tblCellMar>
          <w:top w:w="0" w:type="dxa"/>
          <w:left w:w="0" w:type="dxa"/>
          <w:bottom w:w="0" w:type="dxa"/>
          <w:right w:w="0" w:type="dxa"/>
        </w:tblCellMar>
        <w:tblLook w:val="01E0"/>
      </w:tblPr>
      <w:tblGrid>
        <w:gridCol w:w="4279"/>
        <w:gridCol w:w="3379"/>
      </w:tblGrid>
      <w:tr>
        <w:trPr>
          <w:trHeight w:val="256" w:hRule="exact"/>
        </w:trPr>
        <w:tc>
          <w:tcPr>
            <w:tcW w:w="4279" w:type="dxa"/>
            <w:tcBorders>
              <w:top w:val="nil" w:sz="6" w:space="0" w:color="auto"/>
              <w:left w:val="nil" w:sz="6" w:space="0" w:color="auto"/>
              <w:bottom w:val="nil" w:sz="6" w:space="0" w:color="auto"/>
              <w:right w:val="nil" w:sz="6" w:space="0" w:color="auto"/>
            </w:tcBorders>
          </w:tcPr>
          <w:p>
            <w:pPr>
              <w:pStyle w:val="TableParagraph"/>
              <w:spacing w:line="180" w:lineRule="exact"/>
              <w:ind w:right="997"/>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3379"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hAnsi="宋体" w:cs="宋体" w:eastAsia="宋体" w:hint="default"/>
                <w:sz w:val="18"/>
                <w:szCs w:val="18"/>
              </w:rPr>
              <w:t>中国注册会计师：王传顺</w:t>
            </w:r>
          </w:p>
        </w:tc>
      </w:tr>
      <w:tr>
        <w:trPr>
          <w:trHeight w:val="337" w:hRule="exact"/>
        </w:trPr>
        <w:tc>
          <w:tcPr>
            <w:tcW w:w="42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97"/>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33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8"/>
              <w:jc w:val="right"/>
              <w:rPr>
                <w:rFonts w:ascii="宋体" w:hAnsi="宋体" w:cs="宋体" w:eastAsia="宋体" w:hint="default"/>
                <w:sz w:val="18"/>
                <w:szCs w:val="18"/>
              </w:rPr>
            </w:pPr>
            <w:r>
              <w:rPr>
                <w:rFonts w:ascii="宋体" w:hAnsi="宋体" w:cs="宋体" w:eastAsia="宋体" w:hint="default"/>
                <w:sz w:val="18"/>
                <w:szCs w:val="18"/>
              </w:rPr>
              <w:t>中国注册会计师：景传轩</w:t>
            </w:r>
          </w:p>
        </w:tc>
      </w:tr>
      <w:tr>
        <w:trPr>
          <w:trHeight w:val="251" w:hRule="exact"/>
        </w:trPr>
        <w:tc>
          <w:tcPr>
            <w:tcW w:w="4279" w:type="dxa"/>
            <w:tcBorders>
              <w:top w:val="nil" w:sz="6" w:space="0" w:color="auto"/>
              <w:left w:val="nil" w:sz="6" w:space="0" w:color="auto"/>
              <w:bottom w:val="nil" w:sz="6" w:space="0" w:color="auto"/>
              <w:right w:val="nil" w:sz="6" w:space="0" w:color="auto"/>
            </w:tcBorders>
          </w:tcPr>
          <w:p>
            <w:pPr/>
          </w:p>
        </w:tc>
        <w:tc>
          <w:tcPr>
            <w:tcW w:w="33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宋体" w:hAnsi="宋体" w:cs="宋体" w:eastAsia="宋体" w:hint="default"/>
                <w:sz w:val="18"/>
                <w:szCs w:val="18"/>
              </w:rPr>
            </w:pPr>
            <w:r>
              <w:rPr>
                <w:rFonts w:ascii="宋体" w:hAnsi="宋体" w:cs="宋体" w:eastAsia="宋体" w:hint="default"/>
                <w:sz w:val="18"/>
                <w:szCs w:val="18"/>
              </w:rPr>
              <w:t>二〇一五年三月二十六日</w:t>
            </w:r>
          </w:p>
        </w:tc>
      </w:tr>
    </w:tbl>
    <w:p>
      <w:pPr>
        <w:spacing w:after="0" w:line="240" w:lineRule="auto"/>
        <w:jc w:val="right"/>
        <w:rPr>
          <w:rFonts w:ascii="宋体" w:hAnsi="宋体" w:cs="宋体" w:eastAsia="宋体" w:hint="default"/>
          <w:sz w:val="18"/>
          <w:szCs w:val="18"/>
        </w:rPr>
        <w:sectPr>
          <w:pgSz w:w="11910" w:h="16840"/>
          <w:pgMar w:header="0"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147"/>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7"/>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147"/>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82" w:top="1060" w:bottom="1180" w:left="980" w:right="980"/>
        </w:sectPr>
      </w:pPr>
    </w:p>
    <w:p>
      <w:pPr>
        <w:pStyle w:val="BodyText"/>
        <w:spacing w:line="240" w:lineRule="auto" w:before="44"/>
        <w:ind w:right="-20"/>
        <w:jc w:val="left"/>
      </w:pPr>
      <w:r>
        <w:rPr/>
        <w:t>编制单位：山东晨鸣纸业集团股份有限公司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3" w:equalWidth="0">
            <w:col w:w="3575" w:space="502"/>
            <w:col w:w="1639" w:space="3203"/>
            <w:col w:w="1031"/>
          </w:cols>
        </w:sectPr>
      </w:pP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500"/>
        <w:gridCol w:w="2600"/>
        <w:gridCol w:w="2582"/>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5,475,658,186.10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2,547,729,794.24</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3,047,541,556.15</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2,870,443,681.49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3,489,409,369.20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3,102,643,083.54</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1,838,017,454.90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1,589,021,331.24</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1,776,467,886.07</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1,331,900,749.84</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5,420,740,468.60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5,042,951,001.02</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865,738,333.65</w:t>
            </w:r>
          </w:p>
        </w:tc>
        <w:tc>
          <w:tcPr>
            <w:tcW w:w="25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1,656,602,232.09</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1,740,520,586.37</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23,570,175,486.76</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18,225,210,227.74</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73,000,000.00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83,260,425.53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1,420,598,667.99</w:t>
            </w:r>
          </w:p>
        </w:tc>
        <w:tc>
          <w:tcPr>
            <w:tcW w:w="25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36,087,848.12</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32,216,789.33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17,735,187.91</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19,473,443.95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24,744,731,705.04</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21,181,647,488.39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3,709,270,828.53</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5,266,031,817.60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22,955,982.38</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63,968,067.62</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600" w:type="dxa"/>
            <w:tcBorders>
              <w:top w:val="single" w:sz="4" w:space="0" w:color="000000"/>
              <w:left w:val="single" w:sz="13" w:space="0" w:color="D3D3D3"/>
              <w:bottom w:val="single" w:sz="4" w:space="0" w:color="000000"/>
              <w:right w:val="single" w:sz="4" w:space="0" w:color="000000"/>
            </w:tcBorders>
          </w:tcPr>
          <w:p>
            <w:pP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588,181,647.53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1,319,104,425.04</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1,365,418,002.26</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20,283,787.17</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20,283,787.17</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173,690,747.83</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168,538,483.68</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620,267,636.44</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507,653,388.38</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1,094,124,242.00</w:t>
            </w:r>
          </w:p>
        </w:tc>
        <w:tc>
          <w:tcPr>
            <w:tcW w:w="25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33,251,851,058.45</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29,296,673,341.44</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56,822,026,545.21</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47,521,883,569.18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4500"/>
        <w:gridCol w:w="2600"/>
        <w:gridCol w:w="2582"/>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20,470,296,592.92</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9,818,885,237.85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1,598,110,792.85</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290,403,790.59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3,408,366,113.93</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2,695,169,927.14</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270,056,726.88</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442,432,261.58</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153,926,042.30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130,271,812.18</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161,100,088.94</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130,192,936.87</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150,047,305.50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153,189,860.42</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783,790,884.61</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486,836,595.89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1,099,968,900.00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1,287,804,452.66</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600" w:type="dxa"/>
            <w:tcBorders>
              <w:top w:val="single" w:sz="4" w:space="0" w:color="000000"/>
              <w:left w:val="single" w:sz="13" w:space="0" w:color="D3D3D3"/>
              <w:bottom w:val="single" w:sz="4" w:space="0" w:color="000000"/>
              <w:right w:val="single" w:sz="4" w:space="0" w:color="000000"/>
            </w:tcBorders>
          </w:tcPr>
          <w:p>
            <w:pP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3,853,488,888.90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28,095,663,447.93</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19,288,675,764.08</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4,378,290,245.19</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3,723,865,807.90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5,777,131,308.01</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5,768,418,612.73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600" w:type="dxa"/>
            <w:tcBorders>
              <w:top w:val="single" w:sz="4" w:space="0" w:color="000000"/>
              <w:left w:val="single" w:sz="13" w:space="0" w:color="D3D3D3"/>
              <w:bottom w:val="single" w:sz="4" w:space="0" w:color="000000"/>
              <w:right w:val="single" w:sz="4" w:space="0" w:color="000000"/>
            </w:tcBorders>
          </w:tcPr>
          <w:p>
            <w:pP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161,983,516.66</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971,805,561.39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1,476,121,434.78</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493,600,712.15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2,584,768,359.64</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2,577,163,578.04</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14,378,294,864.28</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13,594,854,272.21</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42,473,958,312.21</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32,883,530,036.29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1,936,405,467.00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1,975,471,967.00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6,149,136,873.41</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6,204,682,028.94</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600" w:type="dxa"/>
            <w:tcBorders>
              <w:top w:val="single" w:sz="4" w:space="0" w:color="000000"/>
              <w:left w:val="single" w:sz="13" w:space="0" w:color="D3D3D3"/>
              <w:bottom w:val="single" w:sz="4" w:space="0" w:color="000000"/>
              <w:right w:val="single" w:sz="4" w:space="0" w:color="000000"/>
            </w:tcBorders>
          </w:tcPr>
          <w:p>
            <w:pP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30,954,891.40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33,763,168.13</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16,934,073.59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1,132,116,106.40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1,132,116,106.40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4,665,921,686.21</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4,741,638,941.58</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13,917,343,301.15</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14,039,888,226.11</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430,724,931.85</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598,465,306.78</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14,348,068,233.00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14,638,353,532.89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56,822,026,545.21</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47,521,883,569.18</w:t>
            </w:r>
          </w:p>
        </w:tc>
      </w:tr>
    </w:tbl>
    <w:p>
      <w:pPr>
        <w:spacing w:line="240" w:lineRule="auto" w:before="6"/>
        <w:rPr>
          <w:rFonts w:ascii="宋体" w:hAnsi="宋体" w:cs="宋体" w:eastAsia="宋体" w:hint="default"/>
          <w:sz w:val="20"/>
          <w:szCs w:val="20"/>
        </w:rPr>
      </w:pPr>
    </w:p>
    <w:p>
      <w:pPr>
        <w:pStyle w:val="BodyText"/>
        <w:tabs>
          <w:tab w:pos="3663" w:val="left" w:leader="none"/>
          <w:tab w:pos="7893" w:val="left" w:leader="none"/>
        </w:tabs>
        <w:spacing w:line="240" w:lineRule="auto" w:before="44"/>
        <w:ind w:right="147"/>
        <w:jc w:val="left"/>
      </w:pPr>
      <w:r>
        <w:rPr/>
        <w:t>法定代表人：陈洪国</w:t>
        <w:tab/>
        <w:t>主管会计工作负责人：董连明</w:t>
        <w:tab/>
        <w:t>会计机构负责人：刘军</w:t>
      </w:r>
    </w:p>
    <w:p>
      <w:pPr>
        <w:spacing w:after="0" w:line="240" w:lineRule="auto"/>
        <w:jc w:val="left"/>
        <w:sectPr>
          <w:pgSz w:w="11910" w:h="16840"/>
          <w:pgMar w:header="0"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147"/>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500"/>
        <w:gridCol w:w="2536"/>
        <w:gridCol w:w="2646"/>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2,345,637,944.73</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1,454,242,620.40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3,516,397,335.06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945,832,396.01</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3,503,819,172.94</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3,814,654,532.05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1,734,892,571.69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762,470,888.60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36" w:type="dxa"/>
            <w:tcBorders>
              <w:top w:val="single" w:sz="4" w:space="0" w:color="000000"/>
              <w:left w:val="single" w:sz="13" w:space="0" w:color="D3D3D3"/>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191,300,102.21</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9,312,981,273.16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11,051,622,177.96</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824,854,551.21</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857,030,449.25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114,216,338.90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103,214,843.26</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21,652,799,187.69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19,380,368,009.74</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73,000,000.00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83,260,425.53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12,370,935,132.02</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8,780,477,577.92</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17,735,187.91</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19,473,443.95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3,350,685,307.94</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5,170,770,619.87</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323,543,539.92</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127,095,105.63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1,564,277.42</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1,813,442.43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246,581,452.71</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308,163,298.83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41,033,875.05</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17,082,162.53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900,000,000.00</w:t>
            </w:r>
          </w:p>
        </w:tc>
        <w:tc>
          <w:tcPr>
            <w:tcW w:w="26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17,325,078,772.97</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14,508,136,076.69</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38,977,877,960.66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33,888,504,086.43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0"/>
        <w:rPr>
          <w:rFonts w:ascii="宋体" w:hAnsi="宋体" w:cs="宋体" w:eastAsia="宋体" w:hint="default"/>
          <w:sz w:val="29"/>
          <w:szCs w:val="29"/>
        </w:rPr>
      </w:pPr>
    </w:p>
    <w:p>
      <w:pPr>
        <w:pStyle w:val="BodyText"/>
        <w:spacing w:line="240" w:lineRule="auto" w:before="44"/>
        <w:ind w:left="153" w:right="147"/>
        <w:jc w:val="left"/>
      </w:pPr>
      <w:r>
        <w:rPr/>
        <w:t>续</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500"/>
        <w:gridCol w:w="2536"/>
        <w:gridCol w:w="2646"/>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9,143,654,360.01</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5,119,632,573.69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680,548,319.01</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693,506,846.35</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891,996,724.44</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1,724,744.50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185,524,508.71</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75,683,362.25</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62,091,273.25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30,908,886.06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8,949,746.01</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150,047,305.50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150,047,305.56</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36" w:type="dxa"/>
            <w:tcBorders>
              <w:top w:val="single" w:sz="4" w:space="0" w:color="000000"/>
              <w:left w:val="single" w:sz="13" w:space="0" w:color="D3D3D3"/>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4,141,133,979.84</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431,217,791.18</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494,760,000.00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343,876,000.00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36" w:type="dxa"/>
            <w:tcBorders>
              <w:top w:val="single" w:sz="4" w:space="0" w:color="000000"/>
              <w:left w:val="single" w:sz="13" w:space="0" w:color="D3D3D3"/>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3,853,488,888.90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15,411,967,803.52</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11,047,324,811.74</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867,832,035.94</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594,568,035.94</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5,777,131,308.01</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5,768,418,612.73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44,507,433.25</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32,767,512.29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2,584,768,359.64</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2,577,163,578.04</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9,274,239,136.84</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8,972,917,739.00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24,686,206,940.36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20,020,242,550.74</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1,936,405,467.00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1,975,471,967.00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5,938,839,256.70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6,005,426,779.17</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36" w:type="dxa"/>
            <w:tcBorders>
              <w:top w:val="single" w:sz="4" w:space="0" w:color="000000"/>
              <w:left w:val="single" w:sz="13" w:space="0" w:color="D3D3D3"/>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30,954,891.40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1,119,926,524.49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1,119,926,524.49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5,296,499,772.11</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4,798,391,156.43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14,291,671,020.30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13,868,261,535.69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38,977,877,960.66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33,888,504,086.43</w:t>
            </w:r>
          </w:p>
        </w:tc>
      </w:tr>
    </w:tbl>
    <w:p>
      <w:pPr>
        <w:spacing w:line="240" w:lineRule="auto" w:before="6"/>
        <w:rPr>
          <w:rFonts w:ascii="宋体" w:hAnsi="宋体" w:cs="宋体" w:eastAsia="宋体" w:hint="default"/>
          <w:sz w:val="20"/>
          <w:szCs w:val="20"/>
        </w:rPr>
      </w:pPr>
    </w:p>
    <w:p>
      <w:pPr>
        <w:pStyle w:val="BodyText"/>
        <w:tabs>
          <w:tab w:pos="3663" w:val="left" w:leader="none"/>
          <w:tab w:pos="7893" w:val="left" w:leader="none"/>
        </w:tabs>
        <w:spacing w:line="240" w:lineRule="auto" w:before="44"/>
        <w:ind w:right="147"/>
        <w:jc w:val="left"/>
      </w:pPr>
      <w:r>
        <w:rPr/>
        <w:t>法定代表人：陈洪国</w:t>
        <w:tab/>
        <w:t>主管会计工作负责人：董连明</w:t>
        <w:tab/>
        <w:t>会计机构负责人：刘军</w:t>
      </w:r>
    </w:p>
    <w:p>
      <w:pPr>
        <w:spacing w:after="0" w:line="240" w:lineRule="auto"/>
        <w:jc w:val="left"/>
        <w:sectPr>
          <w:pgSz w:w="11910" w:h="16840"/>
          <w:pgMar w:header="0" w:footer="982" w:top="1060" w:bottom="118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240" w:lineRule="auto" w:before="35"/>
        <w:ind w:right="147"/>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5045"/>
        <w:gridCol w:w="2325"/>
        <w:gridCol w:w="2312"/>
      </w:tblGrid>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19,101,677,077.69</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20,388,890,067.41</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19,101,677,077.69</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20,388,890,067.41</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19,011,530,814.45</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20,020,276,909.90</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15,323,102,779.20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16,651,886,019.64</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91,030,073.05</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85,832,210.98</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1,148,055,535.23</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1,129,145,035.51</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1,160,542,907.39</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1,198,704,556.00</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1,229,259,157.47</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930,604,174.96</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59,540,362.11</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24,104,912.81</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6,856,815.32</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11,221,828.76</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69,035,637.19</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23,705,958.58</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-5,156,941.21</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208,888.59</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166,038,715.75</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403,540,944.85</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410,311,345.82</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504,045,185.99</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86,153,319.82</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6,695,769.19</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15,341,778.28</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41,294,461.31</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12,236,126.04</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36,560,317.17</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561,008,283.29</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866,291,669.53</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107,699,410.64</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175,938,431.91</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453,308,872.65</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690,353,237.62</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505,204,384.73</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710,655,331.72</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-51,895,512.08</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-20,302,094.10</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16,829,094.54</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-15,416,892.44</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16,829,094.54</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-15,416,892.44</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325" w:type="dxa"/>
            <w:tcBorders>
              <w:top w:val="single" w:sz="4" w:space="0" w:color="000000"/>
              <w:left w:val="single" w:sz="13" w:space="0" w:color="D3D3D3"/>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325" w:type="dxa"/>
            <w:tcBorders>
              <w:top w:val="single" w:sz="4" w:space="0" w:color="000000"/>
              <w:left w:val="single" w:sz="13" w:space="0" w:color="D3D3D3"/>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2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2325" w:type="dxa"/>
            <w:tcBorders>
              <w:top w:val="single" w:sz="4" w:space="0" w:color="000000"/>
              <w:left w:val="single" w:sz="13" w:space="0" w:color="D3D3D3"/>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16,829,094.54</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-15,416,892.44</w:t>
            </w:r>
          </w:p>
        </w:tc>
      </w:tr>
      <w:tr>
        <w:trPr>
          <w:trHeight w:val="714"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2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325" w:type="dxa"/>
            <w:tcBorders>
              <w:top w:val="single" w:sz="4" w:space="0" w:color="000000"/>
              <w:left w:val="single" w:sz="13" w:space="0" w:color="D3D3D3"/>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5045"/>
        <w:gridCol w:w="2325"/>
        <w:gridCol w:w="2312"/>
      </w:tblGrid>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325" w:type="dxa"/>
            <w:tcBorders>
              <w:top w:val="single" w:sz="4" w:space="0" w:color="000000"/>
              <w:left w:val="single" w:sz="13" w:space="0" w:color="D3D3D3"/>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325" w:type="dxa"/>
            <w:tcBorders>
              <w:top w:val="single" w:sz="4" w:space="0" w:color="000000"/>
              <w:left w:val="single" w:sz="13" w:space="0" w:color="D3D3D3"/>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325" w:type="dxa"/>
            <w:tcBorders>
              <w:top w:val="single" w:sz="4" w:space="0" w:color="000000"/>
              <w:left w:val="single" w:sz="13" w:space="0" w:color="D3D3D3"/>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16,829,094.54</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-15,416,892.44</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325" w:type="dxa"/>
            <w:tcBorders>
              <w:top w:val="single" w:sz="4" w:space="0" w:color="000000"/>
              <w:left w:val="single" w:sz="13" w:space="0" w:color="D3D3D3"/>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325" w:type="dxa"/>
            <w:tcBorders>
              <w:top w:val="single" w:sz="4" w:space="0" w:color="000000"/>
              <w:left w:val="single" w:sz="13" w:space="0" w:color="D3D3D3"/>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470,137,967.19</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674,936,345.18</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522,033,479.27</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695,238,439.28</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-51,895,512.08</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-20,302,094.10</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32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1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0.26</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3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0.26</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r>
    </w:tbl>
    <w:p>
      <w:pPr>
        <w:spacing w:line="240" w:lineRule="auto" w:before="6"/>
        <w:rPr>
          <w:rFonts w:ascii="宋体" w:hAnsi="宋体" w:cs="宋体" w:eastAsia="宋体" w:hint="default"/>
          <w:sz w:val="20"/>
          <w:szCs w:val="20"/>
        </w:rPr>
      </w:pPr>
    </w:p>
    <w:p>
      <w:pPr>
        <w:pStyle w:val="BodyText"/>
        <w:tabs>
          <w:tab w:pos="3663" w:val="left" w:leader="none"/>
          <w:tab w:pos="7893" w:val="left" w:leader="none"/>
        </w:tabs>
        <w:spacing w:line="240" w:lineRule="auto" w:before="44"/>
        <w:ind w:right="147"/>
        <w:jc w:val="left"/>
      </w:pPr>
      <w:r>
        <w:rPr/>
        <w:t>法定代表人：陈洪国</w:t>
        <w:tab/>
        <w:t>主管会计工作负责人：董连明</w:t>
        <w:tab/>
        <w:t>会计机构负责人：刘军</w:t>
      </w:r>
    </w:p>
    <w:p>
      <w:pPr>
        <w:spacing w:after="0" w:line="240" w:lineRule="auto"/>
        <w:jc w:val="left"/>
        <w:sectPr>
          <w:pgSz w:w="11910" w:h="16840"/>
          <w:pgMar w:header="0" w:footer="982" w:top="1060" w:bottom="118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240" w:lineRule="auto" w:before="35"/>
        <w:ind w:right="147"/>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5045"/>
        <w:gridCol w:w="2351"/>
        <w:gridCol w:w="2286"/>
      </w:tblGrid>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8,582,968,059.66</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9,790,098,706.42</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7,012,489,036.44</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7,831,543,846.50</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35,615,043.10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43,845,776.65</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298,701,273.17</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301,518,944.89</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530,538,773.19</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584,409,749.89</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934,446,118.52</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545,632,757.10</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1,496,752.17</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9,721,213.30</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35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1,154,412,826.75</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353,682,268.40</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-82,608.18</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-47,492.37</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924,093,889.82</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827,108,686.49</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135,734,906.06</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122,069,435.62</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1,152,350.23</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3,640,655.04</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4,750,252.63</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36,361,095.67</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1,321,959.79</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33,861,095.67</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1,055,078,543.25</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912,817,026.44</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-23,951,712.53</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75,000,860.15</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1,079,030,255.78</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837,816,166.29</w:t>
            </w: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35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35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35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2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235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35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2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35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35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35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35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35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1,079,030,255.78</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837,816,166.29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147"/>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5040"/>
        <w:gridCol w:w="2330"/>
        <w:gridCol w:w="2312"/>
      </w:tblGrid>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3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1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17,314,976,594.80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19,924,421,264.23</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9,544,605.83</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15,764,794.45</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599,986,969.23</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422,990,060.10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17,924,508,169.86</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20,363,176,118.78</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10,998,606,216.24</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15,952,557,041.64</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833,795,827.84</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1,017,503,439.00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914,734,942.86</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1,067,579,950.69</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4,191,971,447.07</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1,202,918,886.54</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16,939,108,434.01</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19,240,559,317.87</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985,399,735.85</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1,122,616,800.91</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3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1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2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330" w:type="dxa"/>
            <w:tcBorders>
              <w:top w:val="single" w:sz="4" w:space="0" w:color="000000"/>
              <w:left w:val="single" w:sz="13" w:space="0" w:color="D3D3D3"/>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24,814,839.75</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201,327,878.35</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75,035,211.41</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357,810,704.91</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913,066,062.47</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1,367,652,767.53</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1,022,916,113.63</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1,926,791,350.79</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3,093,185,535.33</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3,814,559,167.63</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330" w:type="dxa"/>
            <w:tcBorders>
              <w:top w:val="single" w:sz="4" w:space="0" w:color="000000"/>
              <w:left w:val="single" w:sz="13" w:space="0" w:color="D3D3D3"/>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3,180,221.51</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4,096,185,535.33</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3,837,739,389.14</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-3,073,269,421.70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-1,910,948,038.35</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3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1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330" w:type="dxa"/>
            <w:tcBorders>
              <w:top w:val="single" w:sz="4" w:space="0" w:color="000000"/>
              <w:left w:val="single" w:sz="13" w:space="0" w:color="D3D3D3"/>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66,000,000.00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330" w:type="dxa"/>
            <w:tcBorders>
              <w:top w:val="single" w:sz="4" w:space="0" w:color="000000"/>
              <w:left w:val="single" w:sz="13" w:space="0" w:color="D3D3D3"/>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66,000,000.00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25,487,820,197.15</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17,437,505,752.43</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330" w:type="dxa"/>
            <w:tcBorders>
              <w:top w:val="single" w:sz="4" w:space="0" w:color="000000"/>
              <w:left w:val="single" w:sz="13" w:space="0" w:color="D3D3D3"/>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330" w:type="dxa"/>
            <w:tcBorders>
              <w:top w:val="single" w:sz="4" w:space="0" w:color="000000"/>
              <w:left w:val="single" w:sz="13" w:space="0" w:color="D3D3D3"/>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5,622,770,312.13</w:t>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25,487,820,197.15</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23,126,276,064.56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5068"/>
        <w:gridCol w:w="2314"/>
        <w:gridCol w:w="2312"/>
      </w:tblGrid>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13,879,691,315.16</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21,185,990,488.38</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2,143,300,146.91</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1,376,004,607.35</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314" w:type="dxa"/>
            <w:tcBorders>
              <w:top w:val="single" w:sz="4" w:space="0" w:color="000000"/>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16,657,735.88</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7,136,477,150.59</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1,396,318,075.00</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23,159,468,612.66</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23,958,313,170.73</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2,328,351,584.49</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-832,037,106.17</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9,082,033.70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3,351,087.12</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249,563,932.34</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-1,617,017,256.49</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726,532,928.96</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2,343,550,185.45</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976,096,861.30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726,532,928.96</w:t>
            </w:r>
          </w:p>
        </w:tc>
      </w:tr>
    </w:tbl>
    <w:p>
      <w:pPr>
        <w:spacing w:line="240" w:lineRule="auto" w:before="6"/>
        <w:rPr>
          <w:rFonts w:ascii="宋体" w:hAnsi="宋体" w:cs="宋体" w:eastAsia="宋体" w:hint="default"/>
          <w:sz w:val="20"/>
          <w:szCs w:val="20"/>
        </w:rPr>
      </w:pPr>
    </w:p>
    <w:p>
      <w:pPr>
        <w:pStyle w:val="BodyText"/>
        <w:tabs>
          <w:tab w:pos="3663" w:val="left" w:leader="none"/>
          <w:tab w:pos="7893" w:val="left" w:leader="none"/>
        </w:tabs>
        <w:spacing w:line="240" w:lineRule="auto" w:before="44"/>
        <w:ind w:right="147"/>
        <w:jc w:val="left"/>
      </w:pPr>
      <w:r>
        <w:rPr/>
        <w:t>法定代表人：陈洪国</w:t>
        <w:tab/>
        <w:t>主管会计工作负责人：董连明</w:t>
        <w:tab/>
        <w:t>会计机构负责人：刘军</w:t>
      </w:r>
    </w:p>
    <w:p>
      <w:pPr>
        <w:spacing w:after="0" w:line="240" w:lineRule="auto"/>
        <w:jc w:val="left"/>
        <w:sectPr>
          <w:pgSz w:w="11910" w:h="16840"/>
          <w:pgMar w:header="0" w:footer="982" w:top="1060" w:bottom="118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240" w:lineRule="auto" w:before="35"/>
        <w:ind w:right="147"/>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5040"/>
        <w:gridCol w:w="2356"/>
        <w:gridCol w:w="2286"/>
      </w:tblGrid>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7,434,789,634.68</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9,267,322,187.99</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356"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5,667,186,748.15</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219,142,138.18</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13,101,976,382.83</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9,486,464,326.17</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7,976,726,938.55</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9,497,015,627.73</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237,509,541.17</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250,644,717.68</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325,272,919.29</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498,627,291.39</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312,133,309.30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1,967,541,286.56</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8,851,642,708.31</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12,213,828,923.36</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4,250,333,674.52</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-2,727,364,597.19</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860,916,016.71</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1,073,924,052.21</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618,941,235.06</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471,399.75</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21,798,747.08</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356"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102,928,415.14</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274,137,000.00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1,187,323,867.10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1,775,792,998.85</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498,712,353.90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316,039,924.71</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1,951,889,592.00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468,932,475.00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356"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1,000,000,000.00</w:t>
            </w: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3,450,601,945.90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784,972,399.71</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-2,263,278,078.80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990,820,599.14</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356"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13,143,235,684.08</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9,915,668,095.86</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356"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356"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5,271,300,000.00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13,143,235,684.08</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15,186,968,095.86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5068"/>
        <w:gridCol w:w="2340"/>
        <w:gridCol w:w="2286"/>
      </w:tblGrid>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8,704,359,885.67</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12,557,694,467.87</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1,669,956,508.36</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1,100,076,772.93</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4,789,896,127.16</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1,515,035,053.37</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15,164,212,521.19</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15,172,806,294.17</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-2,020,976,837.11</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14,161,801.69</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10,119,569.63</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151,371.37</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-23,801,671.76</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-1,722,230,824.99</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64,392,029.09</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1,786,622,854.08</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40,590,357.33</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64,392,029.09</w:t>
            </w:r>
          </w:p>
        </w:tc>
      </w:tr>
    </w:tbl>
    <w:p>
      <w:pPr>
        <w:spacing w:line="240" w:lineRule="auto" w:before="6"/>
        <w:rPr>
          <w:rFonts w:ascii="宋体" w:hAnsi="宋体" w:cs="宋体" w:eastAsia="宋体" w:hint="default"/>
          <w:sz w:val="20"/>
          <w:szCs w:val="20"/>
        </w:rPr>
      </w:pPr>
    </w:p>
    <w:p>
      <w:pPr>
        <w:pStyle w:val="BodyText"/>
        <w:tabs>
          <w:tab w:pos="3663" w:val="left" w:leader="none"/>
          <w:tab w:pos="7893" w:val="left" w:leader="none"/>
        </w:tabs>
        <w:spacing w:line="240" w:lineRule="auto" w:before="44"/>
        <w:ind w:right="147"/>
        <w:jc w:val="left"/>
      </w:pPr>
      <w:r>
        <w:rPr/>
        <w:t>法定代表人：陈洪国</w:t>
        <w:tab/>
        <w:t>主管会计工作负责人：董连明</w:t>
        <w:tab/>
        <w:t>会计机构负责人：刘军</w:t>
      </w:r>
    </w:p>
    <w:p>
      <w:pPr>
        <w:spacing w:after="0" w:line="240" w:lineRule="auto"/>
        <w:jc w:val="left"/>
        <w:sectPr>
          <w:pgSz w:w="11910" w:h="16840"/>
          <w:pgMar w:header="0" w:footer="982" w:top="1060" w:bottom="1180" w:left="980" w:right="980"/>
        </w:sectPr>
      </w:pPr>
    </w:p>
    <w:p>
      <w:pPr>
        <w:spacing w:line="240" w:lineRule="auto" w:before="12"/>
        <w:rPr>
          <w:rFonts w:ascii="宋体" w:hAnsi="宋体" w:cs="宋体" w:eastAsia="宋体" w:hint="default"/>
          <w:sz w:val="2"/>
          <w:szCs w:val="2"/>
        </w:rPr>
      </w:pPr>
    </w:p>
    <w:p>
      <w:pPr>
        <w:spacing w:line="20" w:lineRule="exact"/>
        <w:ind w:left="64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679"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679" w:right="0"/>
        <w:jc w:val="left"/>
      </w:pPr>
      <w:r>
        <w:rPr/>
        <w:t>本期金额</w:t>
      </w:r>
    </w:p>
    <w:p>
      <w:pPr>
        <w:pStyle w:val="BodyText"/>
        <w:spacing w:line="240" w:lineRule="auto" w:before="116"/>
        <w:ind w:left="0" w:right="796"/>
        <w:jc w:val="right"/>
      </w:pPr>
      <w:r>
        <w:rPr/>
        <w:t>单位：元</w:t>
      </w:r>
    </w:p>
    <w:p>
      <w:pPr>
        <w:spacing w:line="240" w:lineRule="auto" w:before="1"/>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108"/>
        <w:gridCol w:w="3316"/>
        <w:gridCol w:w="1480"/>
        <w:gridCol w:w="1480"/>
        <w:gridCol w:w="1312"/>
        <w:gridCol w:w="1476"/>
        <w:gridCol w:w="1480"/>
        <w:gridCol w:w="1480"/>
        <w:gridCol w:w="1402"/>
        <w:gridCol w:w="1566"/>
      </w:tblGrid>
      <w:tr>
        <w:trPr>
          <w:trHeight w:val="326" w:hRule="exact"/>
        </w:trPr>
        <w:tc>
          <w:tcPr>
            <w:tcW w:w="108" w:type="dxa"/>
            <w:tcBorders>
              <w:top w:val="single" w:sz="6" w:space="0" w:color="000000"/>
              <w:left w:val="single" w:sz="6" w:space="0" w:color="000000"/>
              <w:bottom w:val="nil" w:sz="6" w:space="0" w:color="auto"/>
              <w:right w:val="nil" w:sz="6" w:space="0" w:color="auto"/>
            </w:tcBorders>
            <w:shd w:val="clear" w:color="auto" w:fill="C0C0C0"/>
          </w:tcPr>
          <w:p>
            <w:pPr/>
          </w:p>
        </w:tc>
        <w:tc>
          <w:tcPr>
            <w:tcW w:w="3316" w:type="dxa"/>
            <w:tcBorders>
              <w:top w:val="single" w:sz="6" w:space="0" w:color="000000"/>
              <w:left w:val="nil" w:sz="6" w:space="0" w:color="auto"/>
              <w:bottom w:val="nil" w:sz="6" w:space="0" w:color="auto"/>
              <w:right w:val="single" w:sz="6" w:space="0" w:color="000000"/>
            </w:tcBorders>
            <w:shd w:val="clear" w:color="auto" w:fill="C0C0C0"/>
          </w:tcPr>
          <w:p>
            <w:pPr/>
          </w:p>
        </w:tc>
        <w:tc>
          <w:tcPr>
            <w:tcW w:w="8706" w:type="dxa"/>
            <w:gridSpan w:val="6"/>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02" w:type="dxa"/>
            <w:vMerge w:val="restart"/>
            <w:tcBorders>
              <w:top w:val="single" w:sz="6" w:space="0" w:color="000000"/>
              <w:left w:val="single" w:sz="6" w:space="0" w:color="000000"/>
              <w:right w:val="single" w:sz="6"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6" w:type="dxa"/>
            <w:vMerge w:val="restart"/>
            <w:tcBorders>
              <w:top w:val="single" w:sz="6" w:space="0" w:color="000000"/>
              <w:left w:val="single" w:sz="6" w:space="0" w:color="000000"/>
              <w:right w:val="single" w:sz="6"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27" w:hRule="exact"/>
        </w:trPr>
        <w:tc>
          <w:tcPr>
            <w:tcW w:w="108" w:type="dxa"/>
            <w:tcBorders>
              <w:top w:val="nil" w:sz="6" w:space="0" w:color="auto"/>
              <w:left w:val="single" w:sz="6" w:space="0" w:color="000000"/>
              <w:bottom w:val="single" w:sz="6" w:space="0" w:color="000000"/>
              <w:right w:val="nil" w:sz="6" w:space="0" w:color="auto"/>
            </w:tcBorders>
            <w:shd w:val="clear" w:color="auto" w:fill="C0C0C0"/>
          </w:tcPr>
          <w:p>
            <w:pPr/>
          </w:p>
        </w:tc>
        <w:tc>
          <w:tcPr>
            <w:tcW w:w="3316" w:type="dxa"/>
            <w:tcBorders>
              <w:top w:val="nil" w:sz="6" w:space="0" w:color="auto"/>
              <w:left w:val="nil" w:sz="6" w:space="0" w:color="auto"/>
              <w:bottom w:val="single" w:sz="6" w:space="0" w:color="000000"/>
              <w:right w:val="single" w:sz="6" w:space="0" w:color="000000"/>
            </w:tcBorders>
            <w:shd w:val="clear" w:color="auto" w:fill="C0C0C0"/>
          </w:tcPr>
          <w:p>
            <w:pPr>
              <w:pStyle w:val="TableParagraph"/>
              <w:spacing w:line="240" w:lineRule="auto" w:before="2"/>
              <w:ind w:right="10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48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1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减：库存股</w:t>
            </w:r>
          </w:p>
        </w:tc>
        <w:tc>
          <w:tcPr>
            <w:tcW w:w="147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left="19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8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48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left="2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02" w:type="dxa"/>
            <w:vMerge/>
            <w:tcBorders>
              <w:left w:val="single" w:sz="6" w:space="0" w:color="000000"/>
              <w:bottom w:val="single" w:sz="6" w:space="0" w:color="000000"/>
              <w:right w:val="single" w:sz="6" w:space="0" w:color="000000"/>
            </w:tcBorders>
            <w:shd w:val="clear" w:color="auto" w:fill="C0C0C0"/>
          </w:tcPr>
          <w:p>
            <w:pPr/>
          </w:p>
        </w:tc>
        <w:tc>
          <w:tcPr>
            <w:tcW w:w="1566" w:type="dxa"/>
            <w:vMerge/>
            <w:tcBorders>
              <w:left w:val="single" w:sz="6" w:space="0" w:color="000000"/>
              <w:bottom w:val="single" w:sz="6" w:space="0" w:color="000000"/>
              <w:right w:val="single" w:sz="6" w:space="0" w:color="000000"/>
            </w:tcBorders>
            <w:shd w:val="clear" w:color="auto" w:fill="C0C0C0"/>
          </w:tcPr>
          <w:p>
            <w:pPr/>
          </w:p>
        </w:tc>
      </w:tr>
      <w:tr>
        <w:trPr>
          <w:trHeight w:val="330"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1,975,471,967.00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6,204,682,028.94</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59" w:right="0"/>
              <w:jc w:val="center"/>
              <w:rPr>
                <w:rFonts w:ascii="Times New Roman" w:hAnsi="Times New Roman" w:cs="Times New Roman" w:eastAsia="Times New Roman" w:hint="default"/>
                <w:sz w:val="18"/>
                <w:szCs w:val="18"/>
              </w:rPr>
            </w:pPr>
            <w:r>
              <w:rPr>
                <w:rFonts w:ascii="Times New Roman"/>
                <w:sz w:val="18"/>
              </w:rPr>
              <w:t>30,954,891.40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16,934,073.59</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sz w:val="18"/>
              </w:rPr>
              <w:t>1,132,116,106.40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4,741,638,941.58</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598,465,306.78</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14,638,353,532.89</w:t>
            </w:r>
          </w:p>
        </w:tc>
      </w:tr>
      <w:tr>
        <w:trPr>
          <w:trHeight w:val="330"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46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82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82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8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1,975,471,967.00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6,204,682,028.94</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59" w:right="0"/>
              <w:jc w:val="center"/>
              <w:rPr>
                <w:rFonts w:ascii="Times New Roman" w:hAnsi="Times New Roman" w:cs="Times New Roman" w:eastAsia="Times New Roman" w:hint="default"/>
                <w:sz w:val="18"/>
                <w:szCs w:val="18"/>
              </w:rPr>
            </w:pPr>
            <w:r>
              <w:rPr>
                <w:rFonts w:ascii="Times New Roman"/>
                <w:sz w:val="18"/>
              </w:rPr>
              <w:t>30,954,891.40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16,934,073.59</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sz w:val="18"/>
              </w:rPr>
              <w:t>1,132,116,106.40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4,741,638,941.58</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598,465,306.78</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14,638,353,532.89</w:t>
            </w:r>
          </w:p>
        </w:tc>
      </w:tr>
      <w:tr>
        <w:trPr>
          <w:trHeight w:val="638"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316" w:lineRule="auto" w:before="11"/>
              <w:ind w:left="100" w:right="10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三、本期增减变动金额（减少以“－”号</w:t>
            </w:r>
            <w:r>
              <w:rPr>
                <w:rFonts w:ascii="宋体" w:hAnsi="宋体" w:cs="宋体" w:eastAsia="宋体" w:hint="default"/>
                <w:sz w:val="18"/>
                <w:szCs w:val="18"/>
              </w:rPr>
              <w:t> 填列）</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-39,066,500.00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-55,545,155.53</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-30,954,891.40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16,829,094.54</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-75,717,255.37</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-167,740,374.93</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-290,285,299.89</w:t>
            </w:r>
          </w:p>
        </w:tc>
      </w:tr>
      <w:tr>
        <w:trPr>
          <w:trHeight w:val="330"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16,829,094.54</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505,204,384.73</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-51,895,512.08</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470,137,967.19</w:t>
            </w:r>
          </w:p>
        </w:tc>
      </w:tr>
      <w:tr>
        <w:trPr>
          <w:trHeight w:val="330"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-39,066,500.00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-55,545,155.53</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center"/>
              <w:rPr>
                <w:rFonts w:ascii="Times New Roman" w:hAnsi="Times New Roman" w:cs="Times New Roman" w:eastAsia="Times New Roman" w:hint="default"/>
                <w:sz w:val="18"/>
                <w:szCs w:val="18"/>
              </w:rPr>
            </w:pPr>
            <w:r>
              <w:rPr>
                <w:rFonts w:ascii="Times New Roman"/>
                <w:sz w:val="18"/>
              </w:rPr>
              <w:t>-30,954,891.40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-61,913,669.40</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-125,570,433.53</w:t>
            </w:r>
          </w:p>
        </w:tc>
      </w:tr>
      <w:tr>
        <w:trPr>
          <w:trHeight w:val="330"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-39,066,500.00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-55,545,155.53</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center"/>
              <w:rPr>
                <w:rFonts w:ascii="Times New Roman" w:hAnsi="Times New Roman" w:cs="Times New Roman" w:eastAsia="Times New Roman" w:hint="default"/>
                <w:sz w:val="18"/>
                <w:szCs w:val="18"/>
              </w:rPr>
            </w:pPr>
            <w:r>
              <w:rPr>
                <w:rFonts w:ascii="Times New Roman"/>
                <w:sz w:val="18"/>
              </w:rPr>
              <w:t>-30,954,891.40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-61,913,669.40</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-125,570,433.53</w:t>
            </w:r>
          </w:p>
        </w:tc>
      </w:tr>
      <w:tr>
        <w:trPr>
          <w:trHeight w:val="330"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-580,921,640.10</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-53,931,193.45</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-634,852,833.55</w:t>
            </w:r>
          </w:p>
        </w:tc>
      </w:tr>
      <w:tr>
        <w:trPr>
          <w:trHeight w:val="330"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-580,921,640.10</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-53,931,193.45</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-634,852,833.55</w:t>
            </w:r>
          </w:p>
        </w:tc>
      </w:tr>
      <w:tr>
        <w:trPr>
          <w:trHeight w:val="330"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42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1,936,405,467.00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6,149,136,873.41</w:t>
            </w: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33,763,168.13</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sz w:val="18"/>
              </w:rPr>
              <w:t>1,132,116,106.40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4,665,921,686.21</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430,724,931.85</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14,348,068,233.00</w:t>
            </w:r>
          </w:p>
        </w:tc>
      </w:tr>
    </w:tbl>
    <w:p>
      <w:pPr>
        <w:pStyle w:val="BodyText"/>
        <w:tabs>
          <w:tab w:pos="5359" w:val="left" w:leader="none"/>
          <w:tab w:pos="11119" w:val="left" w:leader="none"/>
        </w:tabs>
        <w:spacing w:line="240" w:lineRule="auto" w:before="52"/>
        <w:ind w:left="679" w:right="0"/>
        <w:jc w:val="left"/>
      </w:pPr>
      <w:r>
        <w:rPr/>
        <w:t>法定代表人：陈洪国</w:t>
        <w:tab/>
        <w:t>主管会计工作负责人：董连明</w:t>
        <w:tab/>
        <w:t>会计机构负责人：刘军</w:t>
      </w:r>
    </w:p>
    <w:p>
      <w:pPr>
        <w:spacing w:after="0" w:line="240" w:lineRule="auto"/>
        <w:jc w:val="left"/>
        <w:sectPr>
          <w:headerReference w:type="default" r:id="rId23"/>
          <w:footerReference w:type="default" r:id="rId24"/>
          <w:pgSz w:w="16840" w:h="11910" w:orient="landscape"/>
          <w:pgMar w:header="867" w:footer="978" w:top="1060" w:bottom="1160" w:left="760" w:right="740"/>
          <w:pgNumType w:start="90"/>
        </w:sectPr>
      </w:pPr>
    </w:p>
    <w:p>
      <w:pPr>
        <w:spacing w:line="240" w:lineRule="auto" w:before="12"/>
        <w:rPr>
          <w:rFonts w:ascii="宋体" w:hAnsi="宋体" w:cs="宋体" w:eastAsia="宋体" w:hint="default"/>
          <w:sz w:val="2"/>
          <w:szCs w:val="2"/>
        </w:rPr>
      </w:pPr>
    </w:p>
    <w:p>
      <w:pPr>
        <w:spacing w:line="20" w:lineRule="exact"/>
        <w:ind w:left="38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0"/>
        <w:ind w:left="419" w:right="0"/>
        <w:jc w:val="left"/>
      </w:pPr>
      <w:r>
        <w:rPr/>
        <w:t>上期金额</w:t>
      </w:r>
    </w:p>
    <w:p>
      <w:pPr>
        <w:pStyle w:val="BodyText"/>
        <w:spacing w:line="240" w:lineRule="auto" w:before="116"/>
        <w:ind w:left="0" w:right="516"/>
        <w:jc w:val="right"/>
      </w:pPr>
      <w:r>
        <w:rPr/>
        <w:t>单位：元</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232"/>
        <w:gridCol w:w="1480"/>
        <w:gridCol w:w="1480"/>
        <w:gridCol w:w="1252"/>
        <w:gridCol w:w="1260"/>
        <w:gridCol w:w="1480"/>
        <w:gridCol w:w="1480"/>
        <w:gridCol w:w="1342"/>
        <w:gridCol w:w="1566"/>
      </w:tblGrid>
      <w:tr>
        <w:trPr>
          <w:trHeight w:val="327" w:hRule="exact"/>
        </w:trPr>
        <w:tc>
          <w:tcPr>
            <w:tcW w:w="3232" w:type="dxa"/>
            <w:vMerge w:val="restart"/>
            <w:tcBorders>
              <w:top w:val="single" w:sz="6" w:space="0" w:color="000000"/>
              <w:left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430" w:type="dxa"/>
            <w:gridSpan w:val="6"/>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42" w:type="dxa"/>
            <w:vMerge w:val="restart"/>
            <w:tcBorders>
              <w:top w:val="single" w:sz="6" w:space="0" w:color="000000"/>
              <w:left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6" w:type="dxa"/>
            <w:vMerge w:val="restart"/>
            <w:tcBorders>
              <w:top w:val="single" w:sz="6" w:space="0" w:color="000000"/>
              <w:left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639" w:hRule="exact"/>
        </w:trPr>
        <w:tc>
          <w:tcPr>
            <w:tcW w:w="3232" w:type="dxa"/>
            <w:vMerge/>
            <w:tcBorders>
              <w:left w:val="single" w:sz="6" w:space="0" w:color="000000"/>
              <w:bottom w:val="single" w:sz="6" w:space="0" w:color="000000"/>
              <w:right w:val="single" w:sz="6" w:space="0" w:color="000000"/>
            </w:tcBorders>
            <w:shd w:val="clear" w:color="auto" w:fill="C0C0C0"/>
          </w:tcPr>
          <w:p>
            <w:pPr/>
          </w:p>
        </w:tc>
        <w:tc>
          <w:tcPr>
            <w:tcW w:w="148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48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5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减：库存股</w:t>
            </w:r>
          </w:p>
        </w:tc>
        <w:tc>
          <w:tcPr>
            <w:tcW w:w="126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316" w:lineRule="auto" w:before="11"/>
              <w:ind w:left="532" w:right="17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48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48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42" w:type="dxa"/>
            <w:vMerge/>
            <w:tcBorders>
              <w:left w:val="single" w:sz="6" w:space="0" w:color="000000"/>
              <w:bottom w:val="single" w:sz="6" w:space="0" w:color="000000"/>
              <w:right w:val="single" w:sz="6" w:space="0" w:color="000000"/>
            </w:tcBorders>
            <w:shd w:val="clear" w:color="auto" w:fill="C0C0C0"/>
          </w:tcPr>
          <w:p>
            <w:pPr/>
          </w:p>
        </w:tc>
        <w:tc>
          <w:tcPr>
            <w:tcW w:w="1566" w:type="dxa"/>
            <w:vMerge/>
            <w:tcBorders>
              <w:left w:val="single" w:sz="6" w:space="0" w:color="000000"/>
              <w:bottom w:val="single" w:sz="6" w:space="0" w:color="000000"/>
              <w:right w:val="single" w:sz="6" w:space="0" w:color="000000"/>
            </w:tcBorders>
            <w:shd w:val="clear" w:color="auto" w:fill="C0C0C0"/>
          </w:tcPr>
          <w:p>
            <w:pPr/>
          </w:p>
        </w:tc>
      </w:tr>
      <w:tr>
        <w:trPr>
          <w:trHeight w:val="330"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2,062,045,941.00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6,414,892,999.53</w:t>
            </w:r>
          </w:p>
        </w:tc>
        <w:tc>
          <w:tcPr>
            <w:tcW w:w="1252"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z w:val="18"/>
              </w:rPr>
              <w:t>929,205.04</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sz w:val="18"/>
              </w:rPr>
              <w:t>1,132,116,106.40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4,149,511,927.88</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585,921,753.20</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14,345,417,933.05</w:t>
            </w:r>
          </w:p>
        </w:tc>
      </w:tr>
      <w:tr>
        <w:trPr>
          <w:trHeight w:val="330"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46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82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82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8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2,062,045,941.00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6,414,892,999.53</w:t>
            </w:r>
          </w:p>
        </w:tc>
        <w:tc>
          <w:tcPr>
            <w:tcW w:w="1252"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z w:val="18"/>
              </w:rPr>
              <w:t>929,205.04</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sz w:val="18"/>
              </w:rPr>
              <w:t>1,132,116,106.40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4,149,511,927.88</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585,921,753.20</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14,345,417,933.05</w:t>
            </w:r>
          </w:p>
        </w:tc>
      </w:tr>
      <w:tr>
        <w:trPr>
          <w:trHeight w:val="638"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316" w:lineRule="auto" w:before="11"/>
              <w:ind w:left="100" w:right="54"/>
              <w:jc w:val="left"/>
              <w:rPr>
                <w:rFonts w:ascii="宋体" w:hAnsi="宋体" w:cs="宋体" w:eastAsia="宋体" w:hint="default"/>
                <w:sz w:val="18"/>
                <w:szCs w:val="18"/>
              </w:rPr>
            </w:pPr>
            <w:r>
              <w:rPr>
                <w:rFonts w:ascii="宋体" w:hAnsi="宋体" w:cs="宋体" w:eastAsia="宋体" w:hint="default"/>
                <w:sz w:val="18"/>
                <w:szCs w:val="18"/>
              </w:rPr>
              <w:t>三、本期增减变动金额（减少以“－” 号填列）</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-86,573,974.00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-210,210,970.59</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30,954,891.40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16,004,868.55</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592,127,013.70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12,543,553.58</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292,935,599.84</w:t>
            </w:r>
          </w:p>
        </w:tc>
      </w:tr>
      <w:tr>
        <w:trPr>
          <w:trHeight w:val="330"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-31,421,760.99</w:t>
            </w:r>
          </w:p>
        </w:tc>
        <w:tc>
          <w:tcPr>
            <w:tcW w:w="1252"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16,004,868.55</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710,655,331.72</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-20,302,094.10</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674,936,345.18</w:t>
            </w:r>
          </w:p>
        </w:tc>
      </w:tr>
      <w:tr>
        <w:trPr>
          <w:trHeight w:val="330"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-86,573,974.00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-178,789,209.60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30,954,891.40</w:t>
            </w:r>
          </w:p>
        </w:tc>
        <w:tc>
          <w:tcPr>
            <w:tcW w:w="126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48,533,141.18</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-247,784,933.82</w:t>
            </w:r>
          </w:p>
        </w:tc>
      </w:tr>
      <w:tr>
        <w:trPr>
          <w:trHeight w:val="330"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-86,573,974.00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-178,789,209.60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30,954,891.40</w:t>
            </w:r>
          </w:p>
        </w:tc>
        <w:tc>
          <w:tcPr>
            <w:tcW w:w="126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56,100,000.00</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-240,218,075.00</w:t>
            </w:r>
          </w:p>
        </w:tc>
      </w:tr>
      <w:tr>
        <w:trPr>
          <w:trHeight w:val="330"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-7,566,858.82</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-7,566,858.82</w:t>
            </w:r>
          </w:p>
        </w:tc>
      </w:tr>
      <w:tr>
        <w:trPr>
          <w:trHeight w:val="330"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-118,528,318.02</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-15,687,493.50</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-134,215,811.52</w:t>
            </w:r>
          </w:p>
        </w:tc>
      </w:tr>
      <w:tr>
        <w:trPr>
          <w:trHeight w:val="330"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-118,528,318.02</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-15,687,493.50</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-134,215,811.52</w:t>
            </w:r>
          </w:p>
        </w:tc>
      </w:tr>
      <w:tr>
        <w:trPr>
          <w:trHeight w:val="330"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1,975,471,967.00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6,204,682,028.94</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30,954,891.40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16,934,073.59</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sz w:val="18"/>
              </w:rPr>
              <w:t>1,132,116,106.40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4,741,638,941.58</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598,465,306.78</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14,638,353,532.89</w:t>
            </w:r>
          </w:p>
        </w:tc>
      </w:tr>
    </w:tbl>
    <w:p>
      <w:pPr>
        <w:pStyle w:val="BodyText"/>
        <w:tabs>
          <w:tab w:pos="5099" w:val="left" w:leader="none"/>
          <w:tab w:pos="10859" w:val="left" w:leader="none"/>
        </w:tabs>
        <w:spacing w:line="240" w:lineRule="auto" w:before="52"/>
        <w:ind w:left="419" w:right="0"/>
        <w:jc w:val="left"/>
      </w:pPr>
      <w:r>
        <w:rPr/>
        <w:t>法定代表人：陈洪国</w:t>
        <w:tab/>
        <w:t>主管会计工作负责人：董连明</w:t>
        <w:tab/>
        <w:t>会计机构负责人：刘军</w:t>
      </w:r>
    </w:p>
    <w:p>
      <w:pPr>
        <w:spacing w:after="0" w:line="240" w:lineRule="auto"/>
        <w:jc w:val="left"/>
        <w:sectPr>
          <w:pgSz w:w="16840" w:h="11910" w:orient="landscape"/>
          <w:pgMar w:header="867"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4"/>
        <w:spacing w:line="240" w:lineRule="auto" w:before="35"/>
        <w:ind w:left="754"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754" w:right="0"/>
        <w:jc w:val="left"/>
      </w:pPr>
      <w:r>
        <w:rPr/>
        <w:t>本期金额</w:t>
      </w:r>
    </w:p>
    <w:p>
      <w:pPr>
        <w:pStyle w:val="BodyText"/>
        <w:spacing w:line="240" w:lineRule="auto" w:before="116"/>
        <w:ind w:left="0" w:right="749"/>
        <w:jc w:val="right"/>
      </w:pPr>
      <w:r>
        <w:rPr/>
        <w:t>单位：元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099"/>
        <w:gridCol w:w="1480"/>
        <w:gridCol w:w="1481"/>
        <w:gridCol w:w="1310"/>
        <w:gridCol w:w="1481"/>
        <w:gridCol w:w="1480"/>
        <w:gridCol w:w="1566"/>
      </w:tblGrid>
      <w:tr>
        <w:trPr>
          <w:trHeight w:val="322" w:hRule="exact"/>
        </w:trPr>
        <w:tc>
          <w:tcPr>
            <w:tcW w:w="2099"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797" w:type="dxa"/>
            <w:gridSpan w:val="6"/>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42" w:hRule="exact"/>
        </w:trPr>
        <w:tc>
          <w:tcPr>
            <w:tcW w:w="2099" w:type="dxa"/>
            <w:vMerge/>
            <w:tcBorders>
              <w:left w:val="single" w:sz="8" w:space="0" w:color="000000"/>
              <w:bottom w:val="single" w:sz="8" w:space="0" w:color="000000"/>
              <w:right w:val="single" w:sz="8" w:space="0" w:color="000000"/>
            </w:tcBorders>
            <w:shd w:val="clear" w:color="auto" w:fill="C0C0C0"/>
          </w:tcPr>
          <w:p>
            <w:pPr/>
          </w:p>
        </w:tc>
        <w:tc>
          <w:tcPr>
            <w:tcW w:w="14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48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left="36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1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减：库存股</w:t>
            </w:r>
          </w:p>
        </w:tc>
        <w:tc>
          <w:tcPr>
            <w:tcW w:w="148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4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left="27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142"/>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35"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1,975,471,967.00</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6,005,426,779.17</w:t>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61" w:right="0"/>
              <w:jc w:val="center"/>
              <w:rPr>
                <w:rFonts w:ascii="Times New Roman" w:hAnsi="Times New Roman" w:cs="Times New Roman" w:eastAsia="Times New Roman" w:hint="default"/>
                <w:sz w:val="18"/>
                <w:szCs w:val="18"/>
              </w:rPr>
            </w:pPr>
            <w:r>
              <w:rPr>
                <w:rFonts w:ascii="Times New Roman"/>
                <w:sz w:val="18"/>
              </w:rPr>
              <w:t>30,954,891.40</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1" w:right="0"/>
              <w:jc w:val="center"/>
              <w:rPr>
                <w:rFonts w:ascii="Times New Roman" w:hAnsi="Times New Roman" w:cs="Times New Roman" w:eastAsia="Times New Roman" w:hint="default"/>
                <w:sz w:val="18"/>
                <w:szCs w:val="18"/>
              </w:rPr>
            </w:pPr>
            <w:r>
              <w:rPr>
                <w:rFonts w:ascii="Times New Roman"/>
                <w:sz w:val="18"/>
              </w:rPr>
              <w:t>1,119,926,524.49</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4,798,391,156.43</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13,868,261,535.69</w:t>
            </w:r>
          </w:p>
        </w:tc>
      </w:tr>
      <w:tr>
        <w:trPr>
          <w:trHeight w:val="335"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right="17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5"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right="17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5"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right="80"/>
              <w:jc w:val="center"/>
              <w:rPr>
                <w:rFonts w:ascii="宋体" w:hAnsi="宋体" w:cs="宋体" w:eastAsia="宋体" w:hint="default"/>
                <w:sz w:val="18"/>
                <w:szCs w:val="18"/>
              </w:rPr>
            </w:pPr>
            <w:r>
              <w:rPr>
                <w:rFonts w:ascii="宋体" w:hAnsi="宋体" w:cs="宋体" w:eastAsia="宋体" w:hint="default"/>
                <w:sz w:val="18"/>
                <w:szCs w:val="18"/>
              </w:rPr>
              <w:t>其他</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1,975,471,967.00</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6,005,426,779.17</w:t>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61" w:right="0"/>
              <w:jc w:val="center"/>
              <w:rPr>
                <w:rFonts w:ascii="Times New Roman" w:hAnsi="Times New Roman" w:cs="Times New Roman" w:eastAsia="Times New Roman" w:hint="default"/>
                <w:sz w:val="18"/>
                <w:szCs w:val="18"/>
              </w:rPr>
            </w:pPr>
            <w:r>
              <w:rPr>
                <w:rFonts w:ascii="Times New Roman"/>
                <w:sz w:val="18"/>
              </w:rPr>
              <w:t>30,954,891.40</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1" w:right="0"/>
              <w:jc w:val="center"/>
              <w:rPr>
                <w:rFonts w:ascii="Times New Roman" w:hAnsi="Times New Roman" w:cs="Times New Roman" w:eastAsia="Times New Roman" w:hint="default"/>
                <w:sz w:val="18"/>
                <w:szCs w:val="18"/>
              </w:rPr>
            </w:pPr>
            <w:r>
              <w:rPr>
                <w:rFonts w:ascii="Times New Roman"/>
                <w:sz w:val="18"/>
              </w:rPr>
              <w:t>1,119,926,524.49</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4,798,391,156.43</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13,868,261,535.69</w:t>
            </w:r>
          </w:p>
        </w:tc>
      </w:tr>
      <w:tr>
        <w:trPr>
          <w:trHeight w:val="643"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-39,066,500.00</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6"/>
              <w:jc w:val="right"/>
              <w:rPr>
                <w:rFonts w:ascii="Times New Roman" w:hAnsi="Times New Roman" w:cs="Times New Roman" w:eastAsia="Times New Roman" w:hint="default"/>
                <w:sz w:val="18"/>
                <w:szCs w:val="18"/>
              </w:rPr>
            </w:pPr>
            <w:r>
              <w:rPr>
                <w:rFonts w:ascii="Times New Roman"/>
                <w:spacing w:val="-1"/>
                <w:sz w:val="18"/>
              </w:rPr>
              <w:t>-66,587,522.47</w:t>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Times New Roman" w:hAnsi="Times New Roman" w:cs="Times New Roman" w:eastAsia="Times New Roman" w:hint="default"/>
                <w:sz w:val="18"/>
                <w:szCs w:val="18"/>
              </w:rPr>
            </w:pPr>
            <w:r>
              <w:rPr>
                <w:rFonts w:ascii="Times New Roman"/>
                <w:sz w:val="18"/>
              </w:rPr>
              <w:t>-30,954,891.40</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498,108,615.68</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423,409,484.61</w:t>
            </w:r>
          </w:p>
        </w:tc>
      </w:tr>
      <w:tr>
        <w:trPr>
          <w:trHeight w:val="335"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1,079,030,255.78</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1,079,030,255.78</w:t>
            </w:r>
          </w:p>
        </w:tc>
      </w:tr>
      <w:tr>
        <w:trPr>
          <w:trHeight w:val="644"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16" w:lineRule="auto" w:before="11"/>
              <w:ind w:left="98" w:right="179"/>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-39,066,500.00</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6"/>
              <w:jc w:val="right"/>
              <w:rPr>
                <w:rFonts w:ascii="Times New Roman" w:hAnsi="Times New Roman" w:cs="Times New Roman" w:eastAsia="Times New Roman" w:hint="default"/>
                <w:sz w:val="18"/>
                <w:szCs w:val="18"/>
              </w:rPr>
            </w:pPr>
            <w:r>
              <w:rPr>
                <w:rFonts w:ascii="Times New Roman"/>
                <w:spacing w:val="-1"/>
                <w:sz w:val="18"/>
              </w:rPr>
              <w:t>-66,587,522.47</w:t>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Times New Roman" w:hAnsi="Times New Roman" w:cs="Times New Roman" w:eastAsia="Times New Roman" w:hint="default"/>
                <w:sz w:val="18"/>
                <w:szCs w:val="18"/>
              </w:rPr>
            </w:pPr>
            <w:r>
              <w:rPr>
                <w:rFonts w:ascii="Times New Roman"/>
                <w:sz w:val="18"/>
              </w:rPr>
              <w:t>-30,954,891.40</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-74,699,131.07</w:t>
            </w:r>
          </w:p>
        </w:tc>
      </w:tr>
      <w:tr>
        <w:trPr>
          <w:trHeight w:val="335"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5"/>
              <w:jc w:val="right"/>
              <w:rPr>
                <w:rFonts w:ascii="Times New Roman" w:hAnsi="Times New Roman" w:cs="Times New Roman" w:eastAsia="Times New Roman" w:hint="default"/>
                <w:sz w:val="18"/>
                <w:szCs w:val="18"/>
              </w:rPr>
            </w:pPr>
            <w:r>
              <w:rPr>
                <w:rFonts w:ascii="Times New Roman"/>
                <w:spacing w:val="-1"/>
                <w:sz w:val="18"/>
              </w:rPr>
              <w:t>-39,066,500.00</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-66,587,522.47</w:t>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sz w:val="18"/>
              </w:rPr>
              <w:t>-30,954,891.40</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5"/>
              <w:jc w:val="right"/>
              <w:rPr>
                <w:rFonts w:ascii="Times New Roman" w:hAnsi="Times New Roman" w:cs="Times New Roman" w:eastAsia="Times New Roman" w:hint="default"/>
                <w:sz w:val="18"/>
                <w:szCs w:val="18"/>
              </w:rPr>
            </w:pPr>
            <w:r>
              <w:rPr>
                <w:rFonts w:ascii="Times New Roman"/>
                <w:spacing w:val="-1"/>
                <w:sz w:val="18"/>
              </w:rPr>
              <w:t>-74,699,131.07</w:t>
            </w:r>
          </w:p>
        </w:tc>
      </w:tr>
      <w:tr>
        <w:trPr>
          <w:trHeight w:val="644"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00" w:lineRule="auto" w:before="11"/>
              <w:ind w:left="98"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644"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00" w:lineRule="auto" w:before="11"/>
              <w:ind w:left="98"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5"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5"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5"/>
              <w:jc w:val="right"/>
              <w:rPr>
                <w:rFonts w:ascii="Times New Roman" w:hAnsi="Times New Roman" w:cs="Times New Roman" w:eastAsia="Times New Roman" w:hint="default"/>
                <w:sz w:val="18"/>
                <w:szCs w:val="18"/>
              </w:rPr>
            </w:pPr>
            <w:r>
              <w:rPr>
                <w:rFonts w:ascii="Times New Roman"/>
                <w:spacing w:val="-1"/>
                <w:sz w:val="18"/>
              </w:rPr>
              <w:t>-580,921,640.10</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5"/>
              <w:jc w:val="right"/>
              <w:rPr>
                <w:rFonts w:ascii="Times New Roman" w:hAnsi="Times New Roman" w:cs="Times New Roman" w:eastAsia="Times New Roman" w:hint="default"/>
                <w:sz w:val="18"/>
                <w:szCs w:val="18"/>
              </w:rPr>
            </w:pPr>
            <w:r>
              <w:rPr>
                <w:rFonts w:ascii="Times New Roman"/>
                <w:spacing w:val="-1"/>
                <w:sz w:val="18"/>
              </w:rPr>
              <w:t>-580,921,640.10</w:t>
            </w:r>
          </w:p>
        </w:tc>
      </w:tr>
      <w:tr>
        <w:trPr>
          <w:trHeight w:val="335"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644"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00" w:lineRule="auto" w:before="11"/>
              <w:ind w:left="98"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-580,921,640.10</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-580,921,640.10</w:t>
            </w:r>
          </w:p>
        </w:tc>
      </w:tr>
      <w:tr>
        <w:trPr>
          <w:trHeight w:val="335"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644"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16" w:lineRule="auto" w:before="11"/>
              <w:ind w:left="98" w:right="179"/>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644"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5"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5"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5"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5"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5"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5" w:hRule="exact"/>
        </w:trPr>
        <w:tc>
          <w:tcPr>
            <w:tcW w:w="20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1,936,405,467.00</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5,938,839,256.70</w:t>
            </w:r>
          </w:p>
        </w:tc>
        <w:tc>
          <w:tcPr>
            <w:tcW w:w="131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1" w:right="0"/>
              <w:jc w:val="center"/>
              <w:rPr>
                <w:rFonts w:ascii="Times New Roman" w:hAnsi="Times New Roman" w:cs="Times New Roman" w:eastAsia="Times New Roman" w:hint="default"/>
                <w:sz w:val="18"/>
                <w:szCs w:val="18"/>
              </w:rPr>
            </w:pPr>
            <w:r>
              <w:rPr>
                <w:rFonts w:ascii="Times New Roman"/>
                <w:sz w:val="18"/>
              </w:rPr>
              <w:t>1,119,926,524.49</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5,296,499,772.11</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14,291,671,020.30</w:t>
            </w:r>
          </w:p>
        </w:tc>
      </w:tr>
    </w:tbl>
    <w:p>
      <w:pPr>
        <w:pStyle w:val="BodyText"/>
        <w:tabs>
          <w:tab w:pos="4263" w:val="left" w:leader="none"/>
          <w:tab w:pos="8043" w:val="left" w:leader="none"/>
        </w:tabs>
        <w:spacing w:line="240" w:lineRule="auto" w:before="52"/>
        <w:ind w:left="754" w:right="0"/>
        <w:jc w:val="left"/>
      </w:pPr>
      <w:r>
        <w:rPr/>
        <w:t>法定代表人：陈洪国</w:t>
        <w:tab/>
        <w:t>主管会计工作负责人：董连明</w:t>
        <w:tab/>
        <w:t>会计机构负责人：刘军</w:t>
      </w:r>
    </w:p>
    <w:p>
      <w:pPr>
        <w:spacing w:after="0" w:line="240" w:lineRule="auto"/>
        <w:jc w:val="left"/>
        <w:sectPr>
          <w:headerReference w:type="default" r:id="rId25"/>
          <w:footerReference w:type="default" r:id="rId26"/>
          <w:pgSz w:w="11910" w:h="16840"/>
          <w:pgMar w:header="877" w:footer="982" w:top="1100" w:bottom="1180" w:left="380" w:right="380"/>
          <w:pgNumType w:start="92"/>
        </w:sectPr>
      </w:pPr>
    </w:p>
    <w:p>
      <w:pPr>
        <w:spacing w:line="240" w:lineRule="auto" w:before="13"/>
        <w:rPr>
          <w:rFonts w:ascii="宋体" w:hAnsi="宋体" w:cs="宋体" w:eastAsia="宋体" w:hint="default"/>
          <w:sz w:val="21"/>
          <w:szCs w:val="21"/>
        </w:rPr>
      </w:pPr>
    </w:p>
    <w:p>
      <w:pPr>
        <w:pStyle w:val="BodyText"/>
        <w:spacing w:line="240" w:lineRule="auto" w:before="44"/>
        <w:ind w:left="733" w:right="0"/>
        <w:jc w:val="left"/>
      </w:pPr>
      <w:r>
        <w:rPr/>
        <w:t>上期金额</w:t>
      </w:r>
    </w:p>
    <w:p>
      <w:pPr>
        <w:pStyle w:val="BodyText"/>
        <w:spacing w:line="240" w:lineRule="auto" w:before="116"/>
        <w:ind w:left="0" w:right="729"/>
        <w:jc w:val="right"/>
      </w:pPr>
      <w:r>
        <w:rPr/>
        <w:t>单位：元</w:t>
      </w:r>
    </w:p>
    <w:p>
      <w:pPr>
        <w:spacing w:line="240" w:lineRule="auto" w:before="1"/>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119"/>
        <w:gridCol w:w="1481"/>
        <w:gridCol w:w="1480"/>
        <w:gridCol w:w="1252"/>
        <w:gridCol w:w="1480"/>
        <w:gridCol w:w="1480"/>
        <w:gridCol w:w="1566"/>
      </w:tblGrid>
      <w:tr>
        <w:trPr>
          <w:trHeight w:val="322" w:hRule="exact"/>
        </w:trPr>
        <w:tc>
          <w:tcPr>
            <w:tcW w:w="2119"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737" w:type="dxa"/>
            <w:gridSpan w:val="6"/>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41" w:hRule="exact"/>
        </w:trPr>
        <w:tc>
          <w:tcPr>
            <w:tcW w:w="2119" w:type="dxa"/>
            <w:vMerge/>
            <w:tcBorders>
              <w:left w:val="single" w:sz="8" w:space="0" w:color="000000"/>
              <w:bottom w:val="single" w:sz="8" w:space="0" w:color="000000"/>
              <w:right w:val="single" w:sz="8" w:space="0" w:color="000000"/>
            </w:tcBorders>
            <w:shd w:val="clear" w:color="auto" w:fill="C0C0C0"/>
          </w:tcPr>
          <w:p>
            <w:pPr/>
          </w:p>
        </w:tc>
        <w:tc>
          <w:tcPr>
            <w:tcW w:w="148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25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减：库存股</w:t>
            </w:r>
          </w:p>
        </w:tc>
        <w:tc>
          <w:tcPr>
            <w:tcW w:w="14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4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0"/>
              <w:ind w:left="27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0"/>
              <w:ind w:right="143"/>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35"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2,062,045,941.00</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sz w:val="18"/>
              </w:rPr>
              <w:t>6,184,215,988.77</w:t>
            </w: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sz w:val="18"/>
              </w:rPr>
              <w:t>1,119,926,524.49</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4,079,103,308.16</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13,445,291,762.42</w:t>
            </w:r>
          </w:p>
        </w:tc>
      </w:tr>
      <w:tr>
        <w:trPr>
          <w:trHeight w:val="500"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499"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right="101"/>
              <w:jc w:val="center"/>
              <w:rPr>
                <w:rFonts w:ascii="宋体" w:hAnsi="宋体" w:cs="宋体" w:eastAsia="宋体" w:hint="default"/>
                <w:sz w:val="18"/>
                <w:szCs w:val="18"/>
              </w:rPr>
            </w:pPr>
            <w:r>
              <w:rPr>
                <w:rFonts w:ascii="宋体" w:hAnsi="宋体" w:cs="宋体" w:eastAsia="宋体" w:hint="default"/>
                <w:sz w:val="18"/>
                <w:szCs w:val="18"/>
              </w:rPr>
              <w:t>其他</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5"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2,062,045,941.00</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sz w:val="18"/>
              </w:rPr>
              <w:t>6,184,215,988.77</w:t>
            </w: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sz w:val="18"/>
              </w:rPr>
              <w:t>1,119,926,524.49</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4,079,103,308.16</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13,445,291,762.42</w:t>
            </w:r>
          </w:p>
        </w:tc>
      </w:tr>
      <w:tr>
        <w:trPr>
          <w:trHeight w:val="725"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92"/>
              <w:ind w:left="98"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-86,573,974.00</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-178,789,209.60</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30,954,891.40</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719,287,848.27</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422,969,773.27</w:t>
            </w:r>
          </w:p>
        </w:tc>
      </w:tr>
      <w:tr>
        <w:trPr>
          <w:trHeight w:val="335"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5"/>
              <w:jc w:val="right"/>
              <w:rPr>
                <w:rFonts w:ascii="Times New Roman" w:hAnsi="Times New Roman" w:cs="Times New Roman" w:eastAsia="Times New Roman" w:hint="default"/>
                <w:sz w:val="18"/>
                <w:szCs w:val="18"/>
              </w:rPr>
            </w:pPr>
            <w:r>
              <w:rPr>
                <w:rFonts w:ascii="Times New Roman"/>
                <w:spacing w:val="-1"/>
                <w:sz w:val="18"/>
              </w:rPr>
              <w:t>837,816,166.29</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5"/>
              <w:jc w:val="right"/>
              <w:rPr>
                <w:rFonts w:ascii="Times New Roman" w:hAnsi="Times New Roman" w:cs="Times New Roman" w:eastAsia="Times New Roman" w:hint="default"/>
                <w:sz w:val="18"/>
                <w:szCs w:val="18"/>
              </w:rPr>
            </w:pPr>
            <w:r>
              <w:rPr>
                <w:rFonts w:ascii="Times New Roman"/>
                <w:spacing w:val="-1"/>
                <w:sz w:val="18"/>
              </w:rPr>
              <w:t>837,816,166.29</w:t>
            </w:r>
          </w:p>
        </w:tc>
      </w:tr>
      <w:tr>
        <w:trPr>
          <w:trHeight w:val="644"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16" w:lineRule="auto" w:before="11"/>
              <w:ind w:left="98" w:right="96"/>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r>
              <w:rPr>
                <w:rFonts w:ascii="宋体" w:hAnsi="宋体" w:cs="宋体" w:eastAsia="宋体" w:hint="default"/>
                <w:sz w:val="18"/>
                <w:szCs w:val="18"/>
              </w:rPr>
              <w:t> 资本</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6"/>
              <w:jc w:val="right"/>
              <w:rPr>
                <w:rFonts w:ascii="Times New Roman" w:hAnsi="Times New Roman" w:cs="Times New Roman" w:eastAsia="Times New Roman" w:hint="default"/>
                <w:sz w:val="18"/>
                <w:szCs w:val="18"/>
              </w:rPr>
            </w:pPr>
            <w:r>
              <w:rPr>
                <w:rFonts w:ascii="Times New Roman"/>
                <w:spacing w:val="-1"/>
                <w:sz w:val="18"/>
              </w:rPr>
              <w:t>-86,573,974.00</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0" w:right="0"/>
              <w:jc w:val="center"/>
              <w:rPr>
                <w:rFonts w:ascii="Times New Roman" w:hAnsi="Times New Roman" w:cs="Times New Roman" w:eastAsia="Times New Roman" w:hint="default"/>
                <w:sz w:val="18"/>
                <w:szCs w:val="18"/>
              </w:rPr>
            </w:pPr>
            <w:r>
              <w:rPr>
                <w:rFonts w:ascii="Times New Roman"/>
                <w:sz w:val="18"/>
              </w:rPr>
              <w:t>-178,789,209.60</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30,954,891.40</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-296,318,075.00</w:t>
            </w:r>
          </w:p>
        </w:tc>
      </w:tr>
      <w:tr>
        <w:trPr>
          <w:trHeight w:val="335"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-86,573,974.00</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80" w:right="0"/>
              <w:jc w:val="center"/>
              <w:rPr>
                <w:rFonts w:ascii="Times New Roman" w:hAnsi="Times New Roman" w:cs="Times New Roman" w:eastAsia="Times New Roman" w:hint="default"/>
                <w:sz w:val="18"/>
                <w:szCs w:val="18"/>
              </w:rPr>
            </w:pPr>
            <w:r>
              <w:rPr>
                <w:rFonts w:ascii="Times New Roman"/>
                <w:sz w:val="18"/>
              </w:rPr>
              <w:t>-178,789,209.60</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30,954,891.40</w:t>
            </w: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5"/>
              <w:jc w:val="right"/>
              <w:rPr>
                <w:rFonts w:ascii="Times New Roman" w:hAnsi="Times New Roman" w:cs="Times New Roman" w:eastAsia="Times New Roman" w:hint="default"/>
                <w:sz w:val="18"/>
                <w:szCs w:val="18"/>
              </w:rPr>
            </w:pPr>
            <w:r>
              <w:rPr>
                <w:rFonts w:ascii="Times New Roman"/>
                <w:spacing w:val="-1"/>
                <w:sz w:val="18"/>
              </w:rPr>
              <w:t>-296,318,075.00</w:t>
            </w:r>
          </w:p>
        </w:tc>
      </w:tr>
      <w:tr>
        <w:trPr>
          <w:trHeight w:val="644"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00" w:lineRule="auto" w:before="11"/>
              <w:ind w:left="98" w:right="10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00" w:lineRule="auto" w:before="11"/>
              <w:ind w:left="98" w:right="10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5"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5"/>
              <w:jc w:val="right"/>
              <w:rPr>
                <w:rFonts w:ascii="Times New Roman" w:hAnsi="Times New Roman" w:cs="Times New Roman" w:eastAsia="Times New Roman" w:hint="default"/>
                <w:sz w:val="18"/>
                <w:szCs w:val="18"/>
              </w:rPr>
            </w:pPr>
            <w:r>
              <w:rPr>
                <w:rFonts w:ascii="Times New Roman"/>
                <w:spacing w:val="-1"/>
                <w:sz w:val="18"/>
              </w:rPr>
              <w:t>-118,528,318.02</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5"/>
              <w:jc w:val="right"/>
              <w:rPr>
                <w:rFonts w:ascii="Times New Roman" w:hAnsi="Times New Roman" w:cs="Times New Roman" w:eastAsia="Times New Roman" w:hint="default"/>
                <w:sz w:val="18"/>
                <w:szCs w:val="18"/>
              </w:rPr>
            </w:pPr>
            <w:r>
              <w:rPr>
                <w:rFonts w:ascii="Times New Roman"/>
                <w:spacing w:val="-1"/>
                <w:sz w:val="18"/>
              </w:rPr>
              <w:t>-118,528,318.02</w:t>
            </w:r>
          </w:p>
        </w:tc>
      </w:tr>
      <w:tr>
        <w:trPr>
          <w:trHeight w:val="335"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00" w:lineRule="auto" w:before="11"/>
              <w:ind w:left="98" w:right="10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-118,528,318.02</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-118,528,318.02</w:t>
            </w:r>
          </w:p>
        </w:tc>
      </w:tr>
      <w:tr>
        <w:trPr>
          <w:trHeight w:val="336"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16" w:lineRule="auto" w:before="11"/>
              <w:ind w:left="98" w:right="96"/>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r>
              <w:rPr>
                <w:rFonts w:ascii="宋体" w:hAnsi="宋体" w:cs="宋体" w:eastAsia="宋体" w:hint="default"/>
                <w:sz w:val="18"/>
                <w:szCs w:val="18"/>
              </w:rPr>
              <w:t> 转</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644"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00" w:lineRule="auto" w:before="11"/>
              <w:ind w:left="98" w:right="97"/>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．资本公积转增资本（或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股本）</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644"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00" w:lineRule="auto" w:before="11"/>
              <w:ind w:left="98" w:right="97"/>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．盈余公积转增资本（或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股本）</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5"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5"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5"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5"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5"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81"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566"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21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1,975,471,967.00</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sz w:val="18"/>
              </w:rPr>
              <w:t>6,005,426,779.17</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30,954,891.40</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sz w:val="18"/>
              </w:rPr>
              <w:t>1,119,926,524.49</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4,798,391,156.43</w:t>
            </w:r>
          </w:p>
        </w:tc>
        <w:tc>
          <w:tcPr>
            <w:tcW w:w="1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Times New Roman" w:hAnsi="Times New Roman" w:cs="Times New Roman" w:eastAsia="Times New Roman" w:hint="default"/>
                <w:sz w:val="18"/>
                <w:szCs w:val="18"/>
              </w:rPr>
            </w:pPr>
            <w:r>
              <w:rPr>
                <w:rFonts w:ascii="Times New Roman"/>
                <w:spacing w:val="-1"/>
                <w:sz w:val="18"/>
              </w:rPr>
              <w:t>13,868,261,535.69</w:t>
            </w:r>
          </w:p>
        </w:tc>
      </w:tr>
    </w:tbl>
    <w:p>
      <w:pPr>
        <w:pStyle w:val="BodyText"/>
        <w:tabs>
          <w:tab w:pos="4243" w:val="left" w:leader="none"/>
          <w:tab w:pos="8023" w:val="left" w:leader="none"/>
        </w:tabs>
        <w:spacing w:line="240" w:lineRule="auto" w:before="52"/>
        <w:ind w:left="734" w:right="0"/>
        <w:jc w:val="left"/>
      </w:pPr>
      <w:r>
        <w:rPr/>
        <w:t>法定代表人：陈洪国</w:t>
        <w:tab/>
        <w:t>主管会计工作负责人：董连明</w:t>
        <w:tab/>
        <w:t>会计机构负责人：刘军</w:t>
      </w:r>
    </w:p>
    <w:p>
      <w:pPr>
        <w:spacing w:after="0" w:line="240" w:lineRule="auto"/>
        <w:jc w:val="left"/>
        <w:sectPr>
          <w:pgSz w:w="11910" w:h="16840"/>
          <w:pgMar w:header="877" w:footer="982" w:top="1100" w:bottom="1180" w:left="400" w:right="400"/>
        </w:sectPr>
      </w:pPr>
    </w:p>
    <w:p>
      <w:pPr>
        <w:spacing w:line="240" w:lineRule="auto" w:before="8"/>
        <w:rPr>
          <w:rFonts w:ascii="宋体" w:hAnsi="宋体" w:cs="宋体" w:eastAsia="宋体" w:hint="default"/>
          <w:sz w:val="19"/>
          <w:szCs w:val="19"/>
        </w:rPr>
      </w:pPr>
    </w:p>
    <w:p>
      <w:pPr>
        <w:pStyle w:val="Heading2"/>
        <w:spacing w:line="240" w:lineRule="auto" w:before="26"/>
        <w:ind w:right="182"/>
        <w:jc w:val="left"/>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87" w:firstLine="359"/>
        <w:jc w:val="both"/>
      </w:pPr>
      <w:r>
        <w:rPr/>
        <w:t>山东晨鸣纸业集团股份有限公司（以下简称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5</w:t>
      </w:r>
      <w:r>
        <w:rPr/>
        <w:t>月在山东省寿光市注册成立，现总部位于山</w:t>
      </w:r>
      <w:r>
        <w:rPr>
          <w:spacing w:val="1"/>
        </w:rPr>
        <w:t> </w:t>
      </w:r>
      <w:r>
        <w:rPr/>
        <w:t>东省寿光市农圣东街</w:t>
      </w:r>
      <w:r>
        <w:rPr>
          <w:rFonts w:ascii="Times New Roman" w:hAnsi="Times New Roman" w:cs="Times New Roman" w:eastAsia="Times New Roman" w:hint="default"/>
        </w:rPr>
        <w:t>2199</w:t>
      </w:r>
      <w:r>
        <w:rPr/>
        <w:t>号。</w:t>
      </w:r>
    </w:p>
    <w:p>
      <w:pPr>
        <w:pStyle w:val="BodyText"/>
        <w:spacing w:line="300" w:lineRule="auto" w:before="13"/>
        <w:ind w:right="187" w:firstLine="360"/>
        <w:jc w:val="both"/>
      </w:pPr>
      <w:r>
        <w:rPr/>
        <w:t>公司前身为山东省寿光县造纸总厂，于</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5</w:t>
      </w:r>
      <w:r>
        <w:rPr/>
        <w:t>月以定向募集山东寿光造纸印刷包装（集团）股份有限公司，注册资本 </w:t>
      </w:r>
      <w:r>
        <w:rPr>
          <w:rFonts w:ascii="Times New Roman" w:hAnsi="Times New Roman" w:cs="Times New Roman" w:eastAsia="Times New Roman" w:hint="default"/>
          <w:spacing w:val="-5"/>
        </w:rPr>
        <w:t>66,647,400</w:t>
      </w:r>
      <w:r>
        <w:rPr>
          <w:spacing w:val="-5"/>
        </w:rPr>
        <w:t>元人民币，总股本</w:t>
      </w:r>
      <w:r>
        <w:rPr>
          <w:rFonts w:ascii="Times New Roman" w:hAnsi="Times New Roman" w:cs="Times New Roman" w:eastAsia="Times New Roman" w:hint="default"/>
          <w:spacing w:val="-5"/>
        </w:rPr>
        <w:t>66,647,400</w:t>
      </w:r>
      <w:r>
        <w:rPr>
          <w:spacing w:val="-5"/>
        </w:rPr>
        <w:t>股。股权结构为：发起人国家股</w:t>
      </w:r>
      <w:r>
        <w:rPr>
          <w:rFonts w:ascii="Times New Roman" w:hAnsi="Times New Roman" w:cs="Times New Roman" w:eastAsia="Times New Roman" w:hint="default"/>
          <w:spacing w:val="-5"/>
        </w:rPr>
        <w:t>46,497,400</w:t>
      </w:r>
      <w:r>
        <w:rPr>
          <w:spacing w:val="-5"/>
        </w:rPr>
        <w:t>股，占总股本的</w:t>
      </w:r>
      <w:r>
        <w:rPr>
          <w:rFonts w:ascii="Times New Roman" w:hAnsi="Times New Roman" w:cs="Times New Roman" w:eastAsia="Times New Roman" w:hint="default"/>
          <w:spacing w:val="-5"/>
        </w:rPr>
        <w:t>69.76%</w:t>
      </w:r>
      <w:r>
        <w:rPr>
          <w:spacing w:val="-5"/>
        </w:rPr>
        <w:t>；境内法人股</w:t>
      </w:r>
      <w:r>
        <w:rPr>
          <w:rFonts w:ascii="Times New Roman" w:hAnsi="Times New Roman" w:cs="Times New Roman" w:eastAsia="Times New Roman" w:hint="default"/>
          <w:spacing w:val="-5"/>
        </w:rPr>
        <w:t>1,558,500</w:t>
      </w:r>
      <w:r>
        <w:rPr>
          <w:rFonts w:ascii="Times New Roman" w:hAnsi="Times New Roman" w:cs="Times New Roman" w:eastAsia="Times New Roman" w:hint="default"/>
          <w:spacing w:val="-25"/>
        </w:rPr>
        <w:t> </w:t>
      </w:r>
      <w:r>
        <w:rPr/>
        <w:t>股，占总股本的</w:t>
      </w:r>
      <w:r>
        <w:rPr>
          <w:rFonts w:ascii="Times New Roman" w:hAnsi="Times New Roman" w:cs="Times New Roman" w:eastAsia="Times New Roman" w:hint="default"/>
        </w:rPr>
        <w:t>2.34%</w:t>
      </w:r>
      <w:r>
        <w:rPr/>
        <w:t>；内部职工股</w:t>
      </w:r>
      <w:r>
        <w:rPr>
          <w:rFonts w:ascii="Times New Roman" w:hAnsi="Times New Roman" w:cs="Times New Roman" w:eastAsia="Times New Roman" w:hint="default"/>
        </w:rPr>
        <w:t>18,591,500</w:t>
      </w:r>
      <w:r>
        <w:rPr/>
        <w:t>股，占总股本的</w:t>
      </w:r>
      <w:r>
        <w:rPr>
          <w:rFonts w:ascii="Times New Roman" w:hAnsi="Times New Roman" w:cs="Times New Roman" w:eastAsia="Times New Roman" w:hint="default"/>
        </w:rPr>
        <w:t>27.90%</w:t>
      </w:r>
      <w:r>
        <w:rPr/>
        <w:t>。</w:t>
      </w:r>
    </w:p>
    <w:p>
      <w:pPr>
        <w:pStyle w:val="BodyText"/>
        <w:spacing w:line="300" w:lineRule="auto" w:before="13"/>
        <w:ind w:right="90" w:firstLine="360"/>
        <w:jc w:val="left"/>
      </w:pPr>
      <w:r>
        <w:rPr>
          <w:rFonts w:ascii="Times New Roman" w:hAnsi="Times New Roman" w:cs="Times New Roman" w:eastAsia="Times New Roman" w:hint="default"/>
        </w:rPr>
        <w:t>1993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日，经山东省寿光市经济体制改革办公室核发的《关于山东寿光造纸印刷包装（集团）股份有限公司更名 </w:t>
      </w:r>
      <w:r>
        <w:rPr>
          <w:spacing w:val="-2"/>
        </w:rPr>
        <w:t>为山东寿光造纸（集团）股份有限公司的批复》（寿改发〔</w:t>
      </w:r>
      <w:r>
        <w:rPr>
          <w:rFonts w:ascii="Times New Roman" w:hAnsi="Times New Roman" w:cs="Times New Roman" w:eastAsia="Times New Roman" w:hint="default"/>
          <w:spacing w:val="-2"/>
        </w:rPr>
        <w:t>1993</w:t>
      </w:r>
      <w:r>
        <w:rPr>
          <w:spacing w:val="-2"/>
        </w:rPr>
        <w:t>〕</w:t>
      </w:r>
      <w:r>
        <w:rPr>
          <w:rFonts w:ascii="Times New Roman" w:hAnsi="Times New Roman" w:cs="Times New Roman" w:eastAsia="Times New Roman" w:hint="default"/>
          <w:spacing w:val="-2"/>
        </w:rPr>
        <w:t>23</w:t>
      </w:r>
      <w:r>
        <w:rPr>
          <w:spacing w:val="-2"/>
        </w:rPr>
        <w:t>号）予以批复，山东寿光造纸印刷包装（集团）股份有</w:t>
      </w:r>
      <w:r>
        <w:rPr>
          <w:spacing w:val="-64"/>
        </w:rPr>
        <w:t> </w:t>
      </w:r>
      <w:r>
        <w:rPr>
          <w:spacing w:val="-64"/>
        </w:rPr>
      </w:r>
      <w:r>
        <w:rPr/>
        <w:t>限公司更名为山东寿光造纸（集团）股份有限公司，并于</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日办理完相关的工商变更登记手续；</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 经山东省经济改革委员会核发的《关于同意确认山东寿光造纸集团股份有限公司的函》（鲁体改函字〔</w:t>
      </w:r>
      <w:r>
        <w:rPr>
          <w:rFonts w:ascii="Times New Roman" w:hAnsi="Times New Roman" w:cs="Times New Roman" w:eastAsia="Times New Roman" w:hint="default"/>
        </w:rPr>
        <w:t>1996</w:t>
      </w:r>
      <w:r>
        <w:rPr/>
        <w:t>〕第</w:t>
      </w:r>
      <w:r>
        <w:rPr>
          <w:rFonts w:ascii="Times New Roman" w:hAnsi="Times New Roman" w:cs="Times New Roman" w:eastAsia="Times New Roman" w:hint="default"/>
        </w:rPr>
        <w:t>123</w:t>
      </w:r>
      <w:r>
        <w:rPr/>
        <w:t>号）和</w:t>
      </w:r>
      <w:r>
        <w:rPr>
          <w:spacing w:val="-84"/>
        </w:rPr>
        <w:t> </w:t>
      </w:r>
      <w:r>
        <w:rPr>
          <w:spacing w:val="-2"/>
        </w:rPr>
        <w:t>山东省人民政府核发的《山东省股份有限公司批准证书》（鲁政股字〔</w:t>
      </w:r>
      <w:r>
        <w:rPr>
          <w:rFonts w:ascii="Times New Roman" w:hAnsi="Times New Roman" w:cs="Times New Roman" w:eastAsia="Times New Roman" w:hint="default"/>
          <w:spacing w:val="-2"/>
        </w:rPr>
        <w:t>1996</w:t>
      </w:r>
      <w:r>
        <w:rPr>
          <w:spacing w:val="-2"/>
        </w:rPr>
        <w:t>〕</w:t>
      </w:r>
      <w:r>
        <w:rPr>
          <w:rFonts w:ascii="Times New Roman" w:hAnsi="Times New Roman" w:cs="Times New Roman" w:eastAsia="Times New Roman" w:hint="default"/>
          <w:spacing w:val="-2"/>
        </w:rPr>
        <w:t>98</w:t>
      </w:r>
      <w:r>
        <w:rPr>
          <w:spacing w:val="-2"/>
        </w:rPr>
        <w:t>号），同意山东寿光造纸集团股份有限公司</w:t>
      </w:r>
      <w:r>
        <w:rPr>
          <w:spacing w:val="-62"/>
        </w:rPr>
        <w:t> </w:t>
      </w:r>
      <w:r>
        <w:rPr>
          <w:spacing w:val="-62"/>
        </w:rPr>
      </w:r>
      <w:r>
        <w:rPr/>
        <w:t>更名为山东晨鸣纸业集团股份有限公司（即公司目前名称）。</w:t>
      </w:r>
    </w:p>
    <w:p>
      <w:pPr>
        <w:pStyle w:val="BodyText"/>
        <w:spacing w:line="300" w:lineRule="auto" w:before="31"/>
        <w:ind w:right="190" w:firstLine="359"/>
        <w:jc w:val="both"/>
      </w:pP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日，公司召开第三次股东大会，通过了</w:t>
      </w:r>
      <w:r>
        <w:rPr>
          <w:rFonts w:ascii="Times New Roman" w:hAnsi="Times New Roman" w:cs="Times New Roman" w:eastAsia="Times New Roman" w:hint="default"/>
        </w:rPr>
        <w:t>1995</w:t>
      </w:r>
      <w:r>
        <w:rPr/>
        <w:t>年度以每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3.5</w:t>
      </w:r>
      <w:r>
        <w:rPr/>
        <w:t>股红股的利润分配方案，同时通过了转增 国有股的议案，该次送股及转增完成后，公司股本由</w:t>
      </w:r>
      <w:r>
        <w:rPr>
          <w:rFonts w:ascii="Times New Roman" w:hAnsi="Times New Roman" w:cs="Times New Roman" w:eastAsia="Times New Roman" w:hint="default"/>
        </w:rPr>
        <w:t>66,647,400</w:t>
      </w:r>
      <w:r>
        <w:rPr/>
        <w:t>股变更为</w:t>
      </w:r>
      <w:r>
        <w:rPr>
          <w:rFonts w:ascii="Times New Roman" w:hAnsi="Times New Roman" w:cs="Times New Roman" w:eastAsia="Times New Roman" w:hint="default"/>
        </w:rPr>
        <w:t>99,840,990</w:t>
      </w:r>
      <w:r>
        <w:rPr/>
        <w:t>股。</w:t>
      </w:r>
    </w:p>
    <w:p>
      <w:pPr>
        <w:pStyle w:val="BodyText"/>
        <w:spacing w:line="240" w:lineRule="auto" w:before="13"/>
        <w:ind w:left="514" w:right="0"/>
        <w:jc w:val="left"/>
      </w:pP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12</w:t>
      </w:r>
      <w:r>
        <w:rPr>
          <w:spacing w:val="-2"/>
        </w:rPr>
        <w:t>月，经山东省人民政府核发的《关于推荐山东寿光造纸集团股份有限公司发行</w:t>
      </w:r>
      <w:r>
        <w:rPr>
          <w:rFonts w:ascii="Times New Roman" w:hAnsi="Times New Roman" w:cs="Times New Roman" w:eastAsia="Times New Roman" w:hint="default"/>
          <w:spacing w:val="-2"/>
        </w:rPr>
        <w:t>B</w:t>
      </w:r>
      <w:r>
        <w:rPr>
          <w:spacing w:val="-2"/>
        </w:rPr>
        <w:t>种股票的函》（鲁政字〔</w:t>
      </w:r>
      <w:r>
        <w:rPr>
          <w:rFonts w:ascii="Times New Roman" w:hAnsi="Times New Roman" w:cs="Times New Roman" w:eastAsia="Times New Roman" w:hint="default"/>
          <w:spacing w:val="-2"/>
        </w:rPr>
        <w:t>1996</w:t>
      </w:r>
      <w:r>
        <w:rPr>
          <w:spacing w:val="-2"/>
        </w:rPr>
        <w:t>〕</w:t>
      </w:r>
    </w:p>
    <w:p>
      <w:pPr>
        <w:pStyle w:val="BodyText"/>
        <w:spacing w:line="240" w:lineRule="auto" w:before="62"/>
        <w:ind w:right="182"/>
        <w:jc w:val="left"/>
      </w:pPr>
      <w:r>
        <w:rPr>
          <w:rFonts w:ascii="Times New Roman" w:hAnsi="Times New Roman" w:cs="Times New Roman" w:eastAsia="Times New Roman" w:hint="default"/>
        </w:rPr>
        <w:t>270</w:t>
      </w:r>
      <w:r>
        <w:rPr/>
        <w:t>号）及国务院证券委员会以</w:t>
      </w:r>
      <w:r>
        <w:rPr>
          <w:rFonts w:ascii="Times New Roman" w:hAnsi="Times New Roman" w:cs="Times New Roman" w:eastAsia="Times New Roman" w:hint="default"/>
        </w:rPr>
        <w:t>[</w:t>
      </w:r>
      <w:r>
        <w:rPr/>
        <w:t>证委〔</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59</w:t>
      </w:r>
      <w:r>
        <w:rPr/>
        <w:t>号</w:t>
      </w:r>
      <w:r>
        <w:rPr>
          <w:rFonts w:ascii="Times New Roman" w:hAnsi="Times New Roman" w:cs="Times New Roman" w:eastAsia="Times New Roman" w:hint="default"/>
        </w:rPr>
        <w:t>]</w:t>
      </w:r>
      <w:r>
        <w:rPr/>
        <w:t>批准，公司变更为募集设立的股份有限公司。</w:t>
      </w:r>
    </w:p>
    <w:p>
      <w:pPr>
        <w:pStyle w:val="BodyText"/>
        <w:spacing w:line="300" w:lineRule="auto" w:before="62"/>
        <w:ind w:right="188" w:firstLine="360"/>
        <w:jc w:val="both"/>
      </w:pPr>
      <w:r>
        <w:rPr>
          <w:rFonts w:ascii="Times New Roman" w:hAnsi="Times New Roman" w:cs="Times New Roman" w:eastAsia="Times New Roman" w:hint="default"/>
        </w:rPr>
        <w:t>1997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日，公司召开第四次股东大会，通过了公司吸收合并寿光永立纸业有限公司及</w:t>
      </w:r>
      <w:r>
        <w:rPr>
          <w:rFonts w:ascii="Times New Roman" w:hAnsi="Times New Roman" w:cs="Times New Roman" w:eastAsia="Times New Roman" w:hint="default"/>
        </w:rPr>
        <w:t>1996</w:t>
      </w:r>
      <w:r>
        <w:rPr/>
        <w:t>年度以每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4</w:t>
      </w:r>
      <w:r>
        <w:rPr/>
        <w:t>股红股 的利润分配方案，该次送股完成后，公司股本由</w:t>
      </w:r>
      <w:r>
        <w:rPr>
          <w:rFonts w:ascii="Times New Roman" w:hAnsi="Times New Roman" w:cs="Times New Roman" w:eastAsia="Times New Roman" w:hint="default"/>
        </w:rPr>
        <w:t>99,840,990</w:t>
      </w:r>
      <w:r>
        <w:rPr/>
        <w:t>股增至</w:t>
      </w:r>
      <w:r>
        <w:rPr>
          <w:rFonts w:ascii="Times New Roman" w:hAnsi="Times New Roman" w:cs="Times New Roman" w:eastAsia="Times New Roman" w:hint="default"/>
        </w:rPr>
        <w:t>158,855,665</w:t>
      </w:r>
      <w:r>
        <w:rPr/>
        <w:t>股。</w:t>
      </w:r>
    </w:p>
    <w:p>
      <w:pPr>
        <w:pStyle w:val="BodyText"/>
        <w:spacing w:line="300" w:lineRule="auto" w:before="13"/>
        <w:ind w:right="187" w:firstLine="359"/>
        <w:jc w:val="both"/>
      </w:pPr>
      <w:r>
        <w:rPr>
          <w:rFonts w:ascii="Times New Roman" w:hAnsi="Times New Roman" w:cs="Times New Roman" w:eastAsia="Times New Roman" w:hint="default"/>
        </w:rPr>
        <w:t>1997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日，公司根据山东省人民政府核发的《关于推荐山东寿光造纸集团股份有限公司发行</w:t>
      </w:r>
      <w:r>
        <w:rPr>
          <w:rFonts w:ascii="Times New Roman" w:hAnsi="Times New Roman" w:cs="Times New Roman" w:eastAsia="Times New Roman" w:hint="default"/>
        </w:rPr>
        <w:t>B</w:t>
      </w:r>
      <w:r>
        <w:rPr/>
        <w:t>种股票的函》（鲁</w:t>
      </w:r>
      <w:r>
        <w:rPr>
          <w:spacing w:val="1"/>
        </w:rPr>
        <w:t> </w:t>
      </w:r>
      <w:r>
        <w:rPr/>
        <w:t>政字〔</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270</w:t>
      </w:r>
      <w:r>
        <w:rPr/>
        <w:t>号）、国务院证券委员会核发的《关于山东晨鸣纸业集团股份有限公司发行境内上市外资股的批复》（证</w:t>
      </w:r>
      <w:r>
        <w:rPr>
          <w:spacing w:val="-84"/>
        </w:rPr>
        <w:t> </w:t>
      </w:r>
      <w:r>
        <w:rPr>
          <w:spacing w:val="-84"/>
        </w:rPr>
      </w:r>
      <w:r>
        <w:rPr/>
        <w:t>委发〔</w:t>
      </w:r>
      <w:r>
        <w:rPr>
          <w:rFonts w:ascii="Times New Roman" w:hAnsi="Times New Roman" w:cs="Times New Roman" w:eastAsia="Times New Roman" w:hint="default"/>
        </w:rPr>
        <w:t>1997</w:t>
      </w:r>
      <w:r>
        <w:rPr/>
        <w:t>〕</w:t>
      </w:r>
      <w:r>
        <w:rPr>
          <w:rFonts w:ascii="Times New Roman" w:hAnsi="Times New Roman" w:cs="Times New Roman" w:eastAsia="Times New Roman" w:hint="default"/>
        </w:rPr>
        <w:t>26</w:t>
      </w:r>
      <w:r>
        <w:rPr/>
        <w:t>号）和深圳证券交易所以（深证发〔</w:t>
      </w:r>
      <w:r>
        <w:rPr>
          <w:rFonts w:ascii="Times New Roman" w:hAnsi="Times New Roman" w:cs="Times New Roman" w:eastAsia="Times New Roman" w:hint="default"/>
        </w:rPr>
        <w:t>1997</w:t>
      </w:r>
      <w:r>
        <w:rPr/>
        <w:t>〕</w:t>
      </w:r>
      <w:r>
        <w:rPr>
          <w:rFonts w:ascii="Times New Roman" w:hAnsi="Times New Roman" w:cs="Times New Roman" w:eastAsia="Times New Roman" w:hint="default"/>
        </w:rPr>
        <w:t>188</w:t>
      </w:r>
      <w:r>
        <w:rPr/>
        <w:t>号）文批准，发行境内上市外资股（</w:t>
      </w:r>
      <w:r>
        <w:rPr>
          <w:rFonts w:ascii="Times New Roman" w:hAnsi="Times New Roman" w:cs="Times New Roman" w:eastAsia="Times New Roman" w:hint="default"/>
        </w:rPr>
        <w:t>B</w:t>
      </w:r>
      <w:r>
        <w:rPr/>
        <w:t>股）</w:t>
      </w:r>
      <w:r>
        <w:rPr>
          <w:rFonts w:ascii="Times New Roman" w:hAnsi="Times New Roman" w:cs="Times New Roman" w:eastAsia="Times New Roman" w:hint="default"/>
        </w:rPr>
        <w:t>115,000,000</w:t>
      </w:r>
      <w:r>
        <w:rPr/>
        <w:t>股，</w:t>
      </w:r>
      <w:r>
        <w:rPr>
          <w:spacing w:val="-35"/>
        </w:rPr>
        <w:t> </w:t>
      </w:r>
      <w:r>
        <w:rPr/>
        <w:t>并于</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日在深圳证券交易所上市交易。发行完成后，公司的股本总额由</w:t>
      </w:r>
      <w:r>
        <w:rPr>
          <w:rFonts w:ascii="Times New Roman" w:hAnsi="Times New Roman" w:cs="Times New Roman" w:eastAsia="Times New Roman" w:hint="default"/>
        </w:rPr>
        <w:t>158,855,665</w:t>
      </w:r>
      <w:r>
        <w:rPr/>
        <w:t>股增至</w:t>
      </w:r>
      <w:r>
        <w:rPr>
          <w:rFonts w:ascii="Times New Roman" w:hAnsi="Times New Roman" w:cs="Times New Roman" w:eastAsia="Times New Roman" w:hint="default"/>
        </w:rPr>
        <w:t>273,855,665</w:t>
      </w:r>
      <w:r>
        <w:rPr/>
        <w:t>股。公司经</w:t>
      </w:r>
      <w:r>
        <w:rPr>
          <w:spacing w:val="-87"/>
        </w:rPr>
        <w:t> </w:t>
      </w:r>
      <w:r>
        <w:rPr>
          <w:spacing w:val="-87"/>
        </w:rPr>
      </w:r>
      <w:r>
        <w:rPr>
          <w:spacing w:val="-2"/>
        </w:rPr>
        <w:t>原对外经济贸易合作部核发的《关于山东晨鸣纸业集团股份有限公司转为外商投资股份有限公司的批复》（〔</w:t>
      </w:r>
      <w:r>
        <w:rPr>
          <w:rFonts w:ascii="Times New Roman" w:hAnsi="Times New Roman" w:cs="Times New Roman" w:eastAsia="Times New Roman" w:hint="default"/>
          <w:spacing w:val="-2"/>
        </w:rPr>
        <w:t>1997</w:t>
      </w:r>
      <w:r>
        <w:rPr>
          <w:spacing w:val="-2"/>
        </w:rPr>
        <w:t>〕外经贸</w:t>
      </w:r>
      <w:r>
        <w:rPr>
          <w:spacing w:val="-62"/>
        </w:rPr>
        <w:t> </w:t>
      </w:r>
      <w:r>
        <w:rPr>
          <w:spacing w:val="-62"/>
        </w:rPr>
      </w:r>
      <w:r>
        <w:rPr/>
        <w:t>资二函字第</w:t>
      </w:r>
      <w:r>
        <w:rPr>
          <w:rFonts w:ascii="Times New Roman" w:hAnsi="Times New Roman" w:cs="Times New Roman" w:eastAsia="Times New Roman" w:hint="default"/>
        </w:rPr>
        <w:t>415</w:t>
      </w:r>
      <w:r>
        <w:rPr/>
        <w:t>号）转为外商投资股份有限公司。</w:t>
      </w:r>
    </w:p>
    <w:p>
      <w:pPr>
        <w:pStyle w:val="BodyText"/>
        <w:spacing w:line="240" w:lineRule="auto" w:before="13"/>
        <w:ind w:left="514" w:right="91"/>
        <w:jc w:val="left"/>
      </w:pP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日，公司召开</w:t>
      </w:r>
      <w:r>
        <w:rPr>
          <w:rFonts w:ascii="Times New Roman" w:hAnsi="Times New Roman" w:cs="Times New Roman" w:eastAsia="Times New Roman" w:hint="default"/>
        </w:rPr>
        <w:t>1997</w:t>
      </w:r>
      <w:r>
        <w:rPr/>
        <w:t>年临时股东大会，审议通过了《关于资本公积金转增股本的议案》，以公司</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6</w:t>
      </w:r>
      <w:r>
        <w:rPr/>
        <w:t>月</w:t>
      </w:r>
    </w:p>
    <w:p>
      <w:pPr>
        <w:pStyle w:val="BodyText"/>
        <w:spacing w:line="240" w:lineRule="auto" w:before="62"/>
        <w:ind w:right="182"/>
        <w:jc w:val="left"/>
      </w:pPr>
      <w:r>
        <w:rPr>
          <w:rFonts w:ascii="Times New Roman" w:hAnsi="Times New Roman" w:cs="Times New Roman" w:eastAsia="Times New Roman" w:hint="default"/>
          <w:spacing w:val="7"/>
        </w:rPr>
        <w:t>30</w:t>
      </w:r>
      <w:r>
        <w:rPr>
          <w:spacing w:val="7"/>
        </w:rPr>
        <w:t>日的股本</w:t>
      </w:r>
      <w:r>
        <w:rPr>
          <w:rFonts w:ascii="Times New Roman" w:hAnsi="Times New Roman" w:cs="Times New Roman" w:eastAsia="Times New Roman" w:hint="default"/>
          <w:spacing w:val="7"/>
        </w:rPr>
        <w:t>273,855,665</w:t>
      </w:r>
      <w:r>
        <w:rPr>
          <w:spacing w:val="7"/>
        </w:rPr>
        <w:t>股计算，按</w:t>
      </w:r>
      <w:r>
        <w:rPr>
          <w:rFonts w:ascii="Times New Roman" w:hAnsi="Times New Roman" w:cs="Times New Roman" w:eastAsia="Times New Roman" w:hint="default"/>
          <w:spacing w:val="7"/>
        </w:rPr>
        <w:t>10:4</w:t>
      </w:r>
      <w:r>
        <w:rPr>
          <w:spacing w:val="7"/>
        </w:rPr>
        <w:t>的比例将资本公积金转增股本</w:t>
      </w:r>
      <w:r>
        <w:rPr>
          <w:rFonts w:ascii="Times New Roman" w:hAnsi="Times New Roman" w:cs="Times New Roman" w:eastAsia="Times New Roman" w:hint="default"/>
          <w:spacing w:val="7"/>
        </w:rPr>
        <w:t>109,542,266</w:t>
      </w:r>
      <w:r>
        <w:rPr>
          <w:spacing w:val="7"/>
        </w:rPr>
        <w:t>股。转增完成后，公司总股本变更为</w:t>
      </w:r>
      <w:r>
        <w:rPr/>
      </w:r>
    </w:p>
    <w:p>
      <w:pPr>
        <w:pStyle w:val="BodyText"/>
        <w:spacing w:line="240" w:lineRule="auto" w:before="62"/>
        <w:ind w:right="182"/>
        <w:jc w:val="left"/>
      </w:pPr>
      <w:r>
        <w:rPr>
          <w:rFonts w:ascii="Times New Roman" w:hAnsi="Times New Roman" w:cs="Times New Roman" w:eastAsia="Times New Roman" w:hint="default"/>
        </w:rPr>
        <w:t>383,397,931</w:t>
      </w:r>
      <w:r>
        <w:rPr/>
        <w:t>股。</w:t>
      </w:r>
    </w:p>
    <w:p>
      <w:pPr>
        <w:pStyle w:val="BodyText"/>
        <w:spacing w:line="300" w:lineRule="auto" w:before="63"/>
        <w:ind w:right="188" w:firstLine="360"/>
        <w:jc w:val="both"/>
      </w:pPr>
      <w:r>
        <w:rPr/>
        <w:t>公司经中国证监会于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日核发的《关于核准山东晨鸣纸业集团股份有限公司申请发行股票的通知》（证监公 </w:t>
      </w:r>
      <w:r>
        <w:rPr>
          <w:spacing w:val="-2"/>
        </w:rPr>
        <w:t>司字〔</w:t>
      </w:r>
      <w:r>
        <w:rPr>
          <w:rFonts w:ascii="Times New Roman" w:hAnsi="Times New Roman" w:cs="Times New Roman" w:eastAsia="Times New Roman" w:hint="default"/>
          <w:spacing w:val="-2"/>
        </w:rPr>
        <w:t>2000</w:t>
      </w:r>
      <w:r>
        <w:rPr>
          <w:spacing w:val="-2"/>
        </w:rPr>
        <w:t>〕</w:t>
      </w:r>
      <w:r>
        <w:rPr>
          <w:rFonts w:ascii="Times New Roman" w:hAnsi="Times New Roman" w:cs="Times New Roman" w:eastAsia="Times New Roman" w:hint="default"/>
          <w:spacing w:val="-2"/>
        </w:rPr>
        <w:t>151</w:t>
      </w:r>
      <w:r>
        <w:rPr>
          <w:spacing w:val="-2"/>
        </w:rPr>
        <w:t>号）和深圳证券交易所于</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日核发的《上市通知书》（深证上〔</w:t>
      </w:r>
      <w:r>
        <w:rPr>
          <w:rFonts w:ascii="Times New Roman" w:hAnsi="Times New Roman" w:cs="Times New Roman" w:eastAsia="Times New Roman" w:hint="default"/>
          <w:spacing w:val="-2"/>
        </w:rPr>
        <w:t>2000</w:t>
      </w:r>
      <w:r>
        <w:rPr>
          <w:spacing w:val="-2"/>
        </w:rPr>
        <w:t>〕</w:t>
      </w:r>
      <w:r>
        <w:rPr>
          <w:rFonts w:ascii="Times New Roman" w:hAnsi="Times New Roman" w:cs="Times New Roman" w:eastAsia="Times New Roman" w:hint="default"/>
          <w:spacing w:val="-2"/>
        </w:rPr>
        <w:t>151</w:t>
      </w:r>
      <w:r>
        <w:rPr>
          <w:spacing w:val="-2"/>
        </w:rPr>
        <w:t>号）批准，公司人民</w:t>
      </w:r>
      <w:r>
        <w:rPr>
          <w:spacing w:val="-48"/>
        </w:rPr>
        <w:t> </w:t>
      </w:r>
      <w:r>
        <w:rPr>
          <w:spacing w:val="-48"/>
        </w:rPr>
      </w:r>
      <w:r>
        <w:rPr>
          <w:spacing w:val="-1"/>
        </w:rPr>
        <w:t>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7000</w:t>
      </w:r>
      <w:r>
        <w:rPr>
          <w:spacing w:val="-1"/>
        </w:rPr>
        <w:t>万股，并于</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w:t>
      </w:r>
      <w:r>
        <w:rPr>
          <w:spacing w:val="-1"/>
        </w:rPr>
        <w:t>日在深圳证券交易所上市交易。发行完成后，公司总股本由</w:t>
      </w:r>
      <w:r>
        <w:rPr>
          <w:rFonts w:ascii="Times New Roman" w:hAnsi="Times New Roman" w:cs="Times New Roman" w:eastAsia="Times New Roman" w:hint="default"/>
          <w:spacing w:val="-1"/>
        </w:rPr>
        <w:t>383,397,931</w:t>
      </w:r>
      <w:r>
        <w:rPr>
          <w:spacing w:val="-1"/>
        </w:rPr>
        <w:t>股增</w:t>
      </w:r>
      <w:r>
        <w:rPr>
          <w:spacing w:val="-59"/>
        </w:rPr>
        <w:t> </w:t>
      </w:r>
      <w:r>
        <w:rPr/>
        <w:t>至</w:t>
      </w:r>
      <w:r>
        <w:rPr>
          <w:rFonts w:ascii="Times New Roman" w:hAnsi="Times New Roman" w:cs="Times New Roman" w:eastAsia="Times New Roman" w:hint="default"/>
        </w:rPr>
        <w:t>453,397,931</w:t>
      </w:r>
      <w:r>
        <w:rPr/>
        <w:t>股。</w:t>
      </w:r>
    </w:p>
    <w:p>
      <w:pPr>
        <w:pStyle w:val="BodyText"/>
        <w:spacing w:line="300" w:lineRule="auto" w:before="13"/>
        <w:ind w:right="189" w:firstLine="360"/>
        <w:jc w:val="both"/>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5</w:t>
      </w:r>
      <w:r>
        <w:rPr>
          <w:spacing w:val="-2"/>
        </w:rPr>
        <w:t>月，经中国证监会于</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日核发的《关于核准山东晨鸣纸业集团股份有限公司非上市外资股上市流通的</w:t>
      </w:r>
      <w:r>
        <w:rPr/>
        <w:t> 通知》（证监公司字〔</w:t>
      </w:r>
      <w:r>
        <w:rPr>
          <w:rFonts w:ascii="Times New Roman" w:hAnsi="Times New Roman" w:cs="Times New Roman" w:eastAsia="Times New Roman" w:hint="default"/>
        </w:rPr>
        <w:t>2001</w:t>
      </w:r>
      <w:r>
        <w:rPr/>
        <w:t>〕</w:t>
      </w:r>
      <w:r>
        <w:rPr>
          <w:rFonts w:ascii="Times New Roman" w:hAnsi="Times New Roman" w:cs="Times New Roman" w:eastAsia="Times New Roman" w:hint="default"/>
        </w:rPr>
        <w:t>44</w:t>
      </w:r>
      <w:r>
        <w:rPr/>
        <w:t>号）予以批准，广华公司所持有的公司之原未流通外资法人股</w:t>
      </w:r>
      <w:r>
        <w:rPr>
          <w:rFonts w:ascii="Times New Roman" w:hAnsi="Times New Roman" w:cs="Times New Roman" w:eastAsia="Times New Roman" w:hint="default"/>
        </w:rPr>
        <w:t>26,709,591</w:t>
      </w:r>
      <w:r>
        <w:rPr/>
        <w:t>股转换为</w:t>
      </w:r>
      <w:r>
        <w:rPr>
          <w:rFonts w:ascii="Times New Roman" w:hAnsi="Times New Roman" w:cs="Times New Roman" w:eastAsia="Times New Roman" w:hint="default"/>
        </w:rPr>
        <w:t>B</w:t>
      </w:r>
      <w:r>
        <w:rPr/>
        <w:t>股，在</w:t>
      </w:r>
      <w:r>
        <w:rPr>
          <w:spacing w:val="-37"/>
        </w:rPr>
        <w:t> </w:t>
      </w:r>
      <w:r>
        <w:rPr/>
        <w:t>深圳证券交易所上市流通。公司上市流通</w:t>
      </w:r>
      <w:r>
        <w:rPr>
          <w:rFonts w:ascii="Times New Roman" w:hAnsi="Times New Roman" w:cs="Times New Roman" w:eastAsia="Times New Roman" w:hint="default"/>
        </w:rPr>
        <w:t>B</w:t>
      </w:r>
      <w:r>
        <w:rPr/>
        <w:t>股增至</w:t>
      </w:r>
      <w:r>
        <w:rPr>
          <w:rFonts w:ascii="Times New Roman" w:hAnsi="Times New Roman" w:cs="Times New Roman" w:eastAsia="Times New Roman" w:hint="default"/>
        </w:rPr>
        <w:t>187,709,591</w:t>
      </w:r>
      <w:r>
        <w:rPr/>
        <w:t>股。</w:t>
      </w:r>
    </w:p>
    <w:p>
      <w:pPr>
        <w:pStyle w:val="BodyText"/>
        <w:spacing w:line="300" w:lineRule="auto" w:before="13"/>
        <w:ind w:right="188" w:firstLine="360"/>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日，公司召开</w:t>
      </w:r>
      <w:r>
        <w:rPr>
          <w:rFonts w:ascii="Times New Roman" w:hAnsi="Times New Roman" w:cs="Times New Roman" w:eastAsia="Times New Roman" w:hint="default"/>
        </w:rPr>
        <w:t>2000</w:t>
      </w:r>
      <w:r>
        <w:rPr/>
        <w:t>年度股东大会，审议通过了</w:t>
      </w:r>
      <w:r>
        <w:rPr>
          <w:rFonts w:ascii="Times New Roman" w:hAnsi="Times New Roman" w:cs="Times New Roman" w:eastAsia="Times New Roman" w:hint="default"/>
        </w:rPr>
        <w:t>2000</w:t>
      </w:r>
      <w:r>
        <w:rPr/>
        <w:t>年利润分配方案，以</w:t>
      </w:r>
      <w:r>
        <w:rPr>
          <w:rFonts w:ascii="Times New Roman" w:hAnsi="Times New Roman" w:cs="Times New Roman" w:eastAsia="Times New Roman" w:hint="default"/>
        </w:rPr>
        <w:t>2000</w:t>
      </w:r>
      <w:r>
        <w:rPr/>
        <w:t>年底的总股本</w:t>
      </w:r>
      <w:r>
        <w:rPr>
          <w:rFonts w:ascii="Times New Roman" w:hAnsi="Times New Roman" w:cs="Times New Roman" w:eastAsia="Times New Roman" w:hint="default"/>
        </w:rPr>
        <w:t>453,397,931</w:t>
      </w:r>
      <w:r>
        <w:rPr/>
        <w:t>股为 基数，向全体股东每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1</w:t>
      </w:r>
      <w:r>
        <w:rPr/>
        <w:t>股，共增加</w:t>
      </w:r>
      <w:r>
        <w:rPr>
          <w:rFonts w:ascii="Times New Roman" w:hAnsi="Times New Roman" w:cs="Times New Roman" w:eastAsia="Times New Roman" w:hint="default"/>
        </w:rPr>
        <w:t>45,339,793</w:t>
      </w:r>
      <w:r>
        <w:rPr/>
        <w:t>股。本次送股完成后，公司总股本增至</w:t>
      </w:r>
      <w:r>
        <w:rPr>
          <w:rFonts w:ascii="Times New Roman" w:hAnsi="Times New Roman" w:cs="Times New Roman" w:eastAsia="Times New Roman" w:hint="default"/>
        </w:rPr>
        <w:t>498,737,724</w:t>
      </w:r>
      <w:r>
        <w:rPr/>
        <w:t>股。</w:t>
      </w:r>
    </w:p>
    <w:p>
      <w:pPr>
        <w:pStyle w:val="BodyText"/>
        <w:spacing w:line="240" w:lineRule="auto" w:before="13"/>
        <w:ind w:left="514" w:right="91"/>
        <w:jc w:val="left"/>
        <w:rPr>
          <w:rFonts w:ascii="Times New Roman" w:hAnsi="Times New Roman" w:cs="Times New Roman" w:eastAsia="Times New Roman" w:hint="default"/>
        </w:rPr>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5</w:t>
      </w:r>
      <w:r>
        <w:rPr/>
        <w:t>月，公司实施</w:t>
      </w:r>
      <w:r>
        <w:rPr>
          <w:rFonts w:ascii="Times New Roman" w:hAnsi="Times New Roman" w:cs="Times New Roman" w:eastAsia="Times New Roman" w:hint="default"/>
        </w:rPr>
        <w:t>2002</w:t>
      </w:r>
      <w:r>
        <w:rPr/>
        <w:t>年度利润分配，每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2</w:t>
      </w:r>
      <w:r>
        <w:rPr/>
        <w:t>股红股，资本公积金转增股本每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股，共增加</w:t>
      </w:r>
      <w:r>
        <w:rPr>
          <w:rFonts w:ascii="Times New Roman" w:hAnsi="Times New Roman" w:cs="Times New Roman" w:eastAsia="Times New Roman" w:hint="default"/>
        </w:rPr>
        <w:t>398,990,179</w:t>
      </w:r>
    </w:p>
    <w:p>
      <w:pPr>
        <w:pStyle w:val="BodyText"/>
        <w:spacing w:line="240" w:lineRule="auto" w:before="62"/>
        <w:ind w:left="153" w:right="182"/>
        <w:jc w:val="left"/>
      </w:pPr>
      <w:r>
        <w:rPr/>
        <w:t>股。本次送股及转增完成后，公司总股本由</w:t>
      </w:r>
      <w:r>
        <w:rPr>
          <w:rFonts w:ascii="Times New Roman" w:hAnsi="Times New Roman" w:cs="Times New Roman" w:eastAsia="Times New Roman" w:hint="default"/>
        </w:rPr>
        <w:t>498,737,724</w:t>
      </w:r>
      <w:r>
        <w:rPr/>
        <w:t>股增至</w:t>
      </w:r>
      <w:r>
        <w:rPr>
          <w:rFonts w:ascii="Times New Roman" w:hAnsi="Times New Roman" w:cs="Times New Roman" w:eastAsia="Times New Roman" w:hint="default"/>
        </w:rPr>
        <w:t>897,727,903</w:t>
      </w:r>
      <w:r>
        <w:rPr/>
        <w:t>股。</w:t>
      </w:r>
    </w:p>
    <w:p>
      <w:pPr>
        <w:pStyle w:val="BodyText"/>
        <w:spacing w:line="240" w:lineRule="auto" w:before="62"/>
        <w:ind w:left="513" w:right="91"/>
        <w:jc w:val="left"/>
      </w:pP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15</w:t>
      </w:r>
      <w:r>
        <w:rPr>
          <w:spacing w:val="-2"/>
        </w:rPr>
        <w:t>日，公司经中国证监会核发的《关于核准山东晨鸣纸业集团股份有限公司公开发行可转换公司债券的通知》</w:t>
      </w:r>
    </w:p>
    <w:p>
      <w:pPr>
        <w:pStyle w:val="BodyText"/>
        <w:spacing w:line="300" w:lineRule="auto" w:before="62"/>
        <w:ind w:right="91"/>
        <w:jc w:val="left"/>
      </w:pPr>
      <w:r>
        <w:rPr>
          <w:spacing w:val="-2"/>
        </w:rPr>
        <w:t>（〔</w:t>
      </w:r>
      <w:r>
        <w:rPr>
          <w:rFonts w:ascii="Times New Roman" w:hAnsi="Times New Roman" w:cs="Times New Roman" w:eastAsia="Times New Roman" w:hint="default"/>
          <w:spacing w:val="-2"/>
        </w:rPr>
        <w:t>2004</w:t>
      </w:r>
      <w:r>
        <w:rPr>
          <w:spacing w:val="-2"/>
        </w:rPr>
        <w:t>〕</w:t>
      </w:r>
      <w:r>
        <w:rPr>
          <w:rFonts w:ascii="Times New Roman" w:hAnsi="Times New Roman" w:cs="Times New Roman" w:eastAsia="Times New Roman" w:hint="default"/>
          <w:spacing w:val="-2"/>
        </w:rPr>
        <w:t>147</w:t>
      </w:r>
      <w:r>
        <w:rPr>
          <w:spacing w:val="-2"/>
        </w:rPr>
        <w:t>号）核准，向社会公开发行</w:t>
      </w:r>
      <w:r>
        <w:rPr>
          <w:rFonts w:ascii="Times New Roman" w:hAnsi="Times New Roman" w:cs="Times New Roman" w:eastAsia="Times New Roman" w:hint="default"/>
          <w:spacing w:val="-2"/>
        </w:rPr>
        <w:t>2000</w:t>
      </w:r>
      <w:r>
        <w:rPr>
          <w:spacing w:val="-2"/>
        </w:rPr>
        <w:t>万张可转债，每张面值</w:t>
      </w:r>
      <w:r>
        <w:rPr>
          <w:rFonts w:ascii="Times New Roman" w:hAnsi="Times New Roman" w:cs="Times New Roman" w:eastAsia="Times New Roman" w:hint="default"/>
          <w:spacing w:val="-2"/>
        </w:rPr>
        <w:t>100</w:t>
      </w:r>
      <w:r>
        <w:rPr>
          <w:spacing w:val="-2"/>
        </w:rPr>
        <w:t>元人民币，发行总额</w:t>
      </w:r>
      <w:r>
        <w:rPr>
          <w:rFonts w:ascii="Times New Roman" w:hAnsi="Times New Roman" w:cs="Times New Roman" w:eastAsia="Times New Roman" w:hint="default"/>
          <w:spacing w:val="-2"/>
        </w:rPr>
        <w:t>20</w:t>
      </w:r>
      <w:r>
        <w:rPr>
          <w:spacing w:val="-2"/>
        </w:rPr>
        <w:t>亿元人民币，期限五年，并</w:t>
      </w:r>
      <w:r>
        <w:rPr>
          <w:spacing w:val="-51"/>
        </w:rPr>
        <w:t> </w:t>
      </w:r>
      <w:r>
        <w:rPr>
          <w:spacing w:val="-51"/>
        </w:rPr>
      </w:r>
      <w:r>
        <w:rPr>
          <w:spacing w:val="-2"/>
        </w:rPr>
        <w:t>于</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日在深圳证券交易所上市交易，转股期自</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15</w:t>
      </w:r>
      <w:r>
        <w:rPr>
          <w:spacing w:val="-2"/>
        </w:rPr>
        <w:t>日。债券简称：晨鸣转债，转债代码：</w:t>
      </w:r>
      <w:r>
        <w:rPr>
          <w:spacing w:val="-44"/>
        </w:rPr>
        <w:t> </w:t>
      </w:r>
      <w:r>
        <w:rPr>
          <w:spacing w:val="-44"/>
        </w:rPr>
      </w:r>
      <w:r>
        <w:rPr>
          <w:rFonts w:ascii="Times New Roman" w:hAnsi="Times New Roman" w:cs="Times New Roman" w:eastAsia="Times New Roman" w:hint="default"/>
        </w:rPr>
        <w:t>125488</w:t>
      </w:r>
      <w:r>
        <w:rPr/>
        <w:t>。</w:t>
      </w:r>
    </w:p>
    <w:p>
      <w:pPr>
        <w:pStyle w:val="BodyText"/>
        <w:spacing w:line="240" w:lineRule="auto" w:before="13"/>
        <w:ind w:left="514" w:right="91"/>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日，公司召开</w:t>
      </w:r>
      <w:r>
        <w:rPr>
          <w:rFonts w:ascii="Times New Roman" w:hAnsi="Times New Roman" w:cs="Times New Roman" w:eastAsia="Times New Roman" w:hint="default"/>
        </w:rPr>
        <w:t>2004</w:t>
      </w:r>
      <w:r>
        <w:rPr/>
        <w:t>年度股东大会，审议通过了</w:t>
      </w:r>
      <w:r>
        <w:rPr>
          <w:rFonts w:ascii="Times New Roman" w:hAnsi="Times New Roman" w:cs="Times New Roman" w:eastAsia="Times New Roman" w:hint="default"/>
        </w:rPr>
        <w:t>2004</w:t>
      </w:r>
      <w:r>
        <w:rPr/>
        <w:t>年度利润分配方案，以</w:t>
      </w:r>
      <w:r>
        <w:rPr>
          <w:rFonts w:ascii="Times New Roman" w:hAnsi="Times New Roman" w:cs="Times New Roman" w:eastAsia="Times New Roman" w:hint="default"/>
        </w:rPr>
        <w:t>2004</w:t>
      </w:r>
      <w:r>
        <w:rPr/>
        <w:t>年底的总股本</w:t>
      </w:r>
      <w:r>
        <w:rPr>
          <w:rFonts w:ascii="Times New Roman" w:hAnsi="Times New Roman" w:cs="Times New Roman" w:eastAsia="Times New Roman" w:hint="default"/>
        </w:rPr>
        <w:t>897,727,903</w:t>
      </w:r>
      <w:r>
        <w:rPr/>
        <w:t>股</w:t>
      </w:r>
    </w:p>
    <w:p>
      <w:pPr>
        <w:spacing w:after="0" w:line="24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00" w:lineRule="auto" w:before="44"/>
        <w:ind w:right="168" w:hanging="1"/>
        <w:jc w:val="both"/>
      </w:pPr>
      <w:r>
        <w:rPr/>
        <w:t>为基数，以资本公积金每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股。公司本次股本变更，已经中国商务部核发的《关于同意山东晨鸣纸业集团股份有限</w:t>
      </w:r>
      <w:r>
        <w:rPr>
          <w:spacing w:val="-83"/>
        </w:rPr>
        <w:t> </w:t>
      </w:r>
      <w:r>
        <w:rPr>
          <w:spacing w:val="-83"/>
        </w:rPr>
      </w:r>
      <w:r>
        <w:rPr/>
        <w:t>公司增资的批复》（商资批〔</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1364</w:t>
      </w:r>
      <w:r>
        <w:rPr/>
        <w:t>号）予以批复。根据上述决议及批复，公司以</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日为股权登记日的总股</w:t>
      </w:r>
      <w:r>
        <w:rPr>
          <w:spacing w:val="-84"/>
        </w:rPr>
        <w:t> </w:t>
      </w:r>
      <w:r>
        <w:rPr>
          <w:spacing w:val="-84"/>
        </w:rPr>
      </w:r>
      <w:r>
        <w:rPr>
          <w:spacing w:val="-2"/>
        </w:rPr>
        <w:t>本</w:t>
      </w:r>
      <w:r>
        <w:rPr>
          <w:rFonts w:ascii="Times New Roman" w:hAnsi="Times New Roman" w:cs="Times New Roman" w:eastAsia="Times New Roman" w:hint="default"/>
          <w:spacing w:val="-2"/>
        </w:rPr>
        <w:t>897,728,913</w:t>
      </w:r>
      <w:r>
        <w:rPr>
          <w:spacing w:val="-2"/>
        </w:rPr>
        <w:t>股为基数（截至</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日，公司可转债转增股本</w:t>
      </w:r>
      <w:r>
        <w:rPr>
          <w:rFonts w:ascii="Times New Roman" w:hAnsi="Times New Roman" w:cs="Times New Roman" w:eastAsia="Times New Roman" w:hint="default"/>
          <w:spacing w:val="-2"/>
        </w:rPr>
        <w:t>1010</w:t>
      </w:r>
      <w:r>
        <w:rPr>
          <w:spacing w:val="-2"/>
        </w:rPr>
        <w:t>股），实施向全体股东每</w:t>
      </w:r>
      <w:r>
        <w:rPr>
          <w:rFonts w:ascii="Times New Roman" w:hAnsi="Times New Roman" w:cs="Times New Roman" w:eastAsia="Times New Roman" w:hint="default"/>
          <w:spacing w:val="-2"/>
        </w:rPr>
        <w:t>10</w:t>
      </w:r>
      <w:r>
        <w:rPr>
          <w:spacing w:val="-2"/>
        </w:rPr>
        <w:t>股送</w:t>
      </w:r>
      <w:r>
        <w:rPr>
          <w:rFonts w:ascii="Times New Roman" w:hAnsi="Times New Roman" w:cs="Times New Roman" w:eastAsia="Times New Roman" w:hint="default"/>
          <w:spacing w:val="-2"/>
        </w:rPr>
        <w:t>2</w:t>
      </w:r>
      <w:r>
        <w:rPr>
          <w:spacing w:val="-2"/>
        </w:rPr>
        <w:t>股，以资本公积金</w:t>
      </w:r>
      <w:r>
        <w:rPr>
          <w:spacing w:val="-43"/>
        </w:rPr>
        <w:t> </w:t>
      </w:r>
      <w:r>
        <w:rPr>
          <w:spacing w:val="-43"/>
        </w:rPr>
      </w:r>
      <w:r>
        <w:rPr/>
        <w:t>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股的分配方案。本次送转及转增完成后，公司总股本增至</w:t>
      </w:r>
      <w:r>
        <w:rPr>
          <w:rFonts w:ascii="Times New Roman" w:hAnsi="Times New Roman" w:cs="Times New Roman" w:eastAsia="Times New Roman" w:hint="default"/>
        </w:rPr>
        <w:t>1,346,593,369</w:t>
      </w:r>
      <w:r>
        <w:rPr/>
        <w:t>股。</w:t>
      </w:r>
    </w:p>
    <w:p>
      <w:pPr>
        <w:pStyle w:val="BodyText"/>
        <w:spacing w:line="307" w:lineRule="auto" w:before="13"/>
        <w:ind w:left="153" w:right="170" w:firstLine="360"/>
        <w:jc w:val="both"/>
      </w:pP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6</w:t>
      </w:r>
      <w:r>
        <w:rPr>
          <w:spacing w:val="-2"/>
        </w:rPr>
        <w:t>日，公司第四届董事会第二十一次会议审议通过了《关于对满足购回条件尚未转股的可转换公司债券行使购</w:t>
      </w:r>
      <w:r>
        <w:rPr/>
        <w:t> </w:t>
      </w:r>
      <w:r>
        <w:rPr>
          <w:spacing w:val="-2"/>
        </w:rPr>
        <w:t>回权的议案》，决定在实际满足可转债《募集说明书》的相关购回条件后，对公司尚未转股的可转债根据《募集说明书》的</w:t>
      </w:r>
      <w:r>
        <w:rPr>
          <w:spacing w:val="-71"/>
        </w:rPr>
        <w:t> </w:t>
      </w:r>
      <w:r>
        <w:rPr>
          <w:spacing w:val="-71"/>
        </w:rPr>
      </w:r>
      <w:r>
        <w:rPr>
          <w:spacing w:val="-1"/>
        </w:rPr>
        <w:t>约定程序，按面值的</w:t>
      </w:r>
      <w:r>
        <w:rPr>
          <w:rFonts w:ascii="Times New Roman" w:hAnsi="Times New Roman" w:cs="Times New Roman" w:eastAsia="Times New Roman" w:hint="default"/>
          <w:spacing w:val="-1"/>
        </w:rPr>
        <w:t>105%</w:t>
      </w:r>
      <w:r>
        <w:rPr>
          <w:spacing w:val="-1"/>
        </w:rPr>
        <w:t>（含当期利息）购回在购回日之前尚未转股的晨鸣转债。截至</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14</w:t>
      </w:r>
      <w:r>
        <w:rPr>
          <w:spacing w:val="-1"/>
        </w:rPr>
        <w:t>日，公司通过晨鸣转债</w:t>
      </w:r>
      <w:r>
        <w:rPr>
          <w:spacing w:val="-85"/>
        </w:rPr>
        <w:t> </w:t>
      </w:r>
      <w:r>
        <w:rPr>
          <w:spacing w:val="-85"/>
        </w:rPr>
      </w:r>
      <w:r>
        <w:rPr/>
        <w:t>实现转股，公司股份总数增加至</w:t>
      </w:r>
      <w:r>
        <w:rPr>
          <w:rFonts w:ascii="Times New Roman" w:hAnsi="Times New Roman" w:cs="Times New Roman" w:eastAsia="Times New Roman" w:hint="default"/>
        </w:rPr>
        <w:t>1,706,345,941</w:t>
      </w:r>
      <w:r>
        <w:rPr/>
        <w:t>股。</w:t>
      </w:r>
    </w:p>
    <w:p>
      <w:pPr>
        <w:pStyle w:val="BodyText"/>
        <w:spacing w:line="300" w:lineRule="auto" w:before="7"/>
        <w:ind w:left="153" w:right="170" w:firstLine="360"/>
        <w:jc w:val="both"/>
      </w:pPr>
      <w:r>
        <w:rPr/>
        <w:t>经中国证监会证监许可</w:t>
      </w:r>
      <w:r>
        <w:rPr>
          <w:rFonts w:ascii="Times New Roman" w:hAnsi="Times New Roman" w:cs="Times New Roman" w:eastAsia="Times New Roman" w:hint="default"/>
        </w:rPr>
        <w:t>[2008]290</w:t>
      </w:r>
      <w:r>
        <w:rPr/>
        <w:t>号档《关于核准山东晨鸣纸业集团股份有限公司发行境外上市外资股的批复》，以及 </w:t>
      </w:r>
      <w:r>
        <w:rPr>
          <w:spacing w:val="3"/>
        </w:rPr>
        <w:t>香港联合交易所有限公司</w:t>
      </w:r>
      <w:r>
        <w:rPr>
          <w:rFonts w:ascii="Times New Roman" w:hAnsi="Times New Roman" w:cs="Times New Roman" w:eastAsia="Times New Roman" w:hint="default"/>
          <w:spacing w:val="3"/>
        </w:rPr>
        <w:t>(</w:t>
      </w:r>
      <w:r>
        <w:rPr>
          <w:spacing w:val="3"/>
        </w:rPr>
        <w:t>以下简称「香港联交所」</w:t>
      </w:r>
      <w:r>
        <w:rPr>
          <w:rFonts w:ascii="Times New Roman" w:hAnsi="Times New Roman" w:cs="Times New Roman" w:eastAsia="Times New Roman" w:hint="default"/>
          <w:spacing w:val="3"/>
        </w:rPr>
        <w:t>)</w:t>
      </w:r>
      <w:r>
        <w:rPr>
          <w:spacing w:val="3"/>
        </w:rPr>
        <w:t>的批复，核准公司公开发行境外上市外资股（</w:t>
      </w:r>
      <w:r>
        <w:rPr>
          <w:rFonts w:ascii="Times New Roman" w:hAnsi="Times New Roman" w:cs="Times New Roman" w:eastAsia="Times New Roman" w:hint="default"/>
          <w:spacing w:val="3"/>
        </w:rPr>
        <w:t>H</w:t>
      </w:r>
      <w:r>
        <w:rPr>
          <w:spacing w:val="3"/>
        </w:rPr>
        <w:t>股）。全球公开发售</w:t>
      </w:r>
      <w:r>
        <w:rPr>
          <w:spacing w:val="-79"/>
        </w:rPr>
        <w:t> </w:t>
      </w:r>
      <w:r>
        <w:rPr>
          <w:spacing w:val="-79"/>
        </w:rPr>
      </w:r>
      <w:r>
        <w:rPr>
          <w:rFonts w:ascii="Times New Roman" w:hAnsi="Times New Roman" w:cs="Times New Roman" w:eastAsia="Times New Roman" w:hint="default"/>
          <w:spacing w:val="-1"/>
        </w:rPr>
        <w:t>355,700,000</w:t>
      </w:r>
      <w:r>
        <w:rPr>
          <w:spacing w:val="-1"/>
        </w:rPr>
        <w:t>股</w:t>
      </w:r>
      <w:r>
        <w:rPr>
          <w:rFonts w:ascii="Times New Roman" w:hAnsi="Times New Roman" w:cs="Times New Roman" w:eastAsia="Times New Roman" w:hint="default"/>
          <w:spacing w:val="-1"/>
        </w:rPr>
        <w:t>H</w:t>
      </w:r>
      <w:r>
        <w:rPr>
          <w:spacing w:val="-1"/>
        </w:rPr>
        <w:t>股，于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18</w:t>
      </w:r>
      <w:r>
        <w:rPr>
          <w:spacing w:val="-1"/>
        </w:rPr>
        <w:t>日在香港联交所主板挂牌交易，股票简称为晨鸣纸业，股票代码为</w:t>
      </w:r>
      <w:r>
        <w:rPr>
          <w:rFonts w:ascii="Times New Roman" w:hAnsi="Times New Roman" w:cs="Times New Roman" w:eastAsia="Times New Roman" w:hint="default"/>
          <w:spacing w:val="-1"/>
        </w:rPr>
        <w:t>HK1812</w:t>
      </w:r>
      <w:r>
        <w:rPr>
          <w:spacing w:val="-1"/>
        </w:rPr>
        <w:t>。本次发行完</w:t>
      </w:r>
      <w:r>
        <w:rPr>
          <w:spacing w:val="-54"/>
        </w:rPr>
        <w:t> </w:t>
      </w:r>
      <w:r>
        <w:rPr>
          <w:spacing w:val="-54"/>
        </w:rPr>
      </w:r>
      <w:r>
        <w:rPr/>
        <w:t>成后，公司股份总数增加至</w:t>
      </w:r>
      <w:r>
        <w:rPr>
          <w:rFonts w:ascii="Times New Roman" w:hAnsi="Times New Roman" w:cs="Times New Roman" w:eastAsia="Times New Roman" w:hint="default"/>
        </w:rPr>
        <w:t>2,062,045,941</w:t>
      </w:r>
      <w:r>
        <w:rPr/>
        <w:t>股。</w:t>
      </w:r>
    </w:p>
    <w:p>
      <w:pPr>
        <w:pStyle w:val="BodyText"/>
        <w:spacing w:line="300" w:lineRule="auto" w:before="13"/>
        <w:ind w:left="153" w:right="169" w:firstLine="360"/>
        <w:jc w:val="both"/>
      </w:pPr>
      <w:r>
        <w:rPr/>
        <w:t>根据公司</w:t>
      </w:r>
      <w:r>
        <w:rPr>
          <w:rFonts w:ascii="Times New Roman" w:hAnsi="Times New Roman" w:cs="Times New Roman" w:eastAsia="Times New Roman" w:hint="default"/>
        </w:rPr>
        <w:t>2012</w:t>
      </w:r>
      <w:r>
        <w:rPr/>
        <w:t>年第三次临时股东大会决议、</w:t>
      </w:r>
      <w:r>
        <w:rPr>
          <w:rFonts w:ascii="Times New Roman" w:hAnsi="Times New Roman" w:cs="Times New Roman" w:eastAsia="Times New Roman" w:hint="default"/>
        </w:rPr>
        <w:t>2012</w:t>
      </w:r>
      <w:r>
        <w:rPr/>
        <w:t>年第一次境内上市股份（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B</w:t>
      </w:r>
      <w:r>
        <w:rPr/>
        <w:t>股）类别股东大会、</w:t>
      </w:r>
      <w:r>
        <w:rPr>
          <w:rFonts w:ascii="Times New Roman" w:hAnsi="Times New Roman" w:cs="Times New Roman" w:eastAsia="Times New Roman" w:hint="default"/>
        </w:rPr>
        <w:t>2012</w:t>
      </w:r>
      <w:r>
        <w:rPr/>
        <w:t>年第一次境 外上市股份（</w:t>
      </w:r>
      <w:r>
        <w:rPr>
          <w:rFonts w:ascii="Times New Roman" w:hAnsi="Times New Roman" w:cs="Times New Roman" w:eastAsia="Times New Roman" w:hint="default"/>
        </w:rPr>
        <w:t>H</w:t>
      </w:r>
      <w:r>
        <w:rPr/>
        <w:t>股）类别股东大会决议和修改后的章程规定，公司申请减少注册资本人民币</w:t>
      </w:r>
      <w:r>
        <w:rPr>
          <w:rFonts w:ascii="Times New Roman" w:hAnsi="Times New Roman" w:cs="Times New Roman" w:eastAsia="Times New Roman" w:hint="default"/>
        </w:rPr>
        <w:t>86,573,974</w:t>
      </w:r>
      <w:r>
        <w:rPr/>
        <w:t>元，其中境内上市外</w:t>
      </w:r>
      <w:r>
        <w:rPr>
          <w:spacing w:val="-44"/>
        </w:rPr>
        <w:t> </w:t>
      </w:r>
      <w:r>
        <w:rPr/>
        <w:t>资股</w:t>
      </w:r>
      <w:r>
        <w:rPr>
          <w:rFonts w:ascii="Times New Roman" w:hAnsi="Times New Roman" w:cs="Times New Roman" w:eastAsia="Times New Roman" w:hint="default"/>
        </w:rPr>
        <w:t>(B</w:t>
      </w:r>
      <w:r>
        <w:rPr/>
        <w:t>股</w:t>
      </w:r>
      <w:r>
        <w:rPr>
          <w:rFonts w:ascii="Times New Roman" w:hAnsi="Times New Roman" w:cs="Times New Roman" w:eastAsia="Times New Roman" w:hint="default"/>
        </w:rPr>
        <w:t>)</w:t>
      </w:r>
      <w:r>
        <w:rPr/>
        <w:t>减资</w:t>
      </w:r>
      <w:r>
        <w:rPr>
          <w:rFonts w:ascii="Times New Roman" w:hAnsi="Times New Roman" w:cs="Times New Roman" w:eastAsia="Times New Roman" w:hint="default"/>
        </w:rPr>
        <w:t>86,573,974</w:t>
      </w:r>
      <w:r>
        <w:rPr/>
        <w:t>股，每股人民币</w:t>
      </w:r>
      <w:r>
        <w:rPr>
          <w:rFonts w:ascii="Times New Roman" w:hAnsi="Times New Roman" w:cs="Times New Roman" w:eastAsia="Times New Roman" w:hint="default"/>
        </w:rPr>
        <w:t>1</w:t>
      </w:r>
      <w:r>
        <w:rPr/>
        <w:t>元。自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日止，回购境内上市外资股</w:t>
      </w:r>
      <w:r>
        <w:rPr>
          <w:rFonts w:ascii="Times New Roman" w:hAnsi="Times New Roman" w:cs="Times New Roman" w:eastAsia="Times New Roman" w:hint="default"/>
        </w:rPr>
        <w:t>(B</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rFonts w:ascii="Times New Roman" w:hAnsi="Times New Roman" w:cs="Times New Roman" w:eastAsia="Times New Roman" w:hint="default"/>
        </w:rPr>
        <w:t>86,573,974</w:t>
      </w:r>
      <w:r>
        <w:rPr>
          <w:rFonts w:ascii="Times New Roman" w:hAnsi="Times New Roman" w:cs="Times New Roman" w:eastAsia="Times New Roman" w:hint="default"/>
        </w:rPr>
        <w:t> </w:t>
      </w:r>
      <w:r>
        <w:rPr/>
        <w:t>股，并于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日注销回购股份，变更后公司的股本为人民币</w:t>
      </w:r>
      <w:r>
        <w:rPr>
          <w:rFonts w:ascii="Times New Roman" w:hAnsi="Times New Roman" w:cs="Times New Roman" w:eastAsia="Times New Roman" w:hint="default"/>
        </w:rPr>
        <w:t>1,975,471,967</w:t>
      </w:r>
      <w:r>
        <w:rPr/>
        <w:t>元。</w:t>
      </w:r>
    </w:p>
    <w:p>
      <w:pPr>
        <w:pStyle w:val="BodyText"/>
        <w:spacing w:line="300" w:lineRule="auto" w:before="13"/>
        <w:ind w:left="153" w:right="170" w:firstLine="360"/>
        <w:jc w:val="both"/>
      </w:pPr>
      <w:r>
        <w:rPr/>
        <w:t>根据公司</w:t>
      </w:r>
      <w:r>
        <w:rPr>
          <w:rFonts w:ascii="Times New Roman" w:hAnsi="Times New Roman" w:cs="Times New Roman" w:eastAsia="Times New Roman" w:hint="default"/>
        </w:rPr>
        <w:t>2013</w:t>
      </w:r>
      <w:r>
        <w:rPr/>
        <w:t>年第一次临时股东大会决议、</w:t>
      </w:r>
      <w:r>
        <w:rPr>
          <w:rFonts w:ascii="Times New Roman" w:hAnsi="Times New Roman" w:cs="Times New Roman" w:eastAsia="Times New Roman" w:hint="default"/>
        </w:rPr>
        <w:t>2013</w:t>
      </w:r>
      <w:r>
        <w:rPr/>
        <w:t>年第一次境内上市股份（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B</w:t>
      </w:r>
      <w:r>
        <w:rPr/>
        <w:t>股）类别股东大会、</w:t>
      </w:r>
      <w:r>
        <w:rPr>
          <w:rFonts w:ascii="Times New Roman" w:hAnsi="Times New Roman" w:cs="Times New Roman" w:eastAsia="Times New Roman" w:hint="default"/>
        </w:rPr>
        <w:t>2013</w:t>
      </w:r>
      <w:r>
        <w:rPr/>
        <w:t>年第一次境 外上市股份（</w:t>
      </w:r>
      <w:r>
        <w:rPr>
          <w:rFonts w:ascii="Times New Roman" w:hAnsi="Times New Roman" w:cs="Times New Roman" w:eastAsia="Times New Roman" w:hint="default"/>
        </w:rPr>
        <w:t>H</w:t>
      </w:r>
      <w:r>
        <w:rPr/>
        <w:t>股）类别股东大会决议和修改后的章程规定，公司申请减少注册资本人民币</w:t>
      </w:r>
      <w:r>
        <w:rPr>
          <w:rFonts w:ascii="Times New Roman" w:hAnsi="Times New Roman" w:cs="Times New Roman" w:eastAsia="Times New Roman" w:hint="default"/>
        </w:rPr>
        <w:t>39,066,500</w:t>
      </w:r>
      <w:r>
        <w:rPr/>
        <w:t>元，其中境外上市外</w:t>
      </w:r>
      <w:r>
        <w:rPr>
          <w:spacing w:val="-44"/>
        </w:rPr>
        <w:t> </w:t>
      </w:r>
      <w:r>
        <w:rPr/>
        <w:t>资股</w:t>
      </w:r>
      <w:r>
        <w:rPr>
          <w:rFonts w:ascii="Times New Roman" w:hAnsi="Times New Roman" w:cs="Times New Roman" w:eastAsia="Times New Roman" w:hint="default"/>
        </w:rPr>
        <w:t>(H</w:t>
      </w:r>
      <w:r>
        <w:rPr/>
        <w:t>股</w:t>
      </w:r>
      <w:r>
        <w:rPr>
          <w:rFonts w:ascii="Times New Roman" w:hAnsi="Times New Roman" w:cs="Times New Roman" w:eastAsia="Times New Roman" w:hint="default"/>
        </w:rPr>
        <w:t>)</w:t>
      </w:r>
      <w:r>
        <w:rPr/>
        <w:t>减资</w:t>
      </w:r>
      <w:r>
        <w:rPr>
          <w:rFonts w:ascii="Times New Roman" w:hAnsi="Times New Roman" w:cs="Times New Roman" w:eastAsia="Times New Roman" w:hint="default"/>
        </w:rPr>
        <w:t>39,066,500</w:t>
      </w:r>
      <w:r>
        <w:rPr/>
        <w:t>股，每股人民币</w:t>
      </w:r>
      <w:r>
        <w:rPr>
          <w:rFonts w:ascii="Times New Roman" w:hAnsi="Times New Roman" w:cs="Times New Roman" w:eastAsia="Times New Roman" w:hint="default"/>
        </w:rPr>
        <w:t>1</w:t>
      </w:r>
      <w:r>
        <w:rPr/>
        <w:t>元。自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日止，回购境外上市外资股</w:t>
      </w:r>
      <w:r>
        <w:rPr>
          <w:rFonts w:ascii="Times New Roman" w:hAnsi="Times New Roman" w:cs="Times New Roman" w:eastAsia="Times New Roman" w:hint="default"/>
        </w:rPr>
        <w:t>(H</w:t>
      </w:r>
      <w:r>
        <w:rPr/>
        <w:t>股</w:t>
      </w:r>
      <w:r>
        <w:rPr>
          <w:rFonts w:ascii="Times New Roman" w:hAnsi="Times New Roman" w:cs="Times New Roman" w:eastAsia="Times New Roman" w:hint="default"/>
        </w:rPr>
        <w:t>)39,066,500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股，并于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日注销回购股份，变更后公司的股本为人民币</w:t>
      </w:r>
      <w:r>
        <w:rPr>
          <w:rFonts w:ascii="Times New Roman" w:hAnsi="Times New Roman" w:cs="Times New Roman" w:eastAsia="Times New Roman" w:hint="default"/>
        </w:rPr>
        <w:t>1,936,405,467</w:t>
      </w:r>
      <w:r>
        <w:rPr/>
        <w:t>元。</w:t>
      </w:r>
    </w:p>
    <w:p>
      <w:pPr>
        <w:pStyle w:val="BodyText"/>
        <w:spacing w:line="307" w:lineRule="auto" w:before="13"/>
        <w:ind w:left="514" w:right="90"/>
        <w:jc w:val="left"/>
      </w:pPr>
      <w:r>
        <w:rPr/>
        <w:t>企业法人营业执照注册号：</w:t>
      </w:r>
      <w:r>
        <w:rPr>
          <w:rFonts w:ascii="Times New Roman" w:hAnsi="Times New Roman" w:cs="Times New Roman" w:eastAsia="Times New Roman" w:hint="default"/>
        </w:rPr>
        <w:t>370000400001170</w:t>
      </w:r>
      <w:r>
        <w:rPr/>
        <w:t>。 本公司的营业期限为长期，本公司董事会认为有能力将有营业期限的的子公司在营业期限期满后持续经营。 本财务报表业经本公司董事会于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日决议批准报出。根据本公司章程，本财务报表将提交股东大会审议。 本公司及各子公司（以下简称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）主要从事机制纸及纸板等纸制品和造纸原料、造纸机械的加工、销售，电力、</w:t>
      </w:r>
    </w:p>
    <w:p>
      <w:pPr>
        <w:pStyle w:val="BodyText"/>
        <w:spacing w:line="316" w:lineRule="auto" w:before="7"/>
        <w:ind w:left="153" w:right="90"/>
        <w:jc w:val="left"/>
      </w:pPr>
      <w:r>
        <w:rPr>
          <w:spacing w:val="-2"/>
        </w:rPr>
        <w:t>热力的生产、销售，林木种植、苗木培育、木材加工及销售，木制品的生产、加工及销售，人造板、强化木地板等的生产及</w:t>
      </w:r>
      <w:r>
        <w:rPr>
          <w:spacing w:val="-71"/>
        </w:rPr>
        <w:t> </w:t>
      </w:r>
      <w:r>
        <w:rPr>
          <w:spacing w:val="-71"/>
        </w:rPr>
      </w:r>
      <w:r>
        <w:rPr/>
        <w:t>销售，设备融资租赁经营等。</w:t>
      </w:r>
    </w:p>
    <w:p>
      <w:pPr>
        <w:pStyle w:val="BodyText"/>
        <w:spacing w:line="300" w:lineRule="auto" w:before="18"/>
        <w:ind w:left="153" w:right="169" w:firstLine="360"/>
        <w:jc w:val="both"/>
      </w:pPr>
      <w:r>
        <w:rPr>
          <w:spacing w:val="-2"/>
        </w:rPr>
        <w:t>本公司</w:t>
      </w:r>
      <w:r>
        <w:rPr>
          <w:rFonts w:ascii="Times New Roman" w:hAnsi="Times New Roman" w:cs="Times New Roman" w:eastAsia="Times New Roman" w:hint="default"/>
          <w:spacing w:val="-2"/>
        </w:rPr>
        <w:t>2014</w:t>
      </w:r>
      <w:r>
        <w:rPr>
          <w:spacing w:val="-2"/>
        </w:rPr>
        <w:t>年度纳入合并范围的子公司共</w:t>
      </w:r>
      <w:r>
        <w:rPr>
          <w:rFonts w:ascii="Times New Roman" w:hAnsi="Times New Roman" w:cs="Times New Roman" w:eastAsia="Times New Roman" w:hint="default"/>
          <w:spacing w:val="-2"/>
        </w:rPr>
        <w:t>49</w:t>
      </w:r>
      <w:r>
        <w:rPr>
          <w:spacing w:val="-2"/>
        </w:rPr>
        <w:t>户，详见本附注八</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。本公司本年度合并范围比上年度</w:t>
      </w:r>
      <w:r>
        <w:rPr/>
        <w:t> 增加</w:t>
      </w:r>
      <w:r>
        <w:rPr>
          <w:rFonts w:ascii="Times New Roman" w:hAnsi="Times New Roman" w:cs="Times New Roman" w:eastAsia="Times New Roman" w:hint="default"/>
        </w:rPr>
        <w:t>6</w:t>
      </w:r>
      <w:r>
        <w:rPr/>
        <w:t>户，减少</w:t>
      </w:r>
      <w:r>
        <w:rPr>
          <w:rFonts w:ascii="Times New Roman" w:hAnsi="Times New Roman" w:cs="Times New Roman" w:eastAsia="Times New Roman" w:hint="default"/>
        </w:rPr>
        <w:t>3</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68" w:firstLine="360"/>
        <w:jc w:val="both"/>
      </w:pPr>
      <w:r>
        <w:rPr>
          <w:spacing w:val="-5"/>
        </w:rPr>
        <w:t>本集团财务报表以持续经营为基础，根据实际发生的交易和事项，按照财政部发布的《企业会计准则</w:t>
      </w:r>
      <w:r>
        <w:rPr>
          <w:rFonts w:ascii="Times New Roman" w:hAnsi="Times New Roman" w:cs="Times New Roman" w:eastAsia="Times New Roman" w:hint="default"/>
          <w:spacing w:val="-5"/>
        </w:rPr>
        <w:t>——</w:t>
      </w:r>
      <w:r>
        <w:rPr>
          <w:spacing w:val="-5"/>
        </w:rPr>
        <w:t>基本准则》（财</w:t>
      </w:r>
      <w:r>
        <w:rPr>
          <w:spacing w:val="1"/>
        </w:rPr>
        <w:t> </w:t>
      </w:r>
      <w:r>
        <w:rPr/>
        <w:t>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项具体会计准则、企业会计准则应用</w:t>
      </w:r>
      <w:r>
        <w:rPr>
          <w:spacing w:val="-84"/>
        </w:rPr>
        <w:t> </w:t>
      </w:r>
      <w:r>
        <w:rPr>
          <w:spacing w:val="-84"/>
        </w:rPr>
      </w:r>
      <w:r>
        <w:rPr>
          <w:spacing w:val="-2"/>
        </w:rPr>
        <w:t>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w:t>
      </w:r>
      <w:r>
        <w:rPr>
          <w:spacing w:val="-47"/>
        </w:rPr>
        <w:t> </w:t>
      </w:r>
      <w:r>
        <w:rPr>
          <w:spacing w:val="-47"/>
        </w:rPr>
      </w:r>
      <w:r>
        <w:rPr/>
        <w:t>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70" w:firstLine="360"/>
        <w:jc w:val="both"/>
      </w:pPr>
      <w:r>
        <w:rPr>
          <w:spacing w:val="-2"/>
        </w:rPr>
        <w:t>根据企业会计准则的相关规定，本集团会计核算以权责发生制为基础。除某些金融工具和消耗性生物资产外，本财务报</w:t>
      </w:r>
      <w:r>
        <w:rPr/>
        <w:t> 表均以历史成本为计量基础。资产如果发生减值，则按照相关规定计提相应的减值准备。</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本公司自报告期末起</w:t>
      </w:r>
      <w:r>
        <w:rPr>
          <w:rFonts w:ascii="Times New Roman" w:hAnsi="Times New Roman" w:cs="Times New Roman" w:eastAsia="Times New Roman" w:hint="default"/>
        </w:rPr>
        <w:t>12</w:t>
      </w:r>
      <w:r>
        <w:rPr/>
        <w:t>个月不存在对本公司持续经营能力产生重大疑虑的事项或情况。</w:t>
      </w:r>
    </w:p>
    <w:p>
      <w:pPr>
        <w:spacing w:after="0" w:line="240" w:lineRule="auto"/>
        <w:jc w:val="both"/>
        <w:sectPr>
          <w:pgSz w:w="11910" w:h="16840"/>
          <w:pgMar w:header="877" w:footer="982" w:top="1100" w:bottom="1180" w:left="980" w:right="960"/>
        </w:sectPr>
      </w:pPr>
    </w:p>
    <w:p>
      <w:pPr>
        <w:spacing w:line="240" w:lineRule="auto" w:before="9"/>
        <w:rPr>
          <w:rFonts w:ascii="宋体" w:hAnsi="宋体" w:cs="宋体" w:eastAsia="宋体" w:hint="default"/>
          <w:sz w:val="19"/>
          <w:szCs w:val="19"/>
        </w:rPr>
      </w:pPr>
    </w:p>
    <w:p>
      <w:pPr>
        <w:pStyle w:val="Heading2"/>
        <w:spacing w:line="240" w:lineRule="auto" w:before="26"/>
        <w:ind w:right="182"/>
        <w:jc w:val="left"/>
        <w:rPr>
          <w:b w:val="0"/>
          <w:bCs w:val="0"/>
        </w:rPr>
      </w:pPr>
      <w:r>
        <w:rPr/>
        <w:t>五、重要会计政策及会计估计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2"/>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90" w:firstLine="360"/>
        <w:jc w:val="both"/>
      </w:pPr>
      <w:r>
        <w:rPr/>
        <w:t>本公司编制的财务报表符合企业会计准则的要求，真实、完整地反映了合并及公司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日的财务状况及</w:t>
      </w:r>
      <w:r>
        <w:rPr>
          <w:rFonts w:ascii="Times New Roman" w:hAnsi="Times New Roman" w:cs="Times New Roman" w:eastAsia="Times New Roman" w:hint="default"/>
        </w:rPr>
        <w:t>2014 </w:t>
      </w:r>
      <w:r>
        <w:rPr>
          <w:spacing w:val="-2"/>
        </w:rPr>
        <w:t>年度的经营成果和现金流量等有关信息。此外，本公司的财务报表在所有重大方面符合中国证券监督管理委员会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w:t>
      </w:r>
      <w:r>
        <w:rPr>
          <w:spacing w:val="-60"/>
        </w:rPr>
        <w:t> </w:t>
      </w:r>
      <w:r>
        <w:rPr/>
        <w:t>的《公开发行证券的公司信息披露编报规则第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4"/>
        <w:spacing w:line="240" w:lineRule="auto"/>
        <w:ind w:right="182"/>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8" w:firstLine="360"/>
        <w:jc w:val="both"/>
      </w:pPr>
      <w:r>
        <w:rPr/>
        <w:t>本集团的会计期间分为年度和中期，会计中期指短于一个完整的会计年度的报告期间。本集团会计年度采用公历年度，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1"/>
          <w:szCs w:val="21"/>
        </w:rPr>
      </w:pPr>
    </w:p>
    <w:p>
      <w:pPr>
        <w:pStyle w:val="Heading4"/>
        <w:spacing w:line="240" w:lineRule="auto"/>
        <w:ind w:right="182"/>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85" w:firstLine="360"/>
        <w:jc w:val="both"/>
      </w:pPr>
      <w:r>
        <w:rPr/>
        <w:t>正常营业周期是指本集团从购买用于加工的资产起至实现现金或现金等价物的期间。本集团以</w:t>
      </w:r>
      <w:r>
        <w:rPr>
          <w:rFonts w:ascii="Times New Roman" w:hAnsi="Times New Roman" w:cs="Times New Roman" w:eastAsia="Times New Roman" w:hint="default"/>
        </w:rPr>
        <w:t>12</w:t>
      </w:r>
      <w:r>
        <w:rPr/>
        <w:t>个月作为一个营业周</w:t>
      </w:r>
      <w:r>
        <w:rPr>
          <w:spacing w:val="2"/>
        </w:rPr>
        <w:t> </w:t>
      </w:r>
      <w:r>
        <w:rPr/>
        <w:t>期，并以其作为资产和负债的流动性划分标准。</w:t>
      </w:r>
    </w:p>
    <w:p>
      <w:pPr>
        <w:pStyle w:val="BodyText"/>
        <w:spacing w:line="316" w:lineRule="auto" w:before="31"/>
        <w:ind w:left="153" w:right="191" w:firstLine="360"/>
        <w:jc w:val="both"/>
      </w:pPr>
      <w:r>
        <w:rPr>
          <w:spacing w:val="-2"/>
        </w:rPr>
        <w:t>子公司湛江晨鸣林业发展有限公司、阳江晨鸣林业发展有限公司、南昌晨鸣林业发展有限公司、黄冈晨鸣林业发展有限</w:t>
      </w:r>
      <w:r>
        <w:rPr/>
        <w:t> 责任公司、晨鸣林业有限公司从事林木的培育、种植和销售</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正常营业周期超过一年。</w:t>
      </w:r>
    </w:p>
    <w:p>
      <w:pPr>
        <w:spacing w:line="240" w:lineRule="auto" w:before="0"/>
        <w:rPr>
          <w:rFonts w:ascii="宋体" w:hAnsi="宋体" w:cs="宋体" w:eastAsia="宋体" w:hint="default"/>
          <w:sz w:val="21"/>
          <w:szCs w:val="21"/>
        </w:rPr>
      </w:pPr>
    </w:p>
    <w:p>
      <w:pPr>
        <w:pStyle w:val="Heading4"/>
        <w:spacing w:line="240" w:lineRule="auto"/>
        <w:ind w:right="182"/>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人民币为本公司及境内子公司经营所处的主要经济环境中的货币，本公司及境内子公司以人民币为记账本位币。本公司</w:t>
      </w:r>
      <w:r>
        <w:rPr/>
        <w:t> </w:t>
      </w:r>
      <w:r>
        <w:rPr>
          <w:spacing w:val="-2"/>
        </w:rPr>
        <w:t>之境外子公司根据其经营所处的主要经济环境中的货币确定美元、日元、欧元为其记账本位币。本公司编制本财务报表时所</w:t>
      </w:r>
      <w:r>
        <w:rPr>
          <w:spacing w:val="-66"/>
        </w:rPr>
        <w:t> </w:t>
      </w:r>
      <w:r>
        <w:rPr>
          <w:spacing w:val="-66"/>
        </w:rPr>
      </w:r>
      <w:r>
        <w:rPr/>
        <w:t>采用的货币为人民币。</w:t>
      </w:r>
    </w:p>
    <w:p>
      <w:pPr>
        <w:spacing w:line="240" w:lineRule="auto" w:before="7"/>
        <w:rPr>
          <w:rFonts w:ascii="宋体" w:hAnsi="宋体" w:cs="宋体" w:eastAsia="宋体" w:hint="default"/>
          <w:sz w:val="22"/>
          <w:szCs w:val="22"/>
        </w:rPr>
      </w:pPr>
    </w:p>
    <w:p>
      <w:pPr>
        <w:pStyle w:val="Heading4"/>
        <w:spacing w:line="240" w:lineRule="auto"/>
        <w:ind w:right="182"/>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 w:right="189"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8"/>
        <w:ind w:left="514" w:right="182"/>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right="91"/>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8"/>
        <w:ind w:right="108"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8"/>
        <w:ind w:left="514" w:right="182"/>
        <w:jc w:val="left"/>
      </w:pPr>
      <w:r>
        <w:rPr/>
        <w:t>合并方为进行企业合并发生的各项直接费用，于发生时计入当期损益。</w:t>
      </w:r>
    </w:p>
    <w:p>
      <w:pPr>
        <w:pStyle w:val="BodyText"/>
        <w:spacing w:line="300" w:lineRule="auto" w:before="76"/>
        <w:ind w:left="514" w:right="182"/>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right="182"/>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8"/>
        <w:ind w:right="190"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p>
    <w:p>
      <w:pPr>
        <w:spacing w:after="0" w:line="316"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190" w:hanging="1"/>
        <w:jc w:val="both"/>
      </w:pP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7"/>
        </w:rPr>
        <w:t> </w:t>
      </w:r>
      <w:r>
        <w:rPr>
          <w:spacing w:val="-67"/>
        </w:rPr>
      </w:r>
      <w:r>
        <w:rPr>
          <w:spacing w:val="-2"/>
        </w:rPr>
        <w:t>并中取得的被购买方可辨认净资产公允价值份额的，首先对取得的被购买方各项可辨认资产、负债及或有负债的公允价值以</w:t>
      </w:r>
      <w:r>
        <w:rPr>
          <w:spacing w:val="-65"/>
        </w:rPr>
        <w:t> </w:t>
      </w:r>
      <w:r>
        <w:rPr>
          <w:spacing w:val="-65"/>
        </w:rPr>
      </w:r>
      <w:r>
        <w:rPr>
          <w:spacing w:val="-2"/>
        </w:rPr>
        <w:t>及合并成本的计量进行复核，复核后合并成本仍小于合并中取得的被购买方可辨认净资产公允价值份额的，其差额计入当期</w:t>
      </w:r>
      <w:r>
        <w:rPr>
          <w:spacing w:val="-65"/>
        </w:rPr>
        <w:t> </w:t>
      </w:r>
      <w:r>
        <w:rPr>
          <w:spacing w:val="-65"/>
        </w:rPr>
      </w:r>
      <w:r>
        <w:rPr/>
        <w:t>损益。</w:t>
      </w:r>
    </w:p>
    <w:p>
      <w:pPr>
        <w:pStyle w:val="BodyText"/>
        <w:spacing w:line="312" w:lineRule="auto" w:before="18"/>
        <w:ind w:right="188"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right="91"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89"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18"/>
        <w:ind w:right="189"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82"/>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1"/>
        <w:ind w:right="189"/>
        <w:jc w:val="both"/>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8"/>
        <w:ind w:left="514" w:right="182"/>
        <w:jc w:val="left"/>
      </w:pPr>
      <w:r>
        <w:rPr/>
        <w:t>一旦相关事实和情况的变化导致上述控制定义涉及的相关要素发生了变化，本公司将进行重新评估。</w:t>
      </w:r>
    </w:p>
    <w:p>
      <w:pPr>
        <w:pStyle w:val="BodyText"/>
        <w:spacing w:line="300" w:lineRule="auto" w:before="76"/>
        <w:ind w:left="514" w:right="182"/>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31"/>
        <w:ind w:right="91"/>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316" w:lineRule="auto" w:before="18"/>
        <w:ind w:right="190"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8"/>
        <w:ind w:left="514" w:right="182"/>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8"/>
        <w:ind w:right="189"/>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80"/>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spacing w:after="0" w:line="300"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2" w:lineRule="auto" w:before="44"/>
        <w:ind w:right="190" w:firstLine="359"/>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13“</w:t>
      </w:r>
      <w:r>
        <w:rPr/>
        <w:t>长期股 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2" w:lineRule="auto" w:before="3"/>
        <w:ind w:right="90"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 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 </w:t>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11"/>
        <w:rPr>
          <w:rFonts w:ascii="宋体" w:hAnsi="宋体" w:cs="宋体" w:eastAsia="宋体" w:hint="default"/>
          <w:sz w:val="22"/>
          <w:szCs w:val="22"/>
        </w:rPr>
      </w:pPr>
    </w:p>
    <w:p>
      <w:pPr>
        <w:pStyle w:val="Heading4"/>
        <w:spacing w:line="240" w:lineRule="auto"/>
        <w:ind w:right="182"/>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t>合营安排，是指一项由两个或两个以上的参与方共同控制的安排。本集团根据在合营安排中享有的权利和承担的义务，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企业，是指本集团仅对该安排的净资产享有权利的合营安排。</w:t>
      </w:r>
    </w:p>
    <w:p>
      <w:pPr>
        <w:pStyle w:val="BodyText"/>
        <w:spacing w:line="300" w:lineRule="auto" w:before="18"/>
        <w:ind w:left="153" w:right="217" w:firstLine="360"/>
        <w:jc w:val="both"/>
      </w:pPr>
      <w:r>
        <w:rPr/>
        <w:t>本集团对合营企业的投资采用权益法核算，按照本附注五、</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）②</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16" w:lineRule="auto" w:before="31"/>
        <w:ind w:left="153" w:right="190" w:firstLine="360"/>
        <w:jc w:val="both"/>
      </w:pPr>
      <w:r>
        <w:rPr>
          <w:spacing w:val="-2"/>
        </w:rPr>
        <w:t>本集团作为合营方对共同经营，确认本集团单独持有的资产、单独所承担的负债，以及按本公司份额确认共同持有的资</w:t>
      </w:r>
      <w:r>
        <w:rPr/>
        <w:t> </w:t>
      </w:r>
      <w:r>
        <w:rPr>
          <w:spacing w:val="-2"/>
        </w:rPr>
        <w:t>产和共同承担的负债；确认出售本集团享有的共同经营产出份额所产生的收入；按本集团份额确认共同经营因出售产出所产</w:t>
      </w:r>
      <w:r>
        <w:rPr>
          <w:spacing w:val="-64"/>
        </w:rPr>
        <w:t> </w:t>
      </w:r>
      <w:r>
        <w:rPr>
          <w:spacing w:val="-64"/>
        </w:rPr>
      </w:r>
      <w:r>
        <w:rPr/>
        <w:t>生的收入；确认本集团单独所发生的费用，以及按本集团份额确认共同经营发生的费用。</w:t>
      </w:r>
    </w:p>
    <w:p>
      <w:pPr>
        <w:pStyle w:val="BodyText"/>
        <w:spacing w:line="312" w:lineRule="auto" w:before="18"/>
        <w:ind w:left="153" w:right="190" w:firstLine="360"/>
        <w:jc w:val="both"/>
      </w:pPr>
      <w:r>
        <w:rPr>
          <w:spacing w:val="-2"/>
        </w:rPr>
        <w:t>当本集团作为合营方向共同经营投出或出售资产（该资产不构成业务，下同）、或者自共同经营购买资产时，在该等资</w:t>
      </w:r>
      <w:r>
        <w:rPr/>
        <w:t> </w:t>
      </w:r>
      <w:r>
        <w:rPr>
          <w:spacing w:val="-2"/>
        </w:rPr>
        <w:t>产出售给第三方之前，本集团仅确认因该交易产生的损益中归属于共同经营其他参与方的部分。该等资产发生符合《企业会</w:t>
      </w:r>
      <w:r>
        <w:rPr>
          <w:spacing w:val="-66"/>
        </w:rPr>
        <w:t> </w:t>
      </w:r>
      <w:r>
        <w:rPr>
          <w:spacing w:val="-66"/>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资产减值》等规定的资产减值损失的，对于由本集团向共同经营投出或出售资产的情况，本公司全额确认 该损失；对于本集团自共同经营购买资产的情况，本集团按承担的份额确认该损失。</w:t>
      </w:r>
    </w:p>
    <w:p>
      <w:pPr>
        <w:spacing w:line="240" w:lineRule="auto" w:before="11"/>
        <w:rPr>
          <w:rFonts w:ascii="宋体" w:hAnsi="宋体" w:cs="宋体" w:eastAsia="宋体" w:hint="default"/>
          <w:sz w:val="22"/>
          <w:szCs w:val="22"/>
        </w:rPr>
      </w:pPr>
    </w:p>
    <w:p>
      <w:pPr>
        <w:pStyle w:val="Heading4"/>
        <w:spacing w:line="240" w:lineRule="auto"/>
        <w:ind w:right="182"/>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本集团现金及现金等价物包括库存现金、可以随时用于支付的存款以及本公司持有的期限短（一般为从购买日起，三个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4"/>
        <w:spacing w:line="240" w:lineRule="auto"/>
        <w:ind w:right="182"/>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91"/>
        <w:jc w:val="left"/>
      </w:pPr>
      <w:r>
        <w:rPr/>
        <w:t>（</w:t>
      </w:r>
      <w:r>
        <w:rPr>
          <w:rFonts w:ascii="Times New Roman" w:hAnsi="Times New Roman" w:cs="Times New Roman" w:eastAsia="Times New Roman" w:hint="default"/>
        </w:rPr>
        <w:t>1</w:t>
      </w:r>
      <w:r>
        <w:rPr/>
        <w:t>）外币交易的折算方法 </w:t>
      </w:r>
      <w:r>
        <w:rPr>
          <w:spacing w:val="-4"/>
        </w:rPr>
        <w:t>本集团发生的外币交易在初始确认时，按交易日的即期汇率（通常指中国人民银行公布的当日外汇牌价的中间价，下同）</w:t>
      </w:r>
    </w:p>
    <w:p>
      <w:pPr>
        <w:pStyle w:val="BodyText"/>
        <w:spacing w:line="240" w:lineRule="auto" w:before="31"/>
        <w:ind w:right="0"/>
        <w:jc w:val="left"/>
      </w:pPr>
      <w:r>
        <w:rPr/>
        <w:t>折算为记账本位币金额，但发生的外币兑换业务或涉及外币兑换的交易事项，按照实际采用的汇率折算为记账本位币金额。</w:t>
      </w:r>
    </w:p>
    <w:p>
      <w:pPr>
        <w:pStyle w:val="BodyText"/>
        <w:spacing w:line="300" w:lineRule="auto" w:before="76"/>
        <w:ind w:left="514" w:right="182"/>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spacing w:after="0" w:line="30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182"/>
        <w:jc w:val="left"/>
      </w:pPr>
      <w:r>
        <w:rPr>
          <w:spacing w:val="-2"/>
        </w:rPr>
        <w:t>本化条件的资产相关的外币专门借款产生的汇兑差额按照借款费用资本化的原则处理；②可供出售的外币货币性项目除摊余</w:t>
      </w:r>
      <w:r>
        <w:rPr>
          <w:spacing w:val="-64"/>
        </w:rPr>
        <w:t> </w:t>
      </w:r>
      <w:r>
        <w:rPr>
          <w:spacing w:val="-64"/>
        </w:rPr>
      </w:r>
      <w:r>
        <w:rPr/>
        <w:t>成本之外的其他账面余额变动产生的汇兑差额计入其他综合收益之外，均计入当期损益。</w:t>
      </w:r>
    </w:p>
    <w:p>
      <w:pPr>
        <w:pStyle w:val="BodyText"/>
        <w:spacing w:line="316" w:lineRule="auto" w:before="18"/>
        <w:ind w:right="182" w:firstLine="359"/>
        <w:jc w:val="left"/>
      </w:pPr>
      <w:r>
        <w:rPr>
          <w:spacing w:val="-2"/>
        </w:rPr>
        <w:t>编制合并财务报表涉及境外经营的，如有实质上构成对境外经营净投资的外币货币性项目，因汇率变动而产生的汇兑差</w:t>
      </w:r>
      <w:r>
        <w:rPr/>
        <w:t> 额，计入其他综合收益；处置境外经营时，转入处置当期损益。</w:t>
      </w:r>
    </w:p>
    <w:p>
      <w:pPr>
        <w:pStyle w:val="BodyText"/>
        <w:spacing w:line="316" w:lineRule="auto" w:before="18"/>
        <w:ind w:right="190"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300" w:lineRule="auto" w:before="18"/>
        <w:ind w:left="514" w:right="182"/>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1"/>
        <w:ind w:left="514" w:right="182" w:hanging="36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4" w:lineRule="auto" w:before="31"/>
        <w:ind w:right="189"/>
        <w:jc w:val="both"/>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目计算列示；折算后资产类项目与负债类项目和股东权益类项目合计数的差额，作为外币报表折算差额，确认为其他综合收</w:t>
      </w:r>
      <w:r>
        <w:rPr>
          <w:spacing w:val="-66"/>
        </w:rPr>
        <w:t> </w:t>
      </w:r>
      <w:r>
        <w:rPr>
          <w:spacing w:val="-66"/>
        </w:rPr>
      </w:r>
      <w:r>
        <w:rPr>
          <w:spacing w:val="-2"/>
        </w:rPr>
        <w:t>益。处置境外经营并丧失控制权时，将资产负债表中股东权益项目下列示的、与该境外经营相关的外币报表折算差额，全部</w:t>
      </w:r>
      <w:r>
        <w:rPr>
          <w:spacing w:val="-66"/>
        </w:rPr>
        <w:t> </w:t>
      </w:r>
      <w:r>
        <w:rPr>
          <w:spacing w:val="-66"/>
        </w:rPr>
      </w:r>
      <w:r>
        <w:rPr/>
        <w:t>或按处置该境外经营的比例转入处置当期损益。</w:t>
      </w:r>
    </w:p>
    <w:p>
      <w:pPr>
        <w:pStyle w:val="BodyText"/>
        <w:spacing w:line="316" w:lineRule="auto" w:before="20"/>
        <w:ind w:right="182" w:firstLine="360"/>
        <w:jc w:val="left"/>
      </w:pPr>
      <w:r>
        <w:rPr>
          <w:spacing w:val="-2"/>
        </w:rPr>
        <w:t>外币现金流量以及境外子公司的现金流量，采用现金流量发生日的即期汇率折算。汇率变动对现金的影响额作为调节项</w:t>
      </w:r>
      <w:r>
        <w:rPr/>
        <w:t> 目，在现金流量表中单独列报。</w:t>
      </w:r>
    </w:p>
    <w:p>
      <w:pPr>
        <w:pStyle w:val="BodyText"/>
        <w:spacing w:line="316" w:lineRule="auto" w:before="18"/>
        <w:ind w:left="514" w:right="182"/>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316" w:lineRule="auto" w:before="18"/>
        <w:ind w:left="514" w:right="90" w:hanging="360"/>
        <w:jc w:val="left"/>
      </w:pPr>
      <w:r>
        <w:rPr/>
        <w:t>表中股东权益项目下列示的、与该境外经营相关的归属于母公司所有者权益的外币报表折算差额，全部转入处置当期损益。 </w:t>
      </w:r>
      <w:r>
        <w:rPr>
          <w:spacing w:val="-2"/>
        </w:rPr>
        <w:t>在处置部分股权投资或其他原因导致持有境外经营权益比例降低但不丧失对境外经营控制权时，与该境外经营处置部分</w:t>
      </w:r>
    </w:p>
    <w:p>
      <w:pPr>
        <w:pStyle w:val="BodyText"/>
        <w:spacing w:line="316" w:lineRule="auto" w:before="18"/>
        <w:ind w:right="90"/>
        <w:jc w:val="left"/>
      </w:pPr>
      <w:r>
        <w:rPr/>
        <w:t>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8"/>
        <w:rPr>
          <w:rFonts w:ascii="宋体" w:hAnsi="宋体" w:cs="宋体" w:eastAsia="宋体" w:hint="default"/>
          <w:sz w:val="22"/>
          <w:szCs w:val="22"/>
        </w:rPr>
      </w:pPr>
    </w:p>
    <w:p>
      <w:pPr>
        <w:pStyle w:val="Heading4"/>
        <w:spacing w:line="240" w:lineRule="auto"/>
        <w:ind w:right="182"/>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t>在本集团成为金融工具合同的一方时确认一项金融资产或金融负债。金融资产和金融负债在初始确认时以公允价值计</w:t>
      </w:r>
      <w:r>
        <w:rPr>
          <w:spacing w:val="2"/>
        </w:rPr>
        <w:t> </w:t>
      </w:r>
      <w:r>
        <w:rPr/>
        <w:t>量，在活跃市场中没有报价且其公允价值不能可靠计量的无控制、共同控制和重大影响的权益工具投资和采用实际利率法、</w:t>
      </w:r>
      <w:r>
        <w:rPr/>
        <w:t> </w:t>
      </w:r>
      <w:r>
        <w:rPr>
          <w:spacing w:val="-2"/>
        </w:rPr>
        <w:t>按摊余成本进行后续计量债务融资工具除外。对于以公允价值计量且其变动计入当期损益的金融资产和金融负债，相关的交</w:t>
      </w:r>
      <w:r>
        <w:rPr>
          <w:spacing w:val="-64"/>
        </w:rPr>
        <w:t> </w:t>
      </w:r>
      <w:r>
        <w:rPr>
          <w:spacing w:val="-64"/>
        </w:rPr>
      </w:r>
      <w:r>
        <w:rPr/>
        <w:t>易费用直接计入损益，对于其他类别的金融资产和金融负债，相关交易费用计入初始确认金额。</w:t>
      </w:r>
    </w:p>
    <w:p>
      <w:pPr>
        <w:pStyle w:val="BodyText"/>
        <w:spacing w:line="300" w:lineRule="auto" w:before="18"/>
        <w:ind w:left="514" w:right="182"/>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31"/>
        <w:ind w:right="90"/>
        <w:jc w:val="left"/>
      </w:pPr>
      <w:r>
        <w:rPr>
          <w:spacing w:val="-4"/>
        </w:rPr>
        <w:t>融工具存在活跃市场的，本集团采用活跃市场中的报价确定其公允价值。活跃市场中的报价是指易于定期从交易所、经纪商、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本集团采用估值技术确定其公允价值。估值技术包括参考熟悉情况并自愿交易的各方最近进行的市场交易中使用的价格、参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00" w:lineRule="auto" w:before="18"/>
        <w:ind w:left="514" w:right="182"/>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以常规方式买卖金融资产，按交易日进行会计确认和终止确认。金融资产在初始确认时划分为贷款和应收款项以及可供</w:t>
      </w:r>
    </w:p>
    <w:p>
      <w:pPr>
        <w:pStyle w:val="BodyText"/>
        <w:spacing w:line="240" w:lineRule="auto" w:before="31"/>
        <w:ind w:right="182"/>
        <w:jc w:val="left"/>
      </w:pPr>
      <w:r>
        <w:rPr/>
        <w:t>出售金融资产等。</w:t>
      </w:r>
    </w:p>
    <w:p>
      <w:pPr>
        <w:pStyle w:val="BodyText"/>
        <w:spacing w:line="295" w:lineRule="auto" w:before="51"/>
        <w:ind w:left="513" w:right="182"/>
        <w:jc w:val="left"/>
      </w:pPr>
      <w:r>
        <w:rPr>
          <w:sz w:val="21"/>
          <w:szCs w:val="21"/>
        </w:rPr>
        <w:t>①</w:t>
      </w:r>
      <w:r>
        <w:rPr/>
        <w:t>贷款和应收款项</w:t>
      </w:r>
      <w:r>
        <w:rPr/>
        <w:t> </w:t>
      </w:r>
      <w:r>
        <w:rPr>
          <w:spacing w:val="-2"/>
        </w:rPr>
        <w:t>是指在活跃市场中没有报价、回收金额固定或可确定的非衍生金融资产。本集团划分为贷款和应收款的金融资产包括应</w:t>
      </w:r>
    </w:p>
    <w:p>
      <w:pPr>
        <w:pStyle w:val="BodyText"/>
        <w:spacing w:line="316" w:lineRule="auto" w:before="35"/>
        <w:ind w:left="513" w:right="182"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spacing w:after="0" w:line="316"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both"/>
      </w:pPr>
      <w:r>
        <w:rPr/>
        <w:t>当期损益。</w:t>
      </w:r>
    </w:p>
    <w:p>
      <w:pPr>
        <w:pStyle w:val="BodyText"/>
        <w:spacing w:line="295" w:lineRule="auto" w:before="51"/>
        <w:ind w:left="513" w:right="4231"/>
        <w:jc w:val="left"/>
      </w:pPr>
      <w:r>
        <w:rPr>
          <w:sz w:val="21"/>
          <w:szCs w:val="21"/>
        </w:rPr>
        <w:t>②</w:t>
      </w:r>
      <w:r>
        <w:rPr/>
        <w:t>可供出售金融资产</w:t>
      </w:r>
      <w:r>
        <w:rPr/>
        <w:t> 是指对被投资单位无控制、共同控制和重大影响的权益工具投资。</w:t>
      </w:r>
    </w:p>
    <w:p>
      <w:pPr>
        <w:pStyle w:val="BodyText"/>
        <w:spacing w:line="316" w:lineRule="auto" w:before="35"/>
        <w:ind w:left="153" w:right="190"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t>活跃市场中没有报价且其公允价值不能可靠计量的权益工具投资，按照成本进行后续计量。</w:t>
      </w:r>
    </w:p>
    <w:p>
      <w:pPr>
        <w:pStyle w:val="BodyText"/>
        <w:spacing w:line="240" w:lineRule="auto" w:before="18"/>
        <w:ind w:left="513" w:right="182"/>
        <w:jc w:val="left"/>
      </w:pPr>
      <w:r>
        <w:rPr/>
        <w:t>可供出售金融资产持有期间取得的利息及被投资单位宣告发放的现金股利，计入投资收益。</w:t>
      </w:r>
    </w:p>
    <w:p>
      <w:pPr>
        <w:pStyle w:val="BodyText"/>
        <w:spacing w:line="300" w:lineRule="auto" w:before="76"/>
        <w:ind w:left="513" w:right="182"/>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除了以公允价值计量且其变动计入当期损益的金融资产外，本集团在每个资产负债表日对其他金融资产的账面价值进行</w:t>
      </w:r>
    </w:p>
    <w:p>
      <w:pPr>
        <w:pStyle w:val="BodyText"/>
        <w:spacing w:line="316" w:lineRule="auto" w:before="31"/>
        <w:ind w:left="513" w:right="182" w:hanging="360"/>
        <w:jc w:val="left"/>
      </w:pPr>
      <w:r>
        <w:rPr/>
        <w:t>检查，有客观证据表明金融资产发生减值的，计提减值准备。 </w:t>
      </w:r>
      <w:r>
        <w:rPr>
          <w:spacing w:val="-2"/>
        </w:rPr>
        <w:t>本集团对单项金额重大的金融资产单独进行减值测试；对单项金额不重大的金融资产，单独进行减值测试或包括在具有</w:t>
      </w:r>
    </w:p>
    <w:p>
      <w:pPr>
        <w:pStyle w:val="BodyText"/>
        <w:spacing w:line="316" w:lineRule="auto" w:before="18"/>
        <w:ind w:left="153" w:right="189"/>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6" w:lineRule="auto" w:before="18"/>
        <w:ind w:left="513" w:right="182"/>
        <w:jc w:val="left"/>
      </w:pPr>
      <w:r>
        <w:rPr/>
        <w:t>①贷款和应收款项减值 </w:t>
      </w:r>
      <w:r>
        <w:rPr>
          <w:spacing w:val="-2"/>
        </w:rPr>
        <w:t>以成本或摊余成本计量的金融资产将其账面价值减记至预计未来现金流量现值，减记金额确认为减值损失，计入当期损</w:t>
      </w:r>
    </w:p>
    <w:p>
      <w:pPr>
        <w:pStyle w:val="BodyText"/>
        <w:spacing w:line="316" w:lineRule="auto" w:before="18"/>
        <w:ind w:left="153" w:right="189"/>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8"/>
        <w:ind w:left="513" w:right="182"/>
        <w:jc w:val="left"/>
      </w:pPr>
      <w:r>
        <w:rPr/>
        <w:t>②可供出售金融资产减值 </w:t>
      </w:r>
      <w:r>
        <w:rPr>
          <w:spacing w:val="-2"/>
        </w:rPr>
        <w:t>当综合相关因素判断可供出售权益工具投资公允价值下跌是严重或非暂时性下跌时，表明该可供出售权益工具投资发生</w:t>
      </w:r>
    </w:p>
    <w:p>
      <w:pPr>
        <w:pStyle w:val="BodyText"/>
        <w:spacing w:line="300" w:lineRule="auto" w:before="18"/>
        <w:ind w:left="153" w:right="191"/>
        <w:jc w:val="both"/>
      </w:pPr>
      <w:r>
        <w:rPr>
          <w:spacing w:val="-1"/>
        </w:rPr>
        <w:t>减值。其中</w:t>
      </w:r>
      <w:r>
        <w:rPr>
          <w:rFonts w:ascii="Times New Roman" w:hAnsi="Times New Roman" w:cs="Times New Roman" w:eastAsia="Times New Roman" w:hint="default"/>
          <w:spacing w:val="-1"/>
        </w:rPr>
        <w:t>“</w:t>
      </w:r>
      <w:r>
        <w:rPr>
          <w:spacing w:val="-1"/>
        </w:rPr>
        <w:t>严重下跌</w:t>
      </w:r>
      <w:r>
        <w:rPr>
          <w:rFonts w:ascii="Times New Roman" w:hAnsi="Times New Roman" w:cs="Times New Roman" w:eastAsia="Times New Roman" w:hint="default"/>
          <w:spacing w:val="-1"/>
        </w:rPr>
        <w:t>”</w:t>
      </w:r>
      <w:r>
        <w:rPr>
          <w:spacing w:val="-1"/>
        </w:rPr>
        <w:t>是指公允价值下跌幅度累计超过</w:t>
      </w:r>
      <w:r>
        <w:rPr>
          <w:rFonts w:ascii="Times New Roman" w:hAnsi="Times New Roman" w:cs="Times New Roman" w:eastAsia="Times New Roman" w:hint="default"/>
          <w:spacing w:val="-1"/>
        </w:rPr>
        <w:t>20%</w:t>
      </w:r>
      <w:r>
        <w:rPr>
          <w:spacing w:val="-1"/>
        </w:rPr>
        <w:t>；</w:t>
      </w:r>
      <w:r>
        <w:rPr>
          <w:rFonts w:ascii="Times New Roman" w:hAnsi="Times New Roman" w:cs="Times New Roman" w:eastAsia="Times New Roman" w:hint="default"/>
          <w:spacing w:val="-1"/>
        </w:rPr>
        <w:t>“</w:t>
      </w:r>
      <w:r>
        <w:rPr>
          <w:spacing w:val="-1"/>
        </w:rPr>
        <w:t>非暂时性下跌</w:t>
      </w:r>
      <w:r>
        <w:rPr>
          <w:rFonts w:ascii="Times New Roman" w:hAnsi="Times New Roman" w:cs="Times New Roman" w:eastAsia="Times New Roman" w:hint="default"/>
          <w:spacing w:val="-1"/>
        </w:rPr>
        <w:t>”</w:t>
      </w:r>
      <w:r>
        <w:rPr>
          <w:spacing w:val="-1"/>
        </w:rPr>
        <w:t>是指公允价值连续下跌时间超过</w:t>
      </w:r>
      <w:r>
        <w:rPr>
          <w:rFonts w:ascii="Times New Roman" w:hAnsi="Times New Roman" w:cs="Times New Roman" w:eastAsia="Times New Roman" w:hint="default"/>
          <w:spacing w:val="-1"/>
        </w:rPr>
        <w:t>12</w:t>
      </w:r>
      <w:r>
        <w:rPr>
          <w:spacing w:val="-1"/>
        </w:rPr>
        <w:t>个月，持续</w:t>
      </w:r>
      <w:r>
        <w:rPr>
          <w:spacing w:val="-46"/>
        </w:rPr>
        <w:t> </w:t>
      </w:r>
      <w:r>
        <w:rPr>
          <w:spacing w:val="-46"/>
        </w:rPr>
      </w:r>
      <w:r>
        <w:rPr/>
        <w:t>下跌期间的确定依据为公允价值下跌幅度累计超过</w:t>
      </w:r>
      <w:r>
        <w:rPr>
          <w:rFonts w:ascii="Times New Roman" w:hAnsi="Times New Roman" w:cs="Times New Roman" w:eastAsia="Times New Roman" w:hint="default"/>
        </w:rPr>
        <w:t>10%</w:t>
      </w:r>
      <w:r>
        <w:rPr/>
        <w:t>。</w:t>
      </w:r>
    </w:p>
    <w:p>
      <w:pPr>
        <w:pStyle w:val="BodyText"/>
        <w:spacing w:line="316" w:lineRule="auto" w:before="13"/>
        <w:ind w:left="153" w:right="108"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pStyle w:val="BodyText"/>
        <w:spacing w:line="316" w:lineRule="auto" w:before="18"/>
        <w:ind w:left="153" w:right="190"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8"/>
        <w:ind w:left="153" w:right="19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300" w:lineRule="auto" w:before="18"/>
        <w:ind w:left="513" w:right="182"/>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before="31"/>
        <w:ind w:left="153" w:right="190"/>
        <w:jc w:val="both"/>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所有权上几乎所有的风险和报酬，但是放弃了对该金融资产控制。</w:t>
      </w:r>
    </w:p>
    <w:p>
      <w:pPr>
        <w:pStyle w:val="BodyText"/>
        <w:spacing w:line="316" w:lineRule="auto" w:before="18"/>
        <w:ind w:left="153" w:right="190"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8"/>
        <w:ind w:left="153" w:right="19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8"/>
        <w:ind w:left="153" w:right="19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8"/>
        <w:ind w:left="153" w:right="190" w:firstLine="360"/>
        <w:jc w:val="both"/>
      </w:pPr>
      <w:r>
        <w:rPr>
          <w:spacing w:val="-2"/>
        </w:rPr>
        <w:t>本集团对采用附追索权方式出售的金融资产，或将持有的金融资产背书转让，需确定该金融资产所有权上几乎所有的风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p>
    <w:p>
      <w:pPr>
        <w:spacing w:after="0" w:line="316" w:lineRule="auto"/>
        <w:jc w:val="both"/>
        <w:sectPr>
          <w:footerReference w:type="default" r:id="rId27"/>
          <w:pgSz w:w="11910" w:h="16840"/>
          <w:pgMar w:footer="982" w:header="877"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182" w:hanging="1"/>
        <w:jc w:val="left"/>
      </w:pP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00" w:lineRule="auto" w:before="18"/>
        <w:ind w:left="514" w:right="182"/>
        <w:jc w:val="left"/>
      </w:pPr>
      <w:r>
        <w:rPr/>
        <w:t>（</w:t>
      </w:r>
      <w:r>
        <w:rPr>
          <w:rFonts w:ascii="Times New Roman" w:hAnsi="Times New Roman" w:cs="Times New Roman" w:eastAsia="Times New Roman" w:hint="default"/>
        </w:rPr>
        <w:t>5</w:t>
      </w:r>
      <w:r>
        <w:rPr/>
        <w:t>）金融负债的分类和计量 </w:t>
      </w:r>
      <w:r>
        <w:rPr>
          <w:spacing w:val="-2"/>
        </w:rPr>
        <w:t>金融负债在初始确认时划分为以公允价值计量且其变动计入当期损益的金融负债和其他金融负债。对于以公允价值计量</w:t>
      </w:r>
    </w:p>
    <w:p>
      <w:pPr>
        <w:pStyle w:val="BodyText"/>
        <w:spacing w:line="316" w:lineRule="auto" w:before="31"/>
        <w:ind w:right="182"/>
        <w:jc w:val="left"/>
      </w:pPr>
      <w:r>
        <w:rPr>
          <w:spacing w:val="-2"/>
        </w:rPr>
        <w:t>且其变动计入当期损益的金融负债，相关的交易费用直接计入当期损益，对于其他金融负债，相关交易费用计入初始确认金</w:t>
      </w:r>
      <w:r>
        <w:rPr>
          <w:spacing w:val="-66"/>
        </w:rPr>
        <w:t> </w:t>
      </w:r>
      <w:r>
        <w:rPr>
          <w:spacing w:val="-66"/>
        </w:rPr>
      </w:r>
      <w:r>
        <w:rPr/>
        <w:t>额，采用实际利率法，按摊余成本进行后续计量，终止确认或摊销产生的利得或损失计入当期损益。</w:t>
      </w:r>
    </w:p>
    <w:p>
      <w:pPr>
        <w:pStyle w:val="BodyText"/>
        <w:spacing w:line="300" w:lineRule="auto" w:before="18"/>
        <w:ind w:left="514" w:right="182"/>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金融负债的现时义务全部或部分已经解除的，才能终止确认该金融负债或其一部分。本集团（债务人）与债权人之间签</w:t>
      </w:r>
    </w:p>
    <w:p>
      <w:pPr>
        <w:pStyle w:val="BodyText"/>
        <w:spacing w:line="316" w:lineRule="auto" w:before="31"/>
        <w:ind w:right="182"/>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8"/>
        <w:ind w:right="190"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16" w:lineRule="auto" w:before="18"/>
        <w:ind w:left="514" w:right="182"/>
        <w:jc w:val="left"/>
      </w:pPr>
      <w:r>
        <w:rPr/>
        <w:t>（7）金融资产和金融负债的抵销 </w:t>
      </w:r>
      <w:r>
        <w:rPr>
          <w:spacing w:val="-2"/>
        </w:rPr>
        <w:t>当本集团具有抵销已确认金融资产和金融负债的法定权利，且目前可执行该种法定权利，同时本公司计划以净额结算或</w:t>
      </w:r>
    </w:p>
    <w:p>
      <w:pPr>
        <w:pStyle w:val="BodyText"/>
        <w:spacing w:line="316" w:lineRule="auto" w:before="18"/>
        <w:ind w:right="182"/>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16" w:lineRule="auto" w:before="18"/>
        <w:ind w:left="514" w:right="182"/>
        <w:jc w:val="left"/>
      </w:pPr>
      <w:r>
        <w:rPr/>
        <w:t>（8）权益工具 </w:t>
      </w:r>
      <w:r>
        <w:rPr>
          <w:spacing w:val="-2"/>
        </w:rPr>
        <w:t>权益工具是指能证明拥有本集团在扣除所有负债后的资产中的剩余权益的合同。本公司发行（含再融资）、回购、出售</w:t>
      </w:r>
    </w:p>
    <w:p>
      <w:pPr>
        <w:pStyle w:val="BodyText"/>
        <w:spacing w:line="316" w:lineRule="auto" w:before="18"/>
        <w:ind w:left="514" w:right="90" w:hanging="360"/>
        <w:jc w:val="left"/>
      </w:pPr>
      <w:r>
        <w:rPr>
          <w:spacing w:val="-4"/>
        </w:rPr>
        <w:t>或注销权益工具作为权益的变动处理。本集团不确认权益工具的公允价值变动。与权益性交易相关的交易费用从权益中扣减。</w:t>
      </w:r>
      <w:r>
        <w:rPr>
          <w:spacing w:val="-44"/>
        </w:rPr>
        <w:t> </w:t>
      </w:r>
      <w:r>
        <w:rPr>
          <w:spacing w:val="-44"/>
        </w:rPr>
      </w:r>
      <w:r>
        <w:rPr/>
        <w:t>本集团对权益工具持有方的各种分配（不包括股票股利），减少股东权益。本公司不确认权益工具的公允价值变动额。</w:t>
      </w:r>
    </w:p>
    <w:p>
      <w:pPr>
        <w:spacing w:line="240" w:lineRule="auto" w:before="8"/>
        <w:rPr>
          <w:rFonts w:ascii="宋体" w:hAnsi="宋体" w:cs="宋体" w:eastAsia="宋体" w:hint="default"/>
          <w:sz w:val="22"/>
          <w:szCs w:val="22"/>
        </w:rPr>
      </w:pPr>
    </w:p>
    <w:p>
      <w:pPr>
        <w:pStyle w:val="Heading4"/>
        <w:spacing w:line="240" w:lineRule="auto"/>
        <w:ind w:right="182"/>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8"/>
        <w:ind w:left="514" w:right="182"/>
        <w:jc w:val="left"/>
      </w:pPr>
      <w:r>
        <w:rPr/>
        <w:t>应收款项包括应收账款、其他应收款等。</w:t>
      </w:r>
    </w:p>
    <w:p>
      <w:pPr>
        <w:spacing w:line="240" w:lineRule="auto" w:before="9"/>
        <w:rPr>
          <w:rFonts w:ascii="宋体" w:hAnsi="宋体" w:cs="宋体" w:eastAsia="宋体" w:hint="default"/>
          <w:sz w:val="15"/>
          <w:szCs w:val="15"/>
        </w:rPr>
      </w:pPr>
    </w:p>
    <w:p>
      <w:pPr>
        <w:pStyle w:val="BodyText"/>
        <w:spacing w:line="424" w:lineRule="auto"/>
        <w:ind w:left="514" w:right="90"/>
        <w:jc w:val="left"/>
      </w:pPr>
      <w:r>
        <w:rPr/>
        <w:t>（</w:t>
      </w:r>
      <w:r>
        <w:rPr>
          <w:rFonts w:ascii="Arial" w:hAnsi="Arial" w:cs="Arial" w:eastAsia="Arial" w:hint="default"/>
        </w:rPr>
        <w:t>1</w:t>
      </w:r>
      <w:r>
        <w:rPr/>
        <w:t>）坏账准备的确认标准 本集团在资产负债表日对应收款项账面价值进行检查，对存在下列客观证据表明应收款项发生减值的，计提减值准备：</w:t>
      </w:r>
    </w:p>
    <w:p>
      <w:pPr>
        <w:pStyle w:val="BodyText"/>
        <w:spacing w:line="408" w:lineRule="auto" w:before="26"/>
        <w:ind w:right="182"/>
        <w:jc w:val="left"/>
      </w:pPr>
      <w:r>
        <w:rPr>
          <w:spacing w:val="-2"/>
        </w:rPr>
        <w:t>①债务人发生严重的财务困难；②债务人违反合同条款（如偿付利息或本金发生违约或逾期等）；③债务人很可能倒闭或进</w:t>
      </w:r>
      <w:r>
        <w:rPr>
          <w:spacing w:val="-65"/>
        </w:rPr>
        <w:t> </w:t>
      </w:r>
      <w:r>
        <w:rPr>
          <w:spacing w:val="-65"/>
        </w:rPr>
      </w:r>
      <w:r>
        <w:rPr/>
        <w:t>行其他财务重组；④其他表明应收款项发生减值的客观依据。</w:t>
      </w:r>
    </w:p>
    <w:p>
      <w:pPr>
        <w:pStyle w:val="BodyText"/>
        <w:spacing w:line="240" w:lineRule="auto" w:before="79"/>
        <w:ind w:left="514" w:right="182"/>
        <w:jc w:val="left"/>
      </w:pPr>
      <w:r>
        <w:rPr/>
        <w:t>（</w:t>
      </w:r>
      <w:r>
        <w:rPr>
          <w:rFonts w:ascii="Arial" w:hAnsi="Arial" w:cs="Arial" w:eastAsia="Arial" w:hint="default"/>
        </w:rPr>
        <w:t>2</w:t>
      </w:r>
      <w:r>
        <w:rPr/>
        <w:t>）坏账准备的计提方法</w:t>
      </w:r>
    </w:p>
    <w:p>
      <w:pPr>
        <w:spacing w:line="240" w:lineRule="auto" w:before="8"/>
        <w:rPr>
          <w:rFonts w:ascii="宋体" w:hAnsi="宋体" w:cs="宋体" w:eastAsia="宋体" w:hint="default"/>
          <w:sz w:val="14"/>
          <w:szCs w:val="14"/>
        </w:rPr>
      </w:pPr>
    </w:p>
    <w:p>
      <w:pPr>
        <w:pStyle w:val="BodyText"/>
        <w:spacing w:line="448" w:lineRule="auto"/>
        <w:ind w:left="514" w:right="2943"/>
        <w:jc w:val="left"/>
      </w:pPr>
      <w:r>
        <w:rPr/>
        <w:t>①单项金额重大并单项计提坏账准备的应收款项坏账准备的确认标准、计提方法 本集团将金额为人民币</w:t>
      </w:r>
      <w:r>
        <w:rPr>
          <w:spacing w:val="-47"/>
        </w:rPr>
        <w:t> </w:t>
      </w:r>
      <w:r>
        <w:rPr>
          <w:rFonts w:ascii="Arial" w:hAnsi="Arial" w:cs="Arial" w:eastAsia="Arial" w:hint="default"/>
        </w:rPr>
        <w:t>100</w:t>
      </w:r>
      <w:r>
        <w:rPr>
          <w:rFonts w:ascii="Arial" w:hAnsi="Arial" w:cs="Arial" w:eastAsia="Arial" w:hint="default"/>
          <w:spacing w:val="-6"/>
        </w:rPr>
        <w:t> </w:t>
      </w:r>
      <w:r>
        <w:rPr/>
        <w:t>万元以上的应收款项确认为单项金额重大的应收款项。</w:t>
      </w:r>
    </w:p>
    <w:p>
      <w:pPr>
        <w:pStyle w:val="BodyText"/>
        <w:spacing w:line="408" w:lineRule="auto" w:before="17"/>
        <w:ind w:right="190" w:firstLine="360"/>
        <w:jc w:val="both"/>
      </w:pPr>
      <w:r>
        <w:rPr>
          <w:spacing w:val="-2"/>
        </w:rPr>
        <w:t>本集团对单项金额重大的应收款项单独进行减值测试，单独测试未发生减值的金融资产，包括在具有类似信用风险特征</w:t>
      </w:r>
      <w:r>
        <w:rPr/>
        <w:t> </w:t>
      </w:r>
      <w:r>
        <w:rPr>
          <w:spacing w:val="-2"/>
        </w:rPr>
        <w:t>的金融资产组合中进行减值测试。单项测试已确认减值损失的应收款项，不再包括在具有类似信用风险特征的应收款项组合</w:t>
      </w:r>
      <w:r>
        <w:rPr>
          <w:spacing w:val="-64"/>
        </w:rPr>
        <w:t> </w:t>
      </w:r>
      <w:r>
        <w:rPr>
          <w:spacing w:val="-64"/>
        </w:rPr>
      </w:r>
      <w:r>
        <w:rPr/>
        <w:t>中进行减值测试。</w:t>
      </w:r>
    </w:p>
    <w:p>
      <w:pPr>
        <w:pStyle w:val="BodyText"/>
        <w:spacing w:line="240" w:lineRule="auto" w:before="79"/>
        <w:ind w:left="514" w:right="182"/>
        <w:jc w:val="left"/>
      </w:pPr>
      <w:r>
        <w:rPr/>
        <w:t>②按信用风险组合计提坏账准备的应收款项的确定依据、坏账准备计提方法</w:t>
      </w:r>
    </w:p>
    <w:p>
      <w:pPr>
        <w:spacing w:line="240" w:lineRule="auto" w:before="9"/>
        <w:rPr>
          <w:rFonts w:ascii="宋体" w:hAnsi="宋体" w:cs="宋体" w:eastAsia="宋体" w:hint="default"/>
          <w:sz w:val="15"/>
          <w:szCs w:val="15"/>
        </w:rPr>
      </w:pPr>
    </w:p>
    <w:p>
      <w:pPr>
        <w:pStyle w:val="BodyText"/>
        <w:spacing w:line="424" w:lineRule="auto"/>
        <w:ind w:left="514" w:right="182"/>
        <w:jc w:val="left"/>
      </w:pPr>
      <w:r>
        <w:rPr>
          <w:rFonts w:ascii="Arial" w:hAnsi="Arial" w:cs="Arial" w:eastAsia="Arial" w:hint="default"/>
        </w:rPr>
        <w:t>A</w:t>
      </w:r>
      <w:r>
        <w:rPr/>
        <w:t>．信用风险特征组合的确定依据</w:t>
      </w:r>
      <w:r>
        <w:rPr>
          <w:w w:val="100"/>
        </w:rPr>
        <w:t> </w:t>
      </w:r>
      <w:r>
        <w:rPr>
          <w:spacing w:val="-2"/>
          <w:w w:val="100"/>
        </w:rPr>
        <w:t>本集团对单项金额不重大以及金额重大但单项测试未发生减值的应收款项，按信用风险特征的相似性和相关性对金融资</w:t>
      </w:r>
    </w:p>
    <w:p>
      <w:pPr>
        <w:pStyle w:val="BodyText"/>
        <w:spacing w:line="408" w:lineRule="auto" w:before="26"/>
        <w:ind w:right="182"/>
        <w:jc w:val="left"/>
      </w:pPr>
      <w:r>
        <w:rPr>
          <w:spacing w:val="-2"/>
        </w:rPr>
        <w:t>产进行分组。这些信用风险通常反映债务人按照该等资产的合同条款偿还所有到期金额的能力，并且与被检查资产的未来现</w:t>
      </w:r>
      <w:r>
        <w:rPr>
          <w:spacing w:val="-64"/>
        </w:rPr>
        <w:t> </w:t>
      </w:r>
      <w:r>
        <w:rPr>
          <w:spacing w:val="-64"/>
        </w:rPr>
      </w:r>
      <w:r>
        <w:rPr/>
        <w:t>金流量测算相关。</w:t>
      </w:r>
    </w:p>
    <w:p>
      <w:pPr>
        <w:spacing w:after="0" w:line="408" w:lineRule="auto"/>
        <w:jc w:val="left"/>
        <w:sectPr>
          <w:footerReference w:type="default" r:id="rId28"/>
          <w:pgSz w:w="11910" w:h="16840"/>
          <w:pgMar w:footer="982" w:header="877" w:top="1100" w:bottom="1180" w:left="980" w:right="940"/>
        </w:sectPr>
      </w:pPr>
    </w:p>
    <w:p>
      <w:pPr>
        <w:spacing w:line="240" w:lineRule="auto" w:before="7"/>
        <w:rPr>
          <w:rFonts w:ascii="宋体" w:hAnsi="宋体" w:cs="宋体" w:eastAsia="宋体" w:hint="default"/>
          <w:sz w:val="29"/>
          <w:szCs w:val="29"/>
        </w:rPr>
      </w:pPr>
    </w:p>
    <w:p>
      <w:pPr>
        <w:pStyle w:val="BodyText"/>
        <w:spacing w:line="240" w:lineRule="auto" w:before="44"/>
        <w:ind w:left="593" w:right="0"/>
        <w:jc w:val="left"/>
      </w:pPr>
      <w:r>
        <w:rPr/>
        <w:t>不同组合的确定依据：</w:t>
      </w:r>
    </w:p>
    <w:p>
      <w:pPr>
        <w:spacing w:line="240" w:lineRule="auto" w:before="4"/>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002"/>
        <w:gridCol w:w="7853"/>
      </w:tblGrid>
      <w:tr>
        <w:trPr>
          <w:trHeight w:val="494" w:hRule="exact"/>
        </w:trPr>
        <w:tc>
          <w:tcPr>
            <w:tcW w:w="200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85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96" w:hRule="exact"/>
        </w:trPr>
        <w:tc>
          <w:tcPr>
            <w:tcW w:w="200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left="100" w:right="0"/>
              <w:jc w:val="left"/>
              <w:rPr>
                <w:rFonts w:ascii="宋体" w:hAnsi="宋体" w:cs="宋体" w:eastAsia="宋体" w:hint="default"/>
                <w:sz w:val="18"/>
                <w:szCs w:val="18"/>
              </w:rPr>
            </w:pPr>
            <w:r>
              <w:rPr>
                <w:rFonts w:ascii="宋体" w:hAnsi="宋体" w:cs="宋体" w:eastAsia="宋体" w:hint="default"/>
                <w:sz w:val="18"/>
                <w:szCs w:val="18"/>
              </w:rPr>
              <w:t>特定款项组合</w:t>
            </w:r>
          </w:p>
        </w:tc>
        <w:tc>
          <w:tcPr>
            <w:tcW w:w="7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18"/>
                <w:szCs w:val="18"/>
              </w:rPr>
            </w:pPr>
            <w:r>
              <w:rPr>
                <w:rFonts w:ascii="宋体" w:hAnsi="宋体" w:cs="宋体" w:eastAsia="宋体" w:hint="default"/>
                <w:sz w:val="18"/>
                <w:szCs w:val="18"/>
              </w:rPr>
              <w:t>具有某些特定的应收款项作为分类依据划分的组合</w:t>
            </w:r>
          </w:p>
        </w:tc>
      </w:tr>
      <w:tr>
        <w:trPr>
          <w:trHeight w:val="494" w:hRule="exact"/>
        </w:trPr>
        <w:tc>
          <w:tcPr>
            <w:tcW w:w="200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left="10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18"/>
                <w:szCs w:val="18"/>
              </w:rPr>
            </w:pPr>
            <w:r>
              <w:rPr>
                <w:rFonts w:ascii="宋体" w:hAnsi="宋体" w:cs="宋体" w:eastAsia="宋体" w:hint="default"/>
                <w:sz w:val="18"/>
                <w:szCs w:val="18"/>
              </w:rPr>
              <w:t>采用账龄等信用风险特征作为分类依据划分的组合</w:t>
            </w:r>
          </w:p>
        </w:tc>
      </w:tr>
    </w:tbl>
    <w:p>
      <w:pPr>
        <w:spacing w:line="240" w:lineRule="auto" w:before="3"/>
        <w:rPr>
          <w:rFonts w:ascii="宋体" w:hAnsi="宋体" w:cs="宋体" w:eastAsia="宋体" w:hint="default"/>
          <w:sz w:val="8"/>
          <w:szCs w:val="8"/>
        </w:rPr>
      </w:pPr>
    </w:p>
    <w:p>
      <w:pPr>
        <w:pStyle w:val="BodyText"/>
        <w:spacing w:line="424" w:lineRule="auto" w:before="44"/>
        <w:ind w:left="593" w:right="0" w:firstLine="120"/>
        <w:jc w:val="left"/>
      </w:pPr>
      <w:r>
        <w:rPr>
          <w:rFonts w:ascii="Arial" w:hAnsi="Arial" w:cs="Arial" w:eastAsia="Arial" w:hint="default"/>
        </w:rPr>
        <w:t>B</w:t>
      </w:r>
      <w:r>
        <w:rPr/>
        <w:t>．根据信用风险特征组合确定的坏账准备计提方法</w:t>
      </w:r>
      <w:r>
        <w:rPr>
          <w:w w:val="100"/>
        </w:rPr>
        <w:t> </w:t>
      </w:r>
      <w:r>
        <w:rPr>
          <w:spacing w:val="-2"/>
        </w:rPr>
        <w:t>按组合方式实施减值测试时，坏账准备金额系根据应收款项组合结构及类似信用风险特征（债务人根据合同条款偿还欠</w:t>
      </w:r>
    </w:p>
    <w:p>
      <w:pPr>
        <w:pStyle w:val="BodyText"/>
        <w:spacing w:line="448" w:lineRule="auto" w:before="25"/>
        <w:ind w:left="593" w:right="2471" w:hanging="360"/>
        <w:jc w:val="left"/>
      </w:pPr>
      <w:r>
        <w:rPr/>
        <w:pict>
          <v:shape style="position:absolute;margin-left:56.099998pt;margin-top:39.752003pt;width:483.45pt;height:74.9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0"/>
                    <w:gridCol w:w="6326"/>
                  </w:tblGrid>
                  <w:tr>
                    <w:trPr>
                      <w:trHeight w:val="495" w:hRule="exact"/>
                    </w:trPr>
                    <w:tc>
                      <w:tcPr>
                        <w:tcW w:w="33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32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494" w:hRule="exact"/>
                    </w:trPr>
                    <w:tc>
                      <w:tcPr>
                        <w:tcW w:w="33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left="100" w:right="0"/>
                          <w:jc w:val="left"/>
                          <w:rPr>
                            <w:rFonts w:ascii="宋体" w:hAnsi="宋体" w:cs="宋体" w:eastAsia="宋体" w:hint="default"/>
                            <w:sz w:val="18"/>
                            <w:szCs w:val="18"/>
                          </w:rPr>
                        </w:pPr>
                        <w:r>
                          <w:rPr>
                            <w:rFonts w:ascii="宋体" w:hAnsi="宋体" w:cs="宋体" w:eastAsia="宋体" w:hint="default"/>
                            <w:sz w:val="18"/>
                            <w:szCs w:val="18"/>
                          </w:rPr>
                          <w:t>特定款项组合</w:t>
                        </w:r>
                      </w:p>
                    </w:tc>
                    <w:tc>
                      <w:tcPr>
                        <w:tcW w:w="6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center"/>
                          <w:rPr>
                            <w:rFonts w:ascii="宋体" w:hAnsi="宋体" w:cs="宋体" w:eastAsia="宋体" w:hint="default"/>
                            <w:sz w:val="18"/>
                            <w:szCs w:val="18"/>
                          </w:rPr>
                        </w:pPr>
                        <w:r>
                          <w:rPr>
                            <w:rFonts w:ascii="宋体" w:hAnsi="宋体" w:cs="宋体" w:eastAsia="宋体" w:hint="default"/>
                            <w:sz w:val="18"/>
                            <w:szCs w:val="18"/>
                          </w:rPr>
                          <w:t>不计提坏账</w:t>
                        </w:r>
                      </w:p>
                    </w:tc>
                  </w:tr>
                  <w:tr>
                    <w:trPr>
                      <w:trHeight w:val="494" w:hRule="exact"/>
                    </w:trPr>
                    <w:tc>
                      <w:tcPr>
                        <w:tcW w:w="33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left="10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6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bl>
                <w:p>
                  <w:pPr/>
                </w:p>
              </w:txbxContent>
            </v:textbox>
            <w10:wrap type="none"/>
          </v:shape>
        </w:pict>
      </w:r>
      <w:r>
        <w:rPr/>
        <w:t>款的能力）按历史损失经验及目前经济状况与预计应收款项组合中已经存在的损失评估确定。 不同组合计提坏账准备的计提方法：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44"/>
        <w:ind w:left="594" w:right="0"/>
        <w:jc w:val="left"/>
      </w:pPr>
      <w:r>
        <w:rPr/>
        <w:t>组合中，采用账龄分析法计提坏账准备的组合计提方法</w:t>
      </w:r>
    </w:p>
    <w:p>
      <w:pPr>
        <w:spacing w:line="240" w:lineRule="auto" w:before="2"/>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3413"/>
        <w:gridCol w:w="3257"/>
        <w:gridCol w:w="3013"/>
      </w:tblGrid>
      <w:tr>
        <w:trPr>
          <w:trHeight w:val="495" w:hRule="exact"/>
        </w:trPr>
        <w:tc>
          <w:tcPr>
            <w:tcW w:w="341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5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1"/>
              <w:ind w:left="10"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01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1"/>
              <w:ind w:left="1" w:right="0"/>
              <w:jc w:val="center"/>
              <w:rPr>
                <w:rFonts w:ascii="宋体" w:hAnsi="宋体" w:cs="宋体" w:eastAsia="宋体" w:hint="default"/>
                <w:sz w:val="18"/>
                <w:szCs w:val="18"/>
              </w:rPr>
            </w:pPr>
            <w:r>
              <w:rPr>
                <w:rFonts w:ascii="宋体" w:hAnsi="宋体" w:cs="宋体" w:eastAsia="宋体" w:hint="default"/>
                <w:sz w:val="18"/>
                <w:szCs w:val="18"/>
              </w:rPr>
              <w:t>其他应收计提比例</w:t>
            </w:r>
          </w:p>
        </w:tc>
      </w:tr>
      <w:tr>
        <w:trPr>
          <w:trHeight w:val="494" w:hRule="exact"/>
        </w:trPr>
        <w:tc>
          <w:tcPr>
            <w:tcW w:w="341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left="10"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3"/>
                <w:sz w:val="18"/>
                <w:szCs w:val="18"/>
              </w:rPr>
              <w:t> </w:t>
            </w:r>
            <w:r>
              <w:rPr>
                <w:rFonts w:ascii="宋体" w:hAnsi="宋体" w:cs="宋体" w:eastAsia="宋体" w:hint="default"/>
                <w:sz w:val="18"/>
                <w:szCs w:val="18"/>
              </w:rPr>
              <w:t>年以内</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52"/>
                <w:sz w:val="18"/>
                <w:szCs w:val="18"/>
              </w:rPr>
              <w:t> </w:t>
            </w:r>
            <w:r>
              <w:rPr>
                <w:rFonts w:ascii="Arial" w:hAnsi="Arial" w:cs="Arial" w:eastAsia="Arial" w:hint="default"/>
                <w:sz w:val="18"/>
                <w:szCs w:val="18"/>
              </w:rPr>
              <w:t>1</w:t>
            </w:r>
            <w:r>
              <w:rPr>
                <w:rFonts w:ascii="Arial" w:hAnsi="Arial" w:cs="Arial" w:eastAsia="Arial" w:hint="default"/>
                <w:spacing w:val="-12"/>
                <w:sz w:val="18"/>
                <w:szCs w:val="18"/>
              </w:rPr>
              <w:t> </w:t>
            </w:r>
            <w:r>
              <w:rPr>
                <w:rFonts w:ascii="宋体" w:hAnsi="宋体" w:cs="宋体" w:eastAsia="宋体" w:hint="default"/>
                <w:sz w:val="18"/>
                <w:szCs w:val="18"/>
              </w:rPr>
              <w:t>年，下同</w:t>
            </w:r>
            <w:r>
              <w:rPr>
                <w:rFonts w:ascii="宋体" w:hAnsi="宋体" w:cs="宋体" w:eastAsia="宋体" w:hint="default"/>
                <w:sz w:val="18"/>
                <w:szCs w:val="18"/>
              </w:rPr>
              <w:t>）</w:t>
            </w:r>
          </w:p>
        </w:tc>
        <w:tc>
          <w:tcPr>
            <w:tcW w:w="3257"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r>
      <w:tr>
        <w:trPr>
          <w:trHeight w:val="496" w:hRule="exact"/>
        </w:trPr>
        <w:tc>
          <w:tcPr>
            <w:tcW w:w="341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left="1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3257"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r>
      <w:tr>
        <w:trPr>
          <w:trHeight w:val="494" w:hRule="exact"/>
        </w:trPr>
        <w:tc>
          <w:tcPr>
            <w:tcW w:w="341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left="10"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3257"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w:t>
            </w:r>
          </w:p>
        </w:tc>
      </w:tr>
      <w:tr>
        <w:trPr>
          <w:trHeight w:val="494" w:hRule="exact"/>
        </w:trPr>
        <w:tc>
          <w:tcPr>
            <w:tcW w:w="341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left="10"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年以上</w:t>
            </w:r>
          </w:p>
        </w:tc>
        <w:tc>
          <w:tcPr>
            <w:tcW w:w="3257"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8"/>
          <w:szCs w:val="8"/>
        </w:rPr>
      </w:pPr>
    </w:p>
    <w:p>
      <w:pPr>
        <w:pStyle w:val="BodyText"/>
        <w:spacing w:line="446" w:lineRule="auto" w:before="44"/>
        <w:ind w:left="594" w:right="0"/>
        <w:jc w:val="left"/>
      </w:pPr>
      <w:r>
        <w:rPr/>
        <w:t>③单项金额虽不重大但单项计提坏账准备的应收款项 </w:t>
      </w:r>
      <w:r>
        <w:rPr>
          <w:spacing w:val="-2"/>
        </w:rPr>
        <w:t>本集团对于单项金额虽不重大但具备以下特征的应收款项，单独进行减值测试，有客观证据表明其发生了减值的，根据</w:t>
      </w:r>
    </w:p>
    <w:p>
      <w:pPr>
        <w:pStyle w:val="BodyText"/>
        <w:spacing w:line="408" w:lineRule="auto" w:before="10"/>
        <w:ind w:left="234" w:right="0"/>
        <w:jc w:val="left"/>
      </w:pPr>
      <w:r>
        <w:rPr>
          <w:spacing w:val="-2"/>
        </w:rPr>
        <w:t>其未来现金流量现值低于其账面价值的差额，确认减值损失，计提坏账准备，如：与对方存在争议或涉及诉讼、仲裁的应收</w:t>
      </w:r>
      <w:r>
        <w:rPr>
          <w:spacing w:val="-66"/>
        </w:rPr>
        <w:t> </w:t>
      </w:r>
      <w:r>
        <w:rPr>
          <w:spacing w:val="-66"/>
        </w:rPr>
      </w:r>
      <w:r>
        <w:rPr/>
        <w:t>款项；已有明显迹象表明债务人很可能无法履行还款义务的应收款项等。</w:t>
      </w:r>
    </w:p>
    <w:p>
      <w:pPr>
        <w:pStyle w:val="BodyText"/>
        <w:spacing w:line="434" w:lineRule="auto" w:before="79"/>
        <w:ind w:left="609" w:right="0" w:hanging="16"/>
        <w:jc w:val="left"/>
      </w:pPr>
      <w:r>
        <w:rPr/>
        <w:t>（</w:t>
      </w:r>
      <w:r>
        <w:rPr>
          <w:rFonts w:ascii="Arial" w:hAnsi="Arial" w:cs="Arial" w:eastAsia="Arial" w:hint="default"/>
        </w:rPr>
        <w:t>3</w:t>
      </w:r>
      <w:r>
        <w:rPr/>
        <w:t>）坏账准备的转回 </w:t>
      </w:r>
      <w:r>
        <w:rPr>
          <w:spacing w:val="8"/>
          <w:position w:val="1"/>
        </w:rPr>
        <w:t>如有客观证据表明该应收款项</w:t>
      </w:r>
      <w:r>
        <w:rPr>
          <w:spacing w:val="8"/>
        </w:rPr>
        <w:t>价值已恢复，且客观上与确认该损失后发生的事项有关，原确认的减值损失予以转</w:t>
      </w:r>
    </w:p>
    <w:p>
      <w:pPr>
        <w:pStyle w:val="BodyText"/>
        <w:spacing w:line="240" w:lineRule="auto" w:before="1"/>
        <w:ind w:left="234" w:right="0"/>
        <w:jc w:val="left"/>
      </w:pPr>
      <w:r>
        <w:rPr>
          <w:spacing w:val="4"/>
        </w:rPr>
        <w:t>回，计入当期损益。但是，该转回后的账面价值不超过假定不计提减值准备情况下该</w:t>
      </w:r>
      <w:r>
        <w:rPr>
          <w:spacing w:val="4"/>
          <w:position w:val="1"/>
        </w:rPr>
        <w:t>应收款项</w:t>
      </w:r>
      <w:r>
        <w:rPr>
          <w:spacing w:val="4"/>
        </w:rPr>
        <w:t>在转回日的摊余成本。</w:t>
      </w:r>
    </w:p>
    <w:p>
      <w:pPr>
        <w:spacing w:line="240" w:lineRule="auto" w:before="4"/>
        <w:rPr>
          <w:rFonts w:ascii="宋体" w:hAnsi="宋体" w:cs="宋体" w:eastAsia="宋体" w:hint="default"/>
          <w:sz w:val="24"/>
          <w:szCs w:val="24"/>
        </w:rPr>
      </w:pPr>
    </w:p>
    <w:p>
      <w:pPr>
        <w:pStyle w:val="Heading4"/>
        <w:spacing w:line="240" w:lineRule="auto"/>
        <w:ind w:left="234"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594" w:right="3550"/>
        <w:jc w:val="left"/>
      </w:pPr>
      <w:r>
        <w:rPr/>
        <w:t>（</w:t>
      </w:r>
      <w:r>
        <w:rPr>
          <w:rFonts w:ascii="Times New Roman" w:hAnsi="Times New Roman" w:cs="Times New Roman" w:eastAsia="Times New Roman" w:hint="default"/>
        </w:rPr>
        <w:t>1</w:t>
      </w:r>
      <w:r>
        <w:rPr/>
        <w:t>）存货的分类 存货主要包括原材料、在产品、库存商品、开发产品、消耗性生物资产等。</w:t>
      </w:r>
    </w:p>
    <w:p>
      <w:pPr>
        <w:pStyle w:val="BodyText"/>
        <w:spacing w:line="309" w:lineRule="auto" w:before="31"/>
        <w:ind w:left="594" w:right="0"/>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 </w:t>
      </w:r>
      <w:r>
        <w:rPr>
          <w:spacing w:val="-2"/>
        </w:rPr>
        <w:t>本集团所属土地开发企业存货按成本进行初始计量。开发产品的成本包括前期工程费、基础配套设施支出、建筑安装工</w:t>
      </w:r>
    </w:p>
    <w:p>
      <w:pPr>
        <w:pStyle w:val="BodyText"/>
        <w:spacing w:line="240" w:lineRule="auto" w:before="24"/>
        <w:ind w:left="234" w:right="0"/>
        <w:jc w:val="left"/>
      </w:pPr>
      <w:r>
        <w:rPr>
          <w:spacing w:val="-4"/>
        </w:rPr>
        <w:t>程支出、开发项目完工之前所发生的借款费用及开发过程中的其他相关费用。存货发出时，采用个别计价法确定其实际成本。</w:t>
      </w:r>
    </w:p>
    <w:p>
      <w:pPr>
        <w:spacing w:after="0" w:line="240" w:lineRule="auto"/>
        <w:jc w:val="left"/>
        <w:sectPr>
          <w:footerReference w:type="default" r:id="rId29"/>
          <w:pgSz w:w="11910" w:h="16840"/>
          <w:pgMar w:footer="982" w:header="877" w:top="1100" w:bottom="1180" w:left="900" w:right="900"/>
          <w:pgNumType w:start="102"/>
        </w:sectPr>
      </w:pPr>
    </w:p>
    <w:p>
      <w:pPr>
        <w:spacing w:line="240" w:lineRule="auto" w:before="12"/>
        <w:rPr>
          <w:rFonts w:ascii="宋体" w:hAnsi="宋体" w:cs="宋体" w:eastAsia="宋体" w:hint="default"/>
          <w:sz w:val="21"/>
          <w:szCs w:val="21"/>
        </w:rPr>
      </w:pPr>
    </w:p>
    <w:p>
      <w:pPr>
        <w:pStyle w:val="BodyText"/>
        <w:spacing w:line="316" w:lineRule="auto" w:before="44"/>
        <w:ind w:right="190" w:firstLine="359"/>
        <w:jc w:val="both"/>
      </w:pPr>
      <w:r>
        <w:rPr>
          <w:spacing w:val="-2"/>
        </w:rPr>
        <w:t>消耗性生物资产是指为出售而持有的生物资产，包括生长中的用材林等。消耗性生物资产在形成蓄积量以前按照成本进</w:t>
      </w:r>
      <w:r>
        <w:rPr/>
        <w:t> </w:t>
      </w:r>
      <w:r>
        <w:rPr>
          <w:spacing w:val="-2"/>
        </w:rPr>
        <w:t>行初始计量，形成蓄积量以后按公允价值计量，公允价值变动进入当期损益。自行栽培、营造的消耗性生物资产的成本，为</w:t>
      </w:r>
      <w:r>
        <w:rPr>
          <w:spacing w:val="-66"/>
        </w:rPr>
        <w:t> </w:t>
      </w:r>
      <w:r>
        <w:rPr>
          <w:spacing w:val="-66"/>
        </w:rPr>
      </w:r>
      <w:r>
        <w:rPr>
          <w:spacing w:val="-2"/>
        </w:rPr>
        <w:t>该资产在郁闭前发生的可直接归属于该资产的必要支出，包括符合资本化条件的借款费用。消耗性生物资产在郁闭后发生的</w:t>
      </w:r>
      <w:r>
        <w:rPr>
          <w:spacing w:val="-64"/>
        </w:rPr>
        <w:t> </w:t>
      </w:r>
      <w:r>
        <w:rPr>
          <w:spacing w:val="-64"/>
        </w:rPr>
      </w:r>
      <w:r>
        <w:rPr/>
        <w:t>管护等后续支出，计入当期损益。</w:t>
      </w:r>
    </w:p>
    <w:p>
      <w:pPr>
        <w:pStyle w:val="BodyText"/>
        <w:spacing w:line="240" w:lineRule="auto" w:before="18"/>
        <w:ind w:left="514" w:right="182"/>
        <w:jc w:val="left"/>
      </w:pPr>
      <w:r>
        <w:rPr/>
        <w:t>消耗性生物资产在收获或出售时，采用分批平均法计价按账面价值结转成本。</w:t>
      </w:r>
    </w:p>
    <w:p>
      <w:pPr>
        <w:pStyle w:val="BodyText"/>
        <w:spacing w:line="300" w:lineRule="auto" w:before="76"/>
        <w:ind w:left="514" w:right="182"/>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1"/>
        <w:ind w:left="514" w:right="90"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6" w:lineRule="auto" w:before="18"/>
        <w:ind w:right="189"/>
        <w:jc w:val="both"/>
      </w:pPr>
      <w:r>
        <w:rPr>
          <w:spacing w:val="-2"/>
        </w:rPr>
        <w:t>备通常按单个存货项目的成本高于其可变现净值的差额提取。对于数量繁多、单价较低的存货，按存货类别计提存货跌价准</w:t>
      </w:r>
      <w:r>
        <w:rPr>
          <w:spacing w:val="-66"/>
        </w:rPr>
        <w:t> </w:t>
      </w:r>
      <w:r>
        <w:rPr>
          <w:spacing w:val="-66"/>
        </w:rPr>
      </w:r>
      <w:r>
        <w:rPr>
          <w:spacing w:val="-2"/>
        </w:rPr>
        <w:t>备；对在同一地区生产和销售的产品系列相关、具有相同或类似最终用途或目的，且难以与其他项目分开计量的存货，可合</w:t>
      </w:r>
      <w:r>
        <w:rPr>
          <w:spacing w:val="-66"/>
        </w:rPr>
        <w:t> </w:t>
      </w:r>
      <w:r>
        <w:rPr>
          <w:spacing w:val="-66"/>
        </w:rPr>
      </w:r>
      <w:r>
        <w:rPr/>
        <w:t>并计提存货跌价准备。</w:t>
      </w:r>
    </w:p>
    <w:p>
      <w:pPr>
        <w:pStyle w:val="BodyText"/>
        <w:spacing w:line="316" w:lineRule="auto" w:before="18"/>
        <w:ind w:right="190" w:firstLine="360"/>
        <w:jc w:val="both"/>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pStyle w:val="BodyText"/>
        <w:spacing w:line="240" w:lineRule="auto" w:before="18"/>
        <w:ind w:left="514" w:right="182"/>
        <w:jc w:val="left"/>
      </w:pPr>
      <w:r>
        <w:rPr/>
        <w:t>（</w:t>
      </w:r>
      <w:r>
        <w:rPr>
          <w:rFonts w:ascii="Times New Roman" w:hAnsi="Times New Roman" w:cs="Times New Roman" w:eastAsia="Times New Roman" w:hint="default"/>
        </w:rPr>
        <w:t>4</w:t>
      </w:r>
      <w:r>
        <w:rPr/>
        <w:t>）存货的盘存制度为永续盘存制。</w:t>
      </w:r>
    </w:p>
    <w:p>
      <w:pPr>
        <w:spacing w:line="240" w:lineRule="auto" w:before="12"/>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本部分所指的长期股权投资是指本公司对被投资单位具有控制、共同控制或重大影响的长期股权投资。本集团对被投资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6" w:lineRule="auto"/>
        <w:ind w:right="190"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300" w:lineRule="auto" w:before="18"/>
        <w:ind w:left="514" w:right="182"/>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对于同一控制下的企业合并取得的长期股权投资，在合并日按照被合并方所有者权益在最终控制方合并财务报表中的账</w:t>
      </w:r>
    </w:p>
    <w:p>
      <w:pPr>
        <w:pStyle w:val="BodyText"/>
        <w:spacing w:line="314" w:lineRule="auto" w:before="31"/>
        <w:ind w:right="189"/>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并日按照被合并方所有者权益在最终控制方合并财务报表中的账面价值的份额作为长期股权投资的初始投资成本，按照发行</w:t>
      </w:r>
      <w:r>
        <w:rPr>
          <w:spacing w:val="-64"/>
        </w:rPr>
        <w:t> </w:t>
      </w:r>
      <w:r>
        <w:rPr>
          <w:spacing w:val="-64"/>
        </w:rPr>
      </w:r>
      <w:r>
        <w:rPr>
          <w:spacing w:val="-2"/>
        </w:rPr>
        <w:t>股份的面值总额作为股本，长期股权投资初始投资成本与所发行股份面值总额之间的差额，调整资本公积；资本公积不足冲</w:t>
      </w:r>
      <w:r>
        <w:rPr>
          <w:spacing w:val="-66"/>
        </w:rPr>
        <w:t> </w:t>
      </w:r>
      <w:r>
        <w:rPr>
          <w:spacing w:val="-66"/>
        </w:rPr>
      </w:r>
      <w:r>
        <w:rPr>
          <w:spacing w:val="-2"/>
        </w:rPr>
        <w:t>减的，调整留存收益。通过多次交易分步取得同一控制下被合并方的股权，最终形成同一控制下企业合并的，应分别是否属</w:t>
      </w:r>
      <w:r>
        <w:rPr>
          <w:spacing w:val="-66"/>
        </w:rPr>
        <w:t> </w:t>
      </w:r>
      <w:r>
        <w:rPr>
          <w:spacing w:val="-66"/>
        </w:rPr>
      </w:r>
      <w:r>
        <w:rPr/>
        <w:t>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 易</w:t>
      </w:r>
      <w:r>
        <w:rPr>
          <w:rFonts w:ascii="Times New Roman" w:hAnsi="Times New Roman" w:cs="Times New Roman" w:eastAsia="Times New Roman" w:hint="default"/>
        </w:rPr>
        <w:t>”</w:t>
      </w:r>
      <w:r>
        <w:rPr/>
        <w:t>的，在合并日按照应享有被合并方所有者权益在最终控制方合并财务报表中的账面价值的份额作为长期股权投资的初始 </w:t>
      </w:r>
      <w:r>
        <w:rPr>
          <w:spacing w:val="-2"/>
        </w:rPr>
        <w:t>投资成本，长期股权投资初始投资成本与达到合并前的长期股权投资账面价值加上合并日进一步取得股份新支付对价的账面</w:t>
      </w:r>
      <w:r>
        <w:rPr>
          <w:spacing w:val="-64"/>
        </w:rPr>
        <w:t> </w:t>
      </w:r>
      <w:r>
        <w:rPr>
          <w:spacing w:val="-64"/>
        </w:rPr>
      </w:r>
      <w:r>
        <w:rPr>
          <w:spacing w:val="-2"/>
        </w:rPr>
        <w:t>价值之和的差额，调整资本公积；资本公积不足冲减的，调整留存收益。合并日之前持有的股权投资因采用权益法核算或为</w:t>
      </w:r>
      <w:r>
        <w:rPr>
          <w:spacing w:val="-66"/>
        </w:rPr>
        <w:t> </w:t>
      </w:r>
      <w:r>
        <w:rPr>
          <w:spacing w:val="-66"/>
        </w:rPr>
      </w:r>
      <w:r>
        <w:rPr/>
        <w:t>可供出售金融资产而确认的其他综合收益，暂不进行会计处理。</w:t>
      </w:r>
    </w:p>
    <w:p>
      <w:pPr>
        <w:pStyle w:val="BodyText"/>
        <w:spacing w:line="312" w:lineRule="auto" w:before="20"/>
        <w:ind w:right="189"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66"/>
        </w:rPr>
        <w:t> </w:t>
      </w:r>
      <w:r>
        <w:rPr>
          <w:spacing w:val="-66"/>
        </w:rPr>
      </w:r>
      <w:r>
        <w:rPr>
          <w:spacing w:val="-1"/>
        </w:rPr>
        <w:t>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w:t>
      </w:r>
      <w:r>
        <w:rPr>
          <w:spacing w:val="-78"/>
        </w:rPr>
        <w:t> </w:t>
      </w:r>
      <w:r>
        <w:rPr>
          <w:spacing w:val="-78"/>
        </w:rPr>
      </w:r>
      <w:r>
        <w:rPr>
          <w:spacing w:val="-2"/>
        </w:rPr>
        <w:t>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w:t>
      </w:r>
      <w:r>
        <w:rPr>
          <w:spacing w:val="-44"/>
        </w:rPr>
        <w:t> </w:t>
      </w:r>
      <w:r>
        <w:rPr>
          <w:spacing w:val="-44"/>
        </w:rPr>
      </w:r>
      <w:r>
        <w:rPr>
          <w:spacing w:val="-2"/>
        </w:rPr>
        <w:t>本之和，作为改按成本法核算的长期股权投资的初始投资成本。原持有的股权采用权益法核算的，相关其他综合收益暂不进</w:t>
      </w:r>
      <w:r>
        <w:rPr>
          <w:spacing w:val="-66"/>
        </w:rPr>
        <w:t> </w:t>
      </w:r>
      <w:r>
        <w:rPr>
          <w:spacing w:val="-66"/>
        </w:rPr>
      </w:r>
      <w:r>
        <w:rPr>
          <w:spacing w:val="-2"/>
        </w:rPr>
        <w:t>行会计处理。原持有股权投资为可供出售金融资产的，其公允价值与账面价值之间的差额，以及原计入其他综合收益的累计</w:t>
      </w:r>
      <w:r>
        <w:rPr>
          <w:spacing w:val="-66"/>
        </w:rPr>
        <w:t> </w:t>
      </w:r>
      <w:r>
        <w:rPr>
          <w:spacing w:val="-66"/>
        </w:rPr>
      </w:r>
      <w:r>
        <w:rPr/>
        <w:t>公允价值变动转入当期损益。</w:t>
      </w:r>
    </w:p>
    <w:p>
      <w:pPr>
        <w:pStyle w:val="BodyText"/>
        <w:spacing w:line="240" w:lineRule="auto" w:before="22"/>
        <w:ind w:left="514" w:right="0"/>
        <w:jc w:val="left"/>
      </w:pPr>
      <w:r>
        <w:rPr/>
        <w:t>合并方或购买方为企业合并发生的审计、法律服务、评估咨询等中介费用以及其他相关管理费用，于发生时计入当期损</w:t>
      </w:r>
    </w:p>
    <w:p>
      <w:pPr>
        <w:spacing w:after="0" w:line="24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153" w:right="182"/>
        <w:jc w:val="left"/>
      </w:pPr>
      <w:r>
        <w:rPr/>
        <w:t>益。</w:t>
      </w:r>
    </w:p>
    <w:p>
      <w:pPr>
        <w:pStyle w:val="BodyText"/>
        <w:spacing w:line="314" w:lineRule="auto" w:before="76"/>
        <w:ind w:left="153" w:right="190"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300" w:lineRule="auto" w:before="20"/>
        <w:ind w:left="513" w:right="182"/>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1"/>
        <w:ind w:left="153" w:right="182"/>
        <w:jc w:val="left"/>
      </w:pPr>
      <w:r>
        <w:rPr/>
        <w:t>表采用成本法核算能够对被投资单位实施控制的长期股权投资。</w:t>
      </w:r>
    </w:p>
    <w:p>
      <w:pPr>
        <w:pStyle w:val="BodyText"/>
        <w:spacing w:line="316" w:lineRule="auto" w:before="76"/>
        <w:ind w:left="513" w:right="182"/>
        <w:jc w:val="left"/>
      </w:pPr>
      <w:r>
        <w:rPr/>
        <w:t>①成本法核算的长期股权投资 </w:t>
      </w:r>
      <w:r>
        <w:rPr>
          <w:spacing w:val="-2"/>
        </w:rPr>
        <w:t>采用成本法核算时，长期股权投资按初始投资成本计价，追加或收回投资调整长期股权投资的成本。除取得投资时实际</w:t>
      </w:r>
    </w:p>
    <w:p>
      <w:pPr>
        <w:pStyle w:val="BodyText"/>
        <w:spacing w:line="316" w:lineRule="auto" w:before="18"/>
        <w:ind w:left="153" w:right="182"/>
        <w:jc w:val="left"/>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8"/>
        <w:ind w:left="513" w:right="182"/>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316" w:lineRule="auto" w:before="18"/>
        <w:ind w:left="153" w:right="182"/>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8"/>
        <w:ind w:left="153" w:right="91"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公司的会计政策及会计期间对被投资单位的财务报表进行调整，并据以确认投资收益和其他综合收益。对于本集团与联营企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部分予以抵销，在此基础上确认投资损益。但本集团与被投资单位发生的未实现内部交易损失，属于所转让资产减值损失的，</w:t>
      </w:r>
      <w:r>
        <w:rPr>
          <w:spacing w:val="-44"/>
        </w:rPr>
        <w:t> </w:t>
      </w:r>
      <w:r>
        <w:rPr>
          <w:spacing w:val="-44"/>
        </w:rPr>
      </w:r>
      <w:r>
        <w:rPr>
          <w:spacing w:val="-2"/>
        </w:rPr>
        <w:t>不予以抵销。本集团向合营企业或联营企业投出的资产构成业务的，投资方因此取得长期股权投资但未取得控制权的，以投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本集团向合营企业或联营企业出售的资产构成业务的，取得的对价与业务的账面价值之差，全额计入当期损益。本公司自联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w:t>
      </w:r>
    </w:p>
    <w:p>
      <w:pPr>
        <w:pStyle w:val="BodyText"/>
        <w:spacing w:line="316" w:lineRule="auto" w:before="18"/>
        <w:ind w:left="153" w:right="189"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益减记至零为限。此外，如本集团对被投资单位负有承担额外损失的义务，则按预计承担的义务确认预计负债，计入当期投</w:t>
      </w:r>
      <w:r>
        <w:rPr>
          <w:spacing w:val="-66"/>
        </w:rPr>
        <w:t> </w:t>
      </w:r>
      <w:r>
        <w:rPr>
          <w:spacing w:val="-66"/>
        </w:rPr>
      </w:r>
      <w:r>
        <w:rPr/>
        <w:t>资损失。被投资单位以后期间实现净利润的，本集团在收益分享额弥补未确认的亏损分担额后，恢复确认收益分享额。</w:t>
      </w:r>
    </w:p>
    <w:p>
      <w:pPr>
        <w:pStyle w:val="BodyText"/>
        <w:spacing w:line="300" w:lineRule="auto" w:before="18"/>
        <w:ind w:left="153" w:right="190" w:firstLine="360"/>
        <w:jc w:val="both"/>
      </w:pPr>
      <w:r>
        <w:rPr>
          <w:spacing w:val="-2"/>
        </w:rPr>
        <w:t>对于本集团</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日首次执行新会计准则之前已经持有的对联营企业和合营企业的长期股权投资，如存在与该投资</w:t>
      </w:r>
      <w:r>
        <w:rPr/>
        <w:t> 相关的股权投资借方差额，按原剩余期限直线摊销的金额计入当期损益。</w:t>
      </w:r>
    </w:p>
    <w:p>
      <w:pPr>
        <w:pStyle w:val="BodyText"/>
        <w:spacing w:line="316" w:lineRule="auto" w:before="31"/>
        <w:ind w:left="513" w:right="182"/>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40" w:lineRule="auto" w:before="18"/>
        <w:ind w:left="153" w:right="182"/>
        <w:jc w:val="left"/>
      </w:pPr>
      <w:r>
        <w:rPr/>
        <w:t>日）开始持续计算的净资产份额之间的差额，调整资本公积，资本公积不足冲减的，调整留存收益。</w:t>
      </w:r>
    </w:p>
    <w:p>
      <w:pPr>
        <w:pStyle w:val="BodyText"/>
        <w:spacing w:line="316" w:lineRule="auto" w:before="76"/>
        <w:ind w:left="513" w:right="182"/>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316" w:lineRule="auto" w:before="18"/>
        <w:ind w:left="153" w:right="182"/>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235" w:lineRule="exact"/>
        <w:ind w:left="513" w:right="182"/>
        <w:jc w:val="left"/>
      </w:pPr>
      <w:r>
        <w:rPr/>
        <w:t>其他情形下的长期股权投资处置，对于处置的股权，其账面价值与实际取得价款的差额，计入当期损益。</w:t>
      </w:r>
    </w:p>
    <w:p>
      <w:pPr>
        <w:spacing w:after="0" w:line="235" w:lineRule="exact"/>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190" w:firstLine="359"/>
        <w:jc w:val="both"/>
      </w:pPr>
      <w:r>
        <w:rPr>
          <w:spacing w:val="-2"/>
        </w:rPr>
        <w:t>采用权益法核算的长期股权投资，处置后的剩余股权仍采用权益法核算的，在处置时将原计入股东权益的其他综合收益</w:t>
      </w:r>
      <w:r>
        <w:rPr/>
        <w:t> </w:t>
      </w: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18"/>
        <w:ind w:right="189"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pStyle w:val="BodyText"/>
        <w:spacing w:line="316" w:lineRule="auto" w:before="18"/>
        <w:ind w:right="189" w:firstLine="360"/>
        <w:jc w:val="both"/>
      </w:pPr>
      <w:r>
        <w:rPr>
          <w:spacing w:val="-2"/>
        </w:rPr>
        <w:t>本集团因处置部分股权投资丧失了对被投资单位的控制的，在编制个别财务报表时，处置后的剩余股权能够对被投资单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丧失控制之日的公允价值与账面价值之间的差额计入当期损益。对于本集团取得对被投资单位的控制之前，因采用权益法核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6" w:lineRule="auto" w:before="18"/>
        <w:ind w:right="90" w:firstLine="360"/>
        <w:jc w:val="left"/>
      </w:pPr>
      <w:r>
        <w:rPr>
          <w:spacing w:val="-2"/>
        </w:rPr>
        <w:t>本集团因处置部分股权投资丧失了对被投资单位的共同控制或重大影响的，处置后的剩余股权改按金融工具确认和计量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6" w:lineRule="auto" w:before="18"/>
        <w:ind w:right="189" w:firstLine="360"/>
        <w:jc w:val="both"/>
      </w:pPr>
      <w:r>
        <w:rPr>
          <w:spacing w:val="-2"/>
        </w:rPr>
        <w:t>本集团通过多次交易分步处置对子公司股权投资直至丧失控制权，如果上述交易属于一揽子交易的，将各项交易作为一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8"/>
        <w:rPr>
          <w:rFonts w:ascii="宋体" w:hAnsi="宋体" w:cs="宋体" w:eastAsia="宋体" w:hint="default"/>
          <w:sz w:val="22"/>
          <w:szCs w:val="22"/>
        </w:rPr>
      </w:pPr>
    </w:p>
    <w:p>
      <w:pPr>
        <w:pStyle w:val="Heading4"/>
        <w:spacing w:line="240" w:lineRule="auto"/>
        <w:ind w:right="182"/>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82"/>
        <w:jc w:val="left"/>
      </w:pPr>
      <w:r>
        <w:rPr/>
        <w:t>投资性房地产是指为赚取租金或资本增值，或两者兼有而持有的房地产。 </w:t>
      </w:r>
      <w:r>
        <w:rPr>
          <w:spacing w:val="-2"/>
        </w:rPr>
        <w:t>投资性房地产按成本进行初始计量。与投资性房地产有关的后续支出，如果与该资产有关的经济利益很可能流入且其成</w:t>
      </w:r>
    </w:p>
    <w:p>
      <w:pPr>
        <w:pStyle w:val="BodyText"/>
        <w:spacing w:line="312" w:lineRule="auto" w:before="18"/>
        <w:ind w:left="513" w:right="182" w:hanging="360"/>
        <w:jc w:val="left"/>
      </w:pPr>
      <w:r>
        <w:rPr/>
        <w:t>本能可靠地计量，则计入投资性房地产成本。其他后续支出，在发生时计入当期损益。 本集团采用成本模式对投资性房地产进行后续计量，并按照与房屋建筑物或土地使用权一致的政策进行折旧。 投资性房地产的减值测试方法和减值准备计提方法详见附注五、</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自用房地产或存货转换为投资性房地产或投资性房地产转换为自用房地产时，按转换前的账面价值作为转换后的入账价</w:t>
      </w:r>
    </w:p>
    <w:p>
      <w:pPr>
        <w:pStyle w:val="BodyText"/>
        <w:spacing w:line="240" w:lineRule="auto" w:before="22"/>
        <w:ind w:left="153" w:right="182"/>
        <w:jc w:val="left"/>
      </w:pPr>
      <w:r>
        <w:rPr/>
        <w:t>值。</w:t>
      </w:r>
    </w:p>
    <w:p>
      <w:pPr>
        <w:pStyle w:val="BodyText"/>
        <w:spacing w:line="316" w:lineRule="auto" w:before="76"/>
        <w:ind w:left="153" w:right="189" w:firstLine="360"/>
        <w:jc w:val="both"/>
      </w:pPr>
      <w:r>
        <w:rPr>
          <w:spacing w:val="-2"/>
        </w:rPr>
        <w:t>投资性房地产的用途改变为自用时，自改变之日起，将该投资性房地产转换为固定资产或无形资产。自用房地产的用途</w:t>
      </w:r>
      <w:r>
        <w:rPr/>
        <w:t> </w:t>
      </w:r>
      <w:r>
        <w:rPr>
          <w:spacing w:val="-2"/>
        </w:rPr>
        <w:t>改变为赚取租金或资本增值时，自改变之日起，将固定资产或无形资产转换为投资性房地产。发生转换时，转换为采用成本</w:t>
      </w:r>
      <w:r>
        <w:rPr>
          <w:spacing w:val="-66"/>
        </w:rPr>
        <w:t> </w:t>
      </w:r>
      <w:r>
        <w:rPr>
          <w:spacing w:val="-66"/>
        </w:rPr>
      </w:r>
      <w:r>
        <w:rPr/>
        <w:t>模式计量的投资性房地产的，以转换前的账面价值作为转换后的入账价值。</w:t>
      </w:r>
    </w:p>
    <w:p>
      <w:pPr>
        <w:pStyle w:val="BodyText"/>
        <w:spacing w:line="316" w:lineRule="auto" w:before="18"/>
        <w:ind w:left="153" w:right="191"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7"/>
        <w:rPr>
          <w:rFonts w:ascii="宋体" w:hAnsi="宋体" w:cs="宋体" w:eastAsia="宋体" w:hint="default"/>
          <w:sz w:val="22"/>
          <w:szCs w:val="22"/>
        </w:rPr>
      </w:pPr>
    </w:p>
    <w:p>
      <w:pPr>
        <w:pStyle w:val="Heading4"/>
        <w:spacing w:line="240" w:lineRule="auto"/>
        <w:ind w:right="182"/>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4" w:right="182"/>
        <w:jc w:val="left"/>
      </w:pPr>
      <w:r>
        <w:rPr/>
        <w:t>（1）确认条件 </w:t>
      </w:r>
      <w:r>
        <w:rPr>
          <w:spacing w:val="-2"/>
        </w:rPr>
        <w:t>固定资产是指为生产商品、提供劳务、出租或经营管理而持有的，使用寿命超过一个会计年度的有形资产。固定资产仅</w:t>
      </w:r>
    </w:p>
    <w:p>
      <w:pPr>
        <w:spacing w:after="0" w:line="36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9" w:lineRule="auto" w:before="44"/>
        <w:ind w:right="182" w:hanging="1"/>
        <w:jc w:val="left"/>
      </w:pP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pStyle w:val="BodyText"/>
        <w:spacing w:line="240" w:lineRule="auto" w:before="55"/>
        <w:ind w:left="514" w:right="182"/>
        <w:jc w:val="left"/>
      </w:pPr>
      <w:r>
        <w:rPr/>
        <w:t>（2）折旧方法</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2.25%-4.75%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11.25%-19.00%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18.00%-19.00%</w:t>
            </w:r>
          </w:p>
        </w:tc>
      </w:tr>
    </w:tbl>
    <w:p>
      <w:pPr>
        <w:pStyle w:val="BodyText"/>
        <w:spacing w:line="316" w:lineRule="auto" w:before="10"/>
        <w:ind w:right="189" w:firstLine="360"/>
        <w:jc w:val="both"/>
      </w:pPr>
      <w:r>
        <w:rPr>
          <w:spacing w:val="-2"/>
        </w:rPr>
        <w:t>预计净残值是指假定固定资产预计使用寿命已满并处于使用寿命终了时的预期状态，本公司目前从该项资产处置中获得</w:t>
      </w:r>
      <w:r>
        <w:rPr/>
        <w:t> 的扣除预计处置费用后的金额。</w:t>
      </w:r>
    </w:p>
    <w:p>
      <w:pPr>
        <w:pStyle w:val="BodyText"/>
        <w:spacing w:line="316" w:lineRule="auto" w:before="18"/>
        <w:ind w:left="514" w:right="2970"/>
        <w:jc w:val="left"/>
      </w:pPr>
      <w:r>
        <w:rPr/>
        <w:t>（3）固定资产的减值测试方法及减值准备计提方法 固定资产的减值测试方法和减值准备计提方法详见附注五、20“长期资产减值”。</w:t>
      </w:r>
    </w:p>
    <w:p>
      <w:pPr>
        <w:pStyle w:val="BodyText"/>
        <w:spacing w:line="360" w:lineRule="auto" w:before="18"/>
        <w:ind w:left="514" w:right="182"/>
        <w:jc w:val="left"/>
      </w:pPr>
      <w:r>
        <w:rPr/>
        <w:t>（4）融资租入固定资产的认定依据、计价和折旧方法 </w:t>
      </w:r>
      <w:r>
        <w:rPr>
          <w:spacing w:val="-2"/>
        </w:rPr>
        <w:t>融资租赁为实质上转移了与资产所有权有关的全部风险和报酬的租赁，其所有权最终可能转移，也可能不转移。以融资</w:t>
      </w:r>
    </w:p>
    <w:p>
      <w:pPr>
        <w:pStyle w:val="BodyText"/>
        <w:spacing w:line="221" w:lineRule="exact"/>
        <w:ind w:right="91"/>
        <w:jc w:val="left"/>
      </w:pPr>
      <w:r>
        <w:rPr/>
        <w:t>租赁方式租入的固定资产采用与自有固定资产一致的政策计提租赁资产折旧</w:t>
      </w:r>
      <w:r>
        <w:rPr>
          <w:spacing w:val="-82"/>
        </w:rPr>
        <w:t>。</w:t>
      </w:r>
      <w:r>
        <w:rPr/>
        <w:t>能够合理确定租赁期届满时取得租赁资产所有</w:t>
      </w:r>
    </w:p>
    <w:p>
      <w:pPr>
        <w:pStyle w:val="BodyText"/>
        <w:spacing w:line="319" w:lineRule="auto" w:before="76"/>
        <w:ind w:right="182"/>
        <w:jc w:val="left"/>
      </w:pP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pStyle w:val="BodyText"/>
        <w:spacing w:line="316" w:lineRule="auto" w:before="55"/>
        <w:ind w:left="514" w:right="182"/>
        <w:jc w:val="left"/>
      </w:pPr>
      <w:r>
        <w:rPr/>
        <w:t>（5）其他说明 </w:t>
      </w:r>
      <w:r>
        <w:rPr>
          <w:spacing w:val="-2"/>
        </w:rPr>
        <w:t>与固定资产有关的后续支出，如果与该固定资产有关的经济利益很可能流入且其成本能可靠地计量，则计入固定资产成</w:t>
      </w:r>
    </w:p>
    <w:p>
      <w:pPr>
        <w:pStyle w:val="BodyText"/>
        <w:spacing w:line="316" w:lineRule="auto" w:before="18"/>
        <w:ind w:left="514" w:right="182" w:hanging="360"/>
        <w:jc w:val="left"/>
      </w:pPr>
      <w:r>
        <w:rPr/>
        <w:t>本，并终止确认被替换部分的账面价值。除此以外的其他后续支出，在发生时计入当期损益。 </w:t>
      </w:r>
      <w:r>
        <w:rPr>
          <w:spacing w:val="-2"/>
        </w:rPr>
        <w:t>当固定资产处于处置状态或预期通过使用或处置不能产生经济利益时，终止确认该固定资产。固定资产出售、转让、报</w:t>
      </w:r>
    </w:p>
    <w:p>
      <w:pPr>
        <w:pStyle w:val="BodyText"/>
        <w:spacing w:line="316" w:lineRule="auto" w:before="18"/>
        <w:ind w:left="514" w:right="91" w:hanging="360"/>
        <w:jc w:val="left"/>
      </w:pPr>
      <w:r>
        <w:rPr/>
        <w:t>废或毁损的处置收入扣除其账面价值和相关税费后的差额计入当期损益。 </w:t>
      </w:r>
      <w:r>
        <w:rPr>
          <w:spacing w:val="-4"/>
        </w:rPr>
        <w:t>本集团至少于年度终了对固定资产的使用寿命、预计净残值和折旧方法进行复核，如发生改变则作为会计估计变更处理。</w:t>
      </w:r>
    </w:p>
    <w:p>
      <w:pPr>
        <w:spacing w:line="240" w:lineRule="auto" w:before="7"/>
        <w:rPr>
          <w:rFonts w:ascii="宋体" w:hAnsi="宋体" w:cs="宋体" w:eastAsia="宋体" w:hint="default"/>
          <w:sz w:val="22"/>
          <w:szCs w:val="22"/>
        </w:rPr>
      </w:pPr>
    </w:p>
    <w:p>
      <w:pPr>
        <w:pStyle w:val="Heading4"/>
        <w:spacing w:line="240" w:lineRule="auto"/>
        <w:ind w:right="182"/>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18"/>
        <w:ind w:left="514" w:right="182"/>
        <w:jc w:val="left"/>
      </w:pPr>
      <w:r>
        <w:rPr/>
        <w:t>在建工程的减值测试方法和减值准备计提方法详见附注五、</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5"/>
          <w:szCs w:val="25"/>
        </w:rPr>
      </w:pPr>
    </w:p>
    <w:p>
      <w:pPr>
        <w:pStyle w:val="Heading4"/>
        <w:spacing w:line="240" w:lineRule="auto"/>
        <w:ind w:right="182"/>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8"/>
        <w:ind w:right="189"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8"/>
        <w:ind w:left="514" w:right="182"/>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8"/>
        <w:ind w:left="514" w:right="180" w:hanging="360"/>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spacing w:after="0" w:line="316"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153" w:right="182"/>
        <w:jc w:val="left"/>
      </w:pPr>
      <w:r>
        <w:rPr/>
        <w:t>本化，直至资产的购建或生产活动重新开始。</w:t>
      </w:r>
    </w:p>
    <w:p>
      <w:pPr>
        <w:spacing w:line="240" w:lineRule="auto" w:before="12"/>
        <w:rPr>
          <w:rFonts w:ascii="宋体" w:hAnsi="宋体" w:cs="宋体" w:eastAsia="宋体" w:hint="default"/>
          <w:sz w:val="26"/>
          <w:szCs w:val="26"/>
        </w:rPr>
      </w:pPr>
    </w:p>
    <w:p>
      <w:pPr>
        <w:pStyle w:val="Heading4"/>
        <w:spacing w:line="240" w:lineRule="auto"/>
        <w:ind w:right="182"/>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3510"/>
        <w:jc w:val="left"/>
      </w:pPr>
      <w:r>
        <w:rPr/>
        <w:t>（1）无形资产 无形资产是指本公司拥有或者控制的没有实物形态的可辨认非货币性资产。</w:t>
      </w:r>
    </w:p>
    <w:p>
      <w:pPr>
        <w:pStyle w:val="BodyText"/>
        <w:spacing w:line="316" w:lineRule="auto" w:before="18"/>
        <w:ind w:right="101" w:firstLine="360"/>
        <w:jc w:val="both"/>
      </w:pPr>
      <w:r>
        <w:rPr>
          <w:spacing w:val="-4"/>
        </w:rPr>
        <w:t>无形资产按成本进行初始计量。与无形资产有关的支出，如果相关的经济利益很可能流入本公司且其成本能可靠地计量，</w:t>
      </w:r>
      <w:r>
        <w:rPr/>
        <w:t> 则计入无形资产成本。除此以外的其他项目的支出，在发生时计入当期损益。</w:t>
      </w:r>
    </w:p>
    <w:p>
      <w:pPr>
        <w:pStyle w:val="BodyText"/>
        <w:spacing w:line="316" w:lineRule="auto" w:before="18"/>
        <w:ind w:right="190" w:firstLine="360"/>
        <w:jc w:val="both"/>
      </w:pPr>
      <w:r>
        <w:rPr>
          <w:spacing w:val="-2"/>
        </w:rPr>
        <w:t>取得的土地使用权通常作为无形资产核算。自行开发建造厂房等建筑物，相关的土地使用权支出和建筑物建造成本则分</w:t>
      </w:r>
      <w:r>
        <w:rPr/>
        <w:t> </w:t>
      </w: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316" w:lineRule="auto" w:before="18"/>
        <w:ind w:right="189" w:firstLine="360"/>
        <w:jc w:val="both"/>
      </w:pPr>
      <w:r>
        <w:rPr>
          <w:spacing w:val="-2"/>
        </w:rPr>
        <w:t>使用寿命有限的无形资产自可供使用时起，对其原值减去预计净残值和已计提的减值准备累计金额在其预计使用寿命内</w:t>
      </w:r>
      <w:r>
        <w:rPr/>
        <w:t> 采用直线法分期平均摊销。使用寿命不确定的无形资产不予摊销。</w:t>
      </w:r>
    </w:p>
    <w:p>
      <w:pPr>
        <w:pStyle w:val="BodyText"/>
        <w:spacing w:line="316" w:lineRule="auto" w:before="18"/>
        <w:ind w:right="189" w:firstLine="360"/>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pStyle w:val="BodyText"/>
        <w:spacing w:line="316" w:lineRule="auto" w:before="18"/>
        <w:ind w:left="514" w:right="4050"/>
        <w:jc w:val="left"/>
      </w:pPr>
      <w:r>
        <w:rPr/>
        <w:t>（2）研究与支出 本集团内部研究开发项目的支出分为研究阶段支出与开发阶段支出。 研究阶段的支出，于发生时计入当期损益。</w:t>
      </w:r>
    </w:p>
    <w:p>
      <w:pPr>
        <w:pStyle w:val="BodyText"/>
        <w:spacing w:line="240" w:lineRule="auto" w:before="18"/>
        <w:ind w:left="514" w:right="182"/>
        <w:jc w:val="left"/>
      </w:pPr>
      <w:r>
        <w:rPr/>
        <w:t>开发阶段的支出同时满足下列条件的，确认为无形资产，不能满足下述条件的开发阶段的支出计入当期损益：</w:t>
      </w:r>
    </w:p>
    <w:p>
      <w:pPr>
        <w:pStyle w:val="BodyText"/>
        <w:spacing w:line="240" w:lineRule="auto" w:before="76"/>
        <w:ind w:left="514" w:right="182"/>
        <w:jc w:val="left"/>
      </w:pPr>
      <w:r>
        <w:rPr/>
        <w:t>①完成该无形资产以使其能够使用或出售在技术上具有可行性；</w:t>
      </w:r>
    </w:p>
    <w:p>
      <w:pPr>
        <w:pStyle w:val="BodyText"/>
        <w:spacing w:line="240" w:lineRule="auto" w:before="76"/>
        <w:ind w:left="514" w:right="182"/>
        <w:jc w:val="left"/>
      </w:pPr>
      <w:r>
        <w:rPr/>
        <w:t>②具有完成该无形资产并使用或出售的意图；</w:t>
      </w:r>
    </w:p>
    <w:p>
      <w:pPr>
        <w:pStyle w:val="BodyText"/>
        <w:spacing w:line="316" w:lineRule="auto" w:before="76"/>
        <w:ind w:right="190" w:firstLine="360"/>
        <w:jc w:val="both"/>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8"/>
        <w:ind w:left="514" w:right="182"/>
        <w:jc w:val="left"/>
      </w:pPr>
      <w:r>
        <w:rPr/>
        <w:t>④有足够的技术、财务资源和其他资源支持，以完成该无形资产的开发，并有能力使用或出售该无形资产；</w:t>
      </w:r>
    </w:p>
    <w:p>
      <w:pPr>
        <w:pStyle w:val="BodyText"/>
        <w:spacing w:line="316" w:lineRule="auto" w:before="76"/>
        <w:ind w:left="514" w:right="2970"/>
        <w:jc w:val="left"/>
      </w:pPr>
      <w:r>
        <w:rPr/>
        <w:t>⑤归属于该无形资产开发阶段的支出能够可靠地计量。 无法区分研究阶段支出和开发阶段支出的，将发生的研发支出全部计入当期损益。</w:t>
      </w:r>
    </w:p>
    <w:p>
      <w:pPr>
        <w:pStyle w:val="BodyText"/>
        <w:spacing w:line="316" w:lineRule="auto" w:before="18"/>
        <w:ind w:left="514" w:right="3170"/>
        <w:jc w:val="left"/>
      </w:pPr>
      <w:r>
        <w:rPr/>
        <w:t>（3）无形资产的减值测试方法及减值准备计提方法 无形资产的减值测试方法和减值准备计提方法详见附注五、</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1"/>
          <w:szCs w:val="21"/>
        </w:rPr>
      </w:pPr>
    </w:p>
    <w:p>
      <w:pPr>
        <w:pStyle w:val="Heading4"/>
        <w:spacing w:line="240" w:lineRule="auto"/>
        <w:ind w:right="182"/>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9" w:firstLine="360"/>
        <w:jc w:val="both"/>
      </w:pPr>
      <w:r>
        <w:rPr>
          <w:spacing w:val="-2"/>
        </w:rPr>
        <w:t>长期待摊费用为已经发生但应由报告期和以后各期负担的分摊期限在一年以上的各项费用。本公司的长期待摊费用主要</w:t>
      </w:r>
      <w:r>
        <w:rPr/>
        <w:t> 包括固定资产改良支出、林地租金待。长期待摊费用在预计受益期间按直线法摊销。</w:t>
      </w:r>
    </w:p>
    <w:p>
      <w:pPr>
        <w:spacing w:line="240" w:lineRule="auto" w:before="7"/>
        <w:rPr>
          <w:rFonts w:ascii="宋体" w:hAnsi="宋体" w:cs="宋体" w:eastAsia="宋体" w:hint="default"/>
          <w:sz w:val="22"/>
          <w:szCs w:val="22"/>
        </w:rPr>
      </w:pPr>
    </w:p>
    <w:p>
      <w:pPr>
        <w:pStyle w:val="Heading4"/>
        <w:spacing w:line="240" w:lineRule="auto"/>
        <w:ind w:right="182"/>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9"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316" w:lineRule="auto" w:before="18"/>
        <w:ind w:right="189" w:firstLine="360"/>
        <w:jc w:val="both"/>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p>
    <w:p>
      <w:pPr>
        <w:spacing w:after="0" w:line="316" w:lineRule="auto"/>
        <w:jc w:val="both"/>
        <w:sectPr>
          <w:footerReference w:type="default" r:id="rId30"/>
          <w:pgSz w:w="11910" w:h="16840"/>
          <w:pgMar w:footer="982" w:header="877" w:top="1100" w:bottom="1180" w:left="980" w:right="940"/>
          <w:pgNumType w:start="107"/>
        </w:sectPr>
      </w:pPr>
    </w:p>
    <w:p>
      <w:pPr>
        <w:spacing w:line="240" w:lineRule="auto" w:before="12"/>
        <w:rPr>
          <w:rFonts w:ascii="宋体" w:hAnsi="宋体" w:cs="宋体" w:eastAsia="宋体" w:hint="default"/>
          <w:sz w:val="21"/>
          <w:szCs w:val="21"/>
        </w:rPr>
      </w:pPr>
    </w:p>
    <w:p>
      <w:pPr>
        <w:pStyle w:val="BodyText"/>
        <w:spacing w:line="316" w:lineRule="auto" w:before="44"/>
        <w:ind w:right="91" w:hanging="1"/>
        <w:jc w:val="left"/>
      </w:pP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5"/>
        </w:rPr>
        <w:t> </w:t>
      </w:r>
      <w:r>
        <w:rPr>
          <w:spacing w:val="-45"/>
        </w:rPr>
      </w:r>
      <w:r>
        <w:rPr>
          <w:spacing w:val="-2"/>
        </w:rPr>
        <w:t>如果难以对单项资产的可收回金额进行估计的，以该资产所属的资产组确定资产组的可收回金额。资产组是能够独立产生现</w:t>
      </w:r>
      <w:r>
        <w:rPr>
          <w:spacing w:val="-65"/>
        </w:rPr>
        <w:t> </w:t>
      </w:r>
      <w:r>
        <w:rPr>
          <w:spacing w:val="-65"/>
        </w:rPr>
      </w:r>
      <w:r>
        <w:rPr/>
        <w:t>金流入的最小资产组合。</w:t>
      </w:r>
    </w:p>
    <w:p>
      <w:pPr>
        <w:pStyle w:val="BodyText"/>
        <w:spacing w:line="316" w:lineRule="auto" w:before="18"/>
        <w:ind w:right="190"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8"/>
        <w:ind w:left="514" w:right="182"/>
        <w:jc w:val="left"/>
      </w:pPr>
      <w:r>
        <w:rPr/>
        <w:t>上述资产减值损失一经确认，以后期间不予转回价值得以恢复的部分。</w:t>
      </w:r>
    </w:p>
    <w:p>
      <w:pPr>
        <w:spacing w:line="240" w:lineRule="auto" w:before="13"/>
        <w:rPr>
          <w:rFonts w:ascii="宋体" w:hAnsi="宋体" w:cs="宋体" w:eastAsia="宋体" w:hint="default"/>
          <w:sz w:val="26"/>
          <w:szCs w:val="26"/>
        </w:rPr>
      </w:pPr>
    </w:p>
    <w:p>
      <w:pPr>
        <w:pStyle w:val="Heading4"/>
        <w:spacing w:line="240" w:lineRule="auto"/>
        <w:ind w:right="182"/>
        <w:jc w:val="left"/>
        <w:rPr>
          <w:b w:val="0"/>
          <w:bCs w:val="0"/>
        </w:rPr>
      </w:pPr>
      <w:r>
        <w:rPr>
          <w:rFonts w:ascii="Times New Roman" w:hAnsi="Times New Roman" w:cs="Times New Roman" w:eastAsia="Times New Roman" w:hint="default"/>
        </w:rPr>
        <w:t>21</w:t>
      </w:r>
      <w:r>
        <w:rPr/>
        <w:t>、职工薪酬</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82"/>
        <w:jc w:val="left"/>
      </w:pPr>
      <w:r>
        <w:rPr/>
        <w:t>本集团职工薪酬主要包括短期职工薪酬、离职后福利、辞退福利。其中： </w:t>
      </w:r>
      <w:r>
        <w:rPr>
          <w:spacing w:val="-2"/>
        </w:rPr>
        <w:t>短期薪酬主要包括工资、奖金、津贴和补贴、职工福利费、医疗保险费、生育保险费、工伤保险费、住房公积金、工会</w:t>
      </w:r>
    </w:p>
    <w:p>
      <w:pPr>
        <w:pStyle w:val="BodyText"/>
        <w:spacing w:line="316" w:lineRule="auto" w:before="18"/>
        <w:ind w:right="91"/>
        <w:jc w:val="left"/>
      </w:pP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pStyle w:val="BodyText"/>
        <w:spacing w:line="316" w:lineRule="auto" w:before="18"/>
        <w:ind w:right="182" w:firstLine="360"/>
        <w:jc w:val="left"/>
      </w:pPr>
      <w:r>
        <w:rPr>
          <w:spacing w:val="-2"/>
        </w:rPr>
        <w:t>离职后福利主要包括设定提存计划。其中设定提存计划主要包括基本养老保险、失业保险等，相应的应缴存金额于发生</w:t>
      </w:r>
      <w:r>
        <w:rPr/>
        <w:t> 时计入相关资产成本或当期损益。</w:t>
      </w:r>
    </w:p>
    <w:p>
      <w:pPr>
        <w:pStyle w:val="BodyText"/>
        <w:spacing w:line="316" w:lineRule="auto" w:before="18"/>
        <w:ind w:right="91"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pStyle w:val="BodyText"/>
        <w:spacing w:line="316" w:lineRule="auto" w:before="18"/>
        <w:ind w:right="182" w:firstLine="360"/>
        <w:jc w:val="left"/>
      </w:pPr>
      <w:r>
        <w:rPr>
          <w:spacing w:val="-2"/>
        </w:rPr>
        <w:t>职工内部退休计划采用上述辞退福利相同的原则处理。本集团将自职工停止提供服务日至正常退休日的期间拟支付的内</w:t>
      </w:r>
      <w:r>
        <w:rPr/>
        <w:t> 退人员工资和缴纳的社会保险费等，在符合预计负债确认条件时，计入当期损益（辞退福利）。</w:t>
      </w:r>
    </w:p>
    <w:p>
      <w:pPr>
        <w:pStyle w:val="BodyText"/>
        <w:spacing w:line="240" w:lineRule="auto" w:before="18"/>
        <w:ind w:left="514" w:right="182"/>
        <w:jc w:val="left"/>
      </w:pPr>
      <w:r>
        <w:rPr/>
        <w:t>本集团未向职工提供的其他长期职工福利。</w:t>
      </w:r>
    </w:p>
    <w:p>
      <w:pPr>
        <w:spacing w:line="240" w:lineRule="auto" w:before="13"/>
        <w:rPr>
          <w:rFonts w:ascii="宋体" w:hAnsi="宋体" w:cs="宋体" w:eastAsia="宋体" w:hint="default"/>
          <w:sz w:val="26"/>
          <w:szCs w:val="26"/>
        </w:rPr>
      </w:pPr>
    </w:p>
    <w:p>
      <w:pPr>
        <w:pStyle w:val="Heading4"/>
        <w:spacing w:line="240" w:lineRule="auto"/>
        <w:ind w:right="182"/>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82" w:firstLine="36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right="182"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8"/>
        <w:ind w:right="182"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7"/>
        <w:rPr>
          <w:rFonts w:ascii="宋体" w:hAnsi="宋体" w:cs="宋体" w:eastAsia="宋体" w:hint="default"/>
          <w:sz w:val="22"/>
          <w:szCs w:val="22"/>
        </w:rPr>
      </w:pPr>
    </w:p>
    <w:p>
      <w:pPr>
        <w:pStyle w:val="Heading4"/>
        <w:spacing w:line="240" w:lineRule="auto"/>
        <w:ind w:right="182"/>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82"/>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31"/>
        <w:ind w:right="189"/>
        <w:jc w:val="both"/>
      </w:pPr>
      <w:r>
        <w:rPr>
          <w:spacing w:val="-2"/>
        </w:rPr>
        <w:t>实施有效控制，收入的金额能够可靠地计量，相关的经济利益很可能流入企业，相关的已发生或将发生的成本能够可靠地计</w:t>
      </w:r>
      <w:r>
        <w:rPr>
          <w:spacing w:val="-66"/>
        </w:rPr>
        <w:t> </w:t>
      </w:r>
      <w:r>
        <w:rPr>
          <w:spacing w:val="-66"/>
        </w:rPr>
      </w:r>
      <w:r>
        <w:rPr>
          <w:spacing w:val="-2"/>
        </w:rPr>
        <w:t>量时，确认商品销售收入的实现。销售收入确认的时点：国内销售业务为货物交付客户的当天，国外销售业务为将货物装船</w:t>
      </w:r>
      <w:r>
        <w:rPr>
          <w:spacing w:val="-66"/>
        </w:rPr>
        <w:t> </w:t>
      </w:r>
      <w:r>
        <w:rPr>
          <w:spacing w:val="-66"/>
        </w:rPr>
      </w:r>
      <w:r>
        <w:rPr/>
        <w:t>并报关的当天。</w:t>
      </w:r>
    </w:p>
    <w:p>
      <w:pPr>
        <w:pStyle w:val="BodyText"/>
        <w:spacing w:line="300" w:lineRule="auto" w:before="18"/>
        <w:ind w:left="514" w:right="182"/>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240" w:lineRule="auto" w:before="31"/>
        <w:ind w:right="182"/>
        <w:jc w:val="left"/>
      </w:pPr>
      <w:r>
        <w:rPr/>
        <w:t>工进度按已经发生的劳务成本占估计总成本的比例确定。</w:t>
      </w:r>
    </w:p>
    <w:p>
      <w:pPr>
        <w:spacing w:after="0" w:line="240" w:lineRule="auto"/>
        <w:jc w:val="left"/>
        <w:sectPr>
          <w:footerReference w:type="default" r:id="rId31"/>
          <w:pgSz w:w="11910" w:h="16840"/>
          <w:pgMar w:footer="982" w:header="877" w:top="1100" w:bottom="1180" w:left="980" w:right="940"/>
          <w:pgNumType w:start="108"/>
        </w:sectPr>
      </w:pPr>
    </w:p>
    <w:p>
      <w:pPr>
        <w:spacing w:line="240" w:lineRule="auto" w:before="12"/>
        <w:rPr>
          <w:rFonts w:ascii="宋体" w:hAnsi="宋体" w:cs="宋体" w:eastAsia="宋体" w:hint="default"/>
          <w:sz w:val="21"/>
          <w:szCs w:val="21"/>
        </w:rPr>
      </w:pPr>
    </w:p>
    <w:p>
      <w:pPr>
        <w:pStyle w:val="BodyText"/>
        <w:spacing w:line="240" w:lineRule="auto" w:before="44"/>
        <w:ind w:left="513" w:right="0"/>
        <w:jc w:val="left"/>
      </w:pPr>
      <w:r>
        <w:rPr/>
        <w:t>提供劳务交易的结果能够可靠估计是指同时满足：①收入的金额能够可靠地计量；②相关的经济利益很可能流入企业；</w:t>
      </w:r>
    </w:p>
    <w:p>
      <w:pPr>
        <w:pStyle w:val="BodyText"/>
        <w:spacing w:line="316" w:lineRule="auto" w:before="76"/>
        <w:ind w:left="513" w:right="0"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6" w:lineRule="auto" w:before="19"/>
        <w:ind w:left="514" w:right="0" w:hanging="360"/>
        <w:jc w:val="left"/>
      </w:pPr>
      <w:r>
        <w:rPr/>
        <w:t>将已发生的劳务成本作为当期费用。已经发生的劳务成本如预计不能得到补偿的，则不确认收入。 </w:t>
      </w:r>
      <w:r>
        <w:rPr>
          <w:spacing w:val="-2"/>
        </w:rPr>
        <w:t>本集团与其他企业签订的合同或协议包括销售商品和提供劳务时，如销售商品部分和提供劳务部分能够区分并单独计量</w:t>
      </w:r>
    </w:p>
    <w:p>
      <w:pPr>
        <w:pStyle w:val="BodyText"/>
        <w:spacing w:line="316" w:lineRule="auto" w:before="18"/>
        <w:ind w:right="0"/>
        <w:jc w:val="left"/>
      </w:pP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pStyle w:val="BodyText"/>
        <w:spacing w:line="300" w:lineRule="auto" w:before="18"/>
        <w:ind w:left="514" w:right="5690"/>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00" w:lineRule="auto" w:before="31"/>
        <w:ind w:left="514" w:right="4790"/>
        <w:jc w:val="left"/>
      </w:pPr>
      <w:r>
        <w:rPr/>
        <w:t>（</w:t>
      </w:r>
      <w:r>
        <w:rPr>
          <w:rFonts w:ascii="Times New Roman" w:hAnsi="Times New Roman" w:cs="Times New Roman" w:eastAsia="Times New Roman" w:hint="default"/>
        </w:rPr>
        <w:t>4</w:t>
      </w:r>
      <w:r>
        <w:rPr/>
        <w:t>）利息收入 按照他人使用本集团货币资金的时间和实际利率计算确定。</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24</w:t>
      </w:r>
      <w:r>
        <w:rPr/>
        <w:t>、</w:t>
      </w:r>
      <w:r>
        <w:rPr>
          <w:spacing w:val="-5"/>
        </w:rPr>
        <w:t> </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209" w:firstLine="360"/>
        <w:jc w:val="both"/>
      </w:pPr>
      <w:r>
        <w:rPr>
          <w:spacing w:val="-2"/>
        </w:rPr>
        <w:t>政府补助是指本集团从政府无偿取得货币性资产和非货币性资产，不包括政府作为所有者投入的资本。政府补助分为与</w:t>
      </w:r>
      <w:r>
        <w:rPr/>
        <w:t> </w:t>
      </w:r>
      <w:r>
        <w:rPr>
          <w:spacing w:val="-2"/>
        </w:rPr>
        <w:t>资产相关的政府补助和与收益相关的政府补助。本公司将所取得的用于购建或以其他方式形成长期资产的政府补助界定为与</w:t>
      </w:r>
      <w:r>
        <w:rPr>
          <w:spacing w:val="-64"/>
        </w:rPr>
        <w:t> </w:t>
      </w:r>
      <w:r>
        <w:rPr>
          <w:spacing w:val="-64"/>
        </w:rPr>
      </w:r>
      <w:r>
        <w:rPr>
          <w:spacing w:val="-2"/>
        </w:rPr>
        <w:t>资产相关的政府补助；其余政府补助界定为与收益相关的政府补助。若政府文件未明确规定补助对象，则采用以下方式将补</w:t>
      </w:r>
      <w:r>
        <w:rPr>
          <w:spacing w:val="-66"/>
        </w:rPr>
        <w:t> </w:t>
      </w:r>
      <w:r>
        <w:rPr>
          <w:spacing w:val="-66"/>
        </w:rPr>
      </w:r>
      <w:r>
        <w:rPr/>
        <w:t>助款划分为与收益相关的政府补助和与资产相关的政府补助：（</w:t>
      </w:r>
      <w:r>
        <w:rPr>
          <w:rFonts w:ascii="Times New Roman" w:hAnsi="Times New Roman" w:cs="Times New Roman" w:eastAsia="Times New Roman" w:hint="default"/>
        </w:rPr>
        <w:t>1</w:t>
      </w:r>
      <w:r>
        <w:rPr/>
        <w:t>）政府文件明确了补助所针对的特定项目的，根据该特定 </w:t>
      </w:r>
      <w:r>
        <w:rPr>
          <w:spacing w:val="-2"/>
        </w:rPr>
        <w:t>项目的预算中将形成资产的支出金额和计入费用的支出金额的相对比例进行划分，对该划分比例需在每个资产负债表日进行</w:t>
      </w:r>
      <w:r>
        <w:rPr>
          <w:spacing w:val="-64"/>
        </w:rPr>
        <w:t> </w:t>
      </w:r>
      <w:r>
        <w:rPr>
          <w:spacing w:val="-64"/>
        </w:rPr>
      </w:r>
      <w:r>
        <w:rPr/>
        <w:t>复核，必要时进行变更；（</w:t>
      </w:r>
      <w:r>
        <w:rPr>
          <w:rFonts w:ascii="Times New Roman" w:hAnsi="Times New Roman" w:cs="Times New Roman" w:eastAsia="Times New Roman" w:hint="default"/>
        </w:rPr>
        <w:t>2</w:t>
      </w:r>
      <w:r>
        <w:rPr/>
        <w:t>）政府文件中对用途仅作一般性表述，没有指明特定项目的，作为与收益相关的政府补助。</w:t>
      </w:r>
    </w:p>
    <w:p>
      <w:pPr>
        <w:pStyle w:val="BodyText"/>
        <w:spacing w:line="312" w:lineRule="auto" w:before="1"/>
        <w:ind w:right="0" w:firstLine="360"/>
        <w:jc w:val="left"/>
      </w:pPr>
      <w:r>
        <w:rPr>
          <w:spacing w:val="-2"/>
        </w:rPr>
        <w:t>政府补助为货币性资产的，按照收到或应收的金额计量。政府补助为非货币性资产的，按照公允价值计量；公允价值不</w:t>
      </w:r>
      <w:r>
        <w:rPr/>
        <w:t> </w:t>
      </w:r>
      <w:r>
        <w:rPr>
          <w:spacing w:val="-2"/>
        </w:rPr>
        <w:t>能够可靠取得的，按照名义金额计量。按照名义金额计量的政府补助，直接计入当期损益。本集团对于政府补助通常在实际</w:t>
      </w:r>
      <w:r>
        <w:rPr>
          <w:spacing w:val="-66"/>
        </w:rPr>
        <w:t> </w:t>
      </w:r>
      <w:r>
        <w:rPr>
          <w:spacing w:val="-66"/>
        </w:rPr>
      </w:r>
      <w:r>
        <w:rPr>
          <w:spacing w:val="-2"/>
        </w:rPr>
        <w:t>收到时，按照实收金额予以确认和计量。但对于期末有确凿证据表明能够符合财政扶持政策规定的相关条件预计能够收到财</w:t>
      </w:r>
      <w:r>
        <w:rPr>
          <w:spacing w:val="-64"/>
        </w:rPr>
        <w:t> </w:t>
      </w:r>
      <w:r>
        <w:rPr>
          <w:spacing w:val="-64"/>
        </w:rPr>
      </w:r>
      <w:r>
        <w:rPr/>
        <w:t>政扶持资金，按照应收的金额计量。按照应收金额计量的政府补助应同时符合以下条件：（</w:t>
      </w:r>
      <w:r>
        <w:rPr>
          <w:rFonts w:ascii="Times New Roman" w:hAnsi="Times New Roman" w:cs="Times New Roman" w:eastAsia="Times New Roman" w:hint="default"/>
        </w:rPr>
        <w:t>1</w:t>
      </w:r>
      <w:r>
        <w:rPr/>
        <w:t>）应收补助款的金额已经过有 </w:t>
      </w:r>
      <w:r>
        <w:rPr>
          <w:spacing w:val="-2"/>
        </w:rPr>
        <w:t>权政府部门发文确认，或者可根据正式发布的财政资金管理办法的有关规定自行合理测算，且预计其金额不存在重大不确定</w:t>
      </w:r>
      <w:r>
        <w:rPr>
          <w:spacing w:val="-64"/>
        </w:rPr>
        <w:t> </w:t>
      </w:r>
      <w:r>
        <w:rPr>
          <w:spacing w:val="-64"/>
        </w:rPr>
      </w:r>
      <w:r>
        <w:rPr/>
        <w:t>性；（</w:t>
      </w:r>
      <w:r>
        <w:rPr>
          <w:rFonts w:ascii="Times New Roman" w:hAnsi="Times New Roman" w:cs="Times New Roman" w:eastAsia="Times New Roman" w:hint="default"/>
        </w:rPr>
        <w:t>2</w:t>
      </w:r>
      <w:r>
        <w:rPr/>
        <w:t>）所依据的是当地财政部门正式发布并按照《政府信息公开条例》的规定予以主动公开的财政扶持项目及其财政资 </w:t>
      </w:r>
      <w:r>
        <w:rPr>
          <w:spacing w:val="-2"/>
        </w:rPr>
        <w:t>金管理办法，且该管理办法应当是普惠性的（任何符合规定条件的企业均可申请），而不是专门针对特定企业制定的；（</w:t>
      </w:r>
      <w:r>
        <w:rPr>
          <w:rFonts w:ascii="Times New Roman" w:hAnsi="Times New Roman" w:cs="Times New Roman" w:eastAsia="Times New Roman" w:hint="default"/>
          <w:spacing w:val="-2"/>
        </w:rPr>
        <w:t>3</w:t>
      </w:r>
      <w:r>
        <w:rPr>
          <w:spacing w:val="-2"/>
        </w:rPr>
        <w:t>）</w:t>
      </w:r>
      <w:r>
        <w:rPr>
          <w:spacing w:val="-63"/>
        </w:rPr>
        <w:t> </w:t>
      </w:r>
      <w:r>
        <w:rPr>
          <w:spacing w:val="-2"/>
        </w:rPr>
        <w:t>相关的补助款批文中已明确承诺了拨付期限，且该款项的拨付是有相应财政预算作为保障的，因而可以合理保证其可在规定</w:t>
      </w:r>
      <w:r>
        <w:rPr>
          <w:spacing w:val="-64"/>
        </w:rPr>
        <w:t> </w:t>
      </w:r>
      <w:r>
        <w:rPr>
          <w:spacing w:val="-64"/>
        </w:rPr>
      </w:r>
      <w:r>
        <w:rPr/>
        <w:t>期限内收到。</w:t>
      </w:r>
    </w:p>
    <w:p>
      <w:pPr>
        <w:pStyle w:val="BodyText"/>
        <w:spacing w:line="316" w:lineRule="auto" w:before="22"/>
        <w:ind w:right="0" w:firstLine="360"/>
        <w:jc w:val="left"/>
      </w:pPr>
      <w:r>
        <w:rPr>
          <w:spacing w:val="-4"/>
        </w:rPr>
        <w:t>与资产相关的政府补助，确认为递延收益，并在相关资产的使用寿命内平均分配计入当期损益。与收益相关的政府补助，</w:t>
      </w:r>
      <w:r>
        <w:rPr/>
        <w:t> </w:t>
      </w:r>
      <w:r>
        <w:rPr>
          <w:spacing w:val="-2"/>
        </w:rPr>
        <w:t>用于补偿以后期间的相关费用和损失的，确认为递延收益，并在确认相关费用的期间计入当期损益；用于补偿已经发生的相</w:t>
      </w:r>
      <w:r>
        <w:rPr>
          <w:spacing w:val="-66"/>
        </w:rPr>
        <w:t> </w:t>
      </w:r>
      <w:r>
        <w:rPr>
          <w:spacing w:val="-66"/>
        </w:rPr>
      </w:r>
      <w:r>
        <w:rPr/>
        <w:t>关费用和损失的，直接计入当期损益。</w:t>
      </w:r>
    </w:p>
    <w:p>
      <w:pPr>
        <w:pStyle w:val="BodyText"/>
        <w:spacing w:line="316" w:lineRule="auto" w:before="18"/>
        <w:ind w:right="0" w:firstLine="360"/>
        <w:jc w:val="left"/>
      </w:pPr>
      <w:r>
        <w:rPr>
          <w:spacing w:val="-2"/>
        </w:rPr>
        <w:t>已确认的政府补助需要返还时，存在相关递延收益余额的，冲减相关递延收益账面余额，超出部分计入当期损益；不存</w:t>
      </w:r>
      <w:r>
        <w:rPr/>
        <w:t> 在相关递延收益的，直接计入当期损益。</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10"/>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6" w:lineRule="auto" w:before="31"/>
        <w:ind w:right="0"/>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8"/>
        <w:ind w:left="514" w:right="0"/>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31"/>
        <w:ind w:right="0"/>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spacing w:after="0" w:line="316" w:lineRule="auto"/>
        <w:jc w:val="left"/>
        <w:sectPr>
          <w:footerReference w:type="default" r:id="rId32"/>
          <w:pgSz w:w="11910" w:h="16840"/>
          <w:pgMar w:footer="982" w:header="877" w:top="1100" w:bottom="1180" w:left="980" w:right="920"/>
          <w:pgNumType w:start="109"/>
        </w:sectPr>
      </w:pPr>
    </w:p>
    <w:p>
      <w:pPr>
        <w:spacing w:line="240" w:lineRule="auto" w:before="12"/>
        <w:rPr>
          <w:rFonts w:ascii="宋体" w:hAnsi="宋体" w:cs="宋体" w:eastAsia="宋体" w:hint="default"/>
          <w:sz w:val="21"/>
          <w:szCs w:val="21"/>
        </w:rPr>
      </w:pPr>
    </w:p>
    <w:p>
      <w:pPr>
        <w:pStyle w:val="BodyText"/>
        <w:spacing w:line="316" w:lineRule="auto" w:before="44"/>
        <w:ind w:left="153" w:right="189"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可能不会转回，也不予确认有关的递延所得税负债。除上述例外情况，本集团确认其他所有应纳税暂时性差异产生的递延所</w:t>
      </w:r>
      <w:r>
        <w:rPr>
          <w:spacing w:val="-66"/>
        </w:rPr>
        <w:t> </w:t>
      </w:r>
      <w:r>
        <w:rPr>
          <w:spacing w:val="-66"/>
        </w:rPr>
      </w:r>
      <w:r>
        <w:rPr/>
        <w:t>得税负债。</w:t>
      </w:r>
    </w:p>
    <w:p>
      <w:pPr>
        <w:pStyle w:val="BodyText"/>
        <w:spacing w:line="316" w:lineRule="auto" w:before="18"/>
        <w:ind w:left="153" w:right="189"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所得额，不予确认有关的递延所得税资产。除上述例外情况，本集团以很可能取得用来抵扣可抵扣暂时性差异的应纳税所得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316" w:lineRule="auto" w:before="18"/>
        <w:ind w:left="153" w:right="191"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8"/>
        <w:ind w:left="153" w:right="191"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8"/>
        <w:ind w:left="153" w:right="190"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00" w:lineRule="auto" w:before="18"/>
        <w:ind w:left="513" w:right="6031"/>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left="153" w:right="288" w:firstLine="36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8"/>
        <w:ind w:left="513" w:right="182"/>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当拥有以净额结算的法定权利，且意图以净额结算或取得资产、清偿负债同时进行时，本集团当期所得税资产及当期所</w:t>
      </w:r>
    </w:p>
    <w:p>
      <w:pPr>
        <w:pStyle w:val="BodyText"/>
        <w:spacing w:line="316" w:lineRule="auto" w:before="31"/>
        <w:ind w:left="513" w:right="182" w:hanging="360"/>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8"/>
        <w:ind w:left="153" w:right="19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转回的期间内，涉及的纳税主体意图以净额结算当期所得税资产和负债或是同时取得资产、清偿负债时，本集团递延所得税</w:t>
      </w:r>
      <w:r>
        <w:rPr>
          <w:spacing w:val="-66"/>
        </w:rPr>
        <w:t> </w:t>
      </w:r>
      <w:r>
        <w:rPr>
          <w:spacing w:val="-66"/>
        </w:rPr>
      </w:r>
      <w:r>
        <w:rPr/>
        <w:t>资产及递延所得税负债以抵销后的净额列报。</w:t>
      </w:r>
    </w:p>
    <w:p>
      <w:pPr>
        <w:spacing w:line="240" w:lineRule="auto" w:before="8"/>
        <w:rPr>
          <w:rFonts w:ascii="宋体" w:hAnsi="宋体" w:cs="宋体" w:eastAsia="宋体" w:hint="default"/>
          <w:sz w:val="22"/>
          <w:szCs w:val="22"/>
        </w:rPr>
      </w:pPr>
    </w:p>
    <w:p>
      <w:pPr>
        <w:pStyle w:val="Heading4"/>
        <w:spacing w:line="240" w:lineRule="auto"/>
        <w:ind w:right="182"/>
        <w:jc w:val="left"/>
        <w:rPr>
          <w:b w:val="0"/>
          <w:bCs w:val="0"/>
        </w:rPr>
      </w:pPr>
      <w:r>
        <w:rPr>
          <w:rFonts w:ascii="Times New Roman" w:hAnsi="Times New Roman" w:cs="Times New Roman" w:eastAsia="Times New Roman" w:hint="default"/>
        </w:rPr>
        <w:t>26</w:t>
      </w:r>
      <w:r>
        <w:rPr/>
        <w:t>、租赁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融资租赁为实质上转移了与资产所有权有关的全部风险和报酬的租赁，其所有权最终可能转移，也可能不转移。融资租</w:t>
      </w:r>
      <w:r>
        <w:rPr/>
        <w:t> 赁以外的其他租赁为经营租赁。</w:t>
      </w:r>
    </w:p>
    <w:p>
      <w:pPr>
        <w:pStyle w:val="BodyText"/>
        <w:spacing w:line="300" w:lineRule="auto" w:before="18"/>
        <w:ind w:left="514" w:right="182"/>
        <w:jc w:val="left"/>
      </w:pPr>
      <w:r>
        <w:rPr/>
        <w:t>（</w:t>
      </w:r>
      <w:r>
        <w:rPr>
          <w:rFonts w:ascii="Times New Roman" w:hAnsi="Times New Roman" w:cs="Times New Roman" w:eastAsia="Times New Roman" w:hint="default"/>
        </w:rPr>
        <w:t>1</w:t>
      </w:r>
      <w:r>
        <w:rPr/>
        <w:t>）本集团作为承租人记录经营租赁业务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31"/>
        <w:ind w:right="182"/>
        <w:jc w:val="left"/>
      </w:pPr>
      <w:r>
        <w:rPr/>
        <w:t>租金于实际发生时计入当期损益。</w:t>
      </w:r>
    </w:p>
    <w:p>
      <w:pPr>
        <w:pStyle w:val="BodyText"/>
        <w:spacing w:line="300" w:lineRule="auto" w:before="76"/>
        <w:ind w:left="514" w:right="270"/>
        <w:jc w:val="left"/>
      </w:pPr>
      <w:r>
        <w:rPr/>
        <w:t>（</w:t>
      </w:r>
      <w:r>
        <w:rPr>
          <w:rFonts w:ascii="Times New Roman" w:hAnsi="Times New Roman" w:cs="Times New Roman" w:eastAsia="Times New Roman" w:hint="default"/>
        </w:rPr>
        <w:t>2</w:t>
      </w:r>
      <w:r>
        <w:rPr/>
        <w:t>）本集团作为出租人记录经营租赁业务 经营租赁的租金收入在租赁期内的各个期间按直线法确认为当期损益。对金额较大的初始直接费用于发生时予以资本</w:t>
      </w:r>
    </w:p>
    <w:p>
      <w:pPr>
        <w:pStyle w:val="BodyText"/>
        <w:spacing w:line="316" w:lineRule="auto" w:before="31"/>
        <w:ind w:right="182"/>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pStyle w:val="BodyText"/>
        <w:spacing w:line="300" w:lineRule="auto" w:before="18"/>
        <w:ind w:left="514" w:right="182"/>
        <w:jc w:val="left"/>
      </w:pPr>
      <w:r>
        <w:rPr/>
        <w:t>（</w:t>
      </w:r>
      <w:r>
        <w:rPr>
          <w:rFonts w:ascii="Times New Roman" w:hAnsi="Times New Roman" w:cs="Times New Roman" w:eastAsia="Times New Roman" w:hint="default"/>
        </w:rPr>
        <w:t>3</w:t>
      </w:r>
      <w:r>
        <w:rPr/>
        <w:t>）本集团作为承租人记录融资租赁业务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31"/>
        <w:ind w:right="91"/>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spacing w:after="0" w:line="316"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513" w:right="147"/>
        <w:jc w:val="left"/>
      </w:pPr>
      <w:r>
        <w:rPr/>
        <w:t>未确认融资费用在租赁期内采用实际利率法计算确认当期的融资费用。或有租金于实际发生时计入当期损益。</w:t>
      </w:r>
    </w:p>
    <w:p>
      <w:pPr>
        <w:pStyle w:val="BodyText"/>
        <w:spacing w:line="300" w:lineRule="auto" w:before="76"/>
        <w:ind w:left="513" w:right="147"/>
        <w:jc w:val="left"/>
      </w:pPr>
      <w:r>
        <w:rPr/>
        <w:t>（</w:t>
      </w:r>
      <w:r>
        <w:rPr>
          <w:rFonts w:ascii="Times New Roman" w:hAnsi="Times New Roman" w:cs="Times New Roman" w:eastAsia="Times New Roman" w:hint="default"/>
        </w:rPr>
        <w:t>4</w:t>
      </w:r>
      <w:r>
        <w:rPr/>
        <w:t>）本集团作为出租人记录融资租赁业务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6" w:lineRule="auto" w:before="31"/>
        <w:ind w:right="147"/>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18"/>
        <w:ind w:left="514" w:right="147"/>
        <w:jc w:val="left"/>
      </w:pPr>
      <w:r>
        <w:rPr/>
        <w:t>未实现融资收益在租赁期内采用实际利率法计算确认当期的融资收入。或有租金于实际发生时计入当期损益。</w:t>
      </w:r>
    </w:p>
    <w:p>
      <w:pPr>
        <w:spacing w:line="240" w:lineRule="auto" w:before="12"/>
        <w:rPr>
          <w:rFonts w:ascii="宋体" w:hAnsi="宋体" w:cs="宋体" w:eastAsia="宋体" w:hint="default"/>
          <w:sz w:val="26"/>
          <w:szCs w:val="26"/>
        </w:rPr>
      </w:pPr>
    </w:p>
    <w:p>
      <w:pPr>
        <w:pStyle w:val="Heading4"/>
        <w:spacing w:line="240" w:lineRule="auto"/>
        <w:ind w:right="147"/>
        <w:jc w:val="left"/>
        <w:rPr>
          <w:b w:val="0"/>
          <w:bCs w:val="0"/>
        </w:rPr>
      </w:pPr>
      <w:r>
        <w:rPr>
          <w:rFonts w:ascii="Times New Roman" w:hAnsi="Times New Roman" w:cs="Times New Roman" w:eastAsia="Times New Roman" w:hint="default"/>
        </w:rPr>
        <w:t>27</w:t>
      </w:r>
      <w:r>
        <w:rPr/>
        <w:t>、终止经营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0" w:firstLine="360"/>
        <w:jc w:val="both"/>
      </w:pPr>
      <w:r>
        <w:rPr>
          <w:spacing w:val="-2"/>
        </w:rPr>
        <w:t>终止经营，是指满足下列条件之一的已被本公司处置或划归为持有待售的、在经营和编制财务报表时能够单独区分的组</w:t>
      </w:r>
      <w:r>
        <w:rPr/>
        <w:t> </w:t>
      </w:r>
      <w:r>
        <w:rPr>
          <w:spacing w:val="-2"/>
        </w:rPr>
        <w:t>成部分：①该组成部分代表一项独立的主要业务或一个主要经营地区；②该组成部分是拟对一项独立的主要业务或一个主要</w:t>
      </w:r>
      <w:r>
        <w:rPr>
          <w:spacing w:val="-64"/>
        </w:rPr>
        <w:t> </w:t>
      </w:r>
      <w:r>
        <w:rPr>
          <w:spacing w:val="-64"/>
        </w:rPr>
      </w:r>
      <w:r>
        <w:rPr/>
        <w:t>经营地区进行处置计划的一部分；③该组成部分是仅仅为了再出售而取得的子公司。</w:t>
      </w:r>
    </w:p>
    <w:p>
      <w:pPr>
        <w:spacing w:line="240" w:lineRule="auto" w:before="7"/>
        <w:rPr>
          <w:rFonts w:ascii="宋体" w:hAnsi="宋体" w:cs="宋体" w:eastAsia="宋体" w:hint="default"/>
          <w:sz w:val="22"/>
          <w:szCs w:val="22"/>
        </w:rPr>
      </w:pPr>
    </w:p>
    <w:p>
      <w:pPr>
        <w:pStyle w:val="Heading4"/>
        <w:spacing w:line="240" w:lineRule="auto"/>
        <w:ind w:right="147"/>
        <w:jc w:val="left"/>
        <w:rPr>
          <w:b w:val="0"/>
          <w:bCs w:val="0"/>
        </w:rPr>
      </w:pPr>
      <w:r>
        <w:rPr>
          <w:rFonts w:ascii="Times New Roman" w:hAnsi="Times New Roman" w:cs="Times New Roman" w:eastAsia="Times New Roman" w:hint="default"/>
        </w:rPr>
        <w:t>28</w:t>
      </w:r>
      <w:r>
        <w:rPr/>
        <w:t>、回购股份</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47"/>
        <w:jc w:val="left"/>
      </w:pPr>
      <w:r>
        <w:rPr/>
        <w:t>股份回购中支付的对价和交易费用减少股东权益，回购、转上或注销本公司股份时，不确认利得或损失。 </w:t>
      </w:r>
      <w:r>
        <w:rPr>
          <w:spacing w:val="-2"/>
        </w:rPr>
        <w:t>转让库存股，按实际收到的金额与库存股账面金额的差额，计入资本公积，资本公积不足冲减的，冲减盈余公积和未分</w:t>
      </w:r>
    </w:p>
    <w:p>
      <w:pPr>
        <w:pStyle w:val="BodyText"/>
        <w:spacing w:line="316" w:lineRule="auto" w:before="18"/>
        <w:ind w:right="147"/>
        <w:jc w:val="left"/>
      </w:pPr>
      <w:r>
        <w:rPr>
          <w:spacing w:val="-2"/>
        </w:rPr>
        <w:t>配利润。注销库存股，按股票面值和注销股数减少股本，按注销库存股的账面余额与面值的差额，冲减资本公积，资本公积</w:t>
      </w:r>
      <w:r>
        <w:rPr>
          <w:spacing w:val="-66"/>
        </w:rPr>
        <w:t> </w:t>
      </w:r>
      <w:r>
        <w:rPr>
          <w:spacing w:val="-66"/>
        </w:rPr>
      </w:r>
      <w:r>
        <w:rPr/>
        <w:t>不足冲减的，冲减盈余公积和未分配利润。</w:t>
      </w:r>
    </w:p>
    <w:p>
      <w:pPr>
        <w:spacing w:line="240" w:lineRule="auto" w:before="7"/>
        <w:rPr>
          <w:rFonts w:ascii="宋体" w:hAnsi="宋体" w:cs="宋体" w:eastAsia="宋体" w:hint="default"/>
          <w:sz w:val="22"/>
          <w:szCs w:val="22"/>
        </w:rPr>
      </w:pPr>
    </w:p>
    <w:p>
      <w:pPr>
        <w:pStyle w:val="Heading4"/>
        <w:spacing w:line="240" w:lineRule="auto"/>
        <w:ind w:right="147"/>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47"/>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48" w:firstLine="360"/>
        <w:jc w:val="both"/>
      </w:pPr>
      <w:r>
        <w:rPr>
          <w:rFonts w:ascii="Times New Roman" w:hAnsi="Times New Roman" w:cs="Times New Roman" w:eastAsia="Times New Roman" w:hint="default"/>
        </w:rPr>
        <w:t>2014</w:t>
      </w:r>
      <w:r>
        <w:rPr/>
        <w:t>年初，财政部分别以财会</w:t>
      </w:r>
      <w:r>
        <w:rPr>
          <w:rFonts w:ascii="Times New Roman" w:hAnsi="Times New Roman" w:cs="Times New Roman" w:eastAsia="Times New Roman" w:hint="default"/>
        </w:rPr>
        <w:t>[2014]6</w:t>
      </w:r>
      <w:r>
        <w:rPr/>
        <w:t>号、</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10</w:t>
      </w:r>
      <w:r>
        <w:rPr/>
        <w:t>号、</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14</w:t>
      </w:r>
      <w:r>
        <w:rPr/>
        <w:t>号及</w:t>
      </w:r>
      <w:r>
        <w:rPr>
          <w:rFonts w:ascii="Times New Roman" w:hAnsi="Times New Roman" w:cs="Times New Roman" w:eastAsia="Times New Roman" w:hint="default"/>
        </w:rPr>
        <w:t>16</w:t>
      </w:r>
      <w:r>
        <w:rPr/>
        <w:t>号发布了《企业会计准则第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w:t>
      </w:r>
      <w:r>
        <w:rPr>
          <w:spacing w:val="2"/>
        </w:rPr>
        <w:t> </w:t>
      </w:r>
      <w:r>
        <w:rPr/>
        <w:t>价值计量》、《企业会计准则第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2014</w:t>
      </w:r>
      <w:r>
        <w:rPr/>
        <w:t>年修订）》、《企业会计准则第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w:t>
      </w:r>
      <w:r>
        <w:rPr/>
        <w:t>年修</w:t>
      </w:r>
      <w:r>
        <w:rPr>
          <w:spacing w:val="-83"/>
        </w:rPr>
        <w:t> </w:t>
      </w:r>
      <w:r>
        <w:rPr>
          <w:spacing w:val="-2"/>
        </w:rPr>
        <w:t>订）》、《企业会计准则第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w:t>
      </w:r>
      <w:r>
        <w:rPr>
          <w:rFonts w:ascii="Times New Roman" w:hAnsi="Times New Roman" w:cs="Times New Roman" w:eastAsia="Times New Roman" w:hint="default"/>
          <w:spacing w:val="-2"/>
        </w:rPr>
        <w:t>2014</w:t>
      </w:r>
      <w:r>
        <w:rPr>
          <w:spacing w:val="-2"/>
        </w:rPr>
        <w:t>年修订）》、《企业会计准则第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合营安排》、《企业会计</w:t>
      </w:r>
      <w:r>
        <w:rPr>
          <w:spacing w:val="-64"/>
        </w:rPr>
        <w:t> </w:t>
      </w:r>
      <w:r>
        <w:rPr>
          <w:spacing w:val="-64"/>
        </w:rPr>
      </w:r>
      <w:r>
        <w:rPr/>
        <w:t>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2014</w:t>
      </w:r>
      <w:r>
        <w:rPr/>
        <w:t>年修订）》及《企业会计准则第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36"/>
        </w:rPr>
        <w:t> </w:t>
      </w:r>
      <w:r>
        <w:rPr/>
        <w:t>月</w:t>
      </w:r>
      <w:r>
        <w:rPr>
          <w:rFonts w:ascii="Times New Roman" w:hAnsi="Times New Roman" w:cs="Times New Roman" w:eastAsia="Times New Roman" w:hint="default"/>
        </w:rPr>
        <w:t>1</w:t>
      </w:r>
      <w:r>
        <w:rPr/>
        <w:t>日起在所有执行企业会计准则的企业范围内施行，鼓励在境外上市的企业提前执行。同时，财政部以财会</w:t>
      </w:r>
      <w:r>
        <w:rPr>
          <w:rFonts w:ascii="Times New Roman" w:hAnsi="Times New Roman" w:cs="Times New Roman" w:eastAsia="Times New Roman" w:hint="default"/>
        </w:rPr>
        <w:t>[2014]23</w:t>
      </w:r>
      <w:r>
        <w:rPr/>
        <w:t>号发</w:t>
      </w:r>
      <w:r>
        <w:rPr>
          <w:spacing w:val="-35"/>
        </w:rPr>
        <w:t> </w:t>
      </w:r>
      <w:r>
        <w:rPr>
          <w:spacing w:val="-2"/>
        </w:rPr>
        <w:t>布了《企业会计准则第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2014</w:t>
      </w:r>
      <w:r>
        <w:rPr>
          <w:spacing w:val="-2"/>
        </w:rPr>
        <w:t>年修订）》（以下简称</w:t>
      </w:r>
      <w:r>
        <w:rPr>
          <w:rFonts w:ascii="Times New Roman" w:hAnsi="Times New Roman" w:cs="Times New Roman" w:eastAsia="Times New Roman" w:hint="default"/>
          <w:spacing w:val="-2"/>
        </w:rPr>
        <w:t>“</w:t>
      </w:r>
      <w:r>
        <w:rPr>
          <w:spacing w:val="-2"/>
        </w:rPr>
        <w:t>金融工具列报准则</w:t>
      </w:r>
      <w:r>
        <w:rPr>
          <w:rFonts w:ascii="Times New Roman" w:hAnsi="Times New Roman" w:cs="Times New Roman" w:eastAsia="Times New Roman" w:hint="default"/>
          <w:spacing w:val="-2"/>
        </w:rPr>
        <w:t>”</w:t>
      </w:r>
      <w:r>
        <w:rPr>
          <w:spacing w:val="-2"/>
        </w:rPr>
        <w:t>），要求在</w:t>
      </w:r>
      <w:r>
        <w:rPr>
          <w:rFonts w:ascii="Times New Roman" w:hAnsi="Times New Roman" w:cs="Times New Roman" w:eastAsia="Times New Roman" w:hint="default"/>
          <w:spacing w:val="-2"/>
        </w:rPr>
        <w:t>2014</w:t>
      </w:r>
      <w:r>
        <w:rPr>
          <w:spacing w:val="-2"/>
        </w:rPr>
        <w:t>年年度及以</w:t>
      </w:r>
      <w:r>
        <w:rPr>
          <w:spacing w:val="-35"/>
        </w:rPr>
        <w:t> </w:t>
      </w:r>
      <w:r>
        <w:rPr/>
        <w:t>后期间的财务报告中按照该准则的要求对金融工具进行列报。</w:t>
      </w:r>
    </w:p>
    <w:p>
      <w:pPr>
        <w:pStyle w:val="BodyText"/>
        <w:spacing w:line="300" w:lineRule="auto" w:before="31"/>
        <w:ind w:left="153" w:right="148" w:firstLine="360"/>
        <w:jc w:val="both"/>
      </w:pPr>
      <w:r>
        <w:rPr/>
        <w:t>经本公司第七届董事会第四次会议于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日决议通过，本公司于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日开始执行前述除长期股权投资、 在其他主体中权益的披露、金融工具列报准则以外的</w:t>
      </w:r>
      <w:r>
        <w:rPr>
          <w:rFonts w:ascii="Times New Roman" w:hAnsi="Times New Roman" w:cs="Times New Roman" w:eastAsia="Times New Roman" w:hint="default"/>
        </w:rPr>
        <w:t>5</w:t>
      </w:r>
      <w:r>
        <w:rPr/>
        <w:t>项新颁布或修订的企业会计准则，自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日起执行长期股权投</w:t>
      </w:r>
      <w:r>
        <w:rPr>
          <w:spacing w:val="-84"/>
        </w:rPr>
        <w:t> </w:t>
      </w:r>
      <w:r>
        <w:rPr>
          <w:spacing w:val="-84"/>
        </w:rPr>
      </w:r>
      <w:r>
        <w:rPr>
          <w:spacing w:val="-2"/>
        </w:rPr>
        <w:t>资、在其他主体中的权益披露准则，在编制</w:t>
      </w:r>
      <w:r>
        <w:rPr>
          <w:rFonts w:ascii="Times New Roman" w:hAnsi="Times New Roman" w:cs="Times New Roman" w:eastAsia="Times New Roman" w:hint="default"/>
          <w:spacing w:val="-2"/>
        </w:rPr>
        <w:t>2014</w:t>
      </w:r>
      <w:r>
        <w:rPr>
          <w:spacing w:val="-2"/>
        </w:rPr>
        <w:t>年年度财务报告时开始执行金融工具列报准则，本年度，根据后续财政部颁</w:t>
      </w:r>
      <w:r>
        <w:rPr>
          <w:spacing w:val="-63"/>
        </w:rPr>
        <w:t> </w:t>
      </w:r>
      <w:r>
        <w:rPr>
          <w:spacing w:val="-63"/>
        </w:rPr>
      </w:r>
      <w:r>
        <w:rPr/>
        <w:t>布的各准则应用指南和衔接要求进行了调整，对当期和列报前期财务报表项目及金额的影响如下：</w:t>
      </w:r>
    </w:p>
    <w:tbl>
      <w:tblPr>
        <w:tblW w:w="0" w:type="auto"/>
        <w:jc w:val="left"/>
        <w:tblInd w:w="137" w:type="dxa"/>
        <w:tblLayout w:type="fixed"/>
        <w:tblCellMar>
          <w:top w:w="0" w:type="dxa"/>
          <w:left w:w="0" w:type="dxa"/>
          <w:bottom w:w="0" w:type="dxa"/>
          <w:right w:w="0" w:type="dxa"/>
        </w:tblCellMar>
        <w:tblLook w:val="01E0"/>
      </w:tblPr>
      <w:tblGrid>
        <w:gridCol w:w="1022"/>
        <w:gridCol w:w="5827"/>
        <w:gridCol w:w="1620"/>
        <w:gridCol w:w="1188"/>
      </w:tblGrid>
      <w:tr>
        <w:trPr>
          <w:trHeight w:val="658" w:hRule="exact"/>
        </w:trPr>
        <w:tc>
          <w:tcPr>
            <w:tcW w:w="1022"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324" w:right="323"/>
              <w:jc w:val="left"/>
              <w:rPr>
                <w:rFonts w:ascii="宋体" w:hAnsi="宋体" w:cs="宋体" w:eastAsia="宋体" w:hint="default"/>
                <w:sz w:val="18"/>
                <w:szCs w:val="18"/>
              </w:rPr>
            </w:pPr>
            <w:r>
              <w:rPr>
                <w:rFonts w:ascii="宋体" w:hAnsi="宋体" w:cs="宋体" w:eastAsia="宋体" w:hint="default"/>
                <w:sz w:val="18"/>
                <w:szCs w:val="18"/>
              </w:rPr>
              <w:t>准则 名称</w:t>
            </w:r>
          </w:p>
        </w:tc>
        <w:tc>
          <w:tcPr>
            <w:tcW w:w="5827"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2726" w:right="1284" w:hanging="1440"/>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 说明</w:t>
            </w:r>
          </w:p>
        </w:tc>
        <w:tc>
          <w:tcPr>
            <w:tcW w:w="2808"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00" w:lineRule="auto" w:before="21"/>
              <w:ind w:left="585" w:right="20" w:hanging="566"/>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年度相关财务 报表项目的影响金额</w:t>
            </w:r>
          </w:p>
        </w:tc>
      </w:tr>
      <w:tr>
        <w:trPr>
          <w:trHeight w:val="659" w:hRule="exact"/>
        </w:trPr>
        <w:tc>
          <w:tcPr>
            <w:tcW w:w="1022" w:type="dxa"/>
            <w:vMerge/>
            <w:tcBorders>
              <w:left w:val="single" w:sz="6" w:space="0" w:color="000000"/>
              <w:bottom w:val="single" w:sz="6" w:space="0" w:color="000000"/>
              <w:right w:val="single" w:sz="6" w:space="0" w:color="000000"/>
            </w:tcBorders>
            <w:shd w:val="clear" w:color="auto" w:fill="CCCCCC"/>
          </w:tcPr>
          <w:p>
            <w:pPr/>
          </w:p>
        </w:tc>
        <w:tc>
          <w:tcPr>
            <w:tcW w:w="5827" w:type="dxa"/>
            <w:vMerge/>
            <w:tcBorders>
              <w:left w:val="single" w:sz="6" w:space="0" w:color="000000"/>
              <w:bottom w:val="single" w:sz="6" w:space="0" w:color="000000"/>
              <w:right w:val="single" w:sz="6" w:space="0" w:color="000000"/>
            </w:tcBorders>
            <w:shd w:val="clear" w:color="auto" w:fill="CCCCCC"/>
          </w:tcPr>
          <w:p>
            <w:pPr/>
          </w:p>
        </w:tc>
        <w:tc>
          <w:tcPr>
            <w:tcW w:w="16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6" w:lineRule="auto" w:before="21"/>
              <w:ind w:left="120" w:right="119" w:firstLine="10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1093" w:hRule="exact"/>
        </w:trPr>
        <w:tc>
          <w:tcPr>
            <w:tcW w:w="1022" w:type="dxa"/>
            <w:vMerge w:val="restart"/>
            <w:tcBorders>
              <w:top w:val="single" w:sz="6" w:space="0" w:color="000000"/>
              <w:left w:val="single" w:sz="6" w:space="0" w:color="000000"/>
              <w:right w:val="single" w:sz="6" w:space="0" w:color="000000"/>
            </w:tcBorders>
          </w:tcPr>
          <w:p>
            <w:pPr>
              <w:pStyle w:val="TableParagraph"/>
              <w:spacing w:line="316" w:lineRule="auto" w:before="22"/>
              <w:ind w:left="2" w:right="-22"/>
              <w:jc w:val="left"/>
              <w:rPr>
                <w:rFonts w:ascii="宋体" w:hAnsi="宋体" w:cs="宋体" w:eastAsia="宋体" w:hint="default"/>
                <w:sz w:val="18"/>
                <w:szCs w:val="18"/>
              </w:rPr>
            </w:pPr>
            <w:r>
              <w:rPr>
                <w:rFonts w:ascii="宋体" w:hAnsi="宋体" w:cs="宋体" w:eastAsia="宋体" w:hint="default"/>
                <w:spacing w:val="16"/>
                <w:sz w:val="18"/>
                <w:szCs w:val="18"/>
              </w:rPr>
              <w:t>《企业</w:t>
            </w:r>
            <w:r>
              <w:rPr>
                <w:rFonts w:ascii="宋体" w:hAnsi="宋体" w:cs="宋体" w:eastAsia="宋体" w:hint="default"/>
                <w:spacing w:val="-63"/>
                <w:sz w:val="18"/>
                <w:szCs w:val="18"/>
              </w:rPr>
              <w:t> </w:t>
            </w:r>
            <w:r>
              <w:rPr>
                <w:rFonts w:ascii="宋体" w:hAnsi="宋体" w:cs="宋体" w:eastAsia="宋体" w:hint="default"/>
                <w:spacing w:val="12"/>
                <w:sz w:val="18"/>
                <w:szCs w:val="18"/>
              </w:rPr>
              <w:t>会计</w:t>
            </w:r>
            <w:r>
              <w:rPr>
                <w:rFonts w:ascii="宋体" w:hAnsi="宋体" w:cs="宋体" w:eastAsia="宋体" w:hint="default"/>
                <w:spacing w:val="-65"/>
                <w:sz w:val="18"/>
                <w:szCs w:val="18"/>
              </w:rPr>
              <w:t> </w:t>
            </w:r>
            <w:r>
              <w:rPr>
                <w:rFonts w:ascii="宋体" w:hAnsi="宋体" w:cs="宋体" w:eastAsia="宋体" w:hint="default"/>
                <w:spacing w:val="32"/>
                <w:sz w:val="18"/>
                <w:szCs w:val="18"/>
              </w:rPr>
              <w:t>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00" w:lineRule="auto"/>
              <w:ind w:left="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pacing w:val="22"/>
                <w:sz w:val="18"/>
                <w:szCs w:val="18"/>
              </w:rPr>
              <w:t>长期股</w:t>
            </w:r>
            <w:r>
              <w:rPr>
                <w:rFonts w:ascii="宋体" w:hAnsi="宋体" w:cs="宋体" w:eastAsia="宋体" w:hint="default"/>
                <w:spacing w:val="-56"/>
                <w:sz w:val="18"/>
                <w:szCs w:val="18"/>
              </w:rPr>
              <w:t> </w:t>
            </w:r>
            <w:r>
              <w:rPr>
                <w:rFonts w:ascii="宋体" w:hAnsi="宋体" w:cs="宋体" w:eastAsia="宋体" w:hint="default"/>
                <w:sz w:val="18"/>
                <w:szCs w:val="18"/>
              </w:rPr>
              <w:t>权投资》</w:t>
            </w:r>
          </w:p>
        </w:tc>
        <w:tc>
          <w:tcPr>
            <w:tcW w:w="5827" w:type="dxa"/>
            <w:vMerge w:val="restart"/>
            <w:tcBorders>
              <w:top w:val="single" w:sz="6" w:space="0" w:color="000000"/>
              <w:left w:val="single" w:sz="6" w:space="0" w:color="000000"/>
              <w:right w:val="single" w:sz="6" w:space="0" w:color="000000"/>
            </w:tcBorders>
          </w:tcPr>
          <w:p>
            <w:pPr>
              <w:pStyle w:val="TableParagraph"/>
              <w:spacing w:line="309" w:lineRule="auto" w:before="22"/>
              <w:ind w:left="3" w:right="-41" w:firstLine="360"/>
              <w:jc w:val="left"/>
              <w:rPr>
                <w:rFonts w:ascii="宋体" w:hAnsi="宋体" w:cs="宋体" w:eastAsia="宋体" w:hint="default"/>
                <w:sz w:val="18"/>
                <w:szCs w:val="18"/>
              </w:rPr>
            </w:pPr>
            <w:r>
              <w:rPr>
                <w:rFonts w:ascii="宋体" w:hAnsi="宋体" w:cs="宋体" w:eastAsia="宋体" w:hint="default"/>
                <w:sz w:val="18"/>
                <w:szCs w:val="18"/>
              </w:rPr>
              <w:t>执行《企业会计准则第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年修订）》之前， 本公司对被投资单位不具有共同控制或重大影响，并且在活跃市场中没有</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报价、公允价值不能可靠计量的股权投资，作为长期股权投资并采用成本</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4"/>
                <w:sz w:val="18"/>
                <w:szCs w:val="18"/>
              </w:rPr>
              <w:t>法进行核算。执行《企业会计准则第</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长期股权投资（</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年修订）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后，本公司将对被投资单位不具有共同控制或重大影响，并且在活跃市场</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83,260,425.53</w:t>
            </w:r>
          </w:p>
        </w:tc>
      </w:tr>
      <w:tr>
        <w:trPr>
          <w:trHeight w:val="503" w:hRule="exact"/>
        </w:trPr>
        <w:tc>
          <w:tcPr>
            <w:tcW w:w="1022" w:type="dxa"/>
            <w:vMerge/>
            <w:tcBorders>
              <w:left w:val="single" w:sz="6" w:space="0" w:color="000000"/>
              <w:bottom w:val="single" w:sz="6" w:space="0" w:color="000000"/>
              <w:right w:val="single" w:sz="6" w:space="0" w:color="000000"/>
            </w:tcBorders>
          </w:tcPr>
          <w:p>
            <w:pPr/>
          </w:p>
        </w:tc>
        <w:tc>
          <w:tcPr>
            <w:tcW w:w="5827" w:type="dxa"/>
            <w:vMerge/>
            <w:tcBorders>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99" w:lineRule="exact"/>
              <w:ind w:left="-10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4" w:lineRule="exact"/>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spacing w:val="-1"/>
                <w:sz w:val="18"/>
              </w:rPr>
              <w:t>-83,260,425.53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1022"/>
        <w:gridCol w:w="5827"/>
        <w:gridCol w:w="1620"/>
        <w:gridCol w:w="1188"/>
      </w:tblGrid>
      <w:tr>
        <w:trPr>
          <w:trHeight w:val="659" w:hRule="exact"/>
        </w:trPr>
        <w:tc>
          <w:tcPr>
            <w:tcW w:w="1022" w:type="dxa"/>
            <w:tcBorders>
              <w:top w:val="single" w:sz="6" w:space="0" w:color="000000"/>
              <w:left w:val="single" w:sz="6" w:space="0" w:color="000000"/>
              <w:bottom w:val="single" w:sz="6" w:space="0" w:color="000000"/>
              <w:right w:val="single" w:sz="6" w:space="0" w:color="000000"/>
            </w:tcBorders>
          </w:tcPr>
          <w:p>
            <w:pPr/>
          </w:p>
        </w:tc>
        <w:tc>
          <w:tcPr>
            <w:tcW w:w="58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中没有报价、公允价值不能可靠计量的股权投资作为可供出售金融资产核</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算。本公司采用追溯调整法对上述会计政策变更进行会计处理。</w:t>
            </w:r>
          </w:p>
        </w:tc>
        <w:tc>
          <w:tcPr>
            <w:tcW w:w="1620"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22"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22"/>
              <w:jc w:val="left"/>
              <w:rPr>
                <w:rFonts w:ascii="宋体" w:hAnsi="宋体" w:cs="宋体" w:eastAsia="宋体" w:hint="default"/>
                <w:sz w:val="18"/>
                <w:szCs w:val="18"/>
              </w:rPr>
            </w:pPr>
            <w:r>
              <w:rPr>
                <w:rFonts w:ascii="宋体" w:hAnsi="宋体" w:cs="宋体" w:eastAsia="宋体" w:hint="default"/>
                <w:spacing w:val="16"/>
                <w:sz w:val="18"/>
                <w:szCs w:val="18"/>
              </w:rPr>
              <w:t>《企业</w:t>
            </w:r>
            <w:r>
              <w:rPr>
                <w:rFonts w:ascii="宋体" w:hAnsi="宋体" w:cs="宋体" w:eastAsia="宋体" w:hint="default"/>
                <w:spacing w:val="-63"/>
                <w:sz w:val="18"/>
                <w:szCs w:val="18"/>
              </w:rPr>
              <w:t> </w:t>
            </w:r>
            <w:r>
              <w:rPr>
                <w:rFonts w:ascii="宋体" w:hAnsi="宋体" w:cs="宋体" w:eastAsia="宋体" w:hint="default"/>
                <w:spacing w:val="12"/>
                <w:sz w:val="18"/>
                <w:szCs w:val="18"/>
              </w:rPr>
              <w:t>会计</w:t>
            </w:r>
            <w:r>
              <w:rPr>
                <w:rFonts w:ascii="宋体" w:hAnsi="宋体" w:cs="宋体" w:eastAsia="宋体" w:hint="default"/>
                <w:spacing w:val="-65"/>
                <w:sz w:val="18"/>
                <w:szCs w:val="18"/>
              </w:rPr>
              <w:t> </w:t>
            </w:r>
            <w:r>
              <w:rPr>
                <w:rFonts w:ascii="宋体" w:hAnsi="宋体" w:cs="宋体" w:eastAsia="宋体" w:hint="default"/>
                <w:spacing w:val="16"/>
                <w:sz w:val="18"/>
                <w:szCs w:val="18"/>
              </w:rPr>
              <w:t>准则第</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w:t>
            </w:r>
          </w:p>
          <w:p>
            <w:pPr>
              <w:pStyle w:val="TableParagraph"/>
              <w:spacing w:line="300" w:lineRule="auto"/>
              <w:ind w:left="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pacing w:val="22"/>
                <w:sz w:val="18"/>
                <w:szCs w:val="18"/>
              </w:rPr>
              <w:t>财务报</w:t>
            </w:r>
            <w:r>
              <w:rPr>
                <w:rFonts w:ascii="宋体" w:hAnsi="宋体" w:cs="宋体" w:eastAsia="宋体" w:hint="default"/>
                <w:spacing w:val="-56"/>
                <w:sz w:val="18"/>
                <w:szCs w:val="18"/>
              </w:rPr>
              <w:t> </w:t>
            </w:r>
            <w:r>
              <w:rPr>
                <w:rFonts w:ascii="宋体" w:hAnsi="宋体" w:cs="宋体" w:eastAsia="宋体" w:hint="default"/>
                <w:sz w:val="18"/>
                <w:szCs w:val="18"/>
              </w:rPr>
              <w:t>表列报》</w:t>
            </w:r>
          </w:p>
        </w:tc>
        <w:tc>
          <w:tcPr>
            <w:tcW w:w="5827" w:type="dxa"/>
            <w:vMerge w:val="restart"/>
            <w:tcBorders>
              <w:top w:val="single" w:sz="6" w:space="0" w:color="000000"/>
              <w:left w:val="single" w:sz="6" w:space="0" w:color="000000"/>
              <w:right w:val="single" w:sz="6" w:space="0" w:color="000000"/>
            </w:tcBorders>
          </w:tcPr>
          <w:p>
            <w:pPr>
              <w:pStyle w:val="TableParagraph"/>
              <w:spacing w:line="307" w:lineRule="auto" w:before="21"/>
              <w:ind w:left="3" w:right="0" w:firstLine="360"/>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年修订）》将其他综</w:t>
            </w:r>
            <w:r>
              <w:rPr>
                <w:rFonts w:ascii="宋体" w:hAnsi="宋体" w:cs="宋体" w:eastAsia="宋体" w:hint="default"/>
                <w:spacing w:val="1"/>
                <w:sz w:val="18"/>
                <w:szCs w:val="18"/>
              </w:rPr>
              <w:t> </w:t>
            </w:r>
            <w:r>
              <w:rPr>
                <w:rFonts w:ascii="宋体" w:hAnsi="宋体" w:cs="宋体" w:eastAsia="宋体" w:hint="default"/>
                <w:sz w:val="18"/>
                <w:szCs w:val="18"/>
              </w:rPr>
              <w:t>合收益划分为两类：</w:t>
            </w:r>
            <w:r>
              <w:rPr>
                <w:rFonts w:ascii="Times New Roman" w:hAnsi="Times New Roman" w:cs="Times New Roman" w:eastAsia="Times New Roman" w:hint="default"/>
                <w:sz w:val="18"/>
                <w:szCs w:val="18"/>
              </w:rPr>
              <w:t>(1)</w:t>
            </w:r>
            <w:r>
              <w:rPr>
                <w:rFonts w:ascii="宋体" w:hAnsi="宋体" w:cs="宋体" w:eastAsia="宋体" w:hint="default"/>
                <w:sz w:val="18"/>
                <w:szCs w:val="18"/>
              </w:rPr>
              <w:t>以后会计期间不能重分类进损益的其他综合收益项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(2)</w:t>
            </w:r>
            <w:r>
              <w:rPr>
                <w:rFonts w:ascii="宋体" w:hAnsi="宋体" w:cs="宋体" w:eastAsia="宋体" w:hint="default"/>
                <w:sz w:val="18"/>
                <w:szCs w:val="18"/>
              </w:rPr>
              <w:t>以后会计期间在满足特定条件时将重分类进损益的其他综合收益项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目，同时规范了持有待售、流动性和非流动性等项目的列报。本财务报表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已按该准则的规定进行列报，并对可比年度财务报表的列报进行了相应调</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整。</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16,934,073.59</w:t>
            </w:r>
          </w:p>
        </w:tc>
      </w:tr>
      <w:tr>
        <w:trPr>
          <w:trHeight w:val="347" w:hRule="exact"/>
        </w:trPr>
        <w:tc>
          <w:tcPr>
            <w:tcW w:w="1022" w:type="dxa"/>
            <w:vMerge/>
            <w:tcBorders>
              <w:left w:val="single" w:sz="6" w:space="0" w:color="000000"/>
              <w:right w:val="single" w:sz="6" w:space="0" w:color="000000"/>
            </w:tcBorders>
          </w:tcPr>
          <w:p>
            <w:pPr/>
          </w:p>
        </w:tc>
        <w:tc>
          <w:tcPr>
            <w:tcW w:w="5827" w:type="dxa"/>
            <w:vMerge/>
            <w:tcBorders>
              <w:left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-16,934,073.59</w:t>
            </w:r>
          </w:p>
        </w:tc>
      </w:tr>
      <w:tr>
        <w:trPr>
          <w:trHeight w:val="427" w:hRule="exact"/>
        </w:trPr>
        <w:tc>
          <w:tcPr>
            <w:tcW w:w="1022" w:type="dxa"/>
            <w:vMerge/>
            <w:tcBorders>
              <w:left w:val="single" w:sz="6" w:space="0" w:color="000000"/>
              <w:right w:val="single" w:sz="6" w:space="0" w:color="000000"/>
            </w:tcBorders>
          </w:tcPr>
          <w:p>
            <w:pPr/>
          </w:p>
        </w:tc>
        <w:tc>
          <w:tcPr>
            <w:tcW w:w="5827" w:type="dxa"/>
            <w:vMerge/>
            <w:tcBorders>
              <w:left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-25,246,647.62</w:t>
            </w:r>
          </w:p>
        </w:tc>
      </w:tr>
      <w:tr>
        <w:trPr>
          <w:trHeight w:val="427" w:hRule="exact"/>
        </w:trPr>
        <w:tc>
          <w:tcPr>
            <w:tcW w:w="1022" w:type="dxa"/>
            <w:vMerge/>
            <w:tcBorders>
              <w:left w:val="single" w:sz="6" w:space="0" w:color="000000"/>
              <w:right w:val="single" w:sz="6" w:space="0" w:color="000000"/>
            </w:tcBorders>
          </w:tcPr>
          <w:p>
            <w:pPr/>
          </w:p>
        </w:tc>
        <w:tc>
          <w:tcPr>
            <w:tcW w:w="5827" w:type="dxa"/>
            <w:vMerge/>
            <w:tcBorders>
              <w:left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493,600,712.15</w:t>
            </w:r>
          </w:p>
        </w:tc>
      </w:tr>
      <w:tr>
        <w:trPr>
          <w:trHeight w:val="739" w:hRule="exact"/>
        </w:trPr>
        <w:tc>
          <w:tcPr>
            <w:tcW w:w="1022" w:type="dxa"/>
            <w:vMerge/>
            <w:tcBorders>
              <w:left w:val="single" w:sz="6" w:space="0" w:color="000000"/>
              <w:bottom w:val="single" w:sz="6" w:space="0" w:color="000000"/>
              <w:right w:val="single" w:sz="6" w:space="0" w:color="000000"/>
            </w:tcBorders>
          </w:tcPr>
          <w:p>
            <w:pPr/>
          </w:p>
        </w:tc>
        <w:tc>
          <w:tcPr>
            <w:tcW w:w="5827" w:type="dxa"/>
            <w:vMerge/>
            <w:tcBorders>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-468,354,064.5</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82"/>
        <w:jc w:val="left"/>
      </w:pPr>
      <w:r>
        <w:rPr/>
        <w:t>本年度无会计估计变更。</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30</w:t>
      </w:r>
      <w:r>
        <w:rPr/>
        <w:t>、比较数据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82"/>
        <w:jc w:val="left"/>
      </w:pPr>
      <w:r>
        <w:rPr/>
        <w:t>若干前期比较数据已经过重新编排，以对应本年度财务报表的列报方式。</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31</w:t>
      </w:r>
      <w:r>
        <w:rPr/>
        <w:t>、重大会计判断和估计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spacing w:val="-2"/>
        </w:rPr>
        <w:t>本集团在运用会计政策过程中，由于经营活动内在的不确定性，本集团需要对无法准确计量的报表项目的账面价值进行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8"/>
        <w:ind w:right="182" w:firstLine="360"/>
        <w:jc w:val="left"/>
      </w:pPr>
      <w:r>
        <w:rPr>
          <w:spacing w:val="-2"/>
        </w:rPr>
        <w:t>本集团对前述判断、估计和假设在持续经营的基础上进行定期复核，会计估计的变更仅影响变更当期的，其影响数在变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8"/>
        <w:ind w:left="514" w:right="182"/>
        <w:jc w:val="left"/>
      </w:pPr>
      <w:r>
        <w:rPr/>
        <w:t>于资产负债表日，本集团需对财务报表项目金额进行判断、估计和假设的重要领域如下：</w:t>
      </w:r>
    </w:p>
    <w:p>
      <w:pPr>
        <w:pStyle w:val="BodyText"/>
        <w:spacing w:line="300" w:lineRule="auto" w:before="76"/>
        <w:ind w:left="514" w:right="182"/>
        <w:jc w:val="left"/>
      </w:pPr>
      <w:r>
        <w:rPr/>
        <w:t>（</w:t>
      </w:r>
      <w:r>
        <w:rPr>
          <w:rFonts w:ascii="Times New Roman" w:hAnsi="Times New Roman" w:cs="Times New Roman" w:eastAsia="Times New Roman" w:hint="default"/>
        </w:rPr>
        <w:t>1</w:t>
      </w:r>
      <w:r>
        <w:rPr/>
        <w:t>）租赁的归类 </w:t>
      </w:r>
      <w:r>
        <w:rPr>
          <w:spacing w:val="-2"/>
        </w:rPr>
        <w:t>本集团根据《企业会计准则第</w:t>
      </w:r>
      <w:r>
        <w:rPr>
          <w:rFonts w:ascii="Times New Roman" w:hAnsi="Times New Roman" w:cs="Times New Roman" w:eastAsia="Times New Roman" w:hint="default"/>
          <w:spacing w:val="-2"/>
        </w:rPr>
        <w:t>21</w:t>
      </w:r>
      <w:r>
        <w:rPr>
          <w:spacing w:val="-2"/>
        </w:rPr>
        <w:t>号</w:t>
      </w:r>
      <w:r>
        <w:rPr>
          <w:rFonts w:ascii="Times New Roman" w:hAnsi="Times New Roman" w:cs="Times New Roman" w:eastAsia="Times New Roman" w:hint="default"/>
          <w:spacing w:val="-2"/>
        </w:rPr>
        <w:t>——</w:t>
      </w:r>
      <w:r>
        <w:rPr>
          <w:spacing w:val="-2"/>
        </w:rPr>
        <w:t>租赁》的规定，将租赁归类为经营租赁和融资租赁，在进行归类时，管理层需要</w:t>
      </w:r>
    </w:p>
    <w:p>
      <w:pPr>
        <w:pStyle w:val="BodyText"/>
        <w:spacing w:line="316" w:lineRule="auto" w:before="13"/>
        <w:ind w:right="189"/>
        <w:jc w:val="both"/>
      </w:pPr>
      <w:r>
        <w:rPr>
          <w:spacing w:val="-2"/>
        </w:rPr>
        <w:t>对是否已将与租出资产所有权有关的全部风险和报酬实质上转移给承租人，或者本公司是否已经实质上承担与租入资产所有</w:t>
      </w:r>
      <w:r>
        <w:rPr>
          <w:spacing w:val="-64"/>
        </w:rPr>
        <w:t> </w:t>
      </w:r>
      <w:r>
        <w:rPr>
          <w:spacing w:val="-64"/>
        </w:rPr>
      </w:r>
      <w:r>
        <w:rPr/>
        <w:t>权有关的全部风险和报酬，作出分析和判断。</w:t>
      </w:r>
    </w:p>
    <w:p>
      <w:pPr>
        <w:pStyle w:val="BodyText"/>
        <w:spacing w:line="300" w:lineRule="auto" w:before="18"/>
        <w:ind w:left="514" w:right="182"/>
        <w:jc w:val="left"/>
      </w:pPr>
      <w:r>
        <w:rPr/>
        <w:t>（</w:t>
      </w:r>
      <w:r>
        <w:rPr>
          <w:rFonts w:ascii="Times New Roman" w:hAnsi="Times New Roman" w:cs="Times New Roman" w:eastAsia="Times New Roman" w:hint="default"/>
        </w:rPr>
        <w:t>2</w:t>
      </w:r>
      <w:r>
        <w:rPr/>
        <w:t>）坏账准备计提 </w:t>
      </w:r>
      <w:r>
        <w:rPr>
          <w:spacing w:val="-2"/>
        </w:rPr>
        <w:t>本集团根据应收款项的会计政策，采用备抵法核算坏账损失。应收账款减值是基于评估应收账款的可收回性。鉴定应收</w:t>
      </w:r>
    </w:p>
    <w:p>
      <w:pPr>
        <w:pStyle w:val="BodyText"/>
        <w:spacing w:line="316" w:lineRule="auto" w:before="31"/>
        <w:ind w:right="189"/>
        <w:jc w:val="both"/>
      </w:pPr>
      <w:r>
        <w:rPr>
          <w:spacing w:val="-2"/>
        </w:rPr>
        <w:t>账款减值要求管理层的判断和估计。实际的结果与原先估计的差异将在估计被改变的期间影响应收账款的账面价值及应收账</w:t>
      </w:r>
      <w:r>
        <w:rPr>
          <w:spacing w:val="-64"/>
        </w:rPr>
        <w:t> </w:t>
      </w:r>
      <w:r>
        <w:rPr>
          <w:spacing w:val="-64"/>
        </w:rPr>
      </w:r>
      <w:r>
        <w:rPr/>
        <w:t>款坏账准备的计提或转回。</w:t>
      </w:r>
    </w:p>
    <w:p>
      <w:pPr>
        <w:pStyle w:val="BodyText"/>
        <w:spacing w:line="300" w:lineRule="auto" w:before="18"/>
        <w:ind w:left="514" w:right="182"/>
        <w:jc w:val="left"/>
      </w:pPr>
      <w:r>
        <w:rPr/>
        <w:t>（</w:t>
      </w:r>
      <w:r>
        <w:rPr>
          <w:rFonts w:ascii="Times New Roman" w:hAnsi="Times New Roman" w:cs="Times New Roman" w:eastAsia="Times New Roman" w:hint="default"/>
        </w:rPr>
        <w:t>3</w:t>
      </w:r>
      <w:r>
        <w:rPr/>
        <w:t>）存货跌价准备 </w:t>
      </w:r>
      <w:r>
        <w:rPr>
          <w:spacing w:val="-2"/>
        </w:rPr>
        <w:t>本集团根据存货会计政策，按照成本与可变现净值孰低计量，对成本高于可变现净值及陈旧和滞销的存货，计提存货跌</w:t>
      </w:r>
    </w:p>
    <w:p>
      <w:pPr>
        <w:pStyle w:val="BodyText"/>
        <w:spacing w:line="316" w:lineRule="auto" w:before="31"/>
        <w:ind w:right="190"/>
        <w:jc w:val="both"/>
      </w:pPr>
      <w:r>
        <w:rPr>
          <w:spacing w:val="-2"/>
        </w:rPr>
        <w:t>价准备。存货减值至可变现净值是基于评估存货的可售性及其可变现净值。鉴定存货减值要求管理层在取得确凿证据，并且</w:t>
      </w:r>
      <w:r>
        <w:rPr>
          <w:spacing w:val="-66"/>
        </w:rPr>
        <w:t> </w:t>
      </w:r>
      <w:r>
        <w:rPr>
          <w:spacing w:val="-66"/>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240" w:lineRule="auto" w:before="18"/>
        <w:ind w:left="514" w:right="182"/>
        <w:jc w:val="left"/>
      </w:pPr>
      <w:r>
        <w:rPr/>
        <w:t>（4）消耗性生物资产的公允价值</w:t>
      </w:r>
    </w:p>
    <w:p>
      <w:pPr>
        <w:pStyle w:val="BodyText"/>
        <w:spacing w:line="316" w:lineRule="auto" w:before="76"/>
        <w:ind w:right="180" w:firstLine="360"/>
        <w:jc w:val="left"/>
      </w:pPr>
      <w:r>
        <w:rPr/>
        <w:t>本集团对形成蓄积量的消耗性生物资产采用公允价值计量。消耗性生物资产-成材林在经过一个生长期，存活良好，且 出材达到0.8立方米以上，判断为形成蓄积量。</w:t>
      </w:r>
    </w:p>
    <w:p>
      <w:pPr>
        <w:spacing w:after="0" w:line="316"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513" w:right="182"/>
        <w:jc w:val="left"/>
      </w:pPr>
      <w:r>
        <w:rPr/>
        <w:t>消耗性生物资产的公允价值采用预期现金流量折现，采用收益法评估计量消耗性生物资产的公允价值。</w:t>
      </w:r>
    </w:p>
    <w:p>
      <w:pPr>
        <w:pStyle w:val="BodyText"/>
        <w:spacing w:line="300" w:lineRule="auto" w:before="76"/>
        <w:ind w:left="513" w:right="182"/>
        <w:jc w:val="left"/>
      </w:pPr>
      <w:r>
        <w:rPr/>
        <w:t>（</w:t>
      </w:r>
      <w:r>
        <w:rPr>
          <w:rFonts w:ascii="Times New Roman" w:hAnsi="Times New Roman" w:cs="Times New Roman" w:eastAsia="Times New Roman" w:hint="default"/>
        </w:rPr>
        <w:t>5</w:t>
      </w:r>
      <w:r>
        <w:rPr/>
        <w:t>）可供出售金融资产减值 </w:t>
      </w:r>
      <w:r>
        <w:rPr>
          <w:spacing w:val="-2"/>
        </w:rPr>
        <w:t>本集团确定可供出售金融资产是否减值在很大程度上依赖于管理层的判断和假设，以确定是否需要在利润表中确认其减</w:t>
      </w:r>
    </w:p>
    <w:p>
      <w:pPr>
        <w:pStyle w:val="BodyText"/>
        <w:spacing w:line="316" w:lineRule="auto" w:before="31"/>
        <w:ind w:right="182" w:hanging="1"/>
        <w:jc w:val="left"/>
      </w:pPr>
      <w:r>
        <w:rPr>
          <w:spacing w:val="-2"/>
        </w:rPr>
        <w:t>值损失。在进行判断和作出假设的过程中，本公司需评估该项投资享有被投资单位可辨认净资产的公允价值低于成本的程度</w:t>
      </w:r>
      <w:r>
        <w:rPr>
          <w:spacing w:val="-64"/>
        </w:rPr>
        <w:t> </w:t>
      </w:r>
      <w:r>
        <w:rPr>
          <w:spacing w:val="-64"/>
        </w:rPr>
      </w:r>
      <w:r>
        <w:rPr/>
        <w:t>和持续期间。</w:t>
      </w:r>
    </w:p>
    <w:p>
      <w:pPr>
        <w:pStyle w:val="BodyText"/>
        <w:spacing w:line="300" w:lineRule="auto" w:before="18"/>
        <w:ind w:left="514" w:right="182"/>
        <w:jc w:val="left"/>
      </w:pPr>
      <w:r>
        <w:rPr/>
        <w:t>（</w:t>
      </w:r>
      <w:r>
        <w:rPr>
          <w:rFonts w:ascii="Times New Roman" w:hAnsi="Times New Roman" w:cs="Times New Roman" w:eastAsia="Times New Roman" w:hint="default"/>
        </w:rPr>
        <w:t>6</w:t>
      </w:r>
      <w:r>
        <w:rPr/>
        <w:t>）非金融非流动资产减值准备 </w:t>
      </w:r>
      <w:r>
        <w:rPr>
          <w:spacing w:val="-2"/>
        </w:rPr>
        <w:t>本集团于资产负债表日对除金融资产之外的非流动资产判断是否存在可能发生减值的迹象。对使用寿命不确定的无形资</w:t>
      </w:r>
    </w:p>
    <w:p>
      <w:pPr>
        <w:pStyle w:val="BodyText"/>
        <w:spacing w:line="316" w:lineRule="auto" w:before="31"/>
        <w:ind w:right="182"/>
        <w:jc w:val="left"/>
      </w:pPr>
      <w:r>
        <w:rPr>
          <w:spacing w:val="-2"/>
        </w:rPr>
        <w:t>产，除每年进行的减值测试外，当其存在减值迹象时，也进行减值测试。其他除金融资产之外的非流动资产，当存在迹象表</w:t>
      </w:r>
      <w:r>
        <w:rPr>
          <w:spacing w:val="-66"/>
        </w:rPr>
        <w:t> </w:t>
      </w:r>
      <w:r>
        <w:rPr>
          <w:spacing w:val="-66"/>
        </w:rPr>
      </w:r>
      <w:r>
        <w:rPr/>
        <w:t>明其账面金额不可收回时，进行减值测试。</w:t>
      </w:r>
    </w:p>
    <w:p>
      <w:pPr>
        <w:pStyle w:val="BodyText"/>
        <w:spacing w:line="316" w:lineRule="auto" w:before="18"/>
        <w:ind w:right="182" w:firstLine="360"/>
        <w:jc w:val="left"/>
      </w:pPr>
      <w:r>
        <w:rPr/>
        <w:t>当资产或资产组的账面价值高于可收回金额，即公允价值减去处置费用后的净额和预计未来现金流量的现值中的较高</w:t>
      </w:r>
      <w:r>
        <w:rPr>
          <w:spacing w:val="2"/>
        </w:rPr>
        <w:t> </w:t>
      </w:r>
      <w:r>
        <w:rPr/>
        <w:t>者，表明发生了减值。</w:t>
      </w:r>
    </w:p>
    <w:p>
      <w:pPr>
        <w:pStyle w:val="BodyText"/>
        <w:spacing w:line="316" w:lineRule="auto" w:before="18"/>
        <w:ind w:right="182"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8"/>
        <w:ind w:right="91"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316" w:lineRule="auto" w:before="18"/>
        <w:ind w:right="186" w:firstLine="360"/>
        <w:jc w:val="both"/>
      </w:pPr>
      <w:r>
        <w:rPr/>
        <w:t>本集团至少每年测试商誉是否发生减值。这要求对分配了商誉的资产组或者资产组组合的未来现金流量的现值进行预</w:t>
      </w:r>
      <w:r>
        <w:rPr>
          <w:spacing w:val="2"/>
        </w:rPr>
        <w:t> </w:t>
      </w:r>
      <w:r>
        <w:rPr>
          <w:spacing w:val="-2"/>
        </w:rPr>
        <w:t>计。对未来现金流量的现值进行预计时，本集团需要预计未来资产组或者资产组组合产生的现金流量，同时选择恰当的折现</w:t>
      </w:r>
      <w:r>
        <w:rPr>
          <w:spacing w:val="-66"/>
        </w:rPr>
        <w:t> </w:t>
      </w:r>
      <w:r>
        <w:rPr>
          <w:spacing w:val="-66"/>
        </w:rPr>
      </w:r>
      <w:r>
        <w:rPr/>
        <w:t>率确定未来现金流量的现值。</w:t>
      </w:r>
    </w:p>
    <w:p>
      <w:pPr>
        <w:pStyle w:val="BodyText"/>
        <w:spacing w:line="300" w:lineRule="auto" w:before="18"/>
        <w:ind w:left="514" w:right="182"/>
        <w:jc w:val="left"/>
      </w:pPr>
      <w:r>
        <w:rPr/>
        <w:t>（</w:t>
      </w:r>
      <w:r>
        <w:rPr>
          <w:rFonts w:ascii="Times New Roman" w:hAnsi="Times New Roman" w:cs="Times New Roman" w:eastAsia="Times New Roman" w:hint="default"/>
        </w:rPr>
        <w:t>7</w:t>
      </w:r>
      <w:r>
        <w:rPr/>
        <w:t>）折旧和摊销 </w:t>
      </w:r>
      <w:r>
        <w:rPr>
          <w:spacing w:val="-2"/>
        </w:rPr>
        <w:t>本集团对投资性房地产、固定资产和无形资产在考虑其残值后，在使用寿命内按直线法计提折旧和摊销。本集团定期复</w:t>
      </w:r>
    </w:p>
    <w:p>
      <w:pPr>
        <w:pStyle w:val="BodyText"/>
        <w:spacing w:line="316" w:lineRule="auto" w:before="31"/>
        <w:ind w:right="182"/>
        <w:jc w:val="left"/>
      </w:pPr>
      <w:r>
        <w:rPr>
          <w:spacing w:val="-2"/>
        </w:rPr>
        <w:t>核使用寿命，以决定将计入每个报告期的折旧和摊销费用数额。使用寿命是本集团根据对同类资产的以往经验并结合预期的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00" w:lineRule="auto" w:before="18"/>
        <w:ind w:left="514" w:right="182"/>
        <w:jc w:val="left"/>
      </w:pPr>
      <w:r>
        <w:rPr/>
        <w:t>（</w:t>
      </w:r>
      <w:r>
        <w:rPr>
          <w:rFonts w:ascii="Times New Roman" w:hAnsi="Times New Roman" w:cs="Times New Roman" w:eastAsia="Times New Roman" w:hint="default"/>
        </w:rPr>
        <w:t>8</w:t>
      </w:r>
      <w:r>
        <w:rPr/>
        <w:t>）递延所得税资产 </w:t>
      </w:r>
      <w:r>
        <w:rPr>
          <w:spacing w:val="-2"/>
        </w:rPr>
        <w:t>在很有可能有足够的应纳税利润来抵扣亏损的限度内，本集团就所有未利用的税务亏损确认递延所得税资产。这需要本</w:t>
      </w:r>
    </w:p>
    <w:p>
      <w:pPr>
        <w:pStyle w:val="BodyText"/>
        <w:spacing w:line="316" w:lineRule="auto" w:before="31"/>
        <w:ind w:right="182"/>
        <w:jc w:val="left"/>
      </w:pPr>
      <w:r>
        <w:rPr>
          <w:spacing w:val="-2"/>
        </w:rPr>
        <w:t>公司管理层运用大量的判断来估计未来应纳税利润发生的时间和金额，结合纳税筹划策略，以决定应确认的递延所得税资产</w:t>
      </w:r>
      <w:r>
        <w:rPr>
          <w:spacing w:val="-64"/>
        </w:rPr>
        <w:t> </w:t>
      </w:r>
      <w:r>
        <w:rPr>
          <w:spacing w:val="-64"/>
        </w:rPr>
      </w:r>
      <w:r>
        <w:rPr/>
        <w:t>的金额。</w:t>
      </w:r>
    </w:p>
    <w:p>
      <w:pPr>
        <w:pStyle w:val="BodyText"/>
        <w:spacing w:line="300" w:lineRule="auto" w:before="18"/>
        <w:ind w:left="514" w:right="182"/>
        <w:jc w:val="left"/>
      </w:pPr>
      <w:r>
        <w:rPr/>
        <w:t>（</w:t>
      </w:r>
      <w:r>
        <w:rPr>
          <w:rFonts w:ascii="Times New Roman" w:hAnsi="Times New Roman" w:cs="Times New Roman" w:eastAsia="Times New Roman" w:hint="default"/>
        </w:rPr>
        <w:t>9</w:t>
      </w:r>
      <w:r>
        <w:rPr/>
        <w:t>）所得税 </w:t>
      </w:r>
      <w:r>
        <w:rPr>
          <w:spacing w:val="-2"/>
        </w:rPr>
        <w:t>本集团在正常的经营活动中，有部分交易其最终的税务处理和计算存在一定的不确定性。部分项目是否能够在税前列支</w:t>
      </w:r>
    </w:p>
    <w:p>
      <w:pPr>
        <w:pStyle w:val="BodyText"/>
        <w:spacing w:line="316" w:lineRule="auto" w:before="31"/>
        <w:ind w:right="182"/>
        <w:jc w:val="left"/>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spacing w:line="240" w:lineRule="auto" w:before="12"/>
        <w:rPr>
          <w:rFonts w:ascii="宋体" w:hAnsi="宋体" w:cs="宋体" w:eastAsia="宋体" w:hint="default"/>
          <w:sz w:val="20"/>
          <w:szCs w:val="20"/>
        </w:rPr>
      </w:pPr>
    </w:p>
    <w:p>
      <w:pPr>
        <w:pStyle w:val="Heading2"/>
        <w:spacing w:line="240" w:lineRule="auto"/>
        <w:ind w:right="182"/>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2"/>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2771"/>
        <w:gridCol w:w="6922"/>
      </w:tblGrid>
      <w:tr>
        <w:trPr>
          <w:trHeight w:val="402" w:hRule="exact"/>
        </w:trPr>
        <w:tc>
          <w:tcPr>
            <w:tcW w:w="2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6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249" w:hRule="exact"/>
        </w:trPr>
        <w:tc>
          <w:tcPr>
            <w:tcW w:w="2771" w:type="dxa"/>
            <w:tcBorders>
              <w:top w:val="single" w:sz="4" w:space="0" w:color="000000"/>
              <w:left w:val="single" w:sz="4" w:space="0" w:color="000000"/>
              <w:bottom w:val="nil" w:sz="6" w:space="0" w:color="auto"/>
              <w:right w:val="single" w:sz="4" w:space="0" w:color="000000"/>
            </w:tcBorders>
            <w:shd w:val="clear" w:color="auto" w:fill="D3D3D3"/>
          </w:tcPr>
          <w:p>
            <w:pPr/>
          </w:p>
        </w:tc>
        <w:tc>
          <w:tcPr>
            <w:tcW w:w="6922" w:type="dxa"/>
            <w:vMerge w:val="restart"/>
            <w:tcBorders>
              <w:top w:val="single" w:sz="4" w:space="0" w:color="000000"/>
              <w:left w:val="single" w:sz="9" w:space="0" w:color="D3D3D3"/>
              <w:right w:val="single" w:sz="4" w:space="0" w:color="000000"/>
            </w:tcBorders>
          </w:tcPr>
          <w:p>
            <w:pPr>
              <w:pStyle w:val="TableParagraph"/>
              <w:spacing w:line="386" w:lineRule="auto" w:before="130"/>
              <w:ind w:left="27" w:right="23"/>
              <w:jc w:val="left"/>
              <w:rPr>
                <w:rFonts w:ascii="宋体" w:hAnsi="宋体" w:cs="宋体" w:eastAsia="宋体" w:hint="default"/>
                <w:sz w:val="18"/>
                <w:szCs w:val="18"/>
              </w:rPr>
            </w:pPr>
            <w:r>
              <w:rPr>
                <w:rFonts w:ascii="宋体" w:hAnsi="宋体" w:cs="宋体" w:eastAsia="宋体" w:hint="default"/>
                <w:w w:val="95"/>
                <w:sz w:val="18"/>
                <w:szCs w:val="18"/>
              </w:rPr>
              <w:t>一般应税收入按</w:t>
            </w:r>
            <w:r>
              <w:rPr>
                <w:rFonts w:ascii="Arial" w:hAnsi="Arial" w:cs="Arial" w:eastAsia="Arial" w:hint="default"/>
                <w:w w:val="95"/>
                <w:sz w:val="18"/>
                <w:szCs w:val="18"/>
              </w:rPr>
              <w:t>17%</w:t>
            </w:r>
            <w:r>
              <w:rPr>
                <w:rFonts w:ascii="宋体" w:hAnsi="宋体" w:cs="宋体" w:eastAsia="宋体" w:hint="default"/>
                <w:w w:val="95"/>
                <w:sz w:val="18"/>
                <w:szCs w:val="18"/>
              </w:rPr>
              <w:t>、销售汽和水按</w:t>
            </w:r>
            <w:r>
              <w:rPr>
                <w:rFonts w:ascii="Arial" w:hAnsi="Arial" w:cs="Arial" w:eastAsia="Arial" w:hint="default"/>
                <w:w w:val="95"/>
                <w:sz w:val="18"/>
                <w:szCs w:val="18"/>
              </w:rPr>
              <w:t>13%</w:t>
            </w:r>
            <w:r>
              <w:rPr>
                <w:rFonts w:ascii="宋体" w:hAnsi="宋体" w:cs="宋体" w:eastAsia="宋体" w:hint="default"/>
                <w:w w:val="95"/>
                <w:sz w:val="18"/>
                <w:szCs w:val="18"/>
              </w:rPr>
              <w:t>的税率计算销项税，并按扣除当期允许抵扣的进</w:t>
            </w:r>
            <w:r>
              <w:rPr>
                <w:rFonts w:ascii="宋体" w:hAnsi="宋体" w:cs="宋体" w:eastAsia="宋体" w:hint="default"/>
                <w:spacing w:val="10"/>
                <w:w w:val="95"/>
                <w:sz w:val="18"/>
                <w:szCs w:val="18"/>
              </w:rPr>
              <w:t> </w:t>
            </w:r>
            <w:r>
              <w:rPr>
                <w:rFonts w:ascii="宋体" w:hAnsi="宋体" w:cs="宋体" w:eastAsia="宋体" w:hint="default"/>
                <w:spacing w:val="10"/>
                <w:w w:val="95"/>
                <w:sz w:val="18"/>
                <w:szCs w:val="18"/>
              </w:rPr>
            </w:r>
            <w:r>
              <w:rPr>
                <w:rFonts w:ascii="宋体" w:hAnsi="宋体" w:cs="宋体" w:eastAsia="宋体" w:hint="default"/>
                <w:sz w:val="18"/>
                <w:szCs w:val="18"/>
              </w:rPr>
              <w:t>项税额后的差额计缴增值税</w:t>
            </w:r>
          </w:p>
        </w:tc>
      </w:tr>
      <w:tr>
        <w:trPr>
          <w:trHeight w:val="392" w:hRule="exact"/>
        </w:trPr>
        <w:tc>
          <w:tcPr>
            <w:tcW w:w="27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6922" w:type="dxa"/>
            <w:vMerge/>
            <w:tcBorders>
              <w:left w:val="single" w:sz="9" w:space="0" w:color="D3D3D3"/>
              <w:right w:val="single" w:sz="4" w:space="0" w:color="000000"/>
            </w:tcBorders>
          </w:tcPr>
          <w:p>
            <w:pPr/>
          </w:p>
        </w:tc>
      </w:tr>
      <w:tr>
        <w:trPr>
          <w:trHeight w:val="250" w:hRule="exact"/>
        </w:trPr>
        <w:tc>
          <w:tcPr>
            <w:tcW w:w="2771" w:type="dxa"/>
            <w:tcBorders>
              <w:top w:val="nil" w:sz="6" w:space="0" w:color="auto"/>
              <w:left w:val="single" w:sz="4" w:space="0" w:color="000000"/>
              <w:bottom w:val="single" w:sz="4" w:space="0" w:color="FFFFFF"/>
              <w:right w:val="single" w:sz="4" w:space="0" w:color="000000"/>
            </w:tcBorders>
            <w:shd w:val="clear" w:color="auto" w:fill="D3D3D3"/>
          </w:tcPr>
          <w:p>
            <w:pPr/>
          </w:p>
        </w:tc>
        <w:tc>
          <w:tcPr>
            <w:tcW w:w="6922" w:type="dxa"/>
            <w:vMerge/>
            <w:tcBorders>
              <w:left w:val="single" w:sz="9" w:space="0" w:color="D3D3D3"/>
              <w:bottom w:val="single" w:sz="4" w:space="0" w:color="FFFFFF"/>
              <w:right w:val="single" w:sz="4" w:space="0" w:color="000000"/>
            </w:tcBorders>
          </w:tcPr>
          <w:p>
            <w:pPr/>
          </w:p>
        </w:tc>
      </w:tr>
      <w:tr>
        <w:trPr>
          <w:trHeight w:val="490" w:hRule="exact"/>
        </w:trPr>
        <w:tc>
          <w:tcPr>
            <w:tcW w:w="2771" w:type="dxa"/>
            <w:tcBorders>
              <w:top w:val="single" w:sz="4" w:space="0" w:color="FFFFFF"/>
              <w:left w:val="single" w:sz="4" w:space="0" w:color="000000"/>
              <w:bottom w:val="single" w:sz="4" w:space="0" w:color="FFFFFF"/>
              <w:right w:val="single" w:sz="4" w:space="0" w:color="000000"/>
            </w:tcBorders>
            <w:shd w:val="clear" w:color="auto" w:fill="D3D3D3"/>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6922" w:type="dxa"/>
            <w:tcBorders>
              <w:top w:val="single" w:sz="4" w:space="0" w:color="FFFFFF"/>
              <w:left w:val="single" w:sz="9" w:space="0" w:color="D3D3D3"/>
              <w:bottom w:val="single" w:sz="4" w:space="0" w:color="FFFFFF"/>
              <w:right w:val="single" w:sz="4" w:space="0" w:color="000000"/>
            </w:tcBorders>
          </w:tcPr>
          <w:p>
            <w:pPr>
              <w:pStyle w:val="TableParagraph"/>
              <w:spacing w:line="240" w:lineRule="auto" w:before="131"/>
              <w:ind w:left="27"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Arial" w:hAnsi="Arial" w:cs="Arial" w:eastAsia="Arial" w:hint="default"/>
                <w:sz w:val="18"/>
                <w:szCs w:val="18"/>
              </w:rPr>
              <w:t>3%-5%</w:t>
            </w:r>
            <w:r>
              <w:rPr>
                <w:rFonts w:ascii="宋体" w:hAnsi="宋体" w:cs="宋体" w:eastAsia="宋体" w:hint="default"/>
                <w:sz w:val="18"/>
                <w:szCs w:val="18"/>
              </w:rPr>
              <w:t>计缴营业税</w:t>
            </w:r>
          </w:p>
        </w:tc>
      </w:tr>
      <w:tr>
        <w:trPr>
          <w:trHeight w:val="491" w:hRule="exact"/>
        </w:trPr>
        <w:tc>
          <w:tcPr>
            <w:tcW w:w="2771" w:type="dxa"/>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6922" w:type="dxa"/>
            <w:tcBorders>
              <w:top w:val="single" w:sz="4" w:space="0" w:color="FFFFFF"/>
              <w:left w:val="single" w:sz="9" w:space="0" w:color="D3D3D3"/>
              <w:bottom w:val="single" w:sz="4" w:space="0" w:color="000000"/>
              <w:right w:val="single" w:sz="4" w:space="0" w:color="000000"/>
            </w:tcBorders>
          </w:tcPr>
          <w:p>
            <w:pPr>
              <w:pStyle w:val="TableParagraph"/>
              <w:spacing w:line="240" w:lineRule="auto" w:before="131"/>
              <w:ind w:left="27"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Arial" w:hAnsi="Arial" w:cs="Arial" w:eastAsia="Arial" w:hint="default"/>
                <w:sz w:val="18"/>
                <w:szCs w:val="18"/>
              </w:rPr>
              <w:t>7%</w:t>
            </w:r>
            <w:r>
              <w:rPr>
                <w:rFonts w:ascii="宋体" w:hAnsi="宋体" w:cs="宋体" w:eastAsia="宋体" w:hint="default"/>
                <w:sz w:val="18"/>
                <w:szCs w:val="18"/>
              </w:rPr>
              <w:t>计缴</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6"/>
        <w:rPr>
          <w:rFonts w:ascii="宋体" w:hAnsi="宋体" w:cs="宋体" w:eastAsia="宋体" w:hint="default"/>
          <w:b/>
          <w:bCs/>
          <w:sz w:val="24"/>
          <w:szCs w:val="24"/>
        </w:rPr>
      </w:pPr>
    </w:p>
    <w:tbl>
      <w:tblPr>
        <w:tblW w:w="0" w:type="auto"/>
        <w:jc w:val="left"/>
        <w:tblInd w:w="121" w:type="dxa"/>
        <w:tblLayout w:type="fixed"/>
        <w:tblCellMar>
          <w:top w:w="0" w:type="dxa"/>
          <w:left w:w="0" w:type="dxa"/>
          <w:bottom w:w="0" w:type="dxa"/>
          <w:right w:w="0" w:type="dxa"/>
        </w:tblCellMar>
        <w:tblLook w:val="01E0"/>
      </w:tblPr>
      <w:tblGrid>
        <w:gridCol w:w="2783"/>
        <w:gridCol w:w="6911"/>
      </w:tblGrid>
      <w:tr>
        <w:trPr>
          <w:trHeight w:val="490" w:hRule="exact"/>
        </w:trPr>
        <w:tc>
          <w:tcPr>
            <w:tcW w:w="2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6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Arial" w:hAnsi="Arial" w:cs="Arial" w:eastAsia="Arial" w:hint="default"/>
                <w:sz w:val="18"/>
                <w:szCs w:val="18"/>
              </w:rPr>
              <w:t>25%</w:t>
            </w:r>
            <w:r>
              <w:rPr>
                <w:rFonts w:ascii="宋体" w:hAnsi="宋体" w:cs="宋体" w:eastAsia="宋体" w:hint="default"/>
                <w:sz w:val="18"/>
                <w:szCs w:val="18"/>
              </w:rPr>
              <w:t>计缴，高新技术企业按</w:t>
            </w:r>
            <w:r>
              <w:rPr>
                <w:rFonts w:ascii="Arial" w:hAnsi="Arial" w:cs="Arial" w:eastAsia="Arial" w:hint="default"/>
                <w:sz w:val="18"/>
                <w:szCs w:val="18"/>
              </w:rPr>
              <w:t>15%</w:t>
            </w:r>
            <w:r>
              <w:rPr>
                <w:rFonts w:ascii="宋体" w:hAnsi="宋体" w:cs="宋体" w:eastAsia="宋体" w:hint="default"/>
                <w:sz w:val="18"/>
                <w:szCs w:val="18"/>
              </w:rPr>
              <w:t>计缴，小规模企业按</w:t>
            </w:r>
            <w:r>
              <w:rPr>
                <w:rFonts w:ascii="Arial" w:hAnsi="Arial" w:cs="Arial" w:eastAsia="Arial" w:hint="default"/>
                <w:sz w:val="18"/>
                <w:szCs w:val="18"/>
              </w:rPr>
              <w:t>20%</w:t>
            </w:r>
            <w:r>
              <w:rPr>
                <w:rFonts w:ascii="宋体" w:hAnsi="宋体" w:cs="宋体" w:eastAsia="宋体" w:hint="default"/>
                <w:sz w:val="18"/>
                <w:szCs w:val="18"/>
              </w:rPr>
              <w:t>计缴。</w:t>
            </w:r>
          </w:p>
        </w:tc>
      </w:tr>
      <w:tr>
        <w:trPr>
          <w:trHeight w:val="49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6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Arial" w:hAnsi="Arial" w:cs="Arial" w:eastAsia="Arial" w:hint="default"/>
                <w:sz w:val="18"/>
                <w:szCs w:val="18"/>
              </w:rPr>
              <w:t>3%</w:t>
            </w:r>
            <w:r>
              <w:rPr>
                <w:rFonts w:ascii="宋体" w:hAnsi="宋体" w:cs="宋体" w:eastAsia="宋体" w:hint="default"/>
                <w:sz w:val="18"/>
                <w:szCs w:val="18"/>
              </w:rPr>
              <w:t>计缴</w:t>
            </w:r>
          </w:p>
        </w:tc>
      </w:tr>
      <w:tr>
        <w:trPr>
          <w:trHeight w:val="490"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6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Arial" w:hAnsi="Arial" w:cs="Arial" w:eastAsia="Arial" w:hint="default"/>
                <w:sz w:val="18"/>
                <w:szCs w:val="18"/>
              </w:rPr>
              <w:t>2%</w:t>
            </w:r>
            <w:r>
              <w:rPr>
                <w:rFonts w:ascii="宋体" w:hAnsi="宋体" w:cs="宋体" w:eastAsia="宋体" w:hint="default"/>
                <w:sz w:val="18"/>
                <w:szCs w:val="18"/>
              </w:rPr>
              <w:t>计缴</w:t>
            </w:r>
          </w:p>
        </w:tc>
      </w:tr>
    </w:tbl>
    <w:p>
      <w:pPr>
        <w:pStyle w:val="BodyText"/>
        <w:spacing w:line="240" w:lineRule="auto" w:before="51"/>
        <w:ind w:right="182"/>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4844"/>
        <w:gridCol w:w="4849"/>
      </w:tblGrid>
      <w:tr>
        <w:trPr>
          <w:trHeight w:val="402" w:hRule="exact"/>
        </w:trPr>
        <w:tc>
          <w:tcPr>
            <w:tcW w:w="4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8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免征</w:t>
            </w:r>
          </w:p>
        </w:tc>
      </w:tr>
      <w:tr>
        <w:trPr>
          <w:trHeight w:val="402"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湛江晨鸣林业发展有限公司</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免征</w:t>
            </w:r>
          </w:p>
        </w:tc>
      </w:tr>
      <w:tr>
        <w:trPr>
          <w:trHeight w:val="402"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阳江晨鸣林业发展有限公司</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免征</w:t>
            </w:r>
          </w:p>
        </w:tc>
      </w:tr>
      <w:tr>
        <w:trPr>
          <w:trHeight w:val="402"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南昌晨鸣林业发展有限公司</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免征</w:t>
            </w:r>
          </w:p>
        </w:tc>
      </w:tr>
    </w:tbl>
    <w:p>
      <w:pPr>
        <w:spacing w:line="240" w:lineRule="auto" w:before="2"/>
        <w:rPr>
          <w:rFonts w:ascii="宋体" w:hAnsi="宋体" w:cs="宋体" w:eastAsia="宋体" w:hint="default"/>
          <w:sz w:val="19"/>
          <w:szCs w:val="19"/>
        </w:rPr>
      </w:pPr>
    </w:p>
    <w:p>
      <w:pPr>
        <w:pStyle w:val="Heading4"/>
        <w:spacing w:line="240" w:lineRule="auto" w:before="35"/>
        <w:ind w:right="182"/>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80"/>
        <w:jc w:val="left"/>
      </w:pPr>
      <w:r>
        <w:rPr/>
        <w:t>（</w:t>
      </w:r>
      <w:r>
        <w:rPr>
          <w:rFonts w:ascii="Times New Roman" w:hAnsi="Times New Roman" w:cs="Times New Roman" w:eastAsia="Times New Roman" w:hint="default"/>
        </w:rPr>
        <w:t>1</w:t>
      </w:r>
      <w:r>
        <w:rPr/>
        <w:t>）企业所得税 根据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日发布的《中华人民共和国企业所得税法》规定，本公司为符合条件的国家需要重点扶持的高新技术</w:t>
      </w:r>
    </w:p>
    <w:p>
      <w:pPr>
        <w:pStyle w:val="BodyText"/>
        <w:spacing w:line="300" w:lineRule="auto" w:before="13"/>
        <w:ind w:left="513" w:right="181" w:hanging="360"/>
        <w:jc w:val="left"/>
      </w:pPr>
      <w:r>
        <w:rPr/>
        <w:t>企业，经山东省寿光市国家税务局批准，本公司自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日执行</w:t>
      </w:r>
      <w:r>
        <w:rPr>
          <w:rFonts w:ascii="Times New Roman" w:hAnsi="Times New Roman" w:cs="Times New Roman" w:eastAsia="Times New Roman" w:hint="default"/>
        </w:rPr>
        <w:t>15%</w:t>
      </w:r>
      <w:r>
        <w:rPr>
          <w:rFonts w:ascii="Times New Roman" w:hAnsi="Times New Roman" w:cs="Times New Roman" w:eastAsia="Times New Roman" w:hint="default"/>
          <w:spacing w:val="27"/>
        </w:rPr>
        <w:t> </w:t>
      </w:r>
      <w:r>
        <w:rPr/>
        <w:t>的企业所得税率。 根据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日发布的《中华人民共和国企业所得税法》规定，本公司子公司江西晨鸣纸业有限责任公司为符合条</w:t>
      </w:r>
    </w:p>
    <w:p>
      <w:pPr>
        <w:pStyle w:val="BodyText"/>
        <w:spacing w:line="316" w:lineRule="auto" w:before="13"/>
        <w:ind w:left="153" w:right="182"/>
        <w:jc w:val="left"/>
      </w:pPr>
      <w:r>
        <w:rPr>
          <w:spacing w:val="-2"/>
        </w:rPr>
        <w:t>件的国家需要重点扶持的高新技术企业，经江西省南昌市经开区国家税务局批准，本公司之子公司江西晨鸣纸业有限责任公</w:t>
      </w:r>
      <w:r>
        <w:rPr>
          <w:spacing w:val="-64"/>
        </w:rPr>
        <w:t> </w:t>
      </w:r>
      <w:r>
        <w:rPr>
          <w:spacing w:val="-64"/>
        </w:rPr>
      </w:r>
      <w:r>
        <w:rPr/>
        <w:t>司自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日执行</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的企业所得税率。</w:t>
      </w:r>
    </w:p>
    <w:p>
      <w:pPr>
        <w:pStyle w:val="BodyText"/>
        <w:spacing w:line="309" w:lineRule="auto"/>
        <w:ind w:left="153" w:right="188" w:firstLine="360"/>
        <w:jc w:val="both"/>
      </w:pPr>
      <w:r>
        <w:rPr>
          <w:spacing w:val="-2"/>
        </w:rPr>
        <w:t>根据《中华人民共和国企业所得税法》第</w:t>
      </w:r>
      <w:r>
        <w:rPr>
          <w:rFonts w:ascii="Times New Roman" w:hAnsi="Times New Roman" w:cs="Times New Roman" w:eastAsia="Times New Roman" w:hint="default"/>
          <w:spacing w:val="-2"/>
        </w:rPr>
        <w:t>27</w:t>
      </w:r>
      <w:r>
        <w:rPr>
          <w:spacing w:val="-2"/>
        </w:rPr>
        <w:t>条、《中华人民共和国企业所得税法实施条例》第</w:t>
      </w:r>
      <w:r>
        <w:rPr>
          <w:rFonts w:ascii="Times New Roman" w:hAnsi="Times New Roman" w:cs="Times New Roman" w:eastAsia="Times New Roman" w:hint="default"/>
          <w:spacing w:val="-2"/>
        </w:rPr>
        <w:t>86</w:t>
      </w:r>
      <w:r>
        <w:rPr>
          <w:spacing w:val="-2"/>
        </w:rPr>
        <w:t>条的规定，本公司子公</w:t>
      </w:r>
      <w:r>
        <w:rPr/>
        <w:t> </w:t>
      </w:r>
      <w:r>
        <w:rPr>
          <w:spacing w:val="-2"/>
        </w:rPr>
        <w:t>司湛江晨鸣林业发展有限公司、阳江晨鸣林业发展有限公司、南昌晨鸣林业发展有限公司、黄冈晨鸣林业发展有限公司、晨</w:t>
      </w:r>
      <w:r>
        <w:rPr>
          <w:spacing w:val="-66"/>
        </w:rPr>
        <w:t> </w:t>
      </w:r>
      <w:r>
        <w:rPr>
          <w:spacing w:val="-66"/>
        </w:rPr>
      </w:r>
      <w:r>
        <w:rPr/>
        <w:t>鸣林业有限公司从事林木的培育和种植免征企业所得税。</w:t>
      </w:r>
    </w:p>
    <w:p>
      <w:pPr>
        <w:pStyle w:val="BodyText"/>
        <w:spacing w:line="300" w:lineRule="auto" w:before="24"/>
        <w:ind w:left="153" w:right="258" w:firstLine="360"/>
        <w:jc w:val="both"/>
      </w:pPr>
      <w:r>
        <w:rPr/>
        <w:t>根据香港特别行政区立法会</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日通过的《</w:t>
      </w:r>
      <w:r>
        <w:rPr>
          <w:rFonts w:ascii="Times New Roman" w:hAnsi="Times New Roman" w:cs="Times New Roman" w:eastAsia="Times New Roman" w:hint="default"/>
        </w:rPr>
        <w:t>2008</w:t>
      </w:r>
      <w:r>
        <w:rPr/>
        <w:t>收入条例草案》，本公司子公司晨鸣</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有限公司从</w:t>
      </w:r>
      <w:r>
        <w:rPr>
          <w:rFonts w:ascii="Times New Roman" w:hAnsi="Times New Roman" w:cs="Times New Roman" w:eastAsia="Times New Roman" w:hint="default"/>
        </w:rPr>
        <w:t>2008</w:t>
      </w:r>
      <w:r>
        <w:rPr/>
        <w:t>年 开始执行</w:t>
      </w:r>
      <w:r>
        <w:rPr>
          <w:rFonts w:ascii="Times New Roman" w:hAnsi="Times New Roman" w:cs="Times New Roman" w:eastAsia="Times New Roman" w:hint="default"/>
        </w:rPr>
        <w:t>16.5%</w:t>
      </w:r>
      <w:r>
        <w:rPr/>
        <w:t>的企业所得税率，</w:t>
      </w:r>
      <w:r>
        <w:rPr>
          <w:rFonts w:ascii="Times New Roman" w:hAnsi="Times New Roman" w:cs="Times New Roman" w:eastAsia="Times New Roman" w:hint="default"/>
        </w:rPr>
        <w:t>2014</w:t>
      </w:r>
      <w:r>
        <w:rPr/>
        <w:t>年适用税率为</w:t>
      </w:r>
      <w:r>
        <w:rPr>
          <w:rFonts w:ascii="Times New Roman" w:hAnsi="Times New Roman" w:cs="Times New Roman" w:eastAsia="Times New Roman" w:hint="default"/>
        </w:rPr>
        <w:t>16.5%</w:t>
      </w:r>
      <w:r>
        <w:rPr/>
        <w:t>。</w:t>
      </w:r>
    </w:p>
    <w:p>
      <w:pPr>
        <w:pStyle w:val="BodyText"/>
        <w:spacing w:line="240" w:lineRule="auto" w:before="13"/>
        <w:ind w:left="513" w:right="182"/>
        <w:jc w:val="left"/>
      </w:pPr>
      <w:r>
        <w:rPr/>
        <w:t>除上述优惠政策外，公司其他子公司的所得税税率为</w:t>
      </w:r>
      <w:r>
        <w:rPr>
          <w:rFonts w:ascii="Times New Roman" w:hAnsi="Times New Roman" w:cs="Times New Roman" w:eastAsia="Times New Roman" w:hint="default"/>
        </w:rPr>
        <w:t>25%</w:t>
      </w:r>
      <w:r>
        <w:rPr/>
        <w:t>。</w:t>
      </w:r>
    </w:p>
    <w:p>
      <w:pPr>
        <w:pStyle w:val="BodyText"/>
        <w:spacing w:line="240" w:lineRule="auto" w:before="62"/>
        <w:ind w:left="513" w:right="182"/>
        <w:jc w:val="left"/>
      </w:pPr>
      <w:r>
        <w:rPr/>
        <w:t>（</w:t>
      </w:r>
      <w:r>
        <w:rPr>
          <w:rFonts w:ascii="Times New Roman" w:hAnsi="Times New Roman" w:cs="Times New Roman" w:eastAsia="Times New Roman" w:hint="default"/>
        </w:rPr>
        <w:t>2</w:t>
      </w:r>
      <w:r>
        <w:rPr/>
        <w:t>）增值税优惠</w:t>
      </w:r>
    </w:p>
    <w:p>
      <w:pPr>
        <w:pStyle w:val="BodyText"/>
        <w:spacing w:line="300" w:lineRule="auto" w:before="62"/>
        <w:ind w:right="100" w:firstLine="360"/>
        <w:jc w:val="both"/>
      </w:pPr>
      <w:r>
        <w:rPr/>
        <w:t>根据《国家税务总局对部分资源综合利用产品免征增值税的通知》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[1995]44</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，对企业生产的原料中掺有不少于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的煤矸石、石煤、粉煤灰、烧煤锅炉的炉底渣</w:t>
      </w:r>
      <w:r>
        <w:rPr>
          <w:rFonts w:ascii="Times New Roman" w:hAnsi="Times New Roman" w:cs="Times New Roman" w:eastAsia="Times New Roman" w:hint="default"/>
        </w:rPr>
        <w:t>(</w:t>
      </w:r>
      <w:r>
        <w:rPr/>
        <w:t>不包括高炉水渣</w:t>
      </w:r>
      <w:r>
        <w:rPr>
          <w:rFonts w:ascii="Times New Roman" w:hAnsi="Times New Roman" w:cs="Times New Roman" w:eastAsia="Times New Roman" w:hint="default"/>
        </w:rPr>
        <w:t>)</w:t>
      </w:r>
      <w:r>
        <w:rPr/>
        <w:t>的建材产品免征增值税，本公司所属湛江晨鸣新型墙体 材料有限公司用于生产的原材料中包含</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以上的粉煤灰，属于利用污染物进行生产的企业，</w:t>
      </w:r>
      <w:r>
        <w:rPr>
          <w:rFonts w:ascii="Times New Roman" w:hAnsi="Times New Roman" w:cs="Times New Roman" w:eastAsia="Times New Roman" w:hint="default"/>
        </w:rPr>
        <w:t>2014</w:t>
      </w:r>
      <w:r>
        <w:rPr/>
        <w:t>年按照规定免征增值税。</w:t>
      </w:r>
    </w:p>
    <w:p>
      <w:pPr>
        <w:pStyle w:val="BodyText"/>
        <w:spacing w:line="300" w:lineRule="auto" w:before="13"/>
        <w:ind w:left="153" w:right="190" w:firstLine="360"/>
        <w:jc w:val="both"/>
      </w:pPr>
      <w:r>
        <w:rPr>
          <w:spacing w:val="-1"/>
        </w:rPr>
        <w:t>根据国家税务总局财税字</w:t>
      </w:r>
      <w:r>
        <w:rPr>
          <w:rFonts w:ascii="Times New Roman" w:hAnsi="Times New Roman" w:cs="Times New Roman" w:eastAsia="Times New Roman" w:hint="default"/>
          <w:spacing w:val="-1"/>
        </w:rPr>
        <w:t>[1995]44</w:t>
      </w:r>
      <w:r>
        <w:rPr>
          <w:spacing w:val="-1"/>
        </w:rPr>
        <w:t>号《财政部、国家税务总局关于对部分资源综合利用产品免征增值税问题的通知》及</w:t>
      </w:r>
      <w:r>
        <w:rPr/>
        <w:t> </w:t>
      </w:r>
      <w:r>
        <w:rPr>
          <w:spacing w:val="-1"/>
        </w:rPr>
        <w:t>财税</w:t>
      </w:r>
      <w:r>
        <w:rPr>
          <w:rFonts w:ascii="Times New Roman" w:hAnsi="Times New Roman" w:cs="Times New Roman" w:eastAsia="Times New Roman" w:hint="default"/>
          <w:spacing w:val="-1"/>
        </w:rPr>
        <w:t>[2001]72</w:t>
      </w:r>
      <w:r>
        <w:rPr>
          <w:spacing w:val="-1"/>
        </w:rPr>
        <w:t>号文件有关规定，本公司之子公司山东晨鸣板材有限责任公司生产的资源综合利用产品享受增值税即征即退的</w:t>
      </w:r>
      <w:r>
        <w:rPr>
          <w:spacing w:val="-55"/>
        </w:rPr>
        <w:t> </w:t>
      </w:r>
      <w:r>
        <w:rPr>
          <w:spacing w:val="-55"/>
        </w:rPr>
      </w:r>
      <w:r>
        <w:rPr/>
        <w:t>优惠政策。</w:t>
      </w:r>
    </w:p>
    <w:p>
      <w:pPr>
        <w:spacing w:line="240" w:lineRule="auto" w:before="10"/>
        <w:rPr>
          <w:rFonts w:ascii="宋体" w:hAnsi="宋体" w:cs="宋体" w:eastAsia="宋体" w:hint="default"/>
          <w:sz w:val="21"/>
          <w:szCs w:val="21"/>
        </w:rPr>
      </w:pPr>
    </w:p>
    <w:p>
      <w:pPr>
        <w:pStyle w:val="Heading2"/>
        <w:spacing w:line="240" w:lineRule="auto"/>
        <w:ind w:right="182"/>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2"/>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7767" w:right="190"/>
        <w:jc w:val="right"/>
      </w:pPr>
      <w:r>
        <w:rPr/>
        <w:t>单位： 元</w:t>
      </w:r>
    </w:p>
    <w:p>
      <w:pPr>
        <w:spacing w:after="0" w:line="240" w:lineRule="auto"/>
        <w:jc w:val="right"/>
        <w:sectPr>
          <w:pgSz w:w="11910" w:h="16840"/>
          <w:pgMar w:header="877"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3206"/>
        <w:gridCol w:w="3244"/>
        <w:gridCol w:w="3232"/>
      </w:tblGrid>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4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1,437,037.09</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1,333,503.27</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4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974,659,824.21</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725,199,425.69</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4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4,499,561,324.80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1,821,196,865.28</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5,475,658,186.10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2,547,729,794.24</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4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853,450,001.81</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139,732,439.57</w:t>
            </w:r>
          </w:p>
        </w:tc>
      </w:tr>
    </w:tbl>
    <w:p>
      <w:pPr>
        <w:pStyle w:val="BodyText"/>
        <w:spacing w:line="300" w:lineRule="auto" w:before="10"/>
        <w:ind w:right="182" w:firstLine="359"/>
        <w:jc w:val="left"/>
      </w:pPr>
      <w:r>
        <w:rPr/>
        <w:t>注：①其他货币资金</w:t>
      </w:r>
      <w:r>
        <w:rPr>
          <w:rFonts w:ascii="Times New Roman" w:hAnsi="Times New Roman" w:cs="Times New Roman" w:eastAsia="Times New Roman" w:hint="default"/>
        </w:rPr>
        <w:t>1,592,569,467.98</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249,333,637.64</w:t>
      </w:r>
      <w:r>
        <w:rPr/>
        <w:t>元）为本集团向银行申请开具银行承兑汇票 所存入的保证金存款；</w:t>
      </w:r>
    </w:p>
    <w:p>
      <w:pPr>
        <w:pStyle w:val="BodyText"/>
        <w:spacing w:line="300" w:lineRule="auto" w:before="31"/>
        <w:ind w:right="182" w:firstLine="360"/>
        <w:jc w:val="left"/>
      </w:pPr>
      <w:r>
        <w:rPr/>
        <w:t>②其他货币资金</w:t>
      </w:r>
      <w:r>
        <w:rPr>
          <w:rFonts w:ascii="Times New Roman" w:hAnsi="Times New Roman" w:cs="Times New Roman" w:eastAsia="Times New Roman" w:hint="default"/>
        </w:rPr>
        <w:t>710,024,934.09</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1,380,738,601.00</w:t>
      </w:r>
      <w:r>
        <w:rPr/>
        <w:t>元），为本集团向银行申请开具信用证所存入的 保证金存款。</w:t>
      </w:r>
    </w:p>
    <w:p>
      <w:pPr>
        <w:pStyle w:val="BodyText"/>
        <w:spacing w:line="300" w:lineRule="auto" w:before="31"/>
        <w:ind w:right="182" w:firstLine="359"/>
        <w:jc w:val="left"/>
      </w:pPr>
      <w:r>
        <w:rPr/>
        <w:t>③其他货币资金</w:t>
      </w:r>
      <w:r>
        <w:rPr>
          <w:rFonts w:ascii="Times New Roman" w:hAnsi="Times New Roman" w:cs="Times New Roman" w:eastAsia="Times New Roman" w:hint="default"/>
        </w:rPr>
        <w:t>1,685,461,808.73</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140,836,352.11</w:t>
      </w:r>
      <w:r>
        <w:rPr/>
        <w:t>元），为本集团向银行申请保函所存入的保证金 存款。</w:t>
      </w:r>
    </w:p>
    <w:p>
      <w:pPr>
        <w:pStyle w:val="BodyText"/>
        <w:spacing w:line="240" w:lineRule="auto" w:before="31"/>
        <w:ind w:left="514" w:right="91"/>
        <w:jc w:val="left"/>
      </w:pPr>
      <w:r>
        <w:rPr>
          <w:spacing w:val="-3"/>
        </w:rPr>
        <w:t>④其他货币资金</w:t>
      </w:r>
      <w:r>
        <w:rPr>
          <w:rFonts w:ascii="Times New Roman" w:hAnsi="Times New Roman" w:cs="Times New Roman" w:eastAsia="Times New Roman" w:hint="default"/>
          <w:spacing w:val="-3"/>
        </w:rPr>
        <w:t>473,405,114.00</w:t>
      </w:r>
      <w:r>
        <w:rPr>
          <w:spacing w:val="-3"/>
        </w:rPr>
        <w:t>元（</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50,288,274.53</w:t>
      </w:r>
      <w:r>
        <w:rPr>
          <w:spacing w:val="-3"/>
        </w:rPr>
        <w:t>元），为本集团向银行申请贷款所存入的保证金存款。</w:t>
      </w:r>
    </w:p>
    <w:p>
      <w:pPr>
        <w:pStyle w:val="BodyText"/>
        <w:spacing w:line="240" w:lineRule="auto" w:before="62"/>
        <w:ind w:left="514" w:right="182"/>
        <w:jc w:val="left"/>
      </w:pPr>
      <w:r>
        <w:rPr/>
        <w:t>⑤其他货币资金</w:t>
      </w:r>
      <w:r>
        <w:rPr>
          <w:rFonts w:ascii="Times New Roman" w:hAnsi="Times New Roman" w:cs="Times New Roman" w:eastAsia="Times New Roman" w:hint="default"/>
        </w:rPr>
        <w:t>38,100,000.00</w:t>
      </w:r>
      <w:r>
        <w:rPr/>
        <w:t>元，为子公司山东晨鸣财务有限公司在中国人民银行存入的法定存款准备金。</w:t>
      </w:r>
    </w:p>
    <w:p>
      <w:pPr>
        <w:spacing w:line="240" w:lineRule="auto" w:before="12"/>
        <w:rPr>
          <w:rFonts w:ascii="宋体" w:hAnsi="宋体" w:cs="宋体" w:eastAsia="宋体" w:hint="default"/>
          <w:sz w:val="25"/>
          <w:szCs w:val="25"/>
        </w:rPr>
      </w:pPr>
    </w:p>
    <w:p>
      <w:pPr>
        <w:pStyle w:val="Heading4"/>
        <w:spacing w:line="240" w:lineRule="auto"/>
        <w:ind w:right="182"/>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2"/>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9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206"/>
        <w:gridCol w:w="3244"/>
        <w:gridCol w:w="3232"/>
      </w:tblGrid>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4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2,990,068,579.33</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2,827,024,280.10</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4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57,472,976.82</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43,419,401.39</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3,047,541,556.15</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2,870,443,681.49</w:t>
            </w:r>
          </w:p>
        </w:tc>
      </w:tr>
    </w:tbl>
    <w:p>
      <w:pPr>
        <w:spacing w:line="240" w:lineRule="auto" w:before="2"/>
        <w:rPr>
          <w:rFonts w:ascii="宋体" w:hAnsi="宋体" w:cs="宋体" w:eastAsia="宋体" w:hint="default"/>
          <w:sz w:val="19"/>
          <w:szCs w:val="19"/>
        </w:rPr>
      </w:pPr>
    </w:p>
    <w:p>
      <w:pPr>
        <w:pStyle w:val="Heading4"/>
        <w:spacing w:line="240" w:lineRule="auto" w:before="35"/>
        <w:ind w:right="182"/>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824"/>
        <w:gridCol w:w="4858"/>
      </w:tblGrid>
      <w:tr>
        <w:trPr>
          <w:trHeight w:val="402" w:hRule="exact"/>
        </w:trPr>
        <w:tc>
          <w:tcPr>
            <w:tcW w:w="4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85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1,223,759,078.99</w:t>
            </w:r>
          </w:p>
        </w:tc>
      </w:tr>
      <w:tr>
        <w:trPr>
          <w:trHeight w:val="402" w:hRule="exact"/>
        </w:trPr>
        <w:tc>
          <w:tcPr>
            <w:tcW w:w="4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5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1,223,759,078.99</w:t>
            </w:r>
          </w:p>
        </w:tc>
      </w:tr>
    </w:tbl>
    <w:p>
      <w:pPr>
        <w:spacing w:line="240" w:lineRule="auto" w:before="2"/>
        <w:rPr>
          <w:rFonts w:ascii="宋体" w:hAnsi="宋体" w:cs="宋体" w:eastAsia="宋体" w:hint="default"/>
          <w:sz w:val="19"/>
          <w:szCs w:val="19"/>
        </w:rPr>
      </w:pPr>
    </w:p>
    <w:p>
      <w:pPr>
        <w:pStyle w:val="Heading4"/>
        <w:spacing w:line="240" w:lineRule="auto" w:before="35"/>
        <w:ind w:right="182"/>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06"/>
        <w:gridCol w:w="3244"/>
        <w:gridCol w:w="3232"/>
      </w:tblGrid>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3"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4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3,997,333,328.23</w:t>
            </w: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3,997,333,328.23</w:t>
            </w:r>
          </w:p>
        </w:tc>
        <w:tc>
          <w:tcPr>
            <w:tcW w:w="32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49" w:firstLine="360"/>
        <w:jc w:val="left"/>
      </w:pPr>
      <w:r>
        <w:rPr/>
        <w:t>截止</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日，账面价值为人民币</w:t>
      </w:r>
      <w:r>
        <w:rPr>
          <w:spacing w:val="-46"/>
        </w:rPr>
        <w:t> </w:t>
      </w:r>
      <w:r>
        <w:rPr>
          <w:rFonts w:ascii="Times New Roman" w:hAnsi="Times New Roman" w:cs="Times New Roman" w:eastAsia="Times New Roman" w:hint="default"/>
        </w:rPr>
        <w:t>501,084,854.72</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日：人民币</w:t>
      </w:r>
      <w:r>
        <w:rPr>
          <w:spacing w:val="-46"/>
        </w:rPr>
        <w:t> </w:t>
      </w:r>
      <w:r>
        <w:rPr>
          <w:rFonts w:ascii="Times New Roman" w:hAnsi="Times New Roman" w:cs="Times New Roman" w:eastAsia="Times New Roman" w:hint="default"/>
        </w:rPr>
        <w:t>210,344,282.56</w:t>
      </w:r>
      <w:r>
        <w:rPr>
          <w:rFonts w:ascii="Times New Roman" w:hAnsi="Times New Roman" w:cs="Times New Roman" w:eastAsia="Times New Roman" w:hint="default"/>
          <w:spacing w:val="-9"/>
        </w:rPr>
        <w:t> </w:t>
      </w:r>
      <w:r>
        <w:rPr/>
        <w:t>元）的票 据已质押取得金额为人民币</w:t>
      </w:r>
      <w:r>
        <w:rPr>
          <w:spacing w:val="-63"/>
        </w:rPr>
        <w:t> </w:t>
      </w:r>
      <w:r>
        <w:rPr>
          <w:rFonts w:ascii="Times New Roman" w:hAnsi="Times New Roman" w:cs="Times New Roman" w:eastAsia="Times New Roman" w:hint="default"/>
          <w:spacing w:val="-1"/>
        </w:rPr>
        <w:t>498,287,862.22</w:t>
      </w:r>
      <w:r>
        <w:rPr>
          <w:rFonts w:ascii="Times New Roman" w:hAnsi="Times New Roman" w:cs="Times New Roman" w:eastAsia="Times New Roman" w:hint="default"/>
          <w:spacing w:val="-19"/>
        </w:rPr>
        <w:t> </w:t>
      </w:r>
      <w:r>
        <w:rPr>
          <w:spacing w:val="-10"/>
        </w:rPr>
        <w:t>元的短期借款；截止</w:t>
      </w:r>
      <w:r>
        <w:rPr>
          <w:spacing w:val="-6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24"/>
        </w:rPr>
        <w:t> </w:t>
      </w:r>
      <w:r>
        <w:rPr>
          <w:spacing w:val="-9"/>
        </w:rPr>
        <w:t>日，账面价值为人民币</w:t>
      </w:r>
      <w:r>
        <w:rPr>
          <w:spacing w:val="-11"/>
        </w:rPr>
        <w:t> </w:t>
      </w:r>
      <w:r>
        <w:rPr>
          <w:rFonts w:ascii="Times New Roman" w:hAnsi="Times New Roman" w:cs="Times New Roman" w:eastAsia="Times New Roman" w:hint="default"/>
          <w:spacing w:val="-1"/>
        </w:rPr>
        <w:t>222,426,123.97</w:t>
      </w:r>
      <w:r>
        <w:rPr>
          <w:rFonts w:ascii="Times New Roman" w:hAnsi="Times New Roman" w:cs="Times New Roman" w:eastAsia="Times New Roman" w:hint="default"/>
          <w:spacing w:val="-24"/>
        </w:rPr>
        <w:t> </w:t>
      </w:r>
      <w:r>
        <w:rPr>
          <w:spacing w:val="-16"/>
        </w:rPr>
        <w:t>元（</w:t>
      </w:r>
      <w:r>
        <w:rPr>
          <w:rFonts w:ascii="Times New Roman" w:hAnsi="Times New Roman" w:cs="Times New Roman" w:eastAsia="Times New Roman" w:hint="default"/>
          <w:spacing w:val="-16"/>
        </w:rPr>
        <w:t>2013</w:t>
      </w:r>
      <w:r>
        <w:rPr>
          <w:rFonts w:ascii="Times New Roman" w:hAnsi="Times New Roman" w:cs="Times New Roman" w:eastAsia="Times New Roman" w:hint="default"/>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日：人民币</w:t>
      </w:r>
      <w:r>
        <w:rPr>
          <w:spacing w:val="-47"/>
        </w:rPr>
        <w:t> </w:t>
      </w:r>
      <w:r>
        <w:rPr>
          <w:rFonts w:ascii="Times New Roman" w:hAnsi="Times New Roman" w:cs="Times New Roman" w:eastAsia="Times New Roman" w:hint="default"/>
        </w:rPr>
        <w:t>119,378,349.37</w:t>
      </w:r>
      <w:r>
        <w:rPr>
          <w:rFonts w:ascii="Times New Roman" w:hAnsi="Times New Roman" w:cs="Times New Roman" w:eastAsia="Times New Roman" w:hint="default"/>
          <w:spacing w:val="-10"/>
        </w:rPr>
        <w:t> </w:t>
      </w:r>
      <w:r>
        <w:rPr/>
        <w:t>元）的票据已质押开立承兑汇票，账面价值为人民币</w:t>
      </w:r>
      <w:r>
        <w:rPr>
          <w:spacing w:val="-47"/>
        </w:rPr>
        <w:t> </w:t>
      </w:r>
      <w:r>
        <w:rPr>
          <w:rFonts w:ascii="Times New Roman" w:hAnsi="Times New Roman" w:cs="Times New Roman" w:eastAsia="Times New Roman" w:hint="default"/>
        </w:rPr>
        <w:t>500,248,100.30</w:t>
      </w:r>
      <w:r>
        <w:rPr>
          <w:rFonts w:ascii="Times New Roman" w:hAnsi="Times New Roman" w:cs="Times New Roman" w:eastAsia="Times New Roman" w:hint="default"/>
          <w:spacing w:val="-2"/>
        </w:rPr>
        <w:t> </w:t>
      </w:r>
      <w:r>
        <w:rPr/>
        <w:t>元的票据已质押 开立保函。</w:t>
      </w:r>
    </w:p>
    <w:p>
      <w:pPr>
        <w:pStyle w:val="BodyText"/>
        <w:spacing w:line="240" w:lineRule="auto" w:before="70"/>
        <w:ind w:left="513" w:right="147"/>
        <w:jc w:val="left"/>
      </w:pPr>
      <w:r>
        <w:rPr/>
        <w:t>截止</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日，本集团累计向银行贴现银行承兑汇票人民币</w:t>
      </w:r>
      <w:r>
        <w:rPr>
          <w:spacing w:val="-46"/>
        </w:rPr>
        <w:t> </w:t>
      </w:r>
      <w:r>
        <w:rPr>
          <w:rFonts w:ascii="Times New Roman" w:hAnsi="Times New Roman" w:cs="Times New Roman" w:eastAsia="Times New Roman" w:hint="default"/>
        </w:rPr>
        <w:t>3,440,773,115.05</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年：人民币</w:t>
      </w:r>
    </w:p>
    <w:p>
      <w:pPr>
        <w:pStyle w:val="BodyText"/>
        <w:spacing w:line="240" w:lineRule="auto" w:before="62"/>
        <w:ind w:right="0"/>
        <w:jc w:val="left"/>
      </w:pPr>
      <w:r>
        <w:rPr>
          <w:rFonts w:ascii="Times New Roman" w:hAnsi="Times New Roman" w:cs="Times New Roman" w:eastAsia="Times New Roman" w:hint="default"/>
        </w:rPr>
        <w:t>2,854,060,411.22</w:t>
      </w:r>
      <w:r>
        <w:rPr>
          <w:rFonts w:ascii="Times New Roman" w:hAnsi="Times New Roman" w:cs="Times New Roman" w:eastAsia="Times New Roman" w:hint="default"/>
          <w:spacing w:val="-11"/>
        </w:rPr>
        <w:t> </w:t>
      </w:r>
      <w:r>
        <w:rPr/>
        <w:t>元），发生的贴现费用为人民币</w:t>
      </w:r>
      <w:r>
        <w:rPr>
          <w:spacing w:val="-49"/>
        </w:rPr>
        <w:t> </w:t>
      </w:r>
      <w:r>
        <w:rPr>
          <w:rFonts w:ascii="Times New Roman" w:hAnsi="Times New Roman" w:cs="Times New Roman" w:eastAsia="Times New Roman" w:hint="default"/>
        </w:rPr>
        <w:t>91,126,767.40</w:t>
      </w:r>
      <w:r>
        <w:rPr>
          <w:rFonts w:ascii="Times New Roman" w:hAnsi="Times New Roman" w:cs="Times New Roman" w:eastAsia="Times New Roman" w:hint="default"/>
          <w:spacing w:val="-11"/>
        </w:rPr>
        <w:t> </w:t>
      </w:r>
      <w:r>
        <w:rPr/>
        <w:t>元（</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年：人民币</w:t>
      </w:r>
      <w:r>
        <w:rPr>
          <w:spacing w:val="-49"/>
        </w:rPr>
        <w:t> </w:t>
      </w:r>
      <w:r>
        <w:rPr>
          <w:rFonts w:ascii="Times New Roman" w:hAnsi="Times New Roman" w:cs="Times New Roman" w:eastAsia="Times New Roman" w:hint="default"/>
        </w:rPr>
        <w:t>61,779,250.03</w:t>
      </w:r>
      <w:r>
        <w:rPr>
          <w:rFonts w:ascii="Times New Roman" w:hAnsi="Times New Roman" w:cs="Times New Roman" w:eastAsia="Times New Roman" w:hint="default"/>
          <w:spacing w:val="-11"/>
        </w:rPr>
        <w:t> </w:t>
      </w:r>
      <w:r>
        <w:rPr>
          <w:spacing w:val="-3"/>
        </w:rPr>
        <w:t>元）；截止</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p>
    <w:p>
      <w:pPr>
        <w:pStyle w:val="BodyText"/>
        <w:spacing w:line="240" w:lineRule="auto" w:before="64"/>
        <w:ind w:right="147"/>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日，已贴现未到期的应收票据人民币</w:t>
      </w:r>
      <w:r>
        <w:rPr>
          <w:spacing w:val="-47"/>
        </w:rPr>
        <w:t> </w:t>
      </w:r>
      <w:r>
        <w:rPr>
          <w:rFonts w:ascii="Times New Roman" w:hAnsi="Times New Roman" w:cs="Times New Roman" w:eastAsia="Times New Roman" w:hint="default"/>
        </w:rPr>
        <w:t>1,320,918,334.62</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年：人民币</w:t>
      </w:r>
      <w:r>
        <w:rPr>
          <w:spacing w:val="-47"/>
        </w:rPr>
        <w:t> </w:t>
      </w:r>
      <w:r>
        <w:rPr>
          <w:rFonts w:ascii="Times New Roman" w:hAnsi="Times New Roman" w:cs="Times New Roman" w:eastAsia="Times New Roman" w:hint="default"/>
        </w:rPr>
        <w:t>727,693,046.61</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4"/>
        <w:spacing w:line="240" w:lineRule="auto"/>
        <w:ind w:right="147"/>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11"/>
        <w:gridCol w:w="775"/>
        <w:gridCol w:w="762"/>
        <w:gridCol w:w="762"/>
        <w:gridCol w:w="863"/>
        <w:gridCol w:w="788"/>
        <w:gridCol w:w="654"/>
        <w:gridCol w:w="762"/>
        <w:gridCol w:w="814"/>
        <w:gridCol w:w="931"/>
        <w:gridCol w:w="932"/>
      </w:tblGrid>
      <w:tr>
        <w:trPr>
          <w:trHeight w:val="402" w:hRule="exact"/>
        </w:trPr>
        <w:tc>
          <w:tcPr>
            <w:tcW w:w="1611" w:type="dxa"/>
            <w:tcBorders>
              <w:top w:val="single" w:sz="4" w:space="0" w:color="000000"/>
              <w:left w:val="single" w:sz="13" w:space="0" w:color="FFFFFF"/>
              <w:bottom w:val="nil" w:sz="6" w:space="0" w:color="auto"/>
              <w:right w:val="single" w:sz="4" w:space="0" w:color="000000"/>
            </w:tcBorders>
            <w:shd w:val="clear" w:color="auto" w:fill="D3D3D3"/>
          </w:tcPr>
          <w:p>
            <w:pPr/>
          </w:p>
        </w:tc>
        <w:tc>
          <w:tcPr>
            <w:tcW w:w="395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611" w:type="dxa"/>
            <w:vMerge w:val="restart"/>
            <w:tcBorders>
              <w:top w:val="nil" w:sz="6" w:space="0" w:color="auto"/>
              <w:left w:val="single" w:sz="13" w:space="0" w:color="FFFFFF"/>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1611" w:type="dxa"/>
            <w:vMerge/>
            <w:tcBorders>
              <w:left w:val="single" w:sz="13" w:space="0" w:color="FFFFFF"/>
              <w:bottom w:val="nil" w:sz="6" w:space="0" w:color="auto"/>
              <w:right w:val="single" w:sz="4" w:space="0" w:color="000000"/>
            </w:tcBorders>
            <w:shd w:val="clear" w:color="auto" w:fill="D3D3D3"/>
          </w:tcPr>
          <w:p>
            <w:pP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625" w:type="dxa"/>
            <w:gridSpan w:val="2"/>
            <w:vMerge/>
            <w:tcBorders>
              <w:left w:val="single" w:sz="4" w:space="0" w:color="000000"/>
              <w:bottom w:val="single" w:sz="4" w:space="0" w:color="000000"/>
              <w:right w:val="single" w:sz="4" w:space="0" w:color="000000"/>
            </w:tcBorders>
            <w:shd w:val="clear" w:color="auto" w:fill="D3D3D3"/>
          </w:tcPr>
          <w:p>
            <w:pPr/>
          </w:p>
        </w:tc>
        <w:tc>
          <w:tcPr>
            <w:tcW w:w="7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11" w:type="dxa"/>
            <w:vMerge w:val="restart"/>
            <w:tcBorders>
              <w:top w:val="nil" w:sz="6" w:space="0" w:color="auto"/>
              <w:left w:val="single" w:sz="13" w:space="0" w:color="FFFFFF"/>
              <w:right w:val="single" w:sz="4" w:space="0" w:color="000000"/>
            </w:tcBorders>
            <w:shd w:val="clear" w:color="auto" w:fill="D3D3D3"/>
          </w:tcPr>
          <w:p>
            <w:pPr/>
          </w:p>
        </w:tc>
        <w:tc>
          <w:tcPr>
            <w:tcW w:w="7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88" w:type="dxa"/>
            <w:vMerge/>
            <w:tcBorders>
              <w:left w:val="single" w:sz="4" w:space="0" w:color="000000"/>
              <w:bottom w:val="nil" w:sz="6" w:space="0" w:color="auto"/>
              <w:right w:val="single" w:sz="4" w:space="0" w:color="000000"/>
            </w:tcBorders>
            <w:shd w:val="clear" w:color="auto" w:fill="D3D3D3"/>
          </w:tcPr>
          <w:p>
            <w:pPr/>
          </w:p>
        </w:tc>
        <w:tc>
          <w:tcPr>
            <w:tcW w:w="6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1611" w:type="dxa"/>
            <w:vMerge/>
            <w:tcBorders>
              <w:left w:val="single" w:sz="13" w:space="0" w:color="FFFFFF"/>
              <w:bottom w:val="single" w:sz="4" w:space="0" w:color="000000"/>
              <w:right w:val="single" w:sz="4" w:space="0" w:color="000000"/>
            </w:tcBorders>
            <w:shd w:val="clear" w:color="auto" w:fill="D3D3D3"/>
          </w:tcPr>
          <w:p>
            <w:pPr/>
          </w:p>
        </w:tc>
        <w:tc>
          <w:tcPr>
            <w:tcW w:w="775" w:type="dxa"/>
            <w:vMerge/>
            <w:tcBorders>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863" w:type="dxa"/>
            <w:vMerge/>
            <w:tcBorders>
              <w:left w:val="single" w:sz="4" w:space="0" w:color="000000"/>
              <w:bottom w:val="single" w:sz="4" w:space="0" w:color="000000"/>
              <w:right w:val="single" w:sz="4" w:space="0" w:color="000000"/>
            </w:tcBorders>
            <w:shd w:val="clear" w:color="auto" w:fill="D3D3D3"/>
          </w:tcPr>
          <w:p>
            <w:pPr/>
          </w:p>
        </w:tc>
        <w:tc>
          <w:tcPr>
            <w:tcW w:w="7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54" w:type="dxa"/>
            <w:vMerge/>
            <w:tcBorders>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814" w:type="dxa"/>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6" w:hRule="exact"/>
        </w:trPr>
        <w:tc>
          <w:tcPr>
            <w:tcW w:w="1611" w:type="dxa"/>
            <w:tcBorders>
              <w:top w:val="single" w:sz="4" w:space="0" w:color="000000"/>
              <w:left w:val="single" w:sz="13" w:space="0" w:color="FFFFFF"/>
              <w:bottom w:val="single" w:sz="4" w:space="0" w:color="000000"/>
              <w:right w:val="single" w:sz="4" w:space="0" w:color="000000"/>
            </w:tcBorders>
            <w:shd w:val="clear" w:color="auto" w:fill="D3D3D3"/>
          </w:tcPr>
          <w:p>
            <w:pPr>
              <w:pStyle w:val="TableParagraph"/>
              <w:spacing w:line="316" w:lineRule="auto" w:before="51"/>
              <w:ind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48,363,9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62.78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48,363,9</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62.78</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48,605,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549.72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48,605,54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13" w:space="0" w:color="FFFFFF"/>
              <w:bottom w:val="single" w:sz="4" w:space="0" w:color="000000"/>
              <w:right w:val="single" w:sz="4" w:space="0" w:color="000000"/>
            </w:tcBorders>
            <w:shd w:val="clear" w:color="auto" w:fill="D3D3D3"/>
          </w:tcPr>
          <w:p>
            <w:pPr>
              <w:pStyle w:val="TableParagraph"/>
              <w:spacing w:line="316" w:lineRule="auto" w:before="51"/>
              <w:ind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3,705,66</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8,686.18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216,259,</w:t>
            </w:r>
          </w:p>
          <w:p>
            <w:pPr>
              <w:pStyle w:val="TableParagraph"/>
              <w:spacing w:line="240" w:lineRule="auto" w:before="105"/>
              <w:ind w:left="208" w:right="0"/>
              <w:jc w:val="center"/>
              <w:rPr>
                <w:rFonts w:ascii="Times New Roman" w:hAnsi="Times New Roman" w:cs="Times New Roman" w:eastAsia="Times New Roman" w:hint="default"/>
                <w:sz w:val="18"/>
                <w:szCs w:val="18"/>
              </w:rPr>
            </w:pPr>
            <w:r>
              <w:rPr>
                <w:rFonts w:ascii="Times New Roman"/>
                <w:sz w:val="18"/>
              </w:rPr>
              <w:t>316.98</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3,489,409</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,369.20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3,280,9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14,087.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98.54%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178,271,0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04.40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3,102,643,0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83.54</w:t>
            </w:r>
          </w:p>
        </w:tc>
      </w:tr>
      <w:tr>
        <w:trPr>
          <w:trHeight w:val="317" w:hRule="exact"/>
        </w:trPr>
        <w:tc>
          <w:tcPr>
            <w:tcW w:w="1611" w:type="dxa"/>
            <w:tcBorders>
              <w:top w:val="single" w:sz="4" w:space="0" w:color="000000"/>
              <w:left w:val="single" w:sz="13" w:space="0" w:color="FFFFFF"/>
              <w:bottom w:val="nil" w:sz="6" w:space="0" w:color="auto"/>
              <w:right w:val="single" w:sz="4" w:space="0" w:color="000000"/>
            </w:tcBorders>
            <w:shd w:val="clear" w:color="auto" w:fill="D3D3D3"/>
          </w:tcPr>
          <w:p>
            <w:pPr/>
          </w:p>
        </w:tc>
        <w:tc>
          <w:tcPr>
            <w:tcW w:w="775"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3,754,03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2,648.96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264,623,</w:t>
            </w:r>
          </w:p>
          <w:p>
            <w:pPr>
              <w:pStyle w:val="TableParagraph"/>
              <w:spacing w:line="240" w:lineRule="auto" w:before="105"/>
              <w:ind w:left="208" w:right="0"/>
              <w:jc w:val="center"/>
              <w:rPr>
                <w:rFonts w:ascii="Times New Roman" w:hAnsi="Times New Roman" w:cs="Times New Roman" w:eastAsia="Times New Roman" w:hint="default"/>
                <w:sz w:val="18"/>
                <w:szCs w:val="18"/>
              </w:rPr>
            </w:pPr>
            <w:r>
              <w:rPr>
                <w:rFonts w:ascii="Times New Roman"/>
                <w:sz w:val="18"/>
              </w:rPr>
              <w:t>279.76</w:t>
            </w:r>
          </w:p>
        </w:tc>
        <w:tc>
          <w:tcPr>
            <w:tcW w:w="8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7.05%</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3,489,409</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,369.20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3,329,5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19,637.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226,876,5</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54.12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6.81%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3,102,643,0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83.54</w:t>
            </w:r>
          </w:p>
        </w:tc>
      </w:tr>
      <w:tr>
        <w:trPr>
          <w:trHeight w:val="392" w:hRule="exact"/>
        </w:trPr>
        <w:tc>
          <w:tcPr>
            <w:tcW w:w="1611" w:type="dxa"/>
            <w:tcBorders>
              <w:top w:val="nil" w:sz="6" w:space="0" w:color="auto"/>
              <w:left w:val="single" w:sz="13" w:space="0" w:color="FFFFFF"/>
              <w:bottom w:val="nil" w:sz="6" w:space="0" w:color="auto"/>
              <w:right w:val="single" w:sz="4" w:space="0" w:color="000000"/>
            </w:tcBorders>
            <w:shd w:val="clear" w:color="auto" w:fill="D3D3D3"/>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11" w:type="dxa"/>
            <w:tcBorders>
              <w:top w:val="nil" w:sz="6" w:space="0" w:color="auto"/>
              <w:left w:val="single" w:sz="13" w:space="0" w:color="FFFFFF"/>
              <w:bottom w:val="single" w:sz="4" w:space="0" w:color="000000"/>
              <w:right w:val="single" w:sz="4" w:space="0" w:color="000000"/>
            </w:tcBorders>
            <w:shd w:val="clear" w:color="auto" w:fill="D3D3D3"/>
          </w:tcPr>
          <w:p>
            <w:pPr/>
          </w:p>
        </w:tc>
        <w:tc>
          <w:tcPr>
            <w:tcW w:w="775" w:type="dxa"/>
            <w:vMerge/>
            <w:tcBorders>
              <w:left w:val="single" w:sz="10"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）应收账款按账龄列示</w:t>
      </w:r>
      <w:r>
        <w:rPr>
          <w:b w:val="0"/>
          <w:bCs w:val="0"/>
        </w:rPr>
      </w:r>
    </w:p>
    <w:p>
      <w:pPr>
        <w:spacing w:line="240" w:lineRule="auto" w:before="10"/>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1413"/>
        <w:gridCol w:w="2423"/>
        <w:gridCol w:w="1885"/>
        <w:gridCol w:w="2164"/>
        <w:gridCol w:w="1799"/>
      </w:tblGrid>
      <w:tr>
        <w:trPr>
          <w:trHeight w:val="248" w:hRule="exact"/>
        </w:trPr>
        <w:tc>
          <w:tcPr>
            <w:tcW w:w="1413" w:type="dxa"/>
            <w:tcBorders>
              <w:top w:val="single" w:sz="6" w:space="0" w:color="000000"/>
              <w:left w:val="single" w:sz="6" w:space="0" w:color="000000"/>
              <w:bottom w:val="nil" w:sz="6" w:space="0" w:color="auto"/>
              <w:right w:val="single" w:sz="6" w:space="0" w:color="000000"/>
            </w:tcBorders>
            <w:shd w:val="clear" w:color="auto" w:fill="CCCCCC"/>
          </w:tcPr>
          <w:p>
            <w:pPr/>
          </w:p>
        </w:tc>
        <w:tc>
          <w:tcPr>
            <w:tcW w:w="4308" w:type="dxa"/>
            <w:gridSpan w:val="2"/>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62" w:type="dxa"/>
            <w:gridSpan w:val="2"/>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8" w:hRule="exact"/>
        </w:trPr>
        <w:tc>
          <w:tcPr>
            <w:tcW w:w="1413" w:type="dxa"/>
            <w:vMerge w:val="restart"/>
            <w:tcBorders>
              <w:top w:val="nil" w:sz="6" w:space="0" w:color="auto"/>
              <w:left w:val="single" w:sz="6" w:space="0" w:color="000000"/>
              <w:right w:val="single" w:sz="6" w:space="0" w:color="000000"/>
            </w:tcBorders>
            <w:shd w:val="clear" w:color="auto" w:fill="CCCCCC"/>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08" w:type="dxa"/>
            <w:gridSpan w:val="2"/>
            <w:vMerge/>
            <w:tcBorders>
              <w:left w:val="single" w:sz="6" w:space="0" w:color="000000"/>
              <w:bottom w:val="single" w:sz="6" w:space="0" w:color="000000"/>
              <w:right w:val="single" w:sz="6" w:space="0" w:color="000000"/>
            </w:tcBorders>
            <w:shd w:val="clear" w:color="auto" w:fill="CCCCCC"/>
          </w:tcPr>
          <w:p>
            <w:pPr/>
          </w:p>
        </w:tc>
        <w:tc>
          <w:tcPr>
            <w:tcW w:w="3962" w:type="dxa"/>
            <w:gridSpan w:val="2"/>
            <w:vMerge/>
            <w:tcBorders>
              <w:left w:val="single" w:sz="6" w:space="0" w:color="000000"/>
              <w:bottom w:val="single" w:sz="6" w:space="0" w:color="000000"/>
              <w:right w:val="single" w:sz="6" w:space="0" w:color="000000"/>
            </w:tcBorders>
            <w:shd w:val="clear" w:color="auto" w:fill="CCCCCC"/>
          </w:tcPr>
          <w:p>
            <w:pPr/>
          </w:p>
        </w:tc>
      </w:tr>
      <w:tr>
        <w:trPr>
          <w:trHeight w:val="232" w:hRule="exact"/>
        </w:trPr>
        <w:tc>
          <w:tcPr>
            <w:tcW w:w="1413" w:type="dxa"/>
            <w:vMerge/>
            <w:tcBorders>
              <w:left w:val="single" w:sz="6" w:space="0" w:color="000000"/>
              <w:bottom w:val="nil" w:sz="6" w:space="0" w:color="auto"/>
              <w:right w:val="single" w:sz="6" w:space="0" w:color="000000"/>
            </w:tcBorders>
            <w:shd w:val="clear" w:color="auto" w:fill="CCCCCC"/>
          </w:tcPr>
          <w:p>
            <w:pPr/>
          </w:p>
        </w:tc>
        <w:tc>
          <w:tcPr>
            <w:tcW w:w="2423"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85"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2164"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99"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62" w:hRule="exact"/>
        </w:trPr>
        <w:tc>
          <w:tcPr>
            <w:tcW w:w="1413" w:type="dxa"/>
            <w:tcBorders>
              <w:top w:val="nil" w:sz="6" w:space="0" w:color="auto"/>
              <w:left w:val="single" w:sz="6" w:space="0" w:color="000000"/>
              <w:bottom w:val="single" w:sz="6" w:space="0" w:color="000000"/>
              <w:right w:val="single" w:sz="6" w:space="0" w:color="000000"/>
            </w:tcBorders>
            <w:shd w:val="clear" w:color="auto" w:fill="CCCCCC"/>
          </w:tcPr>
          <w:p>
            <w:pPr/>
          </w:p>
        </w:tc>
        <w:tc>
          <w:tcPr>
            <w:tcW w:w="2423" w:type="dxa"/>
            <w:vMerge/>
            <w:tcBorders>
              <w:left w:val="single" w:sz="6" w:space="0" w:color="000000"/>
              <w:bottom w:val="single" w:sz="6" w:space="0" w:color="000000"/>
              <w:right w:val="single" w:sz="6" w:space="0" w:color="000000"/>
            </w:tcBorders>
            <w:shd w:val="clear" w:color="auto" w:fill="CCCCCC"/>
          </w:tcPr>
          <w:p>
            <w:pPr/>
          </w:p>
        </w:tc>
        <w:tc>
          <w:tcPr>
            <w:tcW w:w="1885" w:type="dxa"/>
            <w:vMerge/>
            <w:tcBorders>
              <w:left w:val="single" w:sz="6" w:space="0" w:color="000000"/>
              <w:bottom w:val="single" w:sz="6" w:space="0" w:color="000000"/>
              <w:right w:val="single" w:sz="6" w:space="0" w:color="000000"/>
            </w:tcBorders>
            <w:shd w:val="clear" w:color="auto" w:fill="CCCCCC"/>
          </w:tcPr>
          <w:p>
            <w:pPr/>
          </w:p>
        </w:tc>
        <w:tc>
          <w:tcPr>
            <w:tcW w:w="2164" w:type="dxa"/>
            <w:vMerge/>
            <w:tcBorders>
              <w:left w:val="single" w:sz="6" w:space="0" w:color="000000"/>
              <w:bottom w:val="single" w:sz="6" w:space="0" w:color="000000"/>
              <w:right w:val="single" w:sz="6" w:space="0" w:color="000000"/>
            </w:tcBorders>
            <w:shd w:val="clear" w:color="auto" w:fill="CCCCCC"/>
          </w:tcPr>
          <w:p>
            <w:pPr/>
          </w:p>
        </w:tc>
        <w:tc>
          <w:tcPr>
            <w:tcW w:w="1799" w:type="dxa"/>
            <w:vMerge/>
            <w:tcBorders>
              <w:left w:val="single" w:sz="6" w:space="0" w:color="000000"/>
              <w:bottom w:val="single" w:sz="6" w:space="0" w:color="000000"/>
              <w:right w:val="single" w:sz="6" w:space="0" w:color="000000"/>
            </w:tcBorders>
            <w:shd w:val="clear" w:color="auto" w:fill="CCCCCC"/>
          </w:tcPr>
          <w:p>
            <w:pPr/>
          </w:p>
        </w:tc>
      </w:tr>
      <w:tr>
        <w:trPr>
          <w:trHeight w:val="496" w:hRule="exact"/>
        </w:trPr>
        <w:tc>
          <w:tcPr>
            <w:tcW w:w="141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23"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3,570,601,097.55</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Arial" w:hAnsi="Arial" w:cs="Arial" w:eastAsia="Arial" w:hint="default"/>
                <w:sz w:val="18"/>
                <w:szCs w:val="18"/>
              </w:rPr>
            </w:pPr>
            <w:r>
              <w:rPr>
                <w:rFonts w:ascii="Times New Roman"/>
                <w:w w:val="95"/>
                <w:sz w:val="18"/>
              </w:rPr>
              <w:t>95.11</w:t>
            </w:r>
            <w:r>
              <w:rPr>
                <w:rFonts w:ascii="Arial"/>
                <w:w w:val="95"/>
                <w:sz w:val="18"/>
              </w:rPr>
              <w:t>%</w:t>
            </w:r>
            <w:r>
              <w:rPr>
                <w:rFonts w:ascii="Arial"/>
                <w:sz w:val="18"/>
              </w:rPr>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3,172,267,013.90</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Arial" w:hAnsi="Arial" w:cs="Arial" w:eastAsia="Arial" w:hint="default"/>
                <w:sz w:val="18"/>
                <w:szCs w:val="18"/>
              </w:rPr>
            </w:pPr>
            <w:r>
              <w:rPr>
                <w:rFonts w:ascii="Times New Roman"/>
                <w:w w:val="95"/>
                <w:sz w:val="18"/>
              </w:rPr>
              <w:t>95.28</w:t>
            </w:r>
            <w:r>
              <w:rPr>
                <w:rFonts w:ascii="Arial"/>
                <w:w w:val="95"/>
                <w:sz w:val="18"/>
              </w:rPr>
              <w:t>%</w:t>
            </w:r>
            <w:r>
              <w:rPr>
                <w:rFonts w:ascii="Arial"/>
                <w:sz w:val="18"/>
              </w:rPr>
            </w:r>
          </w:p>
        </w:tc>
      </w:tr>
      <w:tr>
        <w:trPr>
          <w:trHeight w:val="494" w:hRule="exact"/>
        </w:trPr>
        <w:tc>
          <w:tcPr>
            <w:tcW w:w="141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3"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72,933,462.12</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8"/>
              <w:jc w:val="right"/>
              <w:rPr>
                <w:rFonts w:ascii="Arial" w:hAnsi="Arial" w:cs="Arial" w:eastAsia="Arial" w:hint="default"/>
                <w:sz w:val="18"/>
                <w:szCs w:val="18"/>
              </w:rPr>
            </w:pPr>
            <w:r>
              <w:rPr>
                <w:rFonts w:ascii="Times New Roman"/>
                <w:w w:val="95"/>
                <w:sz w:val="18"/>
              </w:rPr>
              <w:t>1.94</w:t>
            </w:r>
            <w:r>
              <w:rPr>
                <w:rFonts w:ascii="Arial"/>
                <w:w w:val="95"/>
                <w:sz w:val="18"/>
              </w:rPr>
              <w:t>%</w:t>
            </w:r>
            <w:r>
              <w:rPr>
                <w:rFonts w:ascii="Arial"/>
                <w:sz w:val="18"/>
              </w:rPr>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50,136,238.22</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8"/>
              <w:jc w:val="right"/>
              <w:rPr>
                <w:rFonts w:ascii="Arial" w:hAnsi="Arial" w:cs="Arial" w:eastAsia="Arial" w:hint="default"/>
                <w:sz w:val="18"/>
                <w:szCs w:val="18"/>
              </w:rPr>
            </w:pPr>
            <w:r>
              <w:rPr>
                <w:rFonts w:ascii="Times New Roman"/>
                <w:w w:val="95"/>
                <w:sz w:val="18"/>
              </w:rPr>
              <w:t>1.50</w:t>
            </w:r>
            <w:r>
              <w:rPr>
                <w:rFonts w:ascii="Arial"/>
                <w:w w:val="95"/>
                <w:sz w:val="18"/>
              </w:rPr>
              <w:t>%</w:t>
            </w:r>
            <w:r>
              <w:rPr>
                <w:rFonts w:ascii="Arial"/>
                <w:sz w:val="18"/>
              </w:rPr>
            </w:r>
          </w:p>
        </w:tc>
      </w:tr>
      <w:tr>
        <w:trPr>
          <w:trHeight w:val="496" w:hRule="exact"/>
        </w:trPr>
        <w:tc>
          <w:tcPr>
            <w:tcW w:w="141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3"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21,679,196.79</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8"/>
              <w:jc w:val="right"/>
              <w:rPr>
                <w:rFonts w:ascii="Arial" w:hAnsi="Arial" w:cs="Arial" w:eastAsia="Arial" w:hint="default"/>
                <w:sz w:val="18"/>
                <w:szCs w:val="18"/>
              </w:rPr>
            </w:pPr>
            <w:r>
              <w:rPr>
                <w:rFonts w:ascii="Times New Roman"/>
                <w:w w:val="95"/>
                <w:sz w:val="18"/>
              </w:rPr>
              <w:t>0.58</w:t>
            </w:r>
            <w:r>
              <w:rPr>
                <w:rFonts w:ascii="Arial"/>
                <w:w w:val="95"/>
                <w:sz w:val="18"/>
              </w:rPr>
              <w:t>%</w:t>
            </w:r>
            <w:r>
              <w:rPr>
                <w:rFonts w:ascii="Arial"/>
                <w:sz w:val="18"/>
              </w:rPr>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26,223,349.82</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8"/>
              <w:jc w:val="right"/>
              <w:rPr>
                <w:rFonts w:ascii="Arial" w:hAnsi="Arial" w:cs="Arial" w:eastAsia="Arial" w:hint="default"/>
                <w:sz w:val="18"/>
                <w:szCs w:val="18"/>
              </w:rPr>
            </w:pPr>
            <w:r>
              <w:rPr>
                <w:rFonts w:ascii="Times New Roman"/>
                <w:w w:val="95"/>
                <w:sz w:val="18"/>
              </w:rPr>
              <w:t>0.79</w:t>
            </w:r>
            <w:r>
              <w:rPr>
                <w:rFonts w:ascii="Arial"/>
                <w:w w:val="95"/>
                <w:sz w:val="18"/>
              </w:rPr>
              <w:t>%</w:t>
            </w:r>
            <w:r>
              <w:rPr>
                <w:rFonts w:ascii="Arial"/>
                <w:sz w:val="18"/>
              </w:rPr>
            </w:r>
          </w:p>
        </w:tc>
      </w:tr>
      <w:tr>
        <w:trPr>
          <w:trHeight w:val="494" w:hRule="exact"/>
        </w:trPr>
        <w:tc>
          <w:tcPr>
            <w:tcW w:w="141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23"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88,818,892.50</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Arial" w:hAnsi="Arial" w:cs="Arial" w:eastAsia="Arial" w:hint="default"/>
                <w:sz w:val="18"/>
                <w:szCs w:val="18"/>
              </w:rPr>
            </w:pPr>
            <w:r>
              <w:rPr>
                <w:rFonts w:ascii="Times New Roman"/>
                <w:w w:val="95"/>
                <w:sz w:val="18"/>
              </w:rPr>
              <w:t>2.37</w:t>
            </w:r>
            <w:r>
              <w:rPr>
                <w:rFonts w:ascii="Arial"/>
                <w:w w:val="95"/>
                <w:sz w:val="18"/>
              </w:rPr>
              <w:t>%</w:t>
            </w:r>
            <w:r>
              <w:rPr>
                <w:rFonts w:ascii="Arial"/>
                <w:sz w:val="18"/>
              </w:rPr>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80,893,035.72</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Arial" w:hAnsi="Arial" w:cs="Arial" w:eastAsia="Arial" w:hint="default"/>
                <w:sz w:val="18"/>
                <w:szCs w:val="18"/>
              </w:rPr>
            </w:pPr>
            <w:r>
              <w:rPr>
                <w:rFonts w:ascii="Times New Roman"/>
                <w:w w:val="95"/>
                <w:sz w:val="18"/>
              </w:rPr>
              <w:t>2.43</w:t>
            </w:r>
            <w:r>
              <w:rPr>
                <w:rFonts w:ascii="Arial"/>
                <w:w w:val="95"/>
                <w:sz w:val="18"/>
              </w:rPr>
              <w:t>%</w:t>
            </w:r>
            <w:r>
              <w:rPr>
                <w:rFonts w:ascii="Arial"/>
                <w:sz w:val="18"/>
              </w:rPr>
            </w:r>
          </w:p>
        </w:tc>
      </w:tr>
      <w:tr>
        <w:trPr>
          <w:trHeight w:val="494" w:hRule="exact"/>
        </w:trPr>
        <w:tc>
          <w:tcPr>
            <w:tcW w:w="141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3"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3,754,032,648.96</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Arial" w:hAnsi="Arial" w:cs="Arial" w:eastAsia="Arial" w:hint="default"/>
                <w:sz w:val="18"/>
                <w:szCs w:val="18"/>
              </w:rPr>
            </w:pPr>
            <w:r>
              <w:rPr>
                <w:rFonts w:ascii="Times New Roman"/>
                <w:w w:val="95"/>
                <w:sz w:val="18"/>
              </w:rPr>
              <w:t>100.00</w:t>
            </w:r>
            <w:r>
              <w:rPr>
                <w:rFonts w:ascii="Arial"/>
                <w:w w:val="95"/>
                <w:sz w:val="18"/>
              </w:rPr>
              <w:t>%</w:t>
            </w:r>
            <w:r>
              <w:rPr>
                <w:rFonts w:ascii="Arial"/>
                <w:sz w:val="18"/>
              </w:rPr>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3,329,519,637.66</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Arial" w:hAnsi="Arial" w:cs="Arial" w:eastAsia="Arial" w:hint="default"/>
                <w:sz w:val="18"/>
                <w:szCs w:val="18"/>
              </w:rPr>
            </w:pPr>
            <w:r>
              <w:rPr>
                <w:rFonts w:ascii="Times New Roman"/>
                <w:w w:val="95"/>
                <w:sz w:val="18"/>
              </w:rPr>
              <w:t>100.00</w:t>
            </w:r>
            <w:r>
              <w:rPr>
                <w:rFonts w:ascii="Arial"/>
                <w:w w:val="95"/>
                <w:sz w:val="18"/>
              </w:rPr>
              <w:t>%</w:t>
            </w:r>
            <w:r>
              <w:rPr>
                <w:rFonts w:ascii="Arial"/>
                <w:sz w:val="18"/>
              </w:rPr>
            </w:r>
          </w:p>
        </w:tc>
      </w:tr>
    </w:tbl>
    <w:p>
      <w:pPr>
        <w:spacing w:line="240" w:lineRule="auto" w:before="8"/>
        <w:rPr>
          <w:rFonts w:ascii="宋体" w:hAnsi="宋体" w:cs="宋体" w:eastAsia="宋体" w:hint="default"/>
          <w:b/>
          <w:bCs/>
          <w:sz w:val="10"/>
          <w:szCs w:val="10"/>
        </w:rPr>
      </w:pPr>
    </w:p>
    <w:p>
      <w:pPr>
        <w:pStyle w:val="BodyText"/>
        <w:spacing w:line="240" w:lineRule="auto" w:before="44"/>
        <w:ind w:left="514" w:right="147"/>
        <w:jc w:val="left"/>
      </w:pPr>
      <w:r>
        <w:rPr/>
        <w:t>除了若干客户获授超过</w:t>
      </w:r>
      <w:r>
        <w:rPr>
          <w:spacing w:val="-46"/>
        </w:rPr>
        <w:t> </w:t>
      </w:r>
      <w:r>
        <w:rPr>
          <w:rFonts w:ascii="Arial" w:hAnsi="Arial" w:cs="Arial" w:eastAsia="Arial" w:hint="default"/>
        </w:rPr>
        <w:t>90</w:t>
      </w:r>
      <w:r>
        <w:rPr>
          <w:rFonts w:ascii="Arial" w:hAnsi="Arial" w:cs="Arial" w:eastAsia="Arial" w:hint="default"/>
          <w:spacing w:val="-7"/>
        </w:rPr>
        <w:t> </w:t>
      </w:r>
      <w:r>
        <w:rPr/>
        <w:t>日的信用期外，本集团授予贸易客户平均</w:t>
      </w:r>
      <w:r>
        <w:rPr>
          <w:spacing w:val="-46"/>
        </w:rPr>
        <w:t> </w:t>
      </w:r>
      <w:r>
        <w:rPr>
          <w:rFonts w:ascii="Arial" w:hAnsi="Arial" w:cs="Arial" w:eastAsia="Arial" w:hint="default"/>
        </w:rPr>
        <w:t>90</w:t>
      </w:r>
      <w:r>
        <w:rPr>
          <w:rFonts w:ascii="Arial" w:hAnsi="Arial" w:cs="Arial" w:eastAsia="Arial" w:hint="default"/>
          <w:spacing w:val="-5"/>
        </w:rPr>
        <w:t> </w:t>
      </w:r>
      <w:r>
        <w:rPr/>
        <w:t>日信用。</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13" w:right="147"/>
        <w:jc w:val="left"/>
      </w:pPr>
      <w:r>
        <w:rPr/>
        <w:t>于报告日，根据收入确认日期扣除减值账龄分析如下：</w:t>
      </w:r>
    </w:p>
    <w:p>
      <w:pPr>
        <w:spacing w:line="240" w:lineRule="auto" w:before="11"/>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2664"/>
        <w:gridCol w:w="3141"/>
        <w:gridCol w:w="3878"/>
      </w:tblGrid>
      <w:tr>
        <w:trPr>
          <w:trHeight w:val="458" w:hRule="exact"/>
        </w:trPr>
        <w:tc>
          <w:tcPr>
            <w:tcW w:w="26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1"/>
              <w:ind w:right="1143"/>
              <w:jc w:val="right"/>
              <w:rPr>
                <w:rFonts w:ascii="宋体" w:hAnsi="宋体" w:cs="宋体" w:eastAsia="宋体" w:hint="default"/>
                <w:sz w:val="18"/>
                <w:szCs w:val="18"/>
              </w:rPr>
            </w:pPr>
            <w:r>
              <w:rPr>
                <w:rFonts w:ascii="宋体" w:hAnsi="宋体" w:cs="宋体" w:eastAsia="宋体" w:hint="default"/>
                <w:sz w:val="18"/>
                <w:szCs w:val="18"/>
              </w:rPr>
              <w:t>账龄</w:t>
            </w:r>
          </w:p>
        </w:tc>
        <w:tc>
          <w:tcPr>
            <w:tcW w:w="314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7" w:hRule="exact"/>
        </w:trPr>
        <w:tc>
          <w:tcPr>
            <w:tcW w:w="26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41"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3,406,294,889.68</w:t>
            </w:r>
          </w:p>
        </w:tc>
        <w:tc>
          <w:tcPr>
            <w:tcW w:w="3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3,036,498,972.05</w:t>
            </w:r>
          </w:p>
        </w:tc>
      </w:tr>
      <w:tr>
        <w:trPr>
          <w:trHeight w:val="436" w:hRule="exact"/>
        </w:trPr>
        <w:tc>
          <w:tcPr>
            <w:tcW w:w="26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41"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65,771,122.09</w:t>
            </w:r>
          </w:p>
        </w:tc>
        <w:tc>
          <w:tcPr>
            <w:tcW w:w="3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45,123,524.40</w:t>
            </w:r>
          </w:p>
        </w:tc>
      </w:tr>
      <w:tr>
        <w:trPr>
          <w:trHeight w:val="428" w:hRule="exact"/>
        </w:trPr>
        <w:tc>
          <w:tcPr>
            <w:tcW w:w="26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41"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17,343,357.43</w:t>
            </w:r>
          </w:p>
        </w:tc>
        <w:tc>
          <w:tcPr>
            <w:tcW w:w="3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21,020,587.09</w:t>
            </w:r>
          </w:p>
        </w:tc>
      </w:tr>
      <w:tr>
        <w:trPr>
          <w:trHeight w:val="418" w:hRule="exact"/>
        </w:trPr>
        <w:tc>
          <w:tcPr>
            <w:tcW w:w="26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7"/>
              <w:ind w:right="1143"/>
              <w:jc w:val="right"/>
              <w:rPr>
                <w:rFonts w:ascii="宋体" w:hAnsi="宋体" w:cs="宋体" w:eastAsia="宋体" w:hint="default"/>
                <w:sz w:val="18"/>
                <w:szCs w:val="18"/>
              </w:rPr>
            </w:pPr>
            <w:r>
              <w:rPr>
                <w:rFonts w:ascii="宋体" w:hAnsi="宋体" w:cs="宋体" w:eastAsia="宋体" w:hint="default"/>
                <w:sz w:val="18"/>
                <w:szCs w:val="18"/>
              </w:rPr>
              <w:t>合计</w:t>
            </w:r>
          </w:p>
        </w:tc>
        <w:tc>
          <w:tcPr>
            <w:tcW w:w="3141"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3,489,409,369.20</w:t>
            </w:r>
          </w:p>
        </w:tc>
        <w:tc>
          <w:tcPr>
            <w:tcW w:w="3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3,102,643,083.54</w:t>
            </w:r>
          </w:p>
        </w:tc>
      </w:tr>
    </w:tbl>
    <w:p>
      <w:pPr>
        <w:spacing w:line="240" w:lineRule="auto" w:before="8"/>
        <w:rPr>
          <w:rFonts w:ascii="宋体" w:hAnsi="宋体" w:cs="宋体" w:eastAsia="宋体" w:hint="default"/>
          <w:sz w:val="10"/>
          <w:szCs w:val="10"/>
        </w:rPr>
      </w:pPr>
    </w:p>
    <w:p>
      <w:pPr>
        <w:pStyle w:val="BodyText"/>
        <w:spacing w:line="240" w:lineRule="auto" w:before="44"/>
        <w:ind w:left="514" w:right="147"/>
        <w:jc w:val="left"/>
      </w:pPr>
      <w:r>
        <w:rPr/>
        <w:t>已超过信用期未收回应收账款扣除减值账龄分析如下：</w:t>
      </w:r>
    </w:p>
    <w:p>
      <w:pPr>
        <w:spacing w:line="240" w:lineRule="auto" w:before="12"/>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2216"/>
        <w:gridCol w:w="3589"/>
        <w:gridCol w:w="3878"/>
      </w:tblGrid>
      <w:tr>
        <w:trPr>
          <w:trHeight w:val="442" w:hRule="exact"/>
        </w:trPr>
        <w:tc>
          <w:tcPr>
            <w:tcW w:w="22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1"/>
              <w:ind w:right="920"/>
              <w:jc w:val="right"/>
              <w:rPr>
                <w:rFonts w:ascii="宋体" w:hAnsi="宋体" w:cs="宋体" w:eastAsia="宋体" w:hint="default"/>
                <w:sz w:val="18"/>
                <w:szCs w:val="18"/>
              </w:rPr>
            </w:pPr>
            <w:r>
              <w:rPr>
                <w:rFonts w:ascii="宋体" w:hAnsi="宋体" w:cs="宋体" w:eastAsia="宋体" w:hint="default"/>
                <w:sz w:val="18"/>
                <w:szCs w:val="18"/>
              </w:rPr>
              <w:t>账龄</w:t>
            </w:r>
          </w:p>
        </w:tc>
        <w:tc>
          <w:tcPr>
            <w:tcW w:w="358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7" w:hRule="exact"/>
        </w:trPr>
        <w:tc>
          <w:tcPr>
            <w:tcW w:w="22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589"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997,161,679.10</w:t>
            </w:r>
          </w:p>
        </w:tc>
        <w:tc>
          <w:tcPr>
            <w:tcW w:w="3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515,745,255.68</w:t>
            </w:r>
          </w:p>
        </w:tc>
      </w:tr>
      <w:tr>
        <w:trPr>
          <w:trHeight w:val="377" w:hRule="exact"/>
        </w:trPr>
        <w:tc>
          <w:tcPr>
            <w:tcW w:w="22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89"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65,771,122.09</w:t>
            </w:r>
          </w:p>
        </w:tc>
        <w:tc>
          <w:tcPr>
            <w:tcW w:w="3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45,123,524.40</w:t>
            </w:r>
          </w:p>
        </w:tc>
      </w:tr>
      <w:tr>
        <w:trPr>
          <w:trHeight w:val="485" w:hRule="exact"/>
        </w:trPr>
        <w:tc>
          <w:tcPr>
            <w:tcW w:w="22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89"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17,343,357.43</w:t>
            </w:r>
          </w:p>
        </w:tc>
        <w:tc>
          <w:tcPr>
            <w:tcW w:w="3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21,020,587.09</w:t>
            </w:r>
          </w:p>
        </w:tc>
      </w:tr>
      <w:tr>
        <w:trPr>
          <w:trHeight w:val="449" w:hRule="exact"/>
        </w:trPr>
        <w:tc>
          <w:tcPr>
            <w:tcW w:w="22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3"/>
              <w:ind w:right="920"/>
              <w:jc w:val="right"/>
              <w:rPr>
                <w:rFonts w:ascii="宋体" w:hAnsi="宋体" w:cs="宋体" w:eastAsia="宋体" w:hint="default"/>
                <w:sz w:val="18"/>
                <w:szCs w:val="18"/>
              </w:rPr>
            </w:pPr>
            <w:r>
              <w:rPr>
                <w:rFonts w:ascii="宋体" w:hAnsi="宋体" w:cs="宋体" w:eastAsia="宋体" w:hint="default"/>
                <w:sz w:val="18"/>
                <w:szCs w:val="18"/>
              </w:rPr>
              <w:t>合计</w:t>
            </w:r>
          </w:p>
        </w:tc>
        <w:tc>
          <w:tcPr>
            <w:tcW w:w="3589"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1,080,276,158.62</w:t>
            </w:r>
          </w:p>
        </w:tc>
        <w:tc>
          <w:tcPr>
            <w:tcW w:w="3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581,889,367.17</w:t>
            </w:r>
          </w:p>
        </w:tc>
      </w:tr>
    </w:tbl>
    <w:p>
      <w:pPr>
        <w:spacing w:line="240" w:lineRule="auto" w:before="8"/>
        <w:rPr>
          <w:rFonts w:ascii="宋体" w:hAnsi="宋体" w:cs="宋体" w:eastAsia="宋体" w:hint="default"/>
          <w:sz w:val="10"/>
          <w:szCs w:val="10"/>
        </w:rPr>
      </w:pPr>
    </w:p>
    <w:p>
      <w:pPr>
        <w:pStyle w:val="BodyText"/>
        <w:spacing w:line="336" w:lineRule="auto" w:before="44"/>
        <w:ind w:right="99" w:firstLine="359"/>
        <w:jc w:val="left"/>
      </w:pPr>
      <w:r>
        <w:rPr/>
        <w:t>根据集团应收账款催收经验，</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年以上应收账款一般无法收回，故本集团对逾期</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年以上应收账款全额计提减值准备。 期末单项金额重大并单项计提坏账准备的应收账款：</w:t>
      </w:r>
    </w:p>
    <w:p>
      <w:pPr>
        <w:pStyle w:val="BodyText"/>
        <w:spacing w:line="240" w:lineRule="auto" w:before="45"/>
        <w:ind w:right="147"/>
        <w:jc w:val="left"/>
      </w:pPr>
      <w:r>
        <w:rPr/>
        <w:t>√ 适用 □ 不适用</w:t>
      </w:r>
    </w:p>
    <w:p>
      <w:pPr>
        <w:pStyle w:val="BodyText"/>
        <w:spacing w:line="240" w:lineRule="auto" w:before="116"/>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96"/>
        <w:gridCol w:w="1398"/>
        <w:gridCol w:w="1398"/>
        <w:gridCol w:w="995"/>
        <w:gridCol w:w="2606"/>
      </w:tblGrid>
      <w:tr>
        <w:trPr>
          <w:trHeight w:val="402" w:hRule="exact"/>
        </w:trPr>
        <w:tc>
          <w:tcPr>
            <w:tcW w:w="32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39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296" w:type="dxa"/>
            <w:vMerge/>
            <w:tcBorders>
              <w:left w:val="single" w:sz="4" w:space="0" w:color="000000"/>
              <w:bottom w:val="single" w:sz="4" w:space="0" w:color="000000"/>
              <w:right w:val="single" w:sz="4" w:space="0" w:color="000000"/>
            </w:tcBorders>
            <w:shd w:val="clear" w:color="auto" w:fill="D3D3D3"/>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佛山市顺德区星辰纸业有限公司</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26,754,065.23</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26,754,065.23</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账龄较长，预计无法收回</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北京华夏动力文化传媒有限公司</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11,644,496.00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11,644,496.00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账龄较长，预计无法收回</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苏州腾骏纸业有限公司</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6,545,207.84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6,545,207.84</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账龄较长，预计无法收回</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江西隆鸣实业有限公司</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1,763,987.74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1,763,987.74</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账龄较长，预计无法收回</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南昌市兴搏纸业有限公司</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1,656,205.97</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1,656,205.97</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账龄较长，预计无法收回</w:t>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48,363,962.78</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48,363,962.78</w:t>
            </w:r>
          </w:p>
        </w:tc>
        <w:tc>
          <w:tcPr>
            <w:tcW w:w="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240" w:lineRule="auto" w:before="51"/>
        <w:ind w:right="-20"/>
        <w:jc w:val="left"/>
      </w:pPr>
      <w:r>
        <w:rPr/>
        <w:t>组合中，按账龄分析法计提坏账准备的应收账款：</w:t>
      </w:r>
    </w:p>
    <w:p>
      <w:pPr>
        <w:pStyle w:val="BodyText"/>
        <w:spacing w:line="240" w:lineRule="auto" w:before="11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423"/>
        <w:gridCol w:w="2423"/>
        <w:gridCol w:w="2424"/>
        <w:gridCol w:w="2424"/>
      </w:tblGrid>
      <w:tr>
        <w:trPr>
          <w:trHeight w:val="402" w:hRule="exact"/>
        </w:trPr>
        <w:tc>
          <w:tcPr>
            <w:tcW w:w="24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27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23" w:type="dxa"/>
            <w:vMerge/>
            <w:tcBorders>
              <w:left w:val="single" w:sz="4" w:space="0" w:color="000000"/>
              <w:bottom w:val="single" w:sz="4" w:space="0" w:color="000000"/>
              <w:right w:val="single" w:sz="4" w:space="0" w:color="000000"/>
            </w:tcBorders>
            <w:shd w:val="clear" w:color="auto" w:fill="D3D3D3"/>
          </w:tcPr>
          <w:p>
            <w:pPr/>
          </w:p>
        </w:tc>
        <w:tc>
          <w:tcPr>
            <w:tcW w:w="2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6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2,535,929,695.36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126,796,484.77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612,701,950.90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30,635,097.55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137,492,511.26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6,874,625.56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395"/>
        <w:gridCol w:w="2450"/>
        <w:gridCol w:w="2424"/>
        <w:gridCol w:w="2424"/>
      </w:tblGrid>
      <w:tr>
        <w:trPr>
          <w:trHeight w:val="402"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5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3,286,124,157.52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164,306,207.88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5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71,623,400.24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7,162,340.02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5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21,679,196.79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4,335,839.36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5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40,454,929.72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40,454,929.72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5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3,419,881,684.27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216,259,316.98</w:t>
            </w:r>
          </w:p>
        </w:tc>
        <w:tc>
          <w:tcPr>
            <w:tcW w:w="24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pStyle w:val="BodyText"/>
        <w:spacing w:line="360" w:lineRule="auto" w:before="51"/>
        <w:ind w:right="-20"/>
        <w:jc w:val="left"/>
      </w:pPr>
      <w:r>
        <w:rPr/>
        <w:t>确定该组合依据的说明： 组合中，采用余额百分比法计提坏账准备的应收账款：</w:t>
      </w:r>
    </w:p>
    <w:p>
      <w:pPr>
        <w:pStyle w:val="BodyText"/>
        <w:spacing w:line="360" w:lineRule="auto" w:before="26"/>
        <w:ind w:right="340"/>
        <w:jc w:val="left"/>
      </w:pPr>
      <w:r>
        <w:rPr/>
        <w:t>□ 适用 √ 不适用 组合中，采用其他方法计提坏账准备的应收账款：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w:t>
      </w:r>
      <w:r>
        <w:rPr>
          <w:spacing w:val="-17"/>
        </w:rPr>
        <w:t> </w:t>
      </w:r>
      <w:r>
        <w:rPr/>
        <w:t>元</w:t>
      </w:r>
    </w:p>
    <w:p>
      <w:pPr>
        <w:spacing w:after="0" w:line="240" w:lineRule="auto"/>
        <w:jc w:val="left"/>
        <w:sectPr>
          <w:type w:val="continuous"/>
          <w:pgSz w:w="11910" w:h="16840"/>
          <w:pgMar w:top="1060" w:bottom="1180" w:left="980" w:right="980"/>
          <w:cols w:num="2" w:equalWidth="0">
            <w:col w:w="4475" w:space="4371"/>
            <w:col w:w="1104"/>
          </w:cols>
        </w:sectPr>
      </w:pPr>
    </w:p>
    <w:p>
      <w:pPr>
        <w:spacing w:line="240" w:lineRule="auto" w:before="1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3090"/>
        <w:gridCol w:w="3283"/>
        <w:gridCol w:w="3284"/>
      </w:tblGrid>
      <w:tr>
        <w:trPr>
          <w:trHeight w:val="411" w:hRule="exact"/>
        </w:trPr>
        <w:tc>
          <w:tcPr>
            <w:tcW w:w="309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8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8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43" w:hRule="exact"/>
        </w:trPr>
        <w:tc>
          <w:tcPr>
            <w:tcW w:w="3090"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3"/>
              <w:ind w:left="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3283"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113"/>
              <w:ind w:right="1"/>
              <w:jc w:val="right"/>
              <w:rPr>
                <w:rFonts w:ascii="Times New Roman" w:hAnsi="Times New Roman" w:cs="Times New Roman" w:eastAsia="Times New Roman" w:hint="default"/>
                <w:sz w:val="18"/>
                <w:szCs w:val="18"/>
              </w:rPr>
            </w:pPr>
            <w:r>
              <w:rPr>
                <w:rFonts w:ascii="Times New Roman"/>
                <w:spacing w:val="-1"/>
                <w:sz w:val="18"/>
              </w:rPr>
              <w:t>285,787,001.91</w:t>
            </w:r>
          </w:p>
        </w:tc>
        <w:tc>
          <w:tcPr>
            <w:tcW w:w="3284"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113"/>
              <w:ind w:right="0"/>
              <w:jc w:val="right"/>
              <w:rPr>
                <w:rFonts w:ascii="Times New Roman" w:hAnsi="Times New Roman" w:cs="Times New Roman" w:eastAsia="Times New Roman" w:hint="default"/>
                <w:sz w:val="18"/>
                <w:szCs w:val="18"/>
              </w:rPr>
            </w:pPr>
            <w:r>
              <w:rPr>
                <w:rFonts w:ascii="Times New Roman"/>
                <w:sz w:val="18"/>
              </w:rPr>
              <w:t>0.00</w:t>
            </w:r>
          </w:p>
        </w:tc>
      </w:tr>
      <w:tr>
        <w:trPr>
          <w:trHeight w:val="427" w:hRule="exact"/>
        </w:trPr>
        <w:tc>
          <w:tcPr>
            <w:tcW w:w="309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285,787,001.91</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本期计提坏账准备金额</w:t>
      </w:r>
      <w:r>
        <w:rPr>
          <w:spacing w:val="-47"/>
        </w:rPr>
        <w:t> </w:t>
      </w:r>
      <w:r>
        <w:rPr>
          <w:rFonts w:ascii="Times New Roman" w:hAnsi="Times New Roman" w:cs="Times New Roman" w:eastAsia="Times New Roman" w:hint="default"/>
        </w:rPr>
        <w:t>48,029,849.56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241,586.94</w:t>
      </w:r>
      <w:r>
        <w:rPr>
          <w:rFonts w:ascii="Times New Roman" w:hAnsi="Times New Roman" w:cs="Times New Roman" w:eastAsia="Times New Roman" w:hint="default"/>
          <w:spacing w:val="-2"/>
        </w:rPr>
        <w:t> </w:t>
      </w:r>
      <w:r>
        <w:rPr/>
        <w:t>元，无金额重大坏账准备转回。</w:t>
      </w:r>
    </w:p>
    <w:p>
      <w:pPr>
        <w:spacing w:line="240" w:lineRule="auto" w:before="10"/>
        <w:rPr>
          <w:rFonts w:ascii="宋体" w:hAnsi="宋体" w:cs="宋体" w:eastAsia="宋体" w:hint="default"/>
          <w:sz w:val="25"/>
          <w:szCs w:val="25"/>
        </w:rPr>
      </w:pPr>
    </w:p>
    <w:p>
      <w:pPr>
        <w:pStyle w:val="Heading4"/>
        <w:spacing w:line="240" w:lineRule="auto"/>
        <w:ind w:right="147"/>
        <w:jc w:val="left"/>
        <w:rPr>
          <w:b w:val="0"/>
          <w:bCs w:val="0"/>
        </w:rPr>
      </w:pPr>
      <w:r>
        <w:rPr/>
        <w:t>（</w:t>
      </w:r>
      <w:r>
        <w:rPr>
          <w:rFonts w:ascii="Times New Roman" w:hAnsi="Times New Roman" w:cs="Times New Roman" w:eastAsia="Times New Roman" w:hint="default"/>
        </w:rPr>
        <w:t>4</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4,723,314.45</w:t>
            </w:r>
          </w:p>
        </w:tc>
      </w:tr>
    </w:tbl>
    <w:p>
      <w:pPr>
        <w:pStyle w:val="BodyText"/>
        <w:spacing w:line="240" w:lineRule="auto" w:before="51"/>
        <w:ind w:right="147"/>
        <w:jc w:val="left"/>
      </w:pPr>
      <w:r>
        <w:rPr/>
        <w:t>其中重要的应收账款核销情况：</w:t>
      </w:r>
    </w:p>
    <w:p>
      <w:pPr>
        <w:pStyle w:val="BodyText"/>
        <w:spacing w:line="240" w:lineRule="auto" w:before="117"/>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580"/>
        <w:gridCol w:w="1223"/>
        <w:gridCol w:w="1062"/>
        <w:gridCol w:w="1223"/>
        <w:gridCol w:w="1415"/>
        <w:gridCol w:w="2191"/>
      </w:tblGrid>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2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款项是否由关联交易产生</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包头鑫浩纸业公司</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692,283.58</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宋体" w:hAnsi="宋体" w:cs="宋体" w:eastAsia="宋体" w:hint="default"/>
                <w:sz w:val="18"/>
                <w:szCs w:val="18"/>
              </w:rPr>
              <w:t>账龄五年以上</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总经理审批</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温州市新丰复合材料有限公司</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453,904.29</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宋体" w:hAnsi="宋体" w:cs="宋体" w:eastAsia="宋体" w:hint="default"/>
                <w:sz w:val="18"/>
                <w:szCs w:val="18"/>
              </w:rPr>
              <w:t>账龄五年以上</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总经理审批</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重庆美瑞纸业有限公司</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814,927.24</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宋体" w:hAnsi="宋体" w:cs="宋体" w:eastAsia="宋体" w:hint="default"/>
                <w:sz w:val="18"/>
                <w:szCs w:val="18"/>
              </w:rPr>
              <w:t>账龄五年以上</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总经理审批</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1,961,115.11</w:t>
            </w:r>
          </w:p>
        </w:tc>
        <w:tc>
          <w:tcPr>
            <w:tcW w:w="1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5</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3239"/>
        <w:gridCol w:w="918"/>
        <w:gridCol w:w="2138"/>
        <w:gridCol w:w="1069"/>
        <w:gridCol w:w="2293"/>
      </w:tblGrid>
      <w:tr>
        <w:trPr>
          <w:trHeight w:val="658" w:hRule="exact"/>
        </w:trPr>
        <w:tc>
          <w:tcPr>
            <w:tcW w:w="323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6" w:lineRule="auto" w:before="21"/>
              <w:ind w:left="271" w:right="90" w:hanging="180"/>
              <w:jc w:val="left"/>
              <w:rPr>
                <w:rFonts w:ascii="宋体" w:hAnsi="宋体" w:cs="宋体" w:eastAsia="宋体" w:hint="default"/>
                <w:sz w:val="18"/>
                <w:szCs w:val="18"/>
              </w:rPr>
            </w:pPr>
            <w:r>
              <w:rPr>
                <w:rFonts w:ascii="宋体" w:hAnsi="宋体" w:cs="宋体" w:eastAsia="宋体" w:hint="default"/>
                <w:sz w:val="18"/>
                <w:szCs w:val="18"/>
              </w:rPr>
              <w:t>应收账款 性质</w:t>
            </w:r>
          </w:p>
        </w:tc>
        <w:tc>
          <w:tcPr>
            <w:tcW w:w="213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700"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06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占比</w:t>
            </w:r>
          </w:p>
        </w:tc>
        <w:tc>
          <w:tcPr>
            <w:tcW w:w="229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安徽时代物资股份有限公司</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53,968,115.20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1.44%</w:t>
            </w:r>
          </w:p>
        </w:tc>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2,698,405.76</w:t>
            </w:r>
          </w:p>
        </w:tc>
      </w:tr>
      <w:tr>
        <w:trPr>
          <w:trHeight w:val="347"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云南省印刷物资公司</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47,194,791.45</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1.26%</w:t>
            </w:r>
          </w:p>
        </w:tc>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2,359,739.57</w:t>
            </w:r>
          </w:p>
        </w:tc>
      </w:tr>
      <w:tr>
        <w:trPr>
          <w:trHeight w:val="348"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上海姚记扑克股份有限公司</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41,392,352.44</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1.10%</w:t>
            </w:r>
          </w:p>
        </w:tc>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2,069,617.62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b/>
          <w:bCs/>
          <w:sz w:val="24"/>
          <w:szCs w:val="24"/>
        </w:rPr>
      </w:pPr>
    </w:p>
    <w:tbl>
      <w:tblPr>
        <w:tblW w:w="0" w:type="auto"/>
        <w:jc w:val="left"/>
        <w:tblInd w:w="137" w:type="dxa"/>
        <w:tblLayout w:type="fixed"/>
        <w:tblCellMar>
          <w:top w:w="0" w:type="dxa"/>
          <w:left w:w="0" w:type="dxa"/>
          <w:bottom w:w="0" w:type="dxa"/>
          <w:right w:w="0" w:type="dxa"/>
        </w:tblCellMar>
        <w:tblLook w:val="01E0"/>
      </w:tblPr>
      <w:tblGrid>
        <w:gridCol w:w="3239"/>
        <w:gridCol w:w="918"/>
        <w:gridCol w:w="2138"/>
        <w:gridCol w:w="1069"/>
        <w:gridCol w:w="2293"/>
      </w:tblGrid>
      <w:tr>
        <w:trPr>
          <w:trHeight w:val="347"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江苏新华柏印务有限公司</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37,244,510.70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0.99%</w:t>
            </w:r>
          </w:p>
        </w:tc>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1,862,225.54</w:t>
            </w:r>
          </w:p>
        </w:tc>
      </w:tr>
      <w:tr>
        <w:trPr>
          <w:trHeight w:val="347"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上海昌益胶粘制品有限公司</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35,129,395.85</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0.94%</w:t>
            </w:r>
          </w:p>
        </w:tc>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1,756,469.79</w:t>
            </w:r>
          </w:p>
        </w:tc>
      </w:tr>
      <w:tr>
        <w:trPr>
          <w:trHeight w:val="348" w:hRule="exact"/>
        </w:trPr>
        <w:tc>
          <w:tcPr>
            <w:tcW w:w="323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18" w:type="dxa"/>
            <w:tcBorders>
              <w:top w:val="single" w:sz="6" w:space="0" w:color="000000"/>
              <w:left w:val="single" w:sz="6" w:space="0" w:color="000000"/>
              <w:bottom w:val="single" w:sz="6" w:space="0" w:color="000000"/>
              <w:right w:val="single" w:sz="6" w:space="0" w:color="000000"/>
            </w:tcBorders>
          </w:tcPr>
          <w:p>
            <w:pP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214,929,165.64</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5.73%</w:t>
            </w:r>
          </w:p>
        </w:tc>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10,746,458.28</w:t>
            </w:r>
          </w:p>
        </w:tc>
      </w:tr>
    </w:tbl>
    <w:p>
      <w:pPr>
        <w:spacing w:line="240" w:lineRule="auto" w:before="2"/>
        <w:rPr>
          <w:rFonts w:ascii="宋体" w:hAnsi="宋体" w:cs="宋体" w:eastAsia="宋体" w:hint="default"/>
          <w:b/>
          <w:bCs/>
          <w:sz w:val="19"/>
          <w:szCs w:val="19"/>
        </w:rPr>
      </w:pPr>
    </w:p>
    <w:p>
      <w:pPr>
        <w:pStyle w:val="Heading4"/>
        <w:spacing w:line="240" w:lineRule="auto" w:before="35"/>
        <w:ind w:right="9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7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0"/>
        <w:gridCol w:w="1927"/>
        <w:gridCol w:w="1903"/>
        <w:gridCol w:w="1925"/>
        <w:gridCol w:w="1915"/>
      </w:tblGrid>
      <w:tr>
        <w:trPr>
          <w:trHeight w:val="201" w:hRule="exact"/>
        </w:trPr>
        <w:tc>
          <w:tcPr>
            <w:tcW w:w="1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vMerge/>
            <w:tcBorders>
              <w:left w:val="single" w:sz="4" w:space="0" w:color="000000"/>
              <w:bottom w:val="single" w:sz="4" w:space="0" w:color="000000"/>
              <w:right w:val="single" w:sz="4" w:space="0" w:color="000000"/>
            </w:tcBorders>
            <w:shd w:val="clear" w:color="auto" w:fill="D3D3D3"/>
          </w:tcPr>
          <w:p>
            <w:pPr/>
          </w:p>
        </w:tc>
        <w:tc>
          <w:tcPr>
            <w:tcW w:w="3841"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00" w:type="dxa"/>
            <w:vMerge/>
            <w:tcBorders>
              <w:left w:val="single" w:sz="4" w:space="0" w:color="000000"/>
              <w:bottom w:val="nil" w:sz="6" w:space="0" w:color="auto"/>
              <w:right w:val="single" w:sz="4" w:space="0" w:color="000000"/>
            </w:tcBorders>
            <w:shd w:val="clear" w:color="auto" w:fill="D3D3D3"/>
          </w:tcPr>
          <w:p>
            <w:pP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1" w:hRule="exact"/>
        </w:trPr>
        <w:tc>
          <w:tcPr>
            <w:tcW w:w="1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c>
          <w:tcPr>
            <w:tcW w:w="1925"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858,757,969.24</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46.72%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1,327,808,677.28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83.56%</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979,259,485.66</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53.28%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261,212,653.96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16.44%</w:t>
            </w:r>
          </w:p>
        </w:tc>
      </w:tr>
      <w:tr>
        <w:trPr>
          <w:trHeight w:val="403"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9" w:space="0" w:color="D3D3D3"/>
              <w:bottom w:val="single" w:sz="4" w:space="0" w:color="000000"/>
              <w:right w:val="single" w:sz="10"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1,838,017,454.90</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925"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1,589,021,331.24</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t>账龄超过一年且金额重要的预付款项中，预付江苏新海港口工程有限公司 </w:t>
      </w:r>
      <w:r>
        <w:rPr>
          <w:rFonts w:ascii="Times New Roman" w:hAnsi="Times New Roman" w:cs="Times New Roman" w:eastAsia="Times New Roman" w:hint="default"/>
        </w:rPr>
        <w:t>800,000,000.00</w:t>
      </w:r>
      <w:r>
        <w:rPr>
          <w:rFonts w:ascii="Times New Roman" w:hAnsi="Times New Roman" w:cs="Times New Roman" w:eastAsia="Times New Roman" w:hint="default"/>
          <w:spacing w:val="-23"/>
        </w:rPr>
        <w:t> </w:t>
      </w:r>
      <w:r>
        <w:rPr/>
        <w:t>元，为土地一级开发预付的工</w:t>
      </w:r>
    </w:p>
    <w:p>
      <w:pPr>
        <w:spacing w:line="240" w:lineRule="auto" w:before="8"/>
        <w:rPr>
          <w:rFonts w:ascii="宋体" w:hAnsi="宋体" w:cs="宋体" w:eastAsia="宋体" w:hint="default"/>
          <w:sz w:val="14"/>
          <w:szCs w:val="14"/>
        </w:rPr>
      </w:pPr>
    </w:p>
    <w:p>
      <w:pPr>
        <w:pStyle w:val="BodyText"/>
        <w:spacing w:line="240" w:lineRule="auto"/>
        <w:ind w:right="0"/>
        <w:jc w:val="left"/>
      </w:pPr>
      <w:r>
        <w:rPr/>
        <w:t>程款，按已完成工程量结算，较上年末减少</w:t>
      </w:r>
      <w:r>
        <w:rPr>
          <w:spacing w:val="-29"/>
        </w:rPr>
        <w:t> </w:t>
      </w:r>
      <w:r>
        <w:rPr>
          <w:rFonts w:ascii="Times New Roman" w:hAnsi="Times New Roman" w:cs="Times New Roman" w:eastAsia="Times New Roman" w:hint="default"/>
        </w:rPr>
        <w:t>80,000,000.00</w:t>
      </w:r>
      <w:r>
        <w:rPr>
          <w:rFonts w:ascii="Times New Roman" w:hAnsi="Times New Roman" w:cs="Times New Roman" w:eastAsia="Times New Roman" w:hint="default"/>
          <w:spacing w:val="16"/>
        </w:rPr>
        <w:t> </w:t>
      </w:r>
      <w:r>
        <w:rPr/>
        <w:t>元；预付黄冈市辖各村</w:t>
      </w:r>
      <w:r>
        <w:rPr>
          <w:spacing w:val="-29"/>
        </w:rPr>
        <w:t> </w:t>
      </w:r>
      <w:r>
        <w:rPr>
          <w:rFonts w:ascii="Times New Roman" w:hAnsi="Times New Roman" w:cs="Times New Roman" w:eastAsia="Times New Roman" w:hint="default"/>
        </w:rPr>
        <w:t>87,918,783.60</w:t>
      </w:r>
      <w:r>
        <w:rPr>
          <w:rFonts w:ascii="Times New Roman" w:hAnsi="Times New Roman" w:cs="Times New Roman" w:eastAsia="Times New Roman" w:hint="default"/>
          <w:spacing w:val="16"/>
        </w:rPr>
        <w:t> </w:t>
      </w:r>
      <w:r>
        <w:rPr/>
        <w:t>元，为预付的林木收购定金</w:t>
      </w:r>
    </w:p>
    <w:p>
      <w:pPr>
        <w:spacing w:line="240" w:lineRule="auto" w:before="9"/>
        <w:rPr>
          <w:rFonts w:ascii="宋体" w:hAnsi="宋体" w:cs="宋体" w:eastAsia="宋体" w:hint="default"/>
          <w:sz w:val="14"/>
          <w:szCs w:val="14"/>
        </w:rPr>
      </w:pPr>
    </w:p>
    <w:p>
      <w:pPr>
        <w:pStyle w:val="BodyText"/>
        <w:spacing w:line="240" w:lineRule="auto"/>
        <w:ind w:right="90"/>
        <w:jc w:val="left"/>
      </w:pPr>
      <w:r>
        <w:rPr/>
        <w:t>，因林木未进入采伐期，形成预付款。</w:t>
      </w:r>
    </w:p>
    <w:p>
      <w:pPr>
        <w:spacing w:line="240" w:lineRule="auto" w:before="7"/>
        <w:rPr>
          <w:rFonts w:ascii="宋体" w:hAnsi="宋体" w:cs="宋体" w:eastAsia="宋体" w:hint="default"/>
          <w:sz w:val="26"/>
          <w:szCs w:val="26"/>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2752"/>
        <w:gridCol w:w="1663"/>
        <w:gridCol w:w="1223"/>
        <w:gridCol w:w="1476"/>
        <w:gridCol w:w="2544"/>
      </w:tblGrid>
      <w:tr>
        <w:trPr>
          <w:trHeight w:val="330" w:hRule="exact"/>
        </w:trPr>
        <w:tc>
          <w:tcPr>
            <w:tcW w:w="27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6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2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4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预付时间</w:t>
            </w:r>
          </w:p>
        </w:tc>
        <w:tc>
          <w:tcPr>
            <w:tcW w:w="254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813"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63" w:hRule="exact"/>
        </w:trPr>
        <w:tc>
          <w:tcPr>
            <w:tcW w:w="2752"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8"/>
                <w:szCs w:val="18"/>
              </w:rPr>
            </w:pPr>
            <w:r>
              <w:rPr>
                <w:rFonts w:ascii="宋体" w:hAnsi="宋体" w:cs="宋体" w:eastAsia="宋体" w:hint="default"/>
                <w:sz w:val="18"/>
                <w:szCs w:val="18"/>
              </w:rPr>
              <w:t>江苏新海港口工程有限公司</w:t>
            </w:r>
          </w:p>
        </w:tc>
        <w:tc>
          <w:tcPr>
            <w:tcW w:w="1663"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pacing w:val="-1"/>
                <w:sz w:val="18"/>
              </w:rPr>
              <w:t>800,000,000.00</w:t>
            </w:r>
          </w:p>
        </w:tc>
        <w:tc>
          <w:tcPr>
            <w:tcW w:w="1223"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z w:val="18"/>
              </w:rPr>
              <w:t>43.53%</w:t>
            </w:r>
          </w:p>
        </w:tc>
        <w:tc>
          <w:tcPr>
            <w:tcW w:w="1476"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544"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8"/>
                <w:szCs w:val="18"/>
              </w:rPr>
            </w:pPr>
            <w:r>
              <w:rPr>
                <w:rFonts w:ascii="宋体" w:hAnsi="宋体" w:cs="宋体" w:eastAsia="宋体" w:hint="default"/>
                <w:sz w:val="18"/>
                <w:szCs w:val="18"/>
              </w:rPr>
              <w:t>按合同约定预付的工程款</w:t>
            </w:r>
          </w:p>
        </w:tc>
      </w:tr>
      <w:tr>
        <w:trPr>
          <w:trHeight w:val="347" w:hRule="exact"/>
        </w:trPr>
        <w:tc>
          <w:tcPr>
            <w:tcW w:w="2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黄冈市辖各村</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87,918,783.60</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4.78%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林木收购定金</w:t>
            </w:r>
          </w:p>
        </w:tc>
      </w:tr>
      <w:tr>
        <w:trPr>
          <w:trHeight w:val="347" w:hRule="exact"/>
        </w:trPr>
        <w:tc>
          <w:tcPr>
            <w:tcW w:w="2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寿光市清河房地产开发公司</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80,000,000.00</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4.35%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付地产款</w:t>
            </w:r>
          </w:p>
        </w:tc>
      </w:tr>
      <w:tr>
        <w:trPr>
          <w:trHeight w:val="347" w:hRule="exact"/>
        </w:trPr>
        <w:tc>
          <w:tcPr>
            <w:tcW w:w="2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满洲里金发贸易有限公司</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78,513,380.32</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4.27%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按合同约定预付的货款</w:t>
            </w:r>
          </w:p>
        </w:tc>
      </w:tr>
      <w:tr>
        <w:trPr>
          <w:trHeight w:val="348" w:hRule="exact"/>
        </w:trPr>
        <w:tc>
          <w:tcPr>
            <w:tcW w:w="2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PEMCO</w:t>
            </w:r>
            <w:r>
              <w:rPr>
                <w:rFonts w:ascii="Times New Roman"/>
                <w:spacing w:val="-4"/>
                <w:sz w:val="18"/>
              </w:rPr>
              <w:t> </w:t>
            </w:r>
            <w:r>
              <w:rPr>
                <w:rFonts w:ascii="Times New Roman"/>
                <w:sz w:val="18"/>
              </w:rPr>
              <w:t>INC</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60,490,665.10</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3.29%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按合同约定预付的货款</w:t>
            </w:r>
          </w:p>
        </w:tc>
      </w:tr>
      <w:tr>
        <w:trPr>
          <w:trHeight w:val="347" w:hRule="exact"/>
        </w:trPr>
        <w:tc>
          <w:tcPr>
            <w:tcW w:w="27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1,106,922,829.02</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60.22%</w:t>
            </w:r>
          </w:p>
        </w:tc>
        <w:tc>
          <w:tcPr>
            <w:tcW w:w="1476" w:type="dxa"/>
            <w:tcBorders>
              <w:top w:val="single" w:sz="6" w:space="0" w:color="000000"/>
              <w:left w:val="single" w:sz="6" w:space="0" w:color="000000"/>
              <w:bottom w:val="single" w:sz="6" w:space="0" w:color="000000"/>
              <w:right w:val="single" w:sz="6" w:space="0" w:color="000000"/>
            </w:tcBorders>
          </w:tcPr>
          <w:p>
            <w:pPr/>
          </w:p>
        </w:tc>
        <w:tc>
          <w:tcPr>
            <w:tcW w:w="254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9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7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46"/>
        <w:gridCol w:w="752"/>
        <w:gridCol w:w="762"/>
        <w:gridCol w:w="773"/>
        <w:gridCol w:w="739"/>
        <w:gridCol w:w="812"/>
        <w:gridCol w:w="643"/>
        <w:gridCol w:w="762"/>
        <w:gridCol w:w="812"/>
        <w:gridCol w:w="920"/>
        <w:gridCol w:w="932"/>
      </w:tblGrid>
      <w:tr>
        <w:trPr>
          <w:trHeight w:val="401" w:hRule="exact"/>
        </w:trPr>
        <w:tc>
          <w:tcPr>
            <w:tcW w:w="1646" w:type="dxa"/>
            <w:vMerge w:val="restart"/>
            <w:tcBorders>
              <w:top w:val="single" w:sz="4" w:space="0" w:color="000000"/>
              <w:left w:val="single" w:sz="4" w:space="0" w:color="000000"/>
              <w:right w:val="single" w:sz="4" w:space="0" w:color="000000"/>
            </w:tcBorders>
            <w:shd w:val="clear" w:color="auto" w:fill="D3D3D3"/>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646" w:type="dxa"/>
            <w:vMerge/>
            <w:tcBorders>
              <w:left w:val="single" w:sz="4" w:space="0" w:color="000000"/>
              <w:bottom w:val="nil" w:sz="6" w:space="0" w:color="auto"/>
              <w:right w:val="single" w:sz="4" w:space="0" w:color="000000"/>
            </w:tcBorders>
            <w:shd w:val="clear" w:color="auto" w:fill="D3D3D3"/>
          </w:tcPr>
          <w:p>
            <w:pPr/>
          </w:p>
        </w:tc>
        <w:tc>
          <w:tcPr>
            <w:tcW w:w="151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2" w:type="dxa"/>
            <w:vMerge w:val="restart"/>
            <w:tcBorders>
              <w:top w:val="single" w:sz="4" w:space="0" w:color="000000"/>
              <w:left w:val="single" w:sz="4" w:space="0" w:color="000000"/>
              <w:right w:val="single" w:sz="4" w:space="0" w:color="000000"/>
            </w:tcBorders>
            <w:shd w:val="clear" w:color="auto" w:fill="D3D3D3"/>
          </w:tcPr>
          <w:p>
            <w:pPr/>
          </w:p>
        </w:tc>
        <w:tc>
          <w:tcPr>
            <w:tcW w:w="140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6" w:hRule="exact"/>
        </w:trPr>
        <w:tc>
          <w:tcPr>
            <w:tcW w:w="164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3D3D3"/>
          </w:tcPr>
          <w:p>
            <w:pPr/>
          </w:p>
        </w:tc>
        <w:tc>
          <w:tcPr>
            <w:tcW w:w="1513" w:type="dxa"/>
            <w:gridSpan w:val="2"/>
            <w:vMerge/>
            <w:tcBorders>
              <w:left w:val="single" w:sz="4" w:space="0" w:color="000000"/>
              <w:bottom w:val="single" w:sz="4" w:space="0" w:color="000000"/>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1405" w:type="dxa"/>
            <w:gridSpan w:val="2"/>
            <w:vMerge/>
            <w:tcBorders>
              <w:left w:val="single" w:sz="4" w:space="0" w:color="000000"/>
              <w:bottom w:val="single" w:sz="4" w:space="0" w:color="000000"/>
              <w:right w:val="single" w:sz="4" w:space="0" w:color="000000"/>
            </w:tcBorders>
            <w:shd w:val="clear" w:color="auto" w:fill="D3D3D3"/>
          </w:tcPr>
          <w:p>
            <w:pPr/>
          </w:p>
        </w:tc>
        <w:tc>
          <w:tcPr>
            <w:tcW w:w="1733"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6" w:hRule="exact"/>
        </w:trPr>
        <w:tc>
          <w:tcPr>
            <w:tcW w:w="1646" w:type="dxa"/>
            <w:vMerge/>
            <w:tcBorders>
              <w:left w:val="single" w:sz="4" w:space="0" w:color="000000"/>
              <w:bottom w:val="single" w:sz="6" w:space="0" w:color="FFFFFF"/>
              <w:right w:val="single" w:sz="4" w:space="0" w:color="000000"/>
            </w:tcBorders>
            <w:shd w:val="clear" w:color="auto" w:fill="D3D3D3"/>
          </w:tcPr>
          <w:p>
            <w:pPr/>
          </w:p>
        </w:tc>
        <w:tc>
          <w:tcPr>
            <w:tcW w:w="75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73"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3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20"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46" w:type="dxa"/>
            <w:vMerge w:val="restart"/>
            <w:tcBorders>
              <w:top w:val="single" w:sz="6" w:space="0" w:color="FFFFFF"/>
              <w:left w:val="single" w:sz="4" w:space="0" w:color="000000"/>
              <w:right w:val="single" w:sz="4" w:space="0" w:color="000000"/>
            </w:tcBorders>
            <w:shd w:val="clear" w:color="auto" w:fill="D3D3D3"/>
          </w:tcPr>
          <w:p>
            <w:pPr/>
          </w:p>
        </w:tc>
        <w:tc>
          <w:tcPr>
            <w:tcW w:w="75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3"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64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646" w:type="dxa"/>
            <w:vMerge/>
            <w:tcBorders>
              <w:left w:val="single" w:sz="4" w:space="0" w:color="000000"/>
              <w:right w:val="single" w:sz="4" w:space="0" w:color="000000"/>
            </w:tcBorders>
            <w:shd w:val="clear" w:color="auto" w:fill="D3D3D3"/>
          </w:tcPr>
          <w:p>
            <w:pPr/>
          </w:p>
        </w:tc>
        <w:tc>
          <w:tcPr>
            <w:tcW w:w="75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73" w:type="dxa"/>
            <w:vMerge/>
            <w:tcBorders>
              <w:left w:val="single" w:sz="4" w:space="0" w:color="000000"/>
              <w:bottom w:val="nil" w:sz="6" w:space="0" w:color="auto"/>
              <w:right w:val="single" w:sz="4" w:space="0" w:color="000000"/>
            </w:tcBorders>
            <w:shd w:val="clear" w:color="auto" w:fill="D3D3D3"/>
          </w:tcPr>
          <w:p>
            <w:pPr/>
          </w:p>
        </w:tc>
        <w:tc>
          <w:tcPr>
            <w:tcW w:w="739" w:type="dxa"/>
            <w:vMerge/>
            <w:tcBorders>
              <w:left w:val="single" w:sz="4" w:space="0" w:color="000000"/>
              <w:right w:val="single" w:sz="4" w:space="0" w:color="000000"/>
            </w:tcBorders>
            <w:shd w:val="clear" w:color="auto" w:fill="D3D3D3"/>
          </w:tcPr>
          <w:p>
            <w:pPr/>
          </w:p>
        </w:tc>
        <w:tc>
          <w:tcPr>
            <w:tcW w:w="812" w:type="dxa"/>
            <w:vMerge w:val="restart"/>
            <w:tcBorders>
              <w:top w:val="nil" w:sz="6" w:space="0" w:color="auto"/>
              <w:left w:val="single" w:sz="4" w:space="0" w:color="000000"/>
              <w:right w:val="single" w:sz="4" w:space="0" w:color="000000"/>
            </w:tcBorders>
            <w:shd w:val="clear" w:color="auto" w:fill="D3D3D3"/>
          </w:tcPr>
          <w:p>
            <w:pPr/>
          </w:p>
        </w:tc>
        <w:tc>
          <w:tcPr>
            <w:tcW w:w="643"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20"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1646" w:type="dxa"/>
            <w:vMerge/>
            <w:tcBorders>
              <w:left w:val="single" w:sz="4" w:space="0" w:color="000000"/>
              <w:bottom w:val="single" w:sz="4" w:space="0" w:color="000000"/>
              <w:right w:val="single" w:sz="4" w:space="0" w:color="000000"/>
            </w:tcBorders>
            <w:shd w:val="clear" w:color="auto" w:fill="D3D3D3"/>
          </w:tcPr>
          <w:p>
            <w:pPr/>
          </w:p>
        </w:tc>
        <w:tc>
          <w:tcPr>
            <w:tcW w:w="75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73" w:type="dxa"/>
            <w:tcBorders>
              <w:top w:val="nil" w:sz="6" w:space="0" w:color="auto"/>
              <w:left w:val="single" w:sz="4" w:space="0" w:color="000000"/>
              <w:bottom w:val="single" w:sz="4" w:space="0" w:color="000000"/>
              <w:right w:val="single" w:sz="4" w:space="0" w:color="000000"/>
            </w:tcBorders>
            <w:shd w:val="clear" w:color="auto" w:fill="D3D3D3"/>
          </w:tcPr>
          <w:p>
            <w:pPr/>
          </w:p>
        </w:tc>
        <w:tc>
          <w:tcPr>
            <w:tcW w:w="739" w:type="dxa"/>
            <w:vMerge/>
            <w:tcBorders>
              <w:left w:val="single" w:sz="4" w:space="0" w:color="000000"/>
              <w:bottom w:val="single" w:sz="4" w:space="0" w:color="000000"/>
              <w:right w:val="single" w:sz="4" w:space="0" w:color="000000"/>
            </w:tcBorders>
            <w:shd w:val="clear" w:color="auto" w:fill="D3D3D3"/>
          </w:tcPr>
          <w:p>
            <w:pPr/>
          </w:p>
        </w:tc>
        <w:tc>
          <w:tcPr>
            <w:tcW w:w="812" w:type="dxa"/>
            <w:vMerge/>
            <w:tcBorders>
              <w:left w:val="single" w:sz="4" w:space="0" w:color="000000"/>
              <w:bottom w:val="single" w:sz="4" w:space="0" w:color="000000"/>
              <w:right w:val="single" w:sz="4" w:space="0" w:color="000000"/>
            </w:tcBorders>
            <w:shd w:val="clear" w:color="auto" w:fill="D3D3D3"/>
          </w:tcPr>
          <w:p>
            <w:pPr/>
          </w:p>
        </w:tc>
        <w:tc>
          <w:tcPr>
            <w:tcW w:w="64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20"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w:t>
            </w:r>
          </w:p>
        </w:tc>
        <w:tc>
          <w:tcPr>
            <w:tcW w:w="7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8,755,05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2" w:right="0"/>
              <w:jc w:val="left"/>
              <w:rPr>
                <w:rFonts w:ascii="Times New Roman" w:hAnsi="Times New Roman" w:cs="Times New Roman" w:eastAsia="Times New Roman" w:hint="default"/>
                <w:sz w:val="18"/>
                <w:szCs w:val="18"/>
              </w:rPr>
            </w:pPr>
            <w:r>
              <w:rPr>
                <w:rFonts w:ascii="Times New Roman"/>
                <w:sz w:val="18"/>
              </w:rPr>
              <w:t>0.47%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8,755,05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8" w:right="0"/>
              <w:jc w:val="left"/>
              <w:rPr>
                <w:rFonts w:ascii="Times New Roman" w:hAnsi="Times New Roman" w:cs="Times New Roman" w:eastAsia="Times New Roman" w:hint="default"/>
                <w:sz w:val="18"/>
                <w:szCs w:val="18"/>
              </w:rPr>
            </w:pPr>
            <w:r>
              <w:rPr>
                <w:rFonts w:ascii="Times New Roman"/>
                <w:sz w:val="18"/>
              </w:rPr>
              <w:t>8,918,4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2" w:right="0"/>
              <w:jc w:val="left"/>
              <w:rPr>
                <w:rFonts w:ascii="Times New Roman" w:hAnsi="Times New Roman" w:cs="Times New Roman" w:eastAsia="Times New Roman" w:hint="default"/>
                <w:sz w:val="18"/>
                <w:szCs w:val="18"/>
              </w:rPr>
            </w:pPr>
            <w:r>
              <w:rPr>
                <w:rFonts w:ascii="Times New Roman"/>
                <w:sz w:val="18"/>
              </w:rPr>
              <w:t>0.64%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8,918,424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6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3.51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2" w:right="0"/>
              <w:jc w:val="left"/>
              <w:rPr>
                <w:rFonts w:ascii="Times New Roman" w:hAnsi="Times New Roman" w:cs="Times New Roman" w:eastAsia="Times New Roman" w:hint="default"/>
                <w:sz w:val="18"/>
                <w:szCs w:val="18"/>
              </w:rPr>
            </w:pPr>
            <w:r>
              <w:rPr>
                <w:rFonts w:ascii="Times New Roman"/>
                <w:sz w:val="18"/>
              </w:rPr>
              <w:t>3.51</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Times New Roman" w:hAnsi="Times New Roman" w:cs="Times New Roman" w:eastAsia="Times New Roman" w:hint="default"/>
                <w:sz w:val="18"/>
                <w:szCs w:val="18"/>
              </w:rPr>
            </w:pPr>
            <w:r>
              <w:rPr>
                <w:rFonts w:ascii="Times New Roman"/>
                <w:sz w:val="18"/>
              </w:rPr>
              <w:t>24.06</w:t>
            </w: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.06</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1,830,72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4,220.90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54,256,3</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34.83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1,776,467</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,886.07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25,398.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98.39%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48,424,64</w:t>
            </w:r>
          </w:p>
          <w:p>
            <w:pPr>
              <w:pStyle w:val="TableParagraph"/>
              <w:spacing w:line="240" w:lineRule="auto" w:before="105"/>
              <w:ind w:left="464" w:right="0"/>
              <w:jc w:val="left"/>
              <w:rPr>
                <w:rFonts w:ascii="Times New Roman" w:hAnsi="Times New Roman" w:cs="Times New Roman" w:eastAsia="Times New Roman" w:hint="default"/>
                <w:sz w:val="18"/>
                <w:szCs w:val="18"/>
              </w:rPr>
            </w:pPr>
            <w:r>
              <w:rPr>
                <w:rFonts w:ascii="Times New Roman"/>
                <w:sz w:val="18"/>
              </w:rPr>
              <w:t>9.08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1,331,900,7</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49.84</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12,150,0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98.81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12,150,0</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98.81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13,717,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509.43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0.97%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13,717,50</w:t>
            </w:r>
          </w:p>
          <w:p>
            <w:pPr>
              <w:pStyle w:val="TableParagraph"/>
              <w:spacing w:line="240" w:lineRule="auto" w:before="105"/>
              <w:ind w:left="464" w:right="0"/>
              <w:jc w:val="left"/>
              <w:rPr>
                <w:rFonts w:ascii="Times New Roman" w:hAnsi="Times New Roman" w:cs="Times New Roman" w:eastAsia="Times New Roman" w:hint="default"/>
                <w:sz w:val="18"/>
                <w:szCs w:val="18"/>
              </w:rPr>
            </w:pPr>
            <w:r>
              <w:rPr>
                <w:rFonts w:ascii="Times New Roman"/>
                <w:sz w:val="18"/>
              </w:rPr>
              <w:t>9.43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1,851,62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9,373.22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75,161,4</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87.15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1,776,467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,886.07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1,402,9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61,332.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71,060,58</w:t>
            </w:r>
          </w:p>
          <w:p>
            <w:pPr>
              <w:pStyle w:val="TableParagraph"/>
              <w:spacing w:line="240" w:lineRule="auto" w:before="105"/>
              <w:ind w:left="464" w:right="0"/>
              <w:jc w:val="left"/>
              <w:rPr>
                <w:rFonts w:ascii="Times New Roman" w:hAnsi="Times New Roman" w:cs="Times New Roman" w:eastAsia="Times New Roman" w:hint="default"/>
                <w:sz w:val="18"/>
                <w:szCs w:val="18"/>
              </w:rPr>
            </w:pPr>
            <w:r>
              <w:rPr>
                <w:rFonts w:ascii="Times New Roman"/>
                <w:sz w:val="18"/>
              </w:rPr>
              <w:t>2.57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1,331,900,7</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49.84</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）其他应收款按账龄列示</w:t>
      </w:r>
      <w:r>
        <w:rPr>
          <w:b w:val="0"/>
          <w:bCs w:val="0"/>
        </w:rPr>
      </w:r>
    </w:p>
    <w:p>
      <w:pPr>
        <w:spacing w:line="240" w:lineRule="auto" w:before="3"/>
        <w:rPr>
          <w:rFonts w:ascii="宋体" w:hAnsi="宋体" w:cs="宋体" w:eastAsia="宋体" w:hint="default"/>
          <w:b/>
          <w:bCs/>
          <w:sz w:val="26"/>
          <w:szCs w:val="26"/>
        </w:rPr>
      </w:pPr>
    </w:p>
    <w:tbl>
      <w:tblPr>
        <w:tblW w:w="0" w:type="auto"/>
        <w:jc w:val="left"/>
        <w:tblInd w:w="119" w:type="dxa"/>
        <w:tblLayout w:type="fixed"/>
        <w:tblCellMar>
          <w:top w:w="0" w:type="dxa"/>
          <w:left w:w="0" w:type="dxa"/>
          <w:bottom w:w="0" w:type="dxa"/>
          <w:right w:w="0" w:type="dxa"/>
        </w:tblCellMar>
        <w:tblLook w:val="01E0"/>
      </w:tblPr>
      <w:tblGrid>
        <w:gridCol w:w="1434"/>
        <w:gridCol w:w="2412"/>
        <w:gridCol w:w="1885"/>
        <w:gridCol w:w="2164"/>
        <w:gridCol w:w="1799"/>
      </w:tblGrid>
      <w:tr>
        <w:trPr>
          <w:trHeight w:val="488" w:hRule="exact"/>
        </w:trPr>
        <w:tc>
          <w:tcPr>
            <w:tcW w:w="1434"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297"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62"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94" w:hRule="exact"/>
        </w:trPr>
        <w:tc>
          <w:tcPr>
            <w:tcW w:w="1434" w:type="dxa"/>
            <w:vMerge/>
            <w:tcBorders>
              <w:left w:val="single" w:sz="6" w:space="0" w:color="000000"/>
              <w:bottom w:val="single" w:sz="6" w:space="0" w:color="000000"/>
              <w:right w:val="single" w:sz="6" w:space="0" w:color="000000"/>
            </w:tcBorders>
            <w:shd w:val="clear" w:color="auto" w:fill="CCCCCC"/>
          </w:tcPr>
          <w:p>
            <w:pPr/>
          </w:p>
        </w:tc>
        <w:tc>
          <w:tcPr>
            <w:tcW w:w="241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21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9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96"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784,347,727.46</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Arial" w:hAnsi="Arial" w:cs="Arial" w:eastAsia="Arial" w:hint="default"/>
                <w:sz w:val="18"/>
                <w:szCs w:val="18"/>
              </w:rPr>
            </w:pPr>
            <w:r>
              <w:rPr>
                <w:rFonts w:ascii="Times New Roman"/>
                <w:w w:val="95"/>
                <w:sz w:val="18"/>
              </w:rPr>
              <w:t>42.36</w:t>
            </w:r>
            <w:r>
              <w:rPr>
                <w:rFonts w:ascii="Arial"/>
                <w:w w:val="95"/>
                <w:sz w:val="18"/>
              </w:rPr>
              <w:t>%</w:t>
            </w:r>
            <w:r>
              <w:rPr>
                <w:rFonts w:ascii="Arial"/>
                <w:sz w:val="18"/>
              </w:rPr>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1,200,466,405.38</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Arial" w:hAnsi="Arial" w:cs="Arial" w:eastAsia="Arial" w:hint="default"/>
                <w:sz w:val="18"/>
                <w:szCs w:val="18"/>
              </w:rPr>
            </w:pPr>
            <w:r>
              <w:rPr>
                <w:rFonts w:ascii="Times New Roman"/>
                <w:w w:val="95"/>
                <w:sz w:val="18"/>
              </w:rPr>
              <w:t>85.57</w:t>
            </w:r>
            <w:r>
              <w:rPr>
                <w:rFonts w:ascii="Arial"/>
                <w:w w:val="95"/>
                <w:sz w:val="18"/>
              </w:rPr>
              <w:t>%</w:t>
            </w:r>
            <w:r>
              <w:rPr>
                <w:rFonts w:ascii="Arial"/>
                <w:sz w:val="18"/>
              </w:rPr>
            </w:r>
          </w:p>
        </w:tc>
      </w:tr>
      <w:tr>
        <w:trPr>
          <w:trHeight w:val="494"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900,869,097.38</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8"/>
              <w:jc w:val="right"/>
              <w:rPr>
                <w:rFonts w:ascii="Arial" w:hAnsi="Arial" w:cs="Arial" w:eastAsia="Arial" w:hint="default"/>
                <w:sz w:val="18"/>
                <w:szCs w:val="18"/>
              </w:rPr>
            </w:pPr>
            <w:r>
              <w:rPr>
                <w:rFonts w:ascii="Times New Roman"/>
                <w:w w:val="95"/>
                <w:sz w:val="18"/>
              </w:rPr>
              <w:t>48.65</w:t>
            </w:r>
            <w:r>
              <w:rPr>
                <w:rFonts w:ascii="Arial"/>
                <w:w w:val="95"/>
                <w:sz w:val="18"/>
              </w:rPr>
              <w:t>%</w:t>
            </w:r>
            <w:r>
              <w:rPr>
                <w:rFonts w:ascii="Arial"/>
                <w:sz w:val="18"/>
              </w:rPr>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100,811,139.72</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8"/>
              <w:jc w:val="right"/>
              <w:rPr>
                <w:rFonts w:ascii="Arial" w:hAnsi="Arial" w:cs="Arial" w:eastAsia="Arial" w:hint="default"/>
                <w:sz w:val="18"/>
                <w:szCs w:val="18"/>
              </w:rPr>
            </w:pPr>
            <w:r>
              <w:rPr>
                <w:rFonts w:ascii="Times New Roman"/>
                <w:w w:val="95"/>
                <w:sz w:val="18"/>
              </w:rPr>
              <w:t>7.18</w:t>
            </w:r>
            <w:r>
              <w:rPr>
                <w:rFonts w:ascii="Arial"/>
                <w:w w:val="95"/>
                <w:sz w:val="18"/>
              </w:rPr>
              <w:t>%</w:t>
            </w:r>
            <w:r>
              <w:rPr>
                <w:rFonts w:ascii="Arial"/>
                <w:sz w:val="18"/>
              </w:rPr>
            </w:r>
          </w:p>
        </w:tc>
      </w:tr>
      <w:tr>
        <w:trPr>
          <w:trHeight w:val="496"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101,820,067.51</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8"/>
              <w:jc w:val="right"/>
              <w:rPr>
                <w:rFonts w:ascii="Arial" w:hAnsi="Arial" w:cs="Arial" w:eastAsia="Arial" w:hint="default"/>
                <w:sz w:val="18"/>
                <w:szCs w:val="18"/>
              </w:rPr>
            </w:pPr>
            <w:r>
              <w:rPr>
                <w:rFonts w:ascii="Times New Roman"/>
                <w:w w:val="95"/>
                <w:sz w:val="18"/>
              </w:rPr>
              <w:t>5.50</w:t>
            </w:r>
            <w:r>
              <w:rPr>
                <w:rFonts w:ascii="Arial"/>
                <w:w w:val="95"/>
                <w:sz w:val="18"/>
              </w:rPr>
              <w:t>%</w:t>
            </w:r>
            <w:r>
              <w:rPr>
                <w:rFonts w:ascii="Arial"/>
                <w:sz w:val="18"/>
              </w:rPr>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41,370,171.48</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Arial" w:hAnsi="Arial" w:cs="Arial" w:eastAsia="Arial" w:hint="default"/>
                <w:sz w:val="18"/>
                <w:szCs w:val="18"/>
              </w:rPr>
            </w:pPr>
            <w:r>
              <w:rPr>
                <w:rFonts w:ascii="Times New Roman"/>
                <w:w w:val="95"/>
                <w:sz w:val="18"/>
              </w:rPr>
              <w:t>2.95</w:t>
            </w:r>
            <w:r>
              <w:rPr>
                <w:rFonts w:ascii="Arial"/>
                <w:w w:val="95"/>
                <w:sz w:val="18"/>
              </w:rPr>
              <w:t>%</w:t>
            </w:r>
            <w:r>
              <w:rPr>
                <w:rFonts w:ascii="Arial"/>
                <w:sz w:val="18"/>
              </w:rPr>
            </w:r>
          </w:p>
        </w:tc>
      </w:tr>
      <w:tr>
        <w:trPr>
          <w:trHeight w:val="494"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64,592,480.87</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Arial" w:hAnsi="Arial" w:cs="Arial" w:eastAsia="Arial" w:hint="default"/>
                <w:sz w:val="18"/>
                <w:szCs w:val="18"/>
              </w:rPr>
            </w:pPr>
            <w:r>
              <w:rPr>
                <w:rFonts w:ascii="Times New Roman"/>
                <w:w w:val="95"/>
                <w:sz w:val="18"/>
              </w:rPr>
              <w:t>3.49</w:t>
            </w:r>
            <w:r>
              <w:rPr>
                <w:rFonts w:ascii="Arial"/>
                <w:w w:val="95"/>
                <w:sz w:val="18"/>
              </w:rPr>
              <w:t>%</w:t>
            </w:r>
            <w:r>
              <w:rPr>
                <w:rFonts w:ascii="Arial"/>
                <w:sz w:val="18"/>
              </w:rPr>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60,313,615.83</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Arial" w:hAnsi="Arial" w:cs="Arial" w:eastAsia="Arial" w:hint="default"/>
                <w:sz w:val="18"/>
                <w:szCs w:val="18"/>
              </w:rPr>
            </w:pPr>
            <w:r>
              <w:rPr>
                <w:rFonts w:ascii="Times New Roman"/>
                <w:w w:val="95"/>
                <w:sz w:val="18"/>
              </w:rPr>
              <w:t>4.30</w:t>
            </w:r>
            <w:r>
              <w:rPr>
                <w:rFonts w:ascii="Arial"/>
                <w:w w:val="95"/>
                <w:sz w:val="18"/>
              </w:rPr>
              <w:t>%</w:t>
            </w:r>
            <w:r>
              <w:rPr>
                <w:rFonts w:ascii="Arial"/>
                <w:sz w:val="18"/>
              </w:rPr>
            </w:r>
          </w:p>
        </w:tc>
      </w:tr>
      <w:tr>
        <w:trPr>
          <w:trHeight w:val="494" w:hRule="exact"/>
        </w:trPr>
        <w:tc>
          <w:tcPr>
            <w:tcW w:w="14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2"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1,851,629,373.22</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Arial" w:hAnsi="Arial" w:cs="Arial" w:eastAsia="Arial" w:hint="default"/>
                <w:sz w:val="18"/>
                <w:szCs w:val="18"/>
              </w:rPr>
            </w:pPr>
            <w:r>
              <w:rPr>
                <w:rFonts w:ascii="Times New Roman"/>
                <w:w w:val="95"/>
                <w:sz w:val="18"/>
              </w:rPr>
              <w:t>100.00</w:t>
            </w:r>
            <w:r>
              <w:rPr>
                <w:rFonts w:ascii="Arial"/>
                <w:w w:val="95"/>
                <w:sz w:val="18"/>
              </w:rPr>
              <w:t>%</w:t>
            </w:r>
            <w:r>
              <w:rPr>
                <w:rFonts w:ascii="Arial"/>
                <w:sz w:val="18"/>
              </w:rPr>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1,402,961,332.41</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Arial" w:hAnsi="Arial" w:cs="Arial" w:eastAsia="Arial" w:hint="default"/>
                <w:sz w:val="18"/>
                <w:szCs w:val="18"/>
              </w:rPr>
            </w:pPr>
            <w:r>
              <w:rPr>
                <w:rFonts w:ascii="Times New Roman"/>
                <w:w w:val="95"/>
                <w:sz w:val="18"/>
              </w:rPr>
              <w:t>100.00</w:t>
            </w:r>
            <w:r>
              <w:rPr>
                <w:rFonts w:ascii="Arial"/>
                <w:w w:val="95"/>
                <w:sz w:val="18"/>
              </w:rPr>
              <w:t>%</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82" w:top="1100" w:bottom="1180" w:left="980" w:right="980"/>
        </w:sectPr>
      </w:pPr>
    </w:p>
    <w:p>
      <w:pPr>
        <w:pStyle w:val="BodyText"/>
        <w:spacing w:line="340" w:lineRule="auto" w:before="52"/>
        <w:ind w:left="153" w:right="-16" w:firstLine="360"/>
        <w:jc w:val="left"/>
      </w:pPr>
      <w:r>
        <w:rPr/>
        <w:t>注：期末，超过</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年以上的预付款项</w:t>
      </w:r>
      <w:r>
        <w:rPr>
          <w:spacing w:val="-46"/>
        </w:rPr>
        <w:t> </w:t>
      </w:r>
      <w:r>
        <w:rPr>
          <w:rFonts w:ascii="Times New Roman" w:hAnsi="Times New Roman" w:cs="Times New Roman" w:eastAsia="Times New Roman" w:hint="default"/>
        </w:rPr>
        <w:t>1,955,523.45</w:t>
      </w:r>
      <w:r>
        <w:rPr>
          <w:rFonts w:ascii="Times New Roman" w:hAnsi="Times New Roman" w:cs="Times New Roman" w:eastAsia="Times New Roman" w:hint="default"/>
          <w:spacing w:val="-1"/>
        </w:rPr>
        <w:t> </w:t>
      </w:r>
      <w:r>
        <w:rPr/>
        <w:t>元因不再具备预付性质转入其他应收款核算。 期末单项金额重大并单项计提坏账准备的其他应收款：</w:t>
      </w:r>
    </w:p>
    <w:p>
      <w:pPr>
        <w:pStyle w:val="BodyText"/>
        <w:spacing w:line="240" w:lineRule="auto" w:before="40"/>
        <w:ind w:left="153" w:right="-16"/>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8029" w:space="799"/>
            <w:col w:w="1122"/>
          </w:cols>
        </w:sectPr>
      </w:pP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223"/>
        <w:gridCol w:w="1170"/>
        <w:gridCol w:w="1171"/>
        <w:gridCol w:w="907"/>
        <w:gridCol w:w="3222"/>
      </w:tblGrid>
      <w:tr>
        <w:trPr>
          <w:trHeight w:val="401" w:hRule="exact"/>
        </w:trPr>
        <w:tc>
          <w:tcPr>
            <w:tcW w:w="32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47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223" w:type="dxa"/>
            <w:vMerge/>
            <w:tcBorders>
              <w:left w:val="single" w:sz="4" w:space="0" w:color="000000"/>
              <w:bottom w:val="single" w:sz="4" w:space="0" w:color="000000"/>
              <w:right w:val="single" w:sz="4" w:space="0" w:color="000000"/>
            </w:tcBorders>
            <w:shd w:val="clear" w:color="auto" w:fill="D3D3D3"/>
          </w:tcPr>
          <w:p>
            <w:pPr/>
          </w:p>
        </w:tc>
        <w:tc>
          <w:tcPr>
            <w:tcW w:w="1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8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芬兰奥斯龙公司</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2,820,742.72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left"/>
              <w:rPr>
                <w:rFonts w:ascii="Times New Roman" w:hAnsi="Times New Roman" w:cs="Times New Roman" w:eastAsia="Times New Roman" w:hint="default"/>
                <w:sz w:val="18"/>
                <w:szCs w:val="18"/>
              </w:rPr>
            </w:pPr>
            <w:r>
              <w:rPr>
                <w:rFonts w:ascii="Times New Roman"/>
                <w:sz w:val="18"/>
              </w:rPr>
              <w:t>2,820,742.72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账龄三年以上，预计收回可能性小</w:t>
            </w:r>
          </w:p>
        </w:tc>
      </w:tr>
      <w:tr>
        <w:trPr>
          <w:trHeight w:val="402" w:hRule="exact"/>
        </w:trPr>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青岛第二汽车运输公司物流分公司</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1,137,295.16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left"/>
              <w:rPr>
                <w:rFonts w:ascii="Times New Roman" w:hAnsi="Times New Roman" w:cs="Times New Roman" w:eastAsia="Times New Roman" w:hint="default"/>
                <w:sz w:val="18"/>
                <w:szCs w:val="18"/>
              </w:rPr>
            </w:pPr>
            <w:r>
              <w:rPr>
                <w:rFonts w:ascii="Times New Roman"/>
                <w:sz w:val="18"/>
              </w:rPr>
              <w:t>1,137,295.16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账龄三年以上，预计收回可能性小</w:t>
            </w:r>
          </w:p>
        </w:tc>
      </w:tr>
      <w:tr>
        <w:trPr>
          <w:trHeight w:val="402" w:hRule="exact"/>
        </w:trPr>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瑞典伊洛夫汉森公司</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1,413,022.59</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left"/>
              <w:rPr>
                <w:rFonts w:ascii="Times New Roman" w:hAnsi="Times New Roman" w:cs="Times New Roman" w:eastAsia="Times New Roman" w:hint="default"/>
                <w:sz w:val="18"/>
                <w:szCs w:val="18"/>
              </w:rPr>
            </w:pPr>
            <w:r>
              <w:rPr>
                <w:rFonts w:ascii="Times New Roman"/>
                <w:sz w:val="18"/>
              </w:rPr>
              <w:t>1,413,022.59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账龄三年以上，预计收回可能性小</w:t>
            </w:r>
          </w:p>
        </w:tc>
      </w:tr>
      <w:tr>
        <w:trPr>
          <w:trHeight w:val="402" w:hRule="exact"/>
        </w:trPr>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台湾全华精密公司</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2,253,993.04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left"/>
              <w:rPr>
                <w:rFonts w:ascii="Times New Roman" w:hAnsi="Times New Roman" w:cs="Times New Roman" w:eastAsia="Times New Roman" w:hint="default"/>
                <w:sz w:val="18"/>
                <w:szCs w:val="18"/>
              </w:rPr>
            </w:pPr>
            <w:r>
              <w:rPr>
                <w:rFonts w:ascii="Times New Roman"/>
                <w:sz w:val="18"/>
              </w:rPr>
              <w:t>2,253,993.04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账龄三年以上，预计收回可能性小</w:t>
            </w:r>
          </w:p>
        </w:tc>
      </w:tr>
      <w:tr>
        <w:trPr>
          <w:trHeight w:val="402" w:hRule="exact"/>
        </w:trPr>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淄博凯泓能源有限公司</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1,130,000.00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left"/>
              <w:rPr>
                <w:rFonts w:ascii="Times New Roman" w:hAnsi="Times New Roman" w:cs="Times New Roman" w:eastAsia="Times New Roman" w:hint="default"/>
                <w:sz w:val="18"/>
                <w:szCs w:val="18"/>
              </w:rPr>
            </w:pPr>
            <w:r>
              <w:rPr>
                <w:rFonts w:ascii="Times New Roman"/>
                <w:sz w:val="18"/>
              </w:rPr>
              <w:t>1,130,000.00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账龄三年以上，预计收回可能性小</w:t>
            </w:r>
          </w:p>
        </w:tc>
      </w:tr>
      <w:tr>
        <w:trPr>
          <w:trHeight w:val="401" w:hRule="exact"/>
        </w:trPr>
        <w:tc>
          <w:tcPr>
            <w:tcW w:w="3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8,755,053.51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 w:right="0"/>
              <w:jc w:val="left"/>
              <w:rPr>
                <w:rFonts w:ascii="Times New Roman" w:hAnsi="Times New Roman" w:cs="Times New Roman" w:eastAsia="Times New Roman" w:hint="default"/>
                <w:sz w:val="18"/>
                <w:szCs w:val="18"/>
              </w:rPr>
            </w:pPr>
            <w:r>
              <w:rPr>
                <w:rFonts w:ascii="Times New Roman"/>
                <w:sz w:val="18"/>
              </w:rPr>
              <w:t>8,755,053.51</w:t>
            </w:r>
          </w:p>
        </w:tc>
        <w:tc>
          <w:tcPr>
            <w:tcW w:w="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52"/>
        <w:ind w:right="-20"/>
        <w:jc w:val="left"/>
      </w:pPr>
      <w:r>
        <w:rPr/>
        <w:t>组合中，按账龄分析法计提坏账准备的其他应收款：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167,689,569.26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8,384,478.47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167,689,569.26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8,384,478.47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7,985,644.10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798,564.41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7,524,691.94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1,504,938.40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43,568,353.55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43,568,353.55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226,768,258.85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54,256,334.83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pStyle w:val="BodyText"/>
        <w:spacing w:line="240" w:lineRule="auto" w:before="51"/>
        <w:ind w:right="-20"/>
        <w:jc w:val="left"/>
      </w:pPr>
      <w:r>
        <w:rPr/>
        <w:t>组合中，采用余额百分比法计提坏账准备的其他应收款：</w:t>
      </w:r>
    </w:p>
    <w:p>
      <w:pPr>
        <w:pStyle w:val="BodyText"/>
        <w:spacing w:line="357" w:lineRule="auto" w:before="117"/>
        <w:ind w:right="340"/>
        <w:jc w:val="left"/>
      </w:pPr>
      <w:r>
        <w:rPr/>
        <w:t>□ 适用 √ 不适用 组合中，采用其他方法计提坏账准备的其他应收款：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w:t>
      </w:r>
      <w:r>
        <w:rPr>
          <w:spacing w:val="-17"/>
        </w:rPr>
        <w:t> </w:t>
      </w:r>
      <w:r>
        <w:rPr/>
        <w:t>元</w:t>
      </w:r>
    </w:p>
    <w:p>
      <w:pPr>
        <w:spacing w:after="0" w:line="240" w:lineRule="auto"/>
        <w:jc w:val="left"/>
        <w:sectPr>
          <w:type w:val="continuous"/>
          <w:pgSz w:w="11910" w:h="16840"/>
          <w:pgMar w:top="1060" w:bottom="1180" w:left="980" w:right="980"/>
          <w:cols w:num="2" w:equalWidth="0">
            <w:col w:w="4655" w:space="4191"/>
            <w:col w:w="1104"/>
          </w:cols>
        </w:sectPr>
      </w:pPr>
    </w:p>
    <w:p>
      <w:pPr>
        <w:spacing w:line="240" w:lineRule="auto" w:before="7"/>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3996"/>
        <w:gridCol w:w="2884"/>
        <w:gridCol w:w="2778"/>
      </w:tblGrid>
      <w:tr>
        <w:trPr>
          <w:trHeight w:val="404" w:hRule="exact"/>
        </w:trPr>
        <w:tc>
          <w:tcPr>
            <w:tcW w:w="399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8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7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43" w:hRule="exact"/>
        </w:trPr>
        <w:tc>
          <w:tcPr>
            <w:tcW w:w="3996"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3"/>
              <w:ind w:left="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2884"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113"/>
              <w:ind w:right="0"/>
              <w:jc w:val="right"/>
              <w:rPr>
                <w:rFonts w:ascii="Times New Roman" w:hAnsi="Times New Roman" w:cs="Times New Roman" w:eastAsia="Times New Roman" w:hint="default"/>
                <w:sz w:val="18"/>
                <w:szCs w:val="18"/>
              </w:rPr>
            </w:pPr>
            <w:r>
              <w:rPr>
                <w:rFonts w:ascii="Times New Roman"/>
                <w:spacing w:val="-1"/>
                <w:sz w:val="18"/>
              </w:rPr>
              <w:t>1,603,955,962.05</w:t>
            </w:r>
          </w:p>
        </w:tc>
        <w:tc>
          <w:tcPr>
            <w:tcW w:w="2778"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113"/>
              <w:ind w:right="1"/>
              <w:jc w:val="right"/>
              <w:rPr>
                <w:rFonts w:ascii="Times New Roman" w:hAnsi="Times New Roman" w:cs="Times New Roman" w:eastAsia="Times New Roman" w:hint="default"/>
                <w:sz w:val="18"/>
                <w:szCs w:val="18"/>
              </w:rPr>
            </w:pPr>
            <w:r>
              <w:rPr>
                <w:rFonts w:ascii="Times New Roman"/>
                <w:sz w:val="18"/>
              </w:rPr>
              <w:t>0.00</w:t>
            </w:r>
          </w:p>
        </w:tc>
      </w:tr>
      <w:tr>
        <w:trPr>
          <w:trHeight w:val="423" w:hRule="exact"/>
        </w:trPr>
        <w:tc>
          <w:tcPr>
            <w:tcW w:w="399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1,603,955,962.05</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7"/>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40" w:lineRule="auto" w:before="44"/>
        <w:ind w:right="-13" w:hanging="1"/>
        <w:jc w:val="left"/>
      </w:pPr>
      <w:r>
        <w:rPr/>
        <w:t>本期计提坏账准备金额</w:t>
      </w:r>
      <w:r>
        <w:rPr>
          <w:spacing w:val="-47"/>
        </w:rPr>
        <w:t> </w:t>
      </w:r>
      <w:r>
        <w:rPr>
          <w:rFonts w:ascii="Times New Roman" w:hAnsi="Times New Roman" w:cs="Times New Roman" w:eastAsia="Times New Roman" w:hint="default"/>
        </w:rPr>
        <w:t>8,163,150.29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1,730,781.17</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7083" w:space="1745"/>
            <w:col w:w="1122"/>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3"/>
        <w:gridCol w:w="3232"/>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1"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武汉捷能燃烧工程科技有限公司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493,200.00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收回欠款</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山东省司法鉴定中心</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550,000.00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转入费用</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1,043,200.00</w:t>
            </w:r>
          </w:p>
        </w:tc>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4</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146,445.60</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40"/>
        <w:gridCol w:w="1620"/>
        <w:gridCol w:w="1440"/>
        <w:gridCol w:w="1440"/>
        <w:gridCol w:w="1620"/>
        <w:gridCol w:w="1206"/>
      </w:tblGrid>
      <w:tr>
        <w:trPr>
          <w:trHeight w:val="714"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7" w:right="56"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借款及利息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959,825,877.41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51.84%</w:t>
            </w: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山东江河纸业有限责任公司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433,827,316.21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23.43%</w:t>
            </w: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潍坊水务投资有限责任公司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年期售融资租赁款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100,999,999.99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5.45%</w:t>
            </w: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山东威能环保电源有限公司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年期售融资租赁款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5.40%</w:t>
            </w: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广东中拓拆建工程公司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报废设备款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760,000.00</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1,609,853,193.61</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86.94%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760,000.00</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75"/>
        <w:gridCol w:w="1387"/>
        <w:gridCol w:w="1385"/>
        <w:gridCol w:w="1384"/>
        <w:gridCol w:w="1384"/>
        <w:gridCol w:w="1385"/>
        <w:gridCol w:w="1384"/>
      </w:tblGrid>
      <w:tr>
        <w:trPr>
          <w:trHeight w:val="200" w:hRule="exact"/>
        </w:trPr>
        <w:tc>
          <w:tcPr>
            <w:tcW w:w="1375" w:type="dxa"/>
            <w:tcBorders>
              <w:top w:val="single" w:sz="4" w:space="0" w:color="000000"/>
              <w:left w:val="single" w:sz="4" w:space="0" w:color="000000"/>
              <w:bottom w:val="nil" w:sz="6" w:space="0" w:color="auto"/>
              <w:right w:val="single" w:sz="4" w:space="0" w:color="000000"/>
            </w:tcBorders>
            <w:shd w:val="clear" w:color="auto" w:fill="D3D3D3"/>
          </w:tcPr>
          <w:p>
            <w:pPr/>
          </w:p>
        </w:tc>
        <w:tc>
          <w:tcPr>
            <w:tcW w:w="415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5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37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55" w:type="dxa"/>
            <w:gridSpan w:val="3"/>
            <w:vMerge/>
            <w:tcBorders>
              <w:left w:val="single" w:sz="4" w:space="0" w:color="000000"/>
              <w:bottom w:val="single" w:sz="4" w:space="0" w:color="000000"/>
              <w:right w:val="single" w:sz="4" w:space="0" w:color="000000"/>
            </w:tcBorders>
            <w:shd w:val="clear" w:color="auto" w:fill="D3D3D3"/>
          </w:tcPr>
          <w:p>
            <w:pPr/>
          </w:p>
        </w:tc>
        <w:tc>
          <w:tcPr>
            <w:tcW w:w="4152"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375" w:type="dxa"/>
            <w:vMerge/>
            <w:tcBorders>
              <w:left w:val="single" w:sz="4" w:space="0" w:color="000000"/>
              <w:bottom w:val="nil" w:sz="6" w:space="0" w:color="auto"/>
              <w:right w:val="single" w:sz="4" w:space="0" w:color="000000"/>
            </w:tcBorders>
            <w:shd w:val="clear" w:color="auto" w:fill="D3D3D3"/>
          </w:tcPr>
          <w:p>
            <w:pPr/>
          </w:p>
        </w:tc>
        <w:tc>
          <w:tcPr>
            <w:tcW w:w="13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2" w:hRule="exact"/>
        </w:trPr>
        <w:tc>
          <w:tcPr>
            <w:tcW w:w="137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87" w:type="dxa"/>
            <w:vMerge/>
            <w:tcBorders>
              <w:left w:val="single" w:sz="4" w:space="0" w:color="000000"/>
              <w:bottom w:val="single" w:sz="4" w:space="0" w:color="000000"/>
              <w:right w:val="single" w:sz="4" w:space="0" w:color="000000"/>
            </w:tcBorders>
            <w:shd w:val="clear" w:color="auto" w:fill="D3D3D3"/>
          </w:tcPr>
          <w:p>
            <w:pPr/>
          </w:p>
        </w:tc>
        <w:tc>
          <w:tcPr>
            <w:tcW w:w="1385" w:type="dxa"/>
            <w:vMerge/>
            <w:tcBorders>
              <w:left w:val="single" w:sz="4" w:space="0" w:color="000000"/>
              <w:bottom w:val="single" w:sz="4" w:space="0" w:color="000000"/>
              <w:right w:val="single" w:sz="4" w:space="0" w:color="000000"/>
            </w:tcBorders>
            <w:shd w:val="clear" w:color="auto" w:fill="D3D3D3"/>
          </w:tcPr>
          <w:p>
            <w:pPr/>
          </w:p>
        </w:tc>
        <w:tc>
          <w:tcPr>
            <w:tcW w:w="1384" w:type="dxa"/>
            <w:vMerge/>
            <w:tcBorders>
              <w:left w:val="single" w:sz="4" w:space="0" w:color="000000"/>
              <w:bottom w:val="single" w:sz="4" w:space="0" w:color="000000"/>
              <w:right w:val="single" w:sz="4" w:space="0" w:color="000000"/>
            </w:tcBorders>
            <w:shd w:val="clear" w:color="auto" w:fill="D3D3D3"/>
          </w:tcPr>
          <w:p>
            <w:pPr/>
          </w:p>
        </w:tc>
        <w:tc>
          <w:tcPr>
            <w:tcW w:w="1384" w:type="dxa"/>
            <w:vMerge/>
            <w:tcBorders>
              <w:left w:val="single" w:sz="4" w:space="0" w:color="000000"/>
              <w:bottom w:val="single" w:sz="4" w:space="0" w:color="000000"/>
              <w:right w:val="single" w:sz="4" w:space="0" w:color="000000"/>
            </w:tcBorders>
            <w:shd w:val="clear" w:color="auto" w:fill="D3D3D3"/>
          </w:tcPr>
          <w:p>
            <w:pPr/>
          </w:p>
        </w:tc>
        <w:tc>
          <w:tcPr>
            <w:tcW w:w="1385" w:type="dxa"/>
            <w:vMerge/>
            <w:tcBorders>
              <w:left w:val="single" w:sz="4" w:space="0" w:color="000000"/>
              <w:bottom w:val="single" w:sz="4" w:space="0" w:color="000000"/>
              <w:right w:val="single" w:sz="4" w:space="0" w:color="000000"/>
            </w:tcBorders>
            <w:shd w:val="clear" w:color="auto" w:fill="D3D3D3"/>
          </w:tcPr>
          <w:p>
            <w:pPr/>
          </w:p>
        </w:tc>
        <w:tc>
          <w:tcPr>
            <w:tcW w:w="138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2,117,477,615.09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2,117,477,615.09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2,102,799,924.39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2,102,799,924.39</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53,378,096.76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53,378,096.76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55,128,694.09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55,128,694.09</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1,539,604,250.80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5,319,730.37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1,534,284,520.43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1,516,242,717.77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36,472,052.20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1,479,770,665.57</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308,012,006.86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308,012,006.86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88,110,593.20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88,110,593.20</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1,407,588,229.46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1,407,588,229.46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1,317,141,123.77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1,317,141,123.77</w:t>
            </w:r>
          </w:p>
        </w:tc>
      </w:tr>
      <w:tr>
        <w:trPr>
          <w:trHeight w:val="402" w:hRule="exact"/>
        </w:trPr>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5,426,060,198.97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5,319,730.37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5,420,740,468.60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5,079,423,053.22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36,472,052.20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5,042,951,001.02</w:t>
            </w:r>
          </w:p>
        </w:tc>
      </w:tr>
    </w:tbl>
    <w:p>
      <w:pPr>
        <w:pStyle w:val="BodyText"/>
        <w:spacing w:line="300" w:lineRule="auto" w:before="10"/>
        <w:ind w:right="151" w:firstLine="360"/>
        <w:jc w:val="both"/>
      </w:pPr>
      <w:r>
        <w:rPr>
          <w:spacing w:val="-2"/>
        </w:rPr>
        <w:t>注：①以公允价值计量生物资产，林木因购买而增加人民币</w:t>
      </w:r>
      <w:r>
        <w:rPr>
          <w:rFonts w:ascii="Times New Roman" w:hAnsi="Times New Roman" w:cs="Times New Roman" w:eastAsia="Times New Roman" w:hint="default"/>
          <w:spacing w:val="-2"/>
        </w:rPr>
        <w:t>11,413,153.89</w:t>
      </w:r>
      <w:r>
        <w:rPr>
          <w:spacing w:val="-2"/>
        </w:rPr>
        <w:t>元，因繁育而增加人民币</w:t>
      </w:r>
      <w:r>
        <w:rPr>
          <w:rFonts w:ascii="Times New Roman" w:hAnsi="Times New Roman" w:cs="Times New Roman" w:eastAsia="Times New Roman" w:hint="default"/>
          <w:spacing w:val="-2"/>
        </w:rPr>
        <w:t>153,645,380.95</w:t>
      </w:r>
      <w:r>
        <w:rPr>
          <w:spacing w:val="-2"/>
        </w:rPr>
        <w:t>元，因</w:t>
      </w:r>
      <w:r>
        <w:rPr/>
        <w:t> 公允价值变动而增加人民币</w:t>
      </w:r>
      <w:r>
        <w:rPr>
          <w:rFonts w:ascii="Times New Roman" w:hAnsi="Times New Roman" w:cs="Times New Roman" w:eastAsia="Times New Roman" w:hint="default"/>
        </w:rPr>
        <w:t>6,856,815.32</w:t>
      </w:r>
      <w:r>
        <w:rPr/>
        <w:t>元，因出售而减少人民币</w:t>
      </w:r>
      <w:r>
        <w:rPr>
          <w:rFonts w:ascii="Times New Roman" w:hAnsi="Times New Roman" w:cs="Times New Roman" w:eastAsia="Times New Roman" w:hint="default"/>
        </w:rPr>
        <w:t>81,468,244.47</w:t>
      </w:r>
      <w:r>
        <w:rPr/>
        <w:t>元。</w:t>
      </w:r>
    </w:p>
    <w:p>
      <w:pPr>
        <w:pStyle w:val="BodyText"/>
        <w:spacing w:line="307" w:lineRule="auto" w:before="13"/>
        <w:ind w:left="153" w:right="149" w:firstLine="360"/>
        <w:jc w:val="both"/>
      </w:pPr>
      <w:r>
        <w:rPr>
          <w:spacing w:val="-2"/>
        </w:rPr>
        <w:t>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日止，消耗性生物资产中当年种植的或者是没有形成蓄积量的林木的公允价值和成本之间不存在重大</w:t>
      </w:r>
      <w:r>
        <w:rPr/>
        <w:t> </w:t>
      </w:r>
      <w:r>
        <w:rPr>
          <w:spacing w:val="-2"/>
        </w:rPr>
        <w:t>差异，以账面值作为公允价值；形成蓄积量的林木以公允价值计量，公允价值根据北京大正海地人资产评估有限公司评估值</w:t>
      </w:r>
      <w:r>
        <w:rPr>
          <w:spacing w:val="-66"/>
        </w:rPr>
        <w:t> </w:t>
      </w:r>
      <w:r>
        <w:rPr>
          <w:spacing w:val="-66"/>
        </w:rPr>
      </w:r>
      <w:r>
        <w:rPr>
          <w:spacing w:val="3"/>
        </w:rPr>
        <w:t>确定。以账面价值作为公允价值的消耗性生物资产为</w:t>
      </w:r>
      <w:r>
        <w:rPr>
          <w:rFonts w:ascii="Times New Roman" w:hAnsi="Times New Roman" w:cs="Times New Roman" w:eastAsia="Times New Roman" w:hint="default"/>
          <w:spacing w:val="3"/>
        </w:rPr>
        <w:t>229,991,265.78</w:t>
      </w:r>
      <w:r>
        <w:rPr>
          <w:spacing w:val="3"/>
        </w:rPr>
        <w:t>元，以评估值作为公允价值计量的消耗性生物资产为</w:t>
      </w:r>
      <w:r>
        <w:rPr>
          <w:spacing w:val="-73"/>
        </w:rPr>
        <w:t> </w:t>
      </w:r>
      <w:r>
        <w:rPr>
          <w:spacing w:val="-73"/>
        </w:rPr>
      </w:r>
      <w:r>
        <w:rPr>
          <w:rFonts w:ascii="Times New Roman" w:hAnsi="Times New Roman" w:cs="Times New Roman" w:eastAsia="Times New Roman" w:hint="default"/>
        </w:rPr>
        <w:t>1,177,596,963.68</w:t>
      </w:r>
      <w:r>
        <w:rPr/>
        <w:t>元。</w:t>
      </w:r>
    </w:p>
    <w:p>
      <w:pPr>
        <w:pStyle w:val="BodyText"/>
        <w:spacing w:line="240" w:lineRule="auto" w:before="7"/>
        <w:ind w:left="513" w:right="147"/>
        <w:jc w:val="left"/>
      </w:pPr>
      <w:r>
        <w:rPr/>
        <w:t>②消耗性生物资产，根据本集团的采伐安排，预期在</w:t>
      </w:r>
      <w:r>
        <w:rPr>
          <w:rFonts w:ascii="Times New Roman" w:hAnsi="Times New Roman" w:cs="Times New Roman" w:eastAsia="Times New Roman" w:hint="default"/>
        </w:rPr>
        <w:t>1</w:t>
      </w:r>
      <w:r>
        <w:rPr/>
        <w:t>年后采伐的变现的金额为</w:t>
      </w:r>
      <w:r>
        <w:rPr>
          <w:rFonts w:ascii="Times New Roman" w:hAnsi="Times New Roman" w:cs="Times New Roman" w:eastAsia="Times New Roman" w:hint="default"/>
        </w:rPr>
        <w:t>12.50</w:t>
      </w:r>
      <w:r>
        <w:rPr/>
        <w:t>亿元。</w:t>
      </w:r>
    </w:p>
    <w:p>
      <w:pPr>
        <w:spacing w:line="240" w:lineRule="auto" w:before="12"/>
        <w:rPr>
          <w:rFonts w:ascii="宋体" w:hAnsi="宋体" w:cs="宋体" w:eastAsia="宋体" w:hint="default"/>
          <w:sz w:val="25"/>
          <w:szCs w:val="25"/>
        </w:rPr>
      </w:pPr>
    </w:p>
    <w:p>
      <w:pPr>
        <w:pStyle w:val="Heading4"/>
        <w:spacing w:line="240" w:lineRule="auto"/>
        <w:ind w:right="147"/>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79"/>
        <w:gridCol w:w="1355"/>
        <w:gridCol w:w="1379"/>
        <w:gridCol w:w="1356"/>
        <w:gridCol w:w="1355"/>
        <w:gridCol w:w="1378"/>
      </w:tblGrid>
      <w:tr>
        <w:trPr>
          <w:trHeight w:val="201"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79"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1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1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1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7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3D3D3"/>
          </w:tcPr>
          <w:p>
            <w:pPr/>
          </w:p>
        </w:tc>
        <w:tc>
          <w:tcPr>
            <w:tcW w:w="2711" w:type="dxa"/>
            <w:gridSpan w:val="2"/>
            <w:vMerge/>
            <w:tcBorders>
              <w:left w:val="single" w:sz="4" w:space="0" w:color="000000"/>
              <w:bottom w:val="single" w:sz="4" w:space="0" w:color="000000"/>
              <w:right w:val="single" w:sz="4" w:space="0" w:color="000000"/>
            </w:tcBorders>
            <w:shd w:val="clear" w:color="auto" w:fill="D3D3D3"/>
          </w:tcPr>
          <w:p>
            <w:pPr/>
          </w:p>
        </w:tc>
        <w:tc>
          <w:tcPr>
            <w:tcW w:w="137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9"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79" w:type="dxa"/>
            <w:vMerge/>
            <w:tcBorders>
              <w:left w:val="single" w:sz="4" w:space="0" w:color="000000"/>
              <w:bottom w:val="nil" w:sz="6" w:space="0" w:color="auto"/>
              <w:right w:val="single" w:sz="4" w:space="0" w:color="000000"/>
            </w:tcBorders>
            <w:shd w:val="clear" w:color="auto" w:fill="D3D3D3"/>
          </w:tcPr>
          <w:p>
            <w:pP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计提</w:t>
            </w:r>
          </w:p>
        </w:tc>
        <w:tc>
          <w:tcPr>
            <w:tcW w:w="13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其他</w:t>
            </w:r>
          </w:p>
        </w:tc>
        <w:tc>
          <w:tcPr>
            <w:tcW w:w="13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78" w:type="dxa"/>
            <w:vMerge/>
            <w:tcBorders>
              <w:left w:val="single" w:sz="4" w:space="0" w:color="000000"/>
              <w:bottom w:val="nil" w:sz="6" w:space="0" w:color="auto"/>
              <w:right w:val="single" w:sz="4" w:space="0" w:color="000000"/>
            </w:tcBorders>
            <w:shd w:val="clear" w:color="auto" w:fill="D3D3D3"/>
          </w:tcPr>
          <w:p>
            <w:pPr/>
          </w:p>
        </w:tc>
      </w:tr>
      <w:tr>
        <w:trPr>
          <w:trHeight w:val="213"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56"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7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36,472,052.20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5,319,730.37</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36,472,052.20</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5,319,730.37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36,472,052.20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5,319,730.37</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36,472,052.20</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5,319,730.37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3</w:t>
      </w:r>
      <w:r>
        <w:rPr/>
        <w:t>）存货跌价准备计提依据及本年转回或转销原因</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1974"/>
        <w:gridCol w:w="2863"/>
        <w:gridCol w:w="2162"/>
        <w:gridCol w:w="2658"/>
      </w:tblGrid>
      <w:tr>
        <w:trPr>
          <w:trHeight w:val="659" w:hRule="exact"/>
        </w:trPr>
        <w:tc>
          <w:tcPr>
            <w:tcW w:w="197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6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1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6" w:lineRule="auto" w:before="21"/>
              <w:ind w:left="893" w:right="83" w:hanging="810"/>
              <w:jc w:val="left"/>
              <w:rPr>
                <w:rFonts w:ascii="宋体" w:hAnsi="宋体" w:cs="宋体" w:eastAsia="宋体" w:hint="default"/>
                <w:sz w:val="18"/>
                <w:szCs w:val="18"/>
              </w:rPr>
            </w:pPr>
            <w:r>
              <w:rPr>
                <w:rFonts w:ascii="宋体" w:hAnsi="宋体" w:cs="宋体" w:eastAsia="宋体" w:hint="default"/>
                <w:sz w:val="18"/>
                <w:szCs w:val="18"/>
              </w:rPr>
              <w:t>本年转回存货跌价准备的 原因</w:t>
            </w:r>
          </w:p>
        </w:tc>
        <w:tc>
          <w:tcPr>
            <w:tcW w:w="265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660" w:hRule="exact"/>
        </w:trPr>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28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3"/>
                <w:sz w:val="18"/>
                <w:szCs w:val="18"/>
              </w:rPr>
              <w:t>白牛卡纸市场价格下降，导致产成品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可变现净值低于存货成本。</w:t>
            </w:r>
          </w:p>
        </w:tc>
        <w:tc>
          <w:tcPr>
            <w:tcW w:w="216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出售</w:t>
            </w:r>
          </w:p>
        </w:tc>
      </w:tr>
    </w:tbl>
    <w:p>
      <w:pPr>
        <w:spacing w:line="240" w:lineRule="auto" w:before="2"/>
        <w:rPr>
          <w:rFonts w:ascii="宋体" w:hAnsi="宋体" w:cs="宋体" w:eastAsia="宋体" w:hint="default"/>
          <w:b/>
          <w:bCs/>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7</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765,738,333.65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一年内到期的委托贷款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865,738,333.65</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3"/>
        <w:gridCol w:w="3232"/>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尚未抵扣的增值税进项税额</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1,545,685,356.01</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1,666,514,217.00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预交企业所得税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110,916,876.08</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74,006,369.37</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1,656,602,232.09</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1,740,520,586.37</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014"/>
        <w:gridCol w:w="1210"/>
        <w:gridCol w:w="1212"/>
        <w:gridCol w:w="1212"/>
        <w:gridCol w:w="1265"/>
        <w:gridCol w:w="1384"/>
        <w:gridCol w:w="1386"/>
      </w:tblGrid>
      <w:tr>
        <w:trPr>
          <w:trHeight w:val="200" w:hRule="exact"/>
        </w:trPr>
        <w:tc>
          <w:tcPr>
            <w:tcW w:w="2014" w:type="dxa"/>
            <w:tcBorders>
              <w:top w:val="single" w:sz="4" w:space="0" w:color="000000"/>
              <w:left w:val="single" w:sz="4" w:space="0" w:color="000000"/>
              <w:bottom w:val="nil" w:sz="6" w:space="0" w:color="auto"/>
              <w:right w:val="single" w:sz="4" w:space="0" w:color="000000"/>
            </w:tcBorders>
            <w:shd w:val="clear" w:color="auto" w:fill="D3D3D3"/>
          </w:tcPr>
          <w:p>
            <w:pPr/>
          </w:p>
        </w:tc>
        <w:tc>
          <w:tcPr>
            <w:tcW w:w="363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3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20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634" w:type="dxa"/>
            <w:gridSpan w:val="3"/>
            <w:vMerge/>
            <w:tcBorders>
              <w:left w:val="single" w:sz="4" w:space="0" w:color="000000"/>
              <w:bottom w:val="single" w:sz="4" w:space="0" w:color="000000"/>
              <w:right w:val="single" w:sz="4" w:space="0" w:color="000000"/>
            </w:tcBorders>
            <w:shd w:val="clear" w:color="auto" w:fill="D3D3D3"/>
          </w:tcPr>
          <w:p>
            <w:pPr/>
          </w:p>
        </w:tc>
        <w:tc>
          <w:tcPr>
            <w:tcW w:w="4034"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014" w:type="dxa"/>
            <w:vMerge/>
            <w:tcBorders>
              <w:left w:val="single" w:sz="4" w:space="0" w:color="000000"/>
              <w:bottom w:val="nil" w:sz="6" w:space="0" w:color="auto"/>
              <w:right w:val="single" w:sz="4" w:space="0" w:color="000000"/>
            </w:tcBorders>
            <w:shd w:val="clear" w:color="auto" w:fill="D3D3D3"/>
          </w:tcPr>
          <w:p>
            <w:pPr/>
          </w:p>
        </w:tc>
        <w:tc>
          <w:tcPr>
            <w:tcW w:w="12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20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0" w:type="dxa"/>
            <w:vMerge/>
            <w:tcBorders>
              <w:left w:val="single" w:sz="4" w:space="0" w:color="000000"/>
              <w:bottom w:val="single" w:sz="4" w:space="0" w:color="000000"/>
              <w:right w:val="single" w:sz="4" w:space="0" w:color="000000"/>
            </w:tcBorders>
            <w:shd w:val="clear" w:color="auto" w:fill="D3D3D3"/>
          </w:tcPr>
          <w:p>
            <w:pPr/>
          </w:p>
        </w:tc>
        <w:tc>
          <w:tcPr>
            <w:tcW w:w="1212" w:type="dxa"/>
            <w:vMerge/>
            <w:tcBorders>
              <w:left w:val="single" w:sz="4" w:space="0" w:color="000000"/>
              <w:bottom w:val="single" w:sz="4" w:space="0" w:color="000000"/>
              <w:right w:val="single" w:sz="4" w:space="0" w:color="000000"/>
            </w:tcBorders>
            <w:shd w:val="clear" w:color="auto" w:fill="D3D3D3"/>
          </w:tcPr>
          <w:p>
            <w:pPr/>
          </w:p>
        </w:tc>
        <w:tc>
          <w:tcPr>
            <w:tcW w:w="1212" w:type="dxa"/>
            <w:vMerge/>
            <w:tcBorders>
              <w:left w:val="single" w:sz="4" w:space="0" w:color="000000"/>
              <w:bottom w:val="single" w:sz="4" w:space="0" w:color="000000"/>
              <w:right w:val="single" w:sz="4" w:space="0" w:color="000000"/>
            </w:tcBorders>
            <w:shd w:val="clear" w:color="auto" w:fill="D3D3D3"/>
          </w:tcPr>
          <w:p>
            <w:pPr/>
          </w:p>
        </w:tc>
        <w:tc>
          <w:tcPr>
            <w:tcW w:w="1265" w:type="dxa"/>
            <w:vMerge/>
            <w:tcBorders>
              <w:left w:val="single" w:sz="4" w:space="0" w:color="000000"/>
              <w:bottom w:val="single" w:sz="4" w:space="0" w:color="000000"/>
              <w:right w:val="single" w:sz="4" w:space="0" w:color="000000"/>
            </w:tcBorders>
            <w:shd w:val="clear" w:color="auto" w:fill="D3D3D3"/>
          </w:tcPr>
          <w:p>
            <w:pPr/>
          </w:p>
        </w:tc>
        <w:tc>
          <w:tcPr>
            <w:tcW w:w="1384" w:type="dxa"/>
            <w:vMerge/>
            <w:tcBorders>
              <w:left w:val="single" w:sz="4" w:space="0" w:color="000000"/>
              <w:bottom w:val="single" w:sz="4" w:space="0" w:color="000000"/>
              <w:right w:val="single" w:sz="4" w:space="0" w:color="000000"/>
            </w:tcBorders>
            <w:shd w:val="clear" w:color="auto" w:fill="D3D3D3"/>
          </w:tcPr>
          <w:p>
            <w:pPr/>
          </w:p>
        </w:tc>
        <w:tc>
          <w:tcPr>
            <w:tcW w:w="138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0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74,450,000.00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85,850,000.00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2,589,574.47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83,260,425.53</w:t>
            </w:r>
          </w:p>
        </w:tc>
      </w:tr>
      <w:tr>
        <w:trPr>
          <w:trHeight w:val="402" w:hRule="exact"/>
        </w:trPr>
        <w:tc>
          <w:tcPr>
            <w:tcW w:w="20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74,450,000.00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85,850,000.00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2,589,574.47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83,260,425.53</w:t>
            </w:r>
          </w:p>
        </w:tc>
      </w:tr>
      <w:tr>
        <w:trPr>
          <w:trHeight w:val="402" w:hRule="exact"/>
        </w:trPr>
        <w:tc>
          <w:tcPr>
            <w:tcW w:w="20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74,450,000.00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85,850,000.00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2,589,574.47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83,260,425.53</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pict>
          <v:shape style="position:absolute;margin-left:342.660004pt;margin-top:39.792015pt;width:19.787011pt;height:30.5025pt;mso-position-horizontal-relative:page;mso-position-vertical-relative:paragraph;z-index:1864" type="#_x0000_t75" stroked="false">
            <v:imagedata r:id="rId33" o:title=""/>
          </v:shape>
        </w:pict>
      </w: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045"/>
        <w:gridCol w:w="1094"/>
        <w:gridCol w:w="410"/>
        <w:gridCol w:w="1093"/>
        <w:gridCol w:w="1094"/>
        <w:gridCol w:w="1004"/>
        <w:gridCol w:w="409"/>
        <w:gridCol w:w="1003"/>
        <w:gridCol w:w="1004"/>
        <w:gridCol w:w="1012"/>
        <w:gridCol w:w="512"/>
      </w:tblGrid>
      <w:tr>
        <w:trPr>
          <w:trHeight w:val="402" w:hRule="exact"/>
        </w:trPr>
        <w:tc>
          <w:tcPr>
            <w:tcW w:w="10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69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2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0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0" w:right="49"/>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51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6" w:right="63"/>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624" w:hRule="exact"/>
        </w:trPr>
        <w:tc>
          <w:tcPr>
            <w:tcW w:w="1045" w:type="dxa"/>
            <w:vMerge/>
            <w:tcBorders>
              <w:left w:val="single" w:sz="4" w:space="0" w:color="000000"/>
              <w:bottom w:val="single" w:sz="4" w:space="0" w:color="000000"/>
              <w:right w:val="single" w:sz="4" w:space="0" w:color="000000"/>
            </w:tcBorders>
            <w:shd w:val="clear" w:color="auto" w:fill="D3D3D3"/>
          </w:tcPr>
          <w:p>
            <w:pP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8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316"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3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317"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1012" w:type="dxa"/>
            <w:vMerge/>
            <w:tcBorders>
              <w:left w:val="single" w:sz="4" w:space="0" w:color="000000"/>
              <w:bottom w:val="single" w:sz="4" w:space="0" w:color="000000"/>
              <w:right w:val="single" w:sz="4" w:space="0" w:color="000000"/>
            </w:tcBorders>
            <w:shd w:val="clear" w:color="auto" w:fill="D3D3D3"/>
          </w:tcPr>
          <w:p>
            <w:pPr/>
          </w:p>
        </w:tc>
        <w:tc>
          <w:tcPr>
            <w:tcW w:w="512"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045"/>
        <w:gridCol w:w="1094"/>
        <w:gridCol w:w="410"/>
        <w:gridCol w:w="1093"/>
        <w:gridCol w:w="1094"/>
        <w:gridCol w:w="1004"/>
        <w:gridCol w:w="409"/>
        <w:gridCol w:w="1003"/>
        <w:gridCol w:w="1004"/>
        <w:gridCol w:w="1012"/>
        <w:gridCol w:w="523"/>
      </w:tblGrid>
      <w:tr>
        <w:trPr>
          <w:trHeight w:val="986" w:hRule="exact"/>
        </w:trPr>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09" w:right="109"/>
              <w:jc w:val="both"/>
              <w:rPr>
                <w:rFonts w:ascii="宋体" w:hAnsi="宋体" w:cs="宋体" w:eastAsia="宋体" w:hint="default"/>
                <w:sz w:val="18"/>
                <w:szCs w:val="18"/>
              </w:rPr>
            </w:pPr>
            <w:r>
              <w:rPr>
                <w:rFonts w:ascii="宋体" w:hAnsi="宋体" w:cs="宋体" w:eastAsia="宋体" w:hint="default"/>
                <w:sz w:val="18"/>
                <w:szCs w:val="18"/>
              </w:rPr>
              <w:t>期 增 加</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0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09" w:right="108"/>
              <w:jc w:val="both"/>
              <w:rPr>
                <w:rFonts w:ascii="宋体" w:hAnsi="宋体" w:cs="宋体" w:eastAsia="宋体" w:hint="default"/>
                <w:sz w:val="18"/>
                <w:szCs w:val="18"/>
              </w:rPr>
            </w:pPr>
            <w:r>
              <w:rPr>
                <w:rFonts w:ascii="宋体" w:hAnsi="宋体" w:cs="宋体" w:eastAsia="宋体" w:hint="default"/>
                <w:sz w:val="18"/>
                <w:szCs w:val="18"/>
              </w:rPr>
              <w:t>期 增 加</w:t>
            </w:r>
          </w:p>
        </w:tc>
        <w:tc>
          <w:tcPr>
            <w:tcW w:w="100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0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2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青州市晨鸣 变性淀粉有 限责任公司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40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900,000.00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山东纸业集 团总公司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40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200,000.00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济南商友商 务有限责任 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350,000.00</w:t>
            </w:r>
          </w:p>
        </w:tc>
        <w:tc>
          <w:tcPr>
            <w:tcW w:w="40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350,000.00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浙江省广育 报业印务有 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9.96%</w:t>
            </w: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寿光弥河水 务有限公司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19.46%</w:t>
            </w: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安徽时代物 资股份有限 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山东虹桥创 业投资有限 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16.67%</w:t>
            </w: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潍坊新业资 本投资有限 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w:t>
            </w: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上海林嘉纸 电子商务有 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1,400,000.00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1,139,574.47</w:t>
            </w:r>
          </w:p>
        </w:tc>
        <w:tc>
          <w:tcPr>
            <w:tcW w:w="40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1,139,574.47</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w:t>
            </w: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85,850,000.00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11,400,000.00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74,450,000.00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2,589,574.47</w:t>
            </w:r>
          </w:p>
        </w:tc>
        <w:tc>
          <w:tcPr>
            <w:tcW w:w="40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1,139,574.47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1,450,000.00</w:t>
            </w:r>
          </w:p>
        </w:tc>
        <w:tc>
          <w:tcPr>
            <w:tcW w:w="1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2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594"/>
        <w:gridCol w:w="1349"/>
        <w:gridCol w:w="1369"/>
        <w:gridCol w:w="1323"/>
        <w:gridCol w:w="1367"/>
        <w:gridCol w:w="1334"/>
        <w:gridCol w:w="1346"/>
      </w:tblGrid>
      <w:tr>
        <w:trPr>
          <w:trHeight w:val="161" w:hRule="exact"/>
        </w:trPr>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13" w:right="68" w:hanging="540"/>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03" w:right="23"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05" w:right="25"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5" w:right="38" w:hanging="90"/>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4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87" w:right="3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392" w:hRule="exact"/>
        </w:trPr>
        <w:tc>
          <w:tcPr>
            <w:tcW w:w="1594" w:type="dxa"/>
            <w:vMerge/>
            <w:tcBorders>
              <w:left w:val="single" w:sz="4" w:space="0" w:color="000000"/>
              <w:right w:val="single" w:sz="4" w:space="0" w:color="000000"/>
            </w:tcBorders>
            <w:shd w:val="clear" w:color="auto" w:fill="D3D3D3"/>
          </w:tcPr>
          <w:p>
            <w:pPr/>
          </w:p>
        </w:tc>
        <w:tc>
          <w:tcPr>
            <w:tcW w:w="1349" w:type="dxa"/>
            <w:vMerge/>
            <w:tcBorders>
              <w:left w:val="single" w:sz="4" w:space="0" w:color="000000"/>
              <w:right w:val="single" w:sz="4" w:space="0" w:color="000000"/>
            </w:tcBorders>
            <w:shd w:val="clear" w:color="auto" w:fill="D3D3D3"/>
          </w:tcPr>
          <w:p>
            <w:pPr/>
          </w:p>
        </w:tc>
        <w:tc>
          <w:tcPr>
            <w:tcW w:w="1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3" w:type="dxa"/>
            <w:vMerge/>
            <w:tcBorders>
              <w:left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vMerge/>
            <w:tcBorders>
              <w:left w:val="single" w:sz="4" w:space="0" w:color="000000"/>
              <w:right w:val="single" w:sz="4" w:space="0" w:color="000000"/>
            </w:tcBorders>
            <w:shd w:val="clear" w:color="auto" w:fill="D3D3D3"/>
          </w:tcPr>
          <w:p>
            <w:pPr/>
          </w:p>
        </w:tc>
        <w:tc>
          <w:tcPr>
            <w:tcW w:w="1346" w:type="dxa"/>
            <w:vMerge/>
            <w:tcBorders>
              <w:left w:val="single" w:sz="4" w:space="0" w:color="000000"/>
              <w:right w:val="single" w:sz="4" w:space="0" w:color="000000"/>
            </w:tcBorders>
            <w:shd w:val="clear" w:color="auto" w:fill="D3D3D3"/>
          </w:tcPr>
          <w:p>
            <w:pPr/>
          </w:p>
        </w:tc>
      </w:tr>
      <w:tr>
        <w:trPr>
          <w:trHeight w:val="161" w:hRule="exact"/>
        </w:trPr>
        <w:tc>
          <w:tcPr>
            <w:tcW w:w="1594" w:type="dxa"/>
            <w:vMerge/>
            <w:tcBorders>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c>
          <w:tcPr>
            <w:tcW w:w="1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3"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4" w:type="dxa"/>
            <w:vMerge/>
            <w:tcBorders>
              <w:left w:val="single" w:sz="4" w:space="0" w:color="000000"/>
              <w:bottom w:val="single" w:sz="4" w:space="0" w:color="000000"/>
              <w:right w:val="single" w:sz="4" w:space="0" w:color="000000"/>
            </w:tcBorders>
            <w:shd w:val="clear" w:color="auto" w:fill="D3D3D3"/>
          </w:tcPr>
          <w:p>
            <w:pPr/>
          </w:p>
        </w:tc>
        <w:tc>
          <w:tcPr>
            <w:tcW w:w="134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2,589,574.47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1,139,574.47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2,589,574.47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1,139,574.47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47"/>
        <w:jc w:val="left"/>
        <w:rPr>
          <w:b w:val="0"/>
          <w:bCs w:val="0"/>
        </w:rPr>
      </w:pPr>
      <w:r>
        <w:rPr>
          <w:rFonts w:ascii="Times New Roman" w:hAnsi="Times New Roman" w:cs="Times New Roman" w:eastAsia="Times New Roman" w:hint="default"/>
        </w:rPr>
        <w:t>10</w:t>
      </w:r>
      <w:r>
        <w:rPr/>
        <w:t>、长期应收款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374"/>
        <w:gridCol w:w="1429"/>
        <w:gridCol w:w="836"/>
        <w:gridCol w:w="1418"/>
        <w:gridCol w:w="836"/>
        <w:gridCol w:w="835"/>
        <w:gridCol w:w="839"/>
        <w:gridCol w:w="1126"/>
      </w:tblGrid>
      <w:tr>
        <w:trPr>
          <w:trHeight w:val="201" w:hRule="exact"/>
        </w:trPr>
        <w:tc>
          <w:tcPr>
            <w:tcW w:w="2374" w:type="dxa"/>
            <w:tcBorders>
              <w:top w:val="single" w:sz="4" w:space="0" w:color="000000"/>
              <w:left w:val="single" w:sz="4" w:space="0" w:color="000000"/>
              <w:bottom w:val="nil" w:sz="6" w:space="0" w:color="auto"/>
              <w:right w:val="single" w:sz="4" w:space="0" w:color="000000"/>
            </w:tcBorders>
            <w:shd w:val="clear" w:color="auto" w:fill="D3D3D3"/>
          </w:tcPr>
          <w:p>
            <w:pPr/>
          </w:p>
        </w:tc>
        <w:tc>
          <w:tcPr>
            <w:tcW w:w="368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1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2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23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83" w:type="dxa"/>
            <w:gridSpan w:val="3"/>
            <w:vMerge/>
            <w:tcBorders>
              <w:left w:val="single" w:sz="4" w:space="0" w:color="000000"/>
              <w:bottom w:val="single" w:sz="4" w:space="0" w:color="000000"/>
              <w:right w:val="single" w:sz="4" w:space="0" w:color="000000"/>
            </w:tcBorders>
            <w:shd w:val="clear" w:color="auto" w:fill="D3D3D3"/>
          </w:tcPr>
          <w:p>
            <w:pPr/>
          </w:p>
        </w:tc>
        <w:tc>
          <w:tcPr>
            <w:tcW w:w="2510" w:type="dxa"/>
            <w:gridSpan w:val="3"/>
            <w:vMerge/>
            <w:tcBorders>
              <w:left w:val="single" w:sz="4" w:space="0" w:color="000000"/>
              <w:bottom w:val="single" w:sz="4" w:space="0" w:color="000000"/>
              <w:right w:val="single" w:sz="4" w:space="0" w:color="000000"/>
            </w:tcBorders>
            <w:shd w:val="clear" w:color="auto" w:fill="D3D3D3"/>
          </w:tcPr>
          <w:p>
            <w:pPr/>
          </w:p>
        </w:tc>
        <w:tc>
          <w:tcPr>
            <w:tcW w:w="11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1" w:hRule="exact"/>
        </w:trPr>
        <w:tc>
          <w:tcPr>
            <w:tcW w:w="2374" w:type="dxa"/>
            <w:vMerge/>
            <w:tcBorders>
              <w:left w:val="single" w:sz="4" w:space="0" w:color="000000"/>
              <w:bottom w:val="nil" w:sz="6" w:space="0" w:color="auto"/>
              <w:right w:val="single" w:sz="4" w:space="0" w:color="000000"/>
            </w:tcBorders>
            <w:shd w:val="clear" w:color="auto" w:fill="D3D3D3"/>
          </w:tcPr>
          <w:p>
            <w:pPr/>
          </w:p>
        </w:tc>
        <w:tc>
          <w:tcPr>
            <w:tcW w:w="14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8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26"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3D3D3"/>
          </w:tcPr>
          <w:p>
            <w:pPr/>
          </w:p>
        </w:tc>
        <w:tc>
          <w:tcPr>
            <w:tcW w:w="1429" w:type="dxa"/>
            <w:vMerge/>
            <w:tcBorders>
              <w:left w:val="single" w:sz="4" w:space="0" w:color="000000"/>
              <w:bottom w:val="single" w:sz="4" w:space="0" w:color="000000"/>
              <w:right w:val="single" w:sz="4" w:space="0" w:color="000000"/>
            </w:tcBorders>
            <w:shd w:val="clear" w:color="auto" w:fill="D3D3D3"/>
          </w:tcPr>
          <w:p>
            <w:pPr/>
          </w:p>
        </w:tc>
        <w:tc>
          <w:tcPr>
            <w:tcW w:w="836"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836" w:type="dxa"/>
            <w:vMerge/>
            <w:tcBorders>
              <w:left w:val="single" w:sz="4" w:space="0" w:color="000000"/>
              <w:bottom w:val="single" w:sz="4" w:space="0" w:color="000000"/>
              <w:right w:val="single" w:sz="4" w:space="0" w:color="000000"/>
            </w:tcBorders>
            <w:shd w:val="clear" w:color="auto" w:fill="D3D3D3"/>
          </w:tcPr>
          <w:p>
            <w:pPr/>
          </w:p>
        </w:tc>
        <w:tc>
          <w:tcPr>
            <w:tcW w:w="835" w:type="dxa"/>
            <w:vMerge/>
            <w:tcBorders>
              <w:left w:val="single" w:sz="4" w:space="0" w:color="000000"/>
              <w:bottom w:val="single" w:sz="4" w:space="0" w:color="000000"/>
              <w:right w:val="single" w:sz="4" w:space="0" w:color="000000"/>
            </w:tcBorders>
            <w:shd w:val="clear" w:color="auto" w:fill="D3D3D3"/>
          </w:tcPr>
          <w:p>
            <w:pPr/>
          </w:p>
        </w:tc>
        <w:tc>
          <w:tcPr>
            <w:tcW w:w="839"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4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2,419,373,052.30</w:t>
            </w:r>
          </w:p>
        </w:tc>
        <w:tc>
          <w:tcPr>
            <w:tcW w:w="8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2,419,373,052.30</w:t>
            </w:r>
          </w:p>
        </w:tc>
        <w:tc>
          <w:tcPr>
            <w:tcW w:w="8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center"/>
              <w:rPr>
                <w:rFonts w:ascii="Times New Roman" w:hAnsi="Times New Roman" w:cs="Times New Roman" w:eastAsia="Times New Roman" w:hint="default"/>
                <w:sz w:val="18"/>
                <w:szCs w:val="18"/>
              </w:rPr>
            </w:pPr>
            <w:r>
              <w:rPr>
                <w:rFonts w:ascii="Times New Roman"/>
                <w:sz w:val="18"/>
              </w:rPr>
              <w:t>6.15%-8.00%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减：未实现融资收益</w:t>
            </w:r>
          </w:p>
        </w:tc>
        <w:tc>
          <w:tcPr>
            <w:tcW w:w="14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233,036,050.66</w:t>
            </w:r>
          </w:p>
        </w:tc>
        <w:tc>
          <w:tcPr>
            <w:tcW w:w="8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233,036,050.66</w:t>
            </w:r>
          </w:p>
        </w:tc>
        <w:tc>
          <w:tcPr>
            <w:tcW w:w="8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765,738,333.65</w:t>
            </w:r>
          </w:p>
        </w:tc>
        <w:tc>
          <w:tcPr>
            <w:tcW w:w="8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765,738,333.65</w:t>
            </w:r>
          </w:p>
        </w:tc>
        <w:tc>
          <w:tcPr>
            <w:tcW w:w="8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1,420,598,667.99</w:t>
            </w:r>
          </w:p>
        </w:tc>
        <w:tc>
          <w:tcPr>
            <w:tcW w:w="8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1,420,598,667.99</w:t>
            </w:r>
          </w:p>
        </w:tc>
        <w:tc>
          <w:tcPr>
            <w:tcW w:w="8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099"/>
        <w:gridCol w:w="1092"/>
        <w:gridCol w:w="1004"/>
        <w:gridCol w:w="421"/>
        <w:gridCol w:w="1398"/>
        <w:gridCol w:w="668"/>
        <w:gridCol w:w="546"/>
        <w:gridCol w:w="854"/>
        <w:gridCol w:w="545"/>
        <w:gridCol w:w="301"/>
        <w:gridCol w:w="1093"/>
        <w:gridCol w:w="671"/>
      </w:tblGrid>
      <w:tr>
        <w:trPr>
          <w:trHeight w:val="402" w:hRule="exact"/>
        </w:trPr>
        <w:tc>
          <w:tcPr>
            <w:tcW w:w="10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73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9" w:lineRule="auto"/>
              <w:ind w:left="59" w:right="59"/>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6" w:hRule="exact"/>
        </w:trPr>
        <w:tc>
          <w:tcPr>
            <w:tcW w:w="1099" w:type="dxa"/>
            <w:vMerge/>
            <w:tcBorders>
              <w:left w:val="single" w:sz="4" w:space="0" w:color="000000"/>
              <w:bottom w:val="single" w:sz="4" w:space="0" w:color="000000"/>
              <w:right w:val="single" w:sz="4" w:space="0" w:color="000000"/>
            </w:tcBorders>
            <w:shd w:val="clear" w:color="auto" w:fill="D3D3D3"/>
          </w:tcPr>
          <w:p>
            <w:pPr/>
          </w:p>
        </w:tc>
        <w:tc>
          <w:tcPr>
            <w:tcW w:w="1092" w:type="dxa"/>
            <w:vMerge/>
            <w:tcBorders>
              <w:left w:val="single" w:sz="4" w:space="0" w:color="000000"/>
              <w:bottom w:val="single" w:sz="4" w:space="0" w:color="000000"/>
              <w:right w:val="single" w:sz="4" w:space="0" w:color="000000"/>
            </w:tcBorders>
            <w:shd w:val="clear" w:color="auto" w:fill="D3D3D3"/>
          </w:tcPr>
          <w:p>
            <w:pPr/>
          </w:p>
        </w:tc>
        <w:tc>
          <w:tcPr>
            <w:tcW w:w="1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4"/>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3" w:right="62" w:hanging="270"/>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6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 w:right="59"/>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7" w:right="86"/>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2" w:right="60"/>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6" w:right="8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6" w:right="53"/>
              <w:jc w:val="left"/>
              <w:rPr>
                <w:rFonts w:ascii="宋体" w:hAnsi="宋体" w:cs="宋体" w:eastAsia="宋体" w:hint="default"/>
                <w:sz w:val="18"/>
                <w:szCs w:val="18"/>
              </w:rPr>
            </w:pPr>
            <w:r>
              <w:rPr>
                <w:rFonts w:ascii="宋体" w:hAnsi="宋体" w:cs="宋体" w:eastAsia="宋体" w:hint="default"/>
                <w:sz w:val="18"/>
                <w:szCs w:val="18"/>
              </w:rPr>
              <w:t>其 他</w:t>
            </w:r>
          </w:p>
        </w:tc>
        <w:tc>
          <w:tcPr>
            <w:tcW w:w="1093" w:type="dxa"/>
            <w:vMerge/>
            <w:tcBorders>
              <w:left w:val="single" w:sz="4" w:space="0" w:color="000000"/>
              <w:bottom w:val="single" w:sz="4" w:space="0" w:color="000000"/>
              <w:right w:val="single" w:sz="4" w:space="0" w:color="000000"/>
            </w:tcBorders>
            <w:shd w:val="clear" w:color="auto" w:fill="D3D3D3"/>
          </w:tcPr>
          <w:p>
            <w:pPr/>
          </w:p>
        </w:tc>
        <w:tc>
          <w:tcPr>
            <w:tcW w:w="67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69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寿光晨鸣汇 森新型建材 有限公司</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3,000,000.00</w:t>
            </w:r>
          </w:p>
        </w:tc>
        <w:tc>
          <w:tcPr>
            <w:tcW w:w="421"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-212.02</w:t>
            </w:r>
          </w:p>
        </w:tc>
        <w:tc>
          <w:tcPr>
            <w:tcW w:w="668"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2,999,787.98</w:t>
            </w:r>
          </w:p>
        </w:tc>
        <w:tc>
          <w:tcPr>
            <w:tcW w:w="6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2" w:type="dxa"/>
            <w:tcBorders>
              <w:top w:val="single" w:sz="4" w:space="0" w:color="000000"/>
              <w:left w:val="single" w:sz="13" w:space="0" w:color="D3D3D3"/>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3,000,000.00</w:t>
            </w:r>
          </w:p>
        </w:tc>
        <w:tc>
          <w:tcPr>
            <w:tcW w:w="421"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-212.02</w:t>
            </w:r>
          </w:p>
        </w:tc>
        <w:tc>
          <w:tcPr>
            <w:tcW w:w="668"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2,999,787.98</w:t>
            </w:r>
          </w:p>
        </w:tc>
        <w:tc>
          <w:tcPr>
            <w:tcW w:w="6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9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阿尔诺维根 斯晨鸣特种 纸有限公司</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江西江报传 媒彩印有限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4,745,182.75</w:t>
            </w:r>
          </w:p>
        </w:tc>
        <w:tc>
          <w:tcPr>
            <w:tcW w:w="1004"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-82,396.16</w:t>
            </w:r>
          </w:p>
        </w:tc>
        <w:tc>
          <w:tcPr>
            <w:tcW w:w="668"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4,662,786.59</w:t>
            </w:r>
          </w:p>
        </w:tc>
        <w:tc>
          <w:tcPr>
            <w:tcW w:w="67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武汉晨鸣万 兴置业有限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27,471,606.58</w:t>
            </w:r>
          </w:p>
        </w:tc>
        <w:tc>
          <w:tcPr>
            <w:tcW w:w="1004"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-4,861,312.71</w:t>
            </w:r>
          </w:p>
        </w:tc>
        <w:tc>
          <w:tcPr>
            <w:tcW w:w="668"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22,610,293.87</w:t>
            </w:r>
          </w:p>
        </w:tc>
        <w:tc>
          <w:tcPr>
            <w:tcW w:w="67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江西晨鸣港 务有限公司</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6,028,000.00</w:t>
            </w:r>
          </w:p>
        </w:tc>
        <w:tc>
          <w:tcPr>
            <w:tcW w:w="421"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-213,020.32</w:t>
            </w:r>
          </w:p>
        </w:tc>
        <w:tc>
          <w:tcPr>
            <w:tcW w:w="668"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5,814,979.68</w:t>
            </w:r>
          </w:p>
        </w:tc>
        <w:tc>
          <w:tcPr>
            <w:tcW w:w="6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32,216,789.33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6,028,000.00</w:t>
            </w:r>
          </w:p>
        </w:tc>
        <w:tc>
          <w:tcPr>
            <w:tcW w:w="421"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-5,156,729.19</w:t>
            </w:r>
          </w:p>
        </w:tc>
        <w:tc>
          <w:tcPr>
            <w:tcW w:w="668"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33,088,060.14</w:t>
            </w:r>
          </w:p>
        </w:tc>
        <w:tc>
          <w:tcPr>
            <w:tcW w:w="6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32,216,789.33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9,028,000.00</w:t>
            </w:r>
          </w:p>
        </w:tc>
        <w:tc>
          <w:tcPr>
            <w:tcW w:w="421"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-5,156,941.21</w:t>
            </w:r>
          </w:p>
        </w:tc>
        <w:tc>
          <w:tcPr>
            <w:tcW w:w="668"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36,087,848.12</w:t>
            </w:r>
          </w:p>
        </w:tc>
        <w:tc>
          <w:tcPr>
            <w:tcW w:w="6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right="147"/>
        <w:jc w:val="left"/>
      </w:pPr>
      <w:r>
        <w:rPr/>
        <w:t>注：本公司所有长期股权投资均为非上市公司。</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47"/>
        <w:jc w:val="left"/>
        <w:rPr>
          <w:b w:val="0"/>
          <w:bCs w:val="0"/>
        </w:rPr>
      </w:pPr>
      <w:r>
        <w:rPr>
          <w:rFonts w:ascii="Times New Roman" w:hAnsi="Times New Roman" w:cs="Times New Roman" w:eastAsia="Times New Roman" w:hint="default"/>
        </w:rPr>
        <w:t>12</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7"/>
        <w:jc w:val="left"/>
      </w:pPr>
      <w:r>
        <w:rPr/>
        <w:t>√ 适用 □ 不适用</w:t>
      </w:r>
    </w:p>
    <w:p>
      <w:pPr>
        <w:pStyle w:val="BodyText"/>
        <w:spacing w:line="240" w:lineRule="auto" w:before="116"/>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13"/>
        <w:gridCol w:w="1953"/>
        <w:gridCol w:w="1938"/>
        <w:gridCol w:w="1939"/>
        <w:gridCol w:w="1939"/>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53" w:type="dxa"/>
            <w:tcBorders>
              <w:top w:val="single" w:sz="4" w:space="0" w:color="000000"/>
              <w:left w:val="single" w:sz="13" w:space="0" w:color="D3D3D3"/>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38,291,395.70</w:t>
            </w: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38,291,395.70</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期末余额</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38,291,395.70</w:t>
            </w: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38,291,395.70</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9"/>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53" w:type="dxa"/>
            <w:tcBorders>
              <w:top w:val="single" w:sz="4" w:space="0" w:color="000000"/>
              <w:left w:val="single" w:sz="13" w:space="0" w:color="D3D3D3"/>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18,817,951.75</w:t>
            </w: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18,817,951.75</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1,738,256.04</w:t>
            </w: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1,738,256.04</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1,738,256.04</w:t>
            </w: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1,738,256.04</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期末余额</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20,556,207.79</w:t>
            </w: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20,556,207.79</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三、账面价值</w:t>
            </w:r>
          </w:p>
        </w:tc>
        <w:tc>
          <w:tcPr>
            <w:tcW w:w="1953" w:type="dxa"/>
            <w:tcBorders>
              <w:top w:val="single" w:sz="4" w:space="0" w:color="000000"/>
              <w:left w:val="single" w:sz="13" w:space="0" w:color="D3D3D3"/>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17,735,187.91</w:t>
            </w: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17,735,187.91</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19,473,443.95</w:t>
            </w: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19,473,443.95</w:t>
            </w:r>
          </w:p>
        </w:tc>
      </w:tr>
    </w:tbl>
    <w:p>
      <w:pPr>
        <w:pStyle w:val="BodyText"/>
        <w:spacing w:line="240" w:lineRule="auto" w:before="10"/>
        <w:ind w:left="514" w:right="147"/>
        <w:jc w:val="left"/>
      </w:pPr>
      <w:r>
        <w:rPr/>
        <w:t>注：本公司所有投资性房地产均为中期租赁，租期为</w:t>
      </w:r>
      <w:r>
        <w:rPr>
          <w:rFonts w:ascii="Times New Roman" w:hAnsi="Times New Roman" w:cs="Times New Roman" w:eastAsia="Times New Roman" w:hint="default"/>
        </w:rPr>
        <w:t>2-3</w:t>
      </w:r>
      <w:r>
        <w:rPr/>
        <w:t>年。</w:t>
      </w:r>
    </w:p>
    <w:p>
      <w:pPr>
        <w:spacing w:line="240" w:lineRule="auto" w:before="11"/>
        <w:rPr>
          <w:rFonts w:ascii="宋体" w:hAnsi="宋体" w:cs="宋体" w:eastAsia="宋体" w:hint="default"/>
          <w:sz w:val="25"/>
          <w:szCs w:val="25"/>
        </w:rPr>
      </w:pPr>
    </w:p>
    <w:p>
      <w:pPr>
        <w:pStyle w:val="Heading4"/>
        <w:spacing w:line="240" w:lineRule="auto"/>
        <w:ind w:right="147"/>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057"/>
        <w:gridCol w:w="1328"/>
        <w:gridCol w:w="1405"/>
        <w:gridCol w:w="1182"/>
        <w:gridCol w:w="1181"/>
        <w:gridCol w:w="1123"/>
        <w:gridCol w:w="1406"/>
      </w:tblGrid>
      <w:tr>
        <w:trPr>
          <w:trHeight w:val="401" w:hRule="exact"/>
        </w:trPr>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28" w:type="dxa"/>
            <w:tcBorders>
              <w:top w:val="single" w:sz="4" w:space="0" w:color="000000"/>
              <w:left w:val="single" w:sz="13" w:space="0" w:color="D3D3D3"/>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4,508,882,260.10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25,039,823,011.26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442,704,931.03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304,526,351.37</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30,295,936,553.76</w:t>
            </w:r>
          </w:p>
        </w:tc>
      </w:tr>
      <w:tr>
        <w:trPr>
          <w:trHeight w:val="402" w:hRule="exact"/>
        </w:trPr>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1,027,505,895.03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4,091,281,839.60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5,638,240.46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69,925,747.23</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5,194,351,722.32</w:t>
            </w:r>
          </w:p>
        </w:tc>
      </w:tr>
      <w:tr>
        <w:trPr>
          <w:trHeight w:val="402" w:hRule="exact"/>
        </w:trPr>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28" w:type="dxa"/>
            <w:tcBorders>
              <w:top w:val="single" w:sz="4" w:space="0" w:color="000000"/>
              <w:left w:val="single" w:sz="13" w:space="0" w:color="D3D3D3"/>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77,764,046.54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5,638,240.46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69,925,747.23</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153,328,034.23</w:t>
            </w:r>
          </w:p>
        </w:tc>
      </w:tr>
      <w:tr>
        <w:trPr>
          <w:trHeight w:val="402" w:hRule="exact"/>
        </w:trPr>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）在建工程转入</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1,027,505,895.03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4,013,517,793.06</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5,041,023,688.09</w:t>
            </w:r>
          </w:p>
        </w:tc>
      </w:tr>
      <w:tr>
        <w:trPr>
          <w:trHeight w:val="402" w:hRule="exact"/>
        </w:trPr>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113,232,219.36</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191,996,234.72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9,997,655.42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100,445,445.05</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415,671,554.55</w:t>
            </w:r>
          </w:p>
        </w:tc>
      </w:tr>
      <w:tr>
        <w:trPr>
          <w:trHeight w:val="402" w:hRule="exact"/>
        </w:trPr>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69,621,402.53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23,188,683.31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6,449,514.08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14,574,857.22</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113,834,457.14</w:t>
            </w:r>
          </w:p>
        </w:tc>
      </w:tr>
      <w:tr>
        <w:trPr>
          <w:trHeight w:val="402"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43,610,816.83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168,807,551.41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3,548,141.34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85,870,587.83</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301,837,097.41</w:t>
            </w:r>
          </w:p>
        </w:tc>
      </w:tr>
      <w:tr>
        <w:trPr>
          <w:trHeight w:val="402" w:hRule="exact"/>
        </w:trPr>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5,423,155,935.77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28,939,108,616.14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438,345,516.07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274,006,653.55</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35,074,616,721.53</w:t>
            </w:r>
          </w:p>
        </w:tc>
      </w:tr>
      <w:tr>
        <w:trPr>
          <w:trHeight w:val="402" w:hRule="exact"/>
        </w:trPr>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28"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080"/>
        <w:gridCol w:w="1316"/>
        <w:gridCol w:w="1405"/>
        <w:gridCol w:w="1182"/>
        <w:gridCol w:w="1181"/>
        <w:gridCol w:w="1123"/>
        <w:gridCol w:w="1406"/>
      </w:tblGrid>
      <w:tr>
        <w:trPr>
          <w:trHeight w:val="402" w:hRule="exact"/>
        </w:trPr>
        <w:tc>
          <w:tcPr>
            <w:tcW w:w="2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800,489,520.08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7,953,125,359.88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204,197,993.67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130,256,191.74</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9,088,069,065.37</w:t>
            </w:r>
          </w:p>
        </w:tc>
      </w:tr>
      <w:tr>
        <w:trPr>
          <w:trHeight w:val="402" w:hRule="exact"/>
        </w:trPr>
        <w:tc>
          <w:tcPr>
            <w:tcW w:w="2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144,222,169.04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1,206,336,231.67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24,355,672.93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25,844,754.01</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1,400,758,827.65</w:t>
            </w:r>
          </w:p>
        </w:tc>
      </w:tr>
      <w:tr>
        <w:trPr>
          <w:trHeight w:val="402" w:hRule="exact"/>
        </w:trPr>
        <w:tc>
          <w:tcPr>
            <w:tcW w:w="2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144,222,169.04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1,206,336,231.67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24,355,672.93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25,844,754.01</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1,400,758,827.65</w:t>
            </w:r>
          </w:p>
        </w:tc>
      </w:tr>
      <w:tr>
        <w:trPr>
          <w:trHeight w:val="402" w:hRule="exact"/>
        </w:trPr>
        <w:tc>
          <w:tcPr>
            <w:tcW w:w="2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15,356,404.80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119,292,070.49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5,970,986.14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44,543,415.10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185,162,876.53</w:t>
            </w:r>
          </w:p>
        </w:tc>
      </w:tr>
      <w:tr>
        <w:trPr>
          <w:trHeight w:val="402" w:hRule="exact"/>
        </w:trPr>
        <w:tc>
          <w:tcPr>
            <w:tcW w:w="2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735,502.60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9,117,881.43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5,961,609.64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8,014,293.52</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23,829,287.19</w:t>
            </w:r>
          </w:p>
        </w:tc>
      </w:tr>
      <w:tr>
        <w:trPr>
          <w:trHeight w:val="402" w:hRule="exact"/>
        </w:trPr>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14,620,902.20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110,174,189.06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9,376.50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36,529,121.58</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161,333,589.34</w:t>
            </w:r>
          </w:p>
        </w:tc>
      </w:tr>
      <w:tr>
        <w:trPr>
          <w:trHeight w:val="402" w:hRule="exact"/>
        </w:trPr>
        <w:tc>
          <w:tcPr>
            <w:tcW w:w="2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期末余额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929,355,284.32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9,040,169,521.06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222,582,680.46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111,557,530.65</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10,303,665,016.49</w:t>
            </w:r>
          </w:p>
        </w:tc>
      </w:tr>
      <w:tr>
        <w:trPr>
          <w:trHeight w:val="402" w:hRule="exact"/>
        </w:trPr>
        <w:tc>
          <w:tcPr>
            <w:tcW w:w="2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1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26,220,000.00</w:t>
            </w:r>
          </w:p>
        </w:tc>
        <w:tc>
          <w:tcPr>
            <w:tcW w:w="140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26,220,000.00</w:t>
            </w:r>
          </w:p>
        </w:tc>
      </w:tr>
      <w:tr>
        <w:trPr>
          <w:trHeight w:val="402" w:hRule="exact"/>
        </w:trPr>
        <w:tc>
          <w:tcPr>
            <w:tcW w:w="2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期末余额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26,220,000.00</w:t>
            </w:r>
          </w:p>
        </w:tc>
        <w:tc>
          <w:tcPr>
            <w:tcW w:w="140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26,220,000.00</w:t>
            </w:r>
          </w:p>
        </w:tc>
      </w:tr>
      <w:tr>
        <w:trPr>
          <w:trHeight w:val="402" w:hRule="exact"/>
        </w:trPr>
        <w:tc>
          <w:tcPr>
            <w:tcW w:w="2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1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4,467,580,651.45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19,898,939,095.08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215,762,835.61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162,449,122.90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24,744,731,705.04</w:t>
            </w:r>
          </w:p>
        </w:tc>
      </w:tr>
      <w:tr>
        <w:trPr>
          <w:trHeight w:val="402" w:hRule="exact"/>
        </w:trPr>
        <w:tc>
          <w:tcPr>
            <w:tcW w:w="2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3,682,172,740.02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17,086,697,651.38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238,506,937.36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174,270,159.63</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21,181,647,488.39</w:t>
            </w:r>
          </w:p>
        </w:tc>
      </w:tr>
    </w:tbl>
    <w:p>
      <w:pPr>
        <w:pStyle w:val="BodyText"/>
        <w:spacing w:line="300" w:lineRule="auto" w:before="10"/>
        <w:ind w:left="153" w:right="141" w:firstLine="360"/>
        <w:jc w:val="both"/>
      </w:pPr>
      <w:r>
        <w:rPr/>
        <w:t>注：于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日，账面价值约为</w:t>
      </w:r>
      <w:r>
        <w:rPr>
          <w:rFonts w:ascii="Times New Roman" w:hAnsi="Times New Roman" w:cs="Times New Roman" w:eastAsia="Times New Roman" w:hint="default"/>
        </w:rPr>
        <w:t>4,762,682,480.74</w:t>
      </w:r>
      <w:r>
        <w:rPr/>
        <w:t>（原值</w:t>
      </w:r>
      <w:r>
        <w:rPr>
          <w:rFonts w:ascii="Times New Roman" w:hAnsi="Times New Roman" w:cs="Times New Roman" w:eastAsia="Times New Roman" w:hint="default"/>
        </w:rPr>
        <w:t>5,587,497,769.23</w:t>
      </w:r>
      <w:r>
        <w:rPr/>
        <w:t>元）的房屋、建筑物及设备（</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 </w:t>
      </w:r>
      <w:r>
        <w:rPr>
          <w:spacing w:val="3"/>
        </w:rPr>
        <w:t>月</w:t>
      </w:r>
      <w:r>
        <w:rPr>
          <w:rFonts w:ascii="Times New Roman" w:hAnsi="Times New Roman" w:cs="Times New Roman" w:eastAsia="Times New Roman" w:hint="default"/>
          <w:spacing w:val="3"/>
        </w:rPr>
        <w:t>31</w:t>
      </w:r>
      <w:r>
        <w:rPr>
          <w:spacing w:val="3"/>
        </w:rPr>
        <w:t>日：账面价值</w:t>
      </w:r>
      <w:r>
        <w:rPr>
          <w:rFonts w:ascii="Times New Roman" w:hAnsi="Times New Roman" w:cs="Times New Roman" w:eastAsia="Times New Roman" w:hint="default"/>
          <w:spacing w:val="3"/>
        </w:rPr>
        <w:t>6,096,739,906.27</w:t>
      </w:r>
      <w:r>
        <w:rPr>
          <w:spacing w:val="3"/>
        </w:rPr>
        <w:t>元、原值</w:t>
      </w:r>
      <w:r>
        <w:rPr>
          <w:rFonts w:ascii="Times New Roman" w:hAnsi="Times New Roman" w:cs="Times New Roman" w:eastAsia="Times New Roman" w:hint="default"/>
          <w:spacing w:val="3"/>
        </w:rPr>
        <w:t>6,696,658,597.87</w:t>
      </w:r>
      <w:r>
        <w:rPr>
          <w:spacing w:val="3"/>
        </w:rPr>
        <w:t>元）作为</w:t>
      </w:r>
      <w:r>
        <w:rPr>
          <w:rFonts w:ascii="Times New Roman" w:hAnsi="Times New Roman" w:cs="Times New Roman" w:eastAsia="Times New Roman" w:hint="default"/>
          <w:spacing w:val="3"/>
        </w:rPr>
        <w:t>2,520,707,400.00</w:t>
      </w:r>
      <w:r>
        <w:rPr>
          <w:spacing w:val="3"/>
        </w:rPr>
        <w:t>元的长期借款（</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spacing w:val="-78"/>
        </w:rPr>
        <w:t> </w:t>
      </w:r>
      <w:r>
        <w:rPr>
          <w:rFonts w:ascii="Times New Roman" w:hAnsi="Times New Roman" w:cs="Times New Roman" w:eastAsia="Times New Roman" w:hint="default"/>
        </w:rPr>
        <w:t>2,784,334,971.96</w:t>
      </w:r>
      <w:r>
        <w:rPr/>
        <w:t>元）和</w:t>
      </w:r>
      <w:r>
        <w:rPr>
          <w:rFonts w:ascii="Times New Roman" w:hAnsi="Times New Roman" w:cs="Times New Roman" w:eastAsia="Times New Roman" w:hint="default"/>
        </w:rPr>
        <w:t>269,980,900.00</w:t>
      </w:r>
      <w:r>
        <w:rPr/>
        <w:t>元的一年内到期的长期借款（</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269,313,900.00</w:t>
      </w:r>
      <w:r>
        <w:rPr/>
        <w:t>元）的抵押物。</w:t>
      </w:r>
    </w:p>
    <w:p>
      <w:pPr>
        <w:spacing w:line="240" w:lineRule="auto" w:before="1"/>
        <w:rPr>
          <w:rFonts w:ascii="宋体" w:hAnsi="宋体" w:cs="宋体" w:eastAsia="宋体" w:hint="default"/>
          <w:sz w:val="22"/>
          <w:szCs w:val="22"/>
        </w:rPr>
      </w:pPr>
    </w:p>
    <w:p>
      <w:pPr>
        <w:pStyle w:val="Heading4"/>
        <w:spacing w:line="240" w:lineRule="auto"/>
        <w:ind w:right="147"/>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17,543,318.35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1,851,444.61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15,691,873.74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59,287,663.46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3,672,169.28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55,615,494.18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76,830,981.81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5,523,613.89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71,307,367.92</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7" w:right="0"/>
              <w:jc w:val="left"/>
              <w:rPr>
                <w:rFonts w:ascii="宋体" w:hAnsi="宋体" w:cs="宋体" w:eastAsia="宋体" w:hint="default"/>
                <w:sz w:val="18"/>
                <w:szCs w:val="18"/>
              </w:rPr>
            </w:pPr>
            <w:r>
              <w:rPr>
                <w:rFonts w:ascii="宋体" w:hAnsi="宋体" w:cs="宋体" w:eastAsia="宋体" w:hint="default"/>
                <w:sz w:val="18"/>
                <w:szCs w:val="18"/>
              </w:rPr>
              <w:t>房产所属公司</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197,325,014.94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美伦纸业有限公司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776,245,121.12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719,955,999.42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476,518,905.54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43,808,108.10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15,691,873.74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2,229,545,022.86</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47"/>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pict>
          <v:group style="position:absolute;margin-left:210.720001pt;margin-top:95.062042pt;width:64.4pt;height:20.7pt;mso-position-horizontal-relative:page;mso-position-vertical-relative:paragraph;z-index:-1128856" coordorigin="4214,1901" coordsize="1288,414">
            <v:group style="position:absolute;left:4226;top:1913;width:2;height:392" coordorigin="4226,1913" coordsize="2,392">
              <v:shape style="position:absolute;left:4226;top:1913;width:2;height:392" coordorigin="4226,1913" coordsize="0,392" path="m4226,1913l4226,2304e" filled="false" stroked="true" strokeweight="1.140pt" strokecolor="#ffffff">
                <v:path arrowok="t"/>
              </v:shape>
            </v:group>
            <v:group style="position:absolute;left:4237;top:1911;width:1265;height:393" coordorigin="4237,1911" coordsize="1265,393">
              <v:shape style="position:absolute;left:4237;top:1911;width:1265;height:393" coordorigin="4237,1911" coordsize="1265,393" path="m4237,2304l5502,2304,5502,1911,4237,1911,4237,2304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103"/>
        <w:gridCol w:w="115"/>
        <w:gridCol w:w="1205"/>
        <w:gridCol w:w="655"/>
        <w:gridCol w:w="1320"/>
        <w:gridCol w:w="1320"/>
        <w:gridCol w:w="655"/>
        <w:gridCol w:w="1320"/>
      </w:tblGrid>
      <w:tr>
        <w:trPr>
          <w:trHeight w:val="402" w:hRule="exact"/>
        </w:trPr>
        <w:tc>
          <w:tcPr>
            <w:tcW w:w="31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9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03" w:type="dxa"/>
            <w:vMerge/>
            <w:tcBorders>
              <w:left w:val="single" w:sz="4" w:space="0" w:color="000000"/>
              <w:bottom w:val="single" w:sz="4" w:space="0" w:color="000000"/>
              <w:right w:val="single" w:sz="4" w:space="0" w:color="000000"/>
            </w:tcBorders>
            <w:shd w:val="clear" w:color="auto" w:fill="D3D3D3"/>
          </w:tcPr>
          <w:p>
            <w:pPr/>
          </w:p>
        </w:tc>
        <w:tc>
          <w:tcPr>
            <w:tcW w:w="1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铁路项目（母公司）</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223,918,721.46</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223,918,721.46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67,825,111.06</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67,825,111.06</w:t>
            </w: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电厂脱硫脱硝除尘项目（母公司、美伦</w:t>
            </w:r>
          </w:p>
        </w:tc>
        <w:tc>
          <w:tcPr>
            <w:tcW w:w="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140,526,292.16</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140,526,292.16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37,830,000.00</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37,830,000.00</w:t>
            </w: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生物质气化炉项目（湛江晨鸣）</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113,499,021.38</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113,499,021.38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10,900,564.87</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10,900,564.87</w:t>
            </w: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新建小裁纸车间（湛江晨鸣）</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94,353,419.69</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94,353,419.69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9,072,406.97</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9,072,406.97</w:t>
            </w:r>
          </w:p>
        </w:tc>
      </w:tr>
      <w:tr>
        <w:trPr>
          <w:trHeight w:val="714"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万吨木浆设备升级改造项目（湛江晨</w:t>
            </w:r>
            <w:r>
              <w:rPr>
                <w:rFonts w:ascii="宋体" w:hAnsi="宋体" w:cs="宋体" w:eastAsia="宋体" w:hint="default"/>
                <w:sz w:val="18"/>
                <w:szCs w:val="18"/>
              </w:rPr>
              <w:t> 鸣）</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142,846,027.30</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142,846,027.30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186,749,656.36</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186,749,656.36</w:t>
            </w: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万吨纸杯原纸项目（湛江晨鸣）</w:t>
            </w:r>
          </w:p>
        </w:tc>
        <w:tc>
          <w:tcPr>
            <w:tcW w:w="1320" w:type="dxa"/>
            <w:gridSpan w:val="2"/>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375,950,872.01</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375,950,872.01</w:t>
            </w: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万吨高级文化纸项目（湛江晨鸣）</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950,143,385.07</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950,143,385.07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284,958,974.38</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284,958,974.38</w:t>
            </w: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MVR+</w:t>
            </w:r>
            <w:r>
              <w:rPr>
                <w:rFonts w:ascii="宋体" w:hAnsi="宋体" w:cs="宋体" w:eastAsia="宋体" w:hint="default"/>
                <w:sz w:val="18"/>
                <w:szCs w:val="18"/>
              </w:rPr>
              <w:t>多效蒸发站项目（湛江晨鸣）</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29,259,003.60</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29,259,003.60</w:t>
            </w:r>
          </w:p>
        </w:tc>
        <w:tc>
          <w:tcPr>
            <w:tcW w:w="132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天机械浆项目（湛江晨鸣）</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28,937,113.23</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28,937,113.23</w:t>
            </w:r>
          </w:p>
        </w:tc>
        <w:tc>
          <w:tcPr>
            <w:tcW w:w="132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砖厂项目（吉林晨鸣）</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33,526,397.51</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33,526,397.51</w:t>
            </w:r>
          </w:p>
        </w:tc>
        <w:tc>
          <w:tcPr>
            <w:tcW w:w="132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纸机压榨部改造（江西晨鸣）</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13,990,230.09</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13,990,230.09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62,598,886.06</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62,598,886.06</w:t>
            </w: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食品包装纸项目（江西晨鸣）</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919,552,099.41</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919,552,099.41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122,625,351.96</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122,625,351.96</w:t>
            </w: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BTMP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改造项目（江西晨鸣）</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41,214,162.60</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41,214,162.60</w:t>
            </w:r>
          </w:p>
        </w:tc>
        <w:tc>
          <w:tcPr>
            <w:tcW w:w="132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中段水改造项目（江西晨鸣）</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16,903,145.03</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16,903,145.03</w:t>
            </w:r>
          </w:p>
        </w:tc>
        <w:tc>
          <w:tcPr>
            <w:tcW w:w="132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二厂新增生活纸机生产线改造工程（武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汉晨鸣）</w:t>
            </w:r>
          </w:p>
        </w:tc>
        <w:tc>
          <w:tcPr>
            <w:tcW w:w="1320" w:type="dxa"/>
            <w:gridSpan w:val="2"/>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445,631,740.09</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445,631,740.09</w:t>
            </w: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特种纸技术改造工程（武汉晨鸣）</w:t>
            </w:r>
          </w:p>
        </w:tc>
        <w:tc>
          <w:tcPr>
            <w:tcW w:w="1320" w:type="dxa"/>
            <w:gridSpan w:val="2"/>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185,261,723.30</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185,261,723.30</w:t>
            </w: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脱硝工程（乾能热电）</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41,968,651.72</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41,968,651.72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7,600,000.00</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7,600,000.00</w:t>
            </w: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吉林迁建（吉林晨鸣）</w:t>
            </w:r>
          </w:p>
        </w:tc>
        <w:tc>
          <w:tcPr>
            <w:tcW w:w="1320" w:type="dxa"/>
            <w:gridSpan w:val="2"/>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2,218,570,285.48</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2,218,570,285.48</w:t>
            </w: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菱镁矿开采（海城海鸣）</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474,178,142.31</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474,178,142.31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463,059,536.30</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463,059,536.30</w:t>
            </w: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美伦造纸添加剂项目（寿光美伦）</w:t>
            </w:r>
          </w:p>
        </w:tc>
        <w:tc>
          <w:tcPr>
            <w:tcW w:w="1320" w:type="dxa"/>
            <w:gridSpan w:val="2"/>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339,261,614.70</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339,261,614.70</w:t>
            </w: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热敏纸改造项目（寿光美术纸）</w:t>
            </w:r>
          </w:p>
        </w:tc>
        <w:tc>
          <w:tcPr>
            <w:tcW w:w="1320" w:type="dxa"/>
            <w:gridSpan w:val="2"/>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208,582,395.43</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208,582,395.43</w:t>
            </w: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林浆一体化项目（黄冈晨鸣）</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319,549,872.05</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319,549,872.05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130,795,345.46</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130,795,345.46</w:t>
            </w:r>
          </w:p>
        </w:tc>
      </w:tr>
      <w:tr>
        <w:trPr>
          <w:trHeight w:val="40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124,905,143.92</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124,905,143.92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108,757,353.17</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108,757,353.17</w:t>
            </w:r>
          </w:p>
        </w:tc>
      </w:tr>
      <w:tr>
        <w:trPr>
          <w:trHeight w:val="403" w:hRule="exact"/>
        </w:trPr>
        <w:tc>
          <w:tcPr>
            <w:tcW w:w="3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3,709,270,828.53</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3,709,270,828.53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5,266,031,817.60</w:t>
            </w:r>
          </w:p>
        </w:tc>
        <w:tc>
          <w:tcPr>
            <w:tcW w:w="65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5,266,031,817.60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预算数</w:t>
            </w:r>
          </w:p>
          <w:p>
            <w:pPr>
              <w:pStyle w:val="TableParagraph"/>
              <w:spacing w:line="240" w:lineRule="auto" w:before="77"/>
              <w:ind w:left="22" w:right="-17"/>
              <w:jc w:val="left"/>
              <w:rPr>
                <w:rFonts w:ascii="宋体" w:hAnsi="宋体" w:cs="宋体" w:eastAsia="宋体" w:hint="default"/>
                <w:sz w:val="18"/>
                <w:szCs w:val="18"/>
              </w:rPr>
            </w:pPr>
            <w:r>
              <w:rPr>
                <w:rFonts w:ascii="宋体" w:hAnsi="宋体" w:cs="宋体" w:eastAsia="宋体" w:hint="default"/>
                <w:sz w:val="18"/>
                <w:szCs w:val="18"/>
              </w:rPr>
              <w:t>（亿元）</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铁路项 </w:t>
            </w:r>
            <w:r>
              <w:rPr>
                <w:rFonts w:ascii="宋体" w:hAnsi="宋体" w:cs="宋体" w:eastAsia="宋体" w:hint="default"/>
                <w:spacing w:val="-12"/>
                <w:sz w:val="18"/>
                <w:szCs w:val="18"/>
              </w:rPr>
              <w:t>目（母公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67,825,1</w:t>
            </w:r>
          </w:p>
          <w:p>
            <w:pPr>
              <w:pStyle w:val="TableParagraph"/>
              <w:spacing w:line="240" w:lineRule="auto" w:before="106"/>
              <w:ind w:left="306" w:right="0"/>
              <w:jc w:val="left"/>
              <w:rPr>
                <w:rFonts w:ascii="Times New Roman" w:hAnsi="Times New Roman" w:cs="Times New Roman" w:eastAsia="Times New Roman" w:hint="default"/>
                <w:sz w:val="18"/>
                <w:szCs w:val="18"/>
              </w:rPr>
            </w:pPr>
            <w:r>
              <w:rPr>
                <w:rFonts w:ascii="Times New Roman"/>
                <w:sz w:val="18"/>
              </w:rPr>
              <w:t>11.06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156,093,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610.40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223,918,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721.46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7,787,63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6,511,16</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6.14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电厂脱 硫脱硝 除尘项 </w:t>
            </w:r>
            <w:r>
              <w:rPr>
                <w:rFonts w:ascii="宋体" w:hAnsi="宋体" w:cs="宋体" w:eastAsia="宋体" w:hint="default"/>
                <w:spacing w:val="-12"/>
                <w:sz w:val="18"/>
                <w:szCs w:val="18"/>
              </w:rPr>
              <w:t>目（母公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司、美 伦）</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37,830,0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143,346,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509.86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40,650,2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17.70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140,526,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292.16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3,952,83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3,952,83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生物质 气化炉 </w:t>
            </w:r>
            <w:r>
              <w:rPr>
                <w:rFonts w:ascii="宋体" w:hAnsi="宋体" w:cs="宋体" w:eastAsia="宋体" w:hint="default"/>
                <w:spacing w:val="-12"/>
                <w:sz w:val="18"/>
                <w:szCs w:val="18"/>
              </w:rPr>
              <w:t>项目（湛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江晨鸣）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10,900,5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64.87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102,598,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456.51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113,499,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021.38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1,243,71</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1,243,71</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2" w:right="91" w:hanging="90"/>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新建小 裁纸车 </w:t>
            </w:r>
            <w:r>
              <w:rPr>
                <w:rFonts w:ascii="宋体" w:hAnsi="宋体" w:cs="宋体" w:eastAsia="宋体" w:hint="default"/>
                <w:spacing w:val="-12"/>
                <w:sz w:val="18"/>
                <w:szCs w:val="18"/>
              </w:rPr>
              <w:t>间（湛江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w w:val="95"/>
                <w:sz w:val="18"/>
              </w:rPr>
              <w:t>1.11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9,072,40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85,281,0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12.72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94,353,4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19.69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405,359.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405,359.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2" w:right="91" w:hanging="90"/>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 木浆设 备升级 改造项 </w:t>
            </w:r>
            <w:r>
              <w:rPr>
                <w:rFonts w:ascii="宋体" w:hAnsi="宋体" w:cs="宋体" w:eastAsia="宋体" w:hint="default"/>
                <w:spacing w:val="-12"/>
                <w:sz w:val="18"/>
                <w:szCs w:val="18"/>
              </w:rPr>
              <w:t>目（湛江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186,749,</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656.36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43,903,6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29.06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142,846,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027.30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9,939,14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8.74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万纸 杯原纸 </w:t>
            </w:r>
            <w:r>
              <w:rPr>
                <w:rFonts w:ascii="宋体" w:hAnsi="宋体" w:cs="宋体" w:eastAsia="宋体" w:hint="default"/>
                <w:spacing w:val="-12"/>
                <w:sz w:val="18"/>
                <w:szCs w:val="18"/>
              </w:rPr>
              <w:t>项目（湛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江晨鸣）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375,950,</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872.01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258,480,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229.13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634,431,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101.14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30,709,0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76.44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14,313,8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03.79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2" w:right="91" w:hanging="90"/>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 高级文 化纸项 </w:t>
            </w:r>
            <w:r>
              <w:rPr>
                <w:rFonts w:ascii="宋体" w:hAnsi="宋体" w:cs="宋体" w:eastAsia="宋体" w:hint="default"/>
                <w:spacing w:val="-12"/>
                <w:sz w:val="18"/>
                <w:szCs w:val="18"/>
              </w:rPr>
              <w:t>目（湛江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284,958,</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974.38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665,184,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410.69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950,143,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385.07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1,971,78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2.34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1,971,78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2.34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9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MVR+</w:t>
            </w:r>
          </w:p>
          <w:p>
            <w:pPr>
              <w:pStyle w:val="TableParagraph"/>
              <w:spacing w:line="316" w:lineRule="auto" w:before="65"/>
              <w:ind w:left="22" w:right="157"/>
              <w:jc w:val="left"/>
              <w:rPr>
                <w:rFonts w:ascii="宋体" w:hAnsi="宋体" w:cs="宋体" w:eastAsia="宋体" w:hint="default"/>
                <w:sz w:val="18"/>
                <w:szCs w:val="18"/>
              </w:rPr>
            </w:pPr>
            <w:r>
              <w:rPr>
                <w:rFonts w:ascii="宋体" w:hAnsi="宋体" w:cs="宋体" w:eastAsia="宋体" w:hint="default"/>
                <w:sz w:val="18"/>
                <w:szCs w:val="18"/>
              </w:rPr>
              <w:t>多效蒸 发站项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2.30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29,259,0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03.60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29,259,0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03.60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13%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自筹</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2"/>
                <w:sz w:val="18"/>
                <w:szCs w:val="18"/>
              </w:rPr>
              <w:t>目（湛江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晨鸣）</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3"/>
              <w:jc w:val="both"/>
              <w:rPr>
                <w:rFonts w:ascii="宋体" w:hAnsi="宋体" w:cs="宋体" w:eastAsia="宋体" w:hint="default"/>
                <w:sz w:val="18"/>
                <w:szCs w:val="18"/>
              </w:rPr>
            </w:pPr>
            <w:r>
              <w:rPr>
                <w:rFonts w:ascii="Times New Roman" w:hAnsi="Times New Roman" w:cs="Times New Roman" w:eastAsia="Times New Roman" w:hint="default"/>
                <w:sz w:val="18"/>
                <w:szCs w:val="18"/>
              </w:rPr>
              <w:t>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 </w:t>
            </w:r>
            <w:r>
              <w:rPr>
                <w:rFonts w:ascii="宋体" w:hAnsi="宋体" w:cs="宋体" w:eastAsia="宋体" w:hint="default"/>
                <w:sz w:val="18"/>
                <w:szCs w:val="18"/>
              </w:rPr>
              <w:t>天机械 浆项目</w:t>
            </w:r>
          </w:p>
          <w:p>
            <w:pPr>
              <w:pStyle w:val="TableParagraph"/>
              <w:spacing w:line="319" w:lineRule="auto" w:before="24"/>
              <w:ind w:left="22" w:right="157"/>
              <w:jc w:val="both"/>
              <w:rPr>
                <w:rFonts w:ascii="宋体" w:hAnsi="宋体" w:cs="宋体" w:eastAsia="宋体" w:hint="default"/>
                <w:sz w:val="18"/>
                <w:szCs w:val="18"/>
              </w:rPr>
            </w:pPr>
            <w:r>
              <w:rPr>
                <w:rFonts w:ascii="宋体" w:hAnsi="宋体" w:cs="宋体" w:eastAsia="宋体" w:hint="default"/>
                <w:sz w:val="18"/>
                <w:szCs w:val="18"/>
              </w:rPr>
              <w:t>（湛江 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0" w:right="0"/>
              <w:jc w:val="left"/>
              <w:rPr>
                <w:rFonts w:ascii="Times New Roman" w:hAnsi="Times New Roman" w:cs="Times New Roman" w:eastAsia="Times New Roman" w:hint="default"/>
                <w:sz w:val="18"/>
                <w:szCs w:val="18"/>
              </w:rPr>
            </w:pPr>
            <w:r>
              <w:rPr>
                <w:rFonts w:ascii="Times New Roman"/>
                <w:sz w:val="18"/>
              </w:rPr>
              <w:t>28,937,1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13.23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0" w:right="0"/>
              <w:jc w:val="left"/>
              <w:rPr>
                <w:rFonts w:ascii="Times New Roman" w:hAnsi="Times New Roman" w:cs="Times New Roman" w:eastAsia="Times New Roman" w:hint="default"/>
                <w:sz w:val="18"/>
                <w:szCs w:val="18"/>
              </w:rPr>
            </w:pPr>
            <w:r>
              <w:rPr>
                <w:rFonts w:ascii="Times New Roman"/>
                <w:sz w:val="18"/>
              </w:rPr>
              <w:t>28,937,1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砖厂项 </w:t>
            </w:r>
            <w:r>
              <w:rPr>
                <w:rFonts w:ascii="宋体" w:hAnsi="宋体" w:cs="宋体" w:eastAsia="宋体" w:hint="default"/>
                <w:spacing w:val="-12"/>
                <w:sz w:val="18"/>
                <w:szCs w:val="18"/>
              </w:rPr>
              <w:t>目（吉林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33,526,3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97.51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33,526,3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2"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纸</w:t>
            </w:r>
          </w:p>
          <w:p>
            <w:pPr>
              <w:pStyle w:val="TableParagraph"/>
              <w:spacing w:line="316" w:lineRule="auto" w:before="61"/>
              <w:ind w:left="22" w:right="157"/>
              <w:jc w:val="left"/>
              <w:rPr>
                <w:rFonts w:ascii="宋体" w:hAnsi="宋体" w:cs="宋体" w:eastAsia="宋体" w:hint="default"/>
                <w:sz w:val="18"/>
                <w:szCs w:val="18"/>
              </w:rPr>
            </w:pPr>
            <w:r>
              <w:rPr>
                <w:rFonts w:ascii="宋体" w:hAnsi="宋体" w:cs="宋体" w:eastAsia="宋体" w:hint="default"/>
                <w:sz w:val="18"/>
                <w:szCs w:val="18"/>
              </w:rPr>
              <w:t>机压榨 部改造</w:t>
            </w:r>
          </w:p>
          <w:p>
            <w:pPr>
              <w:pStyle w:val="TableParagraph"/>
              <w:spacing w:line="319" w:lineRule="auto" w:before="19"/>
              <w:ind w:left="22" w:right="157"/>
              <w:jc w:val="left"/>
              <w:rPr>
                <w:rFonts w:ascii="宋体" w:hAnsi="宋体" w:cs="宋体" w:eastAsia="宋体" w:hint="default"/>
                <w:sz w:val="18"/>
                <w:szCs w:val="18"/>
              </w:rPr>
            </w:pPr>
            <w:r>
              <w:rPr>
                <w:rFonts w:ascii="宋体" w:hAnsi="宋体" w:cs="宋体" w:eastAsia="宋体" w:hint="default"/>
                <w:sz w:val="18"/>
                <w:szCs w:val="18"/>
              </w:rPr>
              <w:t>（江西 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62,598,8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86.06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7,264,97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55,873,6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13,990,2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食品包 装纸项 </w:t>
            </w:r>
            <w:r>
              <w:rPr>
                <w:rFonts w:ascii="宋体" w:hAnsi="宋体" w:cs="宋体" w:eastAsia="宋体" w:hint="default"/>
                <w:spacing w:val="-12"/>
                <w:sz w:val="18"/>
                <w:szCs w:val="18"/>
              </w:rPr>
              <w:t>目（江西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122,625,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351.96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796,926,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747.45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919,552,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099.41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22,006,6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66.74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21,241,6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52.56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82" w:right="0"/>
              <w:jc w:val="left"/>
              <w:rPr>
                <w:rFonts w:ascii="宋体" w:hAnsi="宋体" w:cs="宋体" w:eastAsia="宋体" w:hint="default"/>
                <w:sz w:val="18"/>
                <w:szCs w:val="18"/>
              </w:rPr>
            </w:pPr>
            <w:r>
              <w:rPr>
                <w:rFonts w:ascii="宋体" w:hAnsi="宋体" w:cs="宋体" w:eastAsia="宋体" w:hint="default"/>
                <w:sz w:val="18"/>
                <w:szCs w:val="18"/>
              </w:rPr>
              <w:t>借款</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BTMP</w:t>
            </w:r>
          </w:p>
          <w:p>
            <w:pPr>
              <w:pStyle w:val="TableParagraph"/>
              <w:spacing w:line="319" w:lineRule="auto" w:before="64"/>
              <w:ind w:left="22" w:right="22"/>
              <w:jc w:val="left"/>
              <w:rPr>
                <w:rFonts w:ascii="宋体" w:hAnsi="宋体" w:cs="宋体" w:eastAsia="宋体" w:hint="default"/>
                <w:sz w:val="18"/>
                <w:szCs w:val="18"/>
              </w:rPr>
            </w:pPr>
            <w:r>
              <w:rPr>
                <w:rFonts w:ascii="宋体" w:hAnsi="宋体" w:cs="宋体" w:eastAsia="宋体" w:hint="default"/>
                <w:sz w:val="18"/>
                <w:szCs w:val="18"/>
              </w:rPr>
              <w:t>改造项 </w:t>
            </w:r>
            <w:r>
              <w:rPr>
                <w:rFonts w:ascii="宋体" w:hAnsi="宋体" w:cs="宋体" w:eastAsia="宋体" w:hint="default"/>
                <w:spacing w:val="-12"/>
                <w:sz w:val="18"/>
                <w:szCs w:val="18"/>
              </w:rPr>
              <w:t>目（江西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41,214,1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62.60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41,214,1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1,620,37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1,620,37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82" w:right="0"/>
              <w:jc w:val="left"/>
              <w:rPr>
                <w:rFonts w:ascii="宋体" w:hAnsi="宋体" w:cs="宋体" w:eastAsia="宋体" w:hint="default"/>
                <w:sz w:val="18"/>
                <w:szCs w:val="18"/>
              </w:rPr>
            </w:pPr>
            <w:r>
              <w:rPr>
                <w:rFonts w:ascii="宋体" w:hAnsi="宋体" w:cs="宋体" w:eastAsia="宋体" w:hint="default"/>
                <w:sz w:val="18"/>
                <w:szCs w:val="18"/>
              </w:rPr>
              <w:t>借款</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中段水 改造项 </w:t>
            </w:r>
            <w:r>
              <w:rPr>
                <w:rFonts w:ascii="宋体" w:hAnsi="宋体" w:cs="宋体" w:eastAsia="宋体" w:hint="default"/>
                <w:spacing w:val="-12"/>
                <w:sz w:val="18"/>
                <w:szCs w:val="18"/>
              </w:rPr>
              <w:t>目（江西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16,903,1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45.03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16,903,1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82" w:right="0"/>
              <w:jc w:val="left"/>
              <w:rPr>
                <w:rFonts w:ascii="宋体" w:hAnsi="宋体" w:cs="宋体" w:eastAsia="宋体" w:hint="default"/>
                <w:sz w:val="18"/>
                <w:szCs w:val="18"/>
              </w:rPr>
            </w:pPr>
            <w:r>
              <w:rPr>
                <w:rFonts w:ascii="宋体" w:hAnsi="宋体" w:cs="宋体" w:eastAsia="宋体" w:hint="default"/>
                <w:sz w:val="18"/>
                <w:szCs w:val="18"/>
              </w:rPr>
              <w:t>借款</w:t>
            </w:r>
          </w:p>
        </w:tc>
      </w:tr>
      <w:tr>
        <w:trPr>
          <w:trHeight w:val="22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二厂新 增生活 纸机生 产线改 造工程</w:t>
            </w:r>
          </w:p>
          <w:p>
            <w:pPr>
              <w:pStyle w:val="TableParagraph"/>
              <w:spacing w:line="319" w:lineRule="auto" w:before="19"/>
              <w:ind w:left="22" w:right="157"/>
              <w:jc w:val="both"/>
              <w:rPr>
                <w:rFonts w:ascii="宋体" w:hAnsi="宋体" w:cs="宋体" w:eastAsia="宋体" w:hint="default"/>
                <w:sz w:val="18"/>
                <w:szCs w:val="18"/>
              </w:rPr>
            </w:pPr>
            <w:r>
              <w:rPr>
                <w:rFonts w:ascii="宋体" w:hAnsi="宋体" w:cs="宋体" w:eastAsia="宋体" w:hint="default"/>
                <w:sz w:val="18"/>
                <w:szCs w:val="18"/>
              </w:rPr>
              <w:t>（武汉 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445,631,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740.09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33,609,0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479,240,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783.69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0"/>
              <w:jc w:val="righ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24,167,5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4,689,73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82" w:right="0"/>
              <w:jc w:val="left"/>
              <w:rPr>
                <w:rFonts w:ascii="宋体" w:hAnsi="宋体" w:cs="宋体" w:eastAsia="宋体" w:hint="default"/>
                <w:sz w:val="18"/>
                <w:szCs w:val="18"/>
              </w:rPr>
            </w:pPr>
            <w:r>
              <w:rPr>
                <w:rFonts w:ascii="宋体" w:hAnsi="宋体" w:cs="宋体" w:eastAsia="宋体" w:hint="default"/>
                <w:sz w:val="18"/>
                <w:szCs w:val="18"/>
              </w:rPr>
              <w:t>借款</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特种纸 技术改 造工程</w:t>
            </w:r>
          </w:p>
          <w:p>
            <w:pPr>
              <w:pStyle w:val="TableParagraph"/>
              <w:spacing w:line="319" w:lineRule="auto" w:before="19"/>
              <w:ind w:left="22" w:right="157"/>
              <w:jc w:val="both"/>
              <w:rPr>
                <w:rFonts w:ascii="宋体" w:hAnsi="宋体" w:cs="宋体" w:eastAsia="宋体" w:hint="default"/>
                <w:sz w:val="18"/>
                <w:szCs w:val="18"/>
              </w:rPr>
            </w:pPr>
            <w:r>
              <w:rPr>
                <w:rFonts w:ascii="宋体" w:hAnsi="宋体" w:cs="宋体" w:eastAsia="宋体" w:hint="default"/>
                <w:sz w:val="18"/>
                <w:szCs w:val="18"/>
              </w:rPr>
              <w:t>（武汉 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2" w:right="0"/>
              <w:jc w:val="center"/>
              <w:rPr>
                <w:rFonts w:ascii="Times New Roman" w:hAnsi="Times New Roman" w:cs="Times New Roman" w:eastAsia="Times New Roman" w:hint="default"/>
                <w:sz w:val="18"/>
                <w:szCs w:val="18"/>
              </w:rPr>
            </w:pPr>
            <w:r>
              <w:rPr>
                <w:rFonts w:ascii="Times New Roman"/>
                <w:sz w:val="18"/>
              </w:rPr>
              <w:t>185,261,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723.30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93,884,7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0" w:right="0"/>
              <w:jc w:val="center"/>
              <w:rPr>
                <w:rFonts w:ascii="Times New Roman" w:hAnsi="Times New Roman" w:cs="Times New Roman" w:eastAsia="Times New Roman" w:hint="default"/>
                <w:sz w:val="18"/>
                <w:szCs w:val="18"/>
              </w:rPr>
            </w:pPr>
            <w:r>
              <w:rPr>
                <w:rFonts w:ascii="Times New Roman"/>
                <w:sz w:val="18"/>
              </w:rPr>
              <w:t>279,146,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459.64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30,683,5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27,361,7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68.67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借款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脱硝工 </w:t>
            </w:r>
            <w:r>
              <w:rPr>
                <w:rFonts w:ascii="宋体" w:hAnsi="宋体" w:cs="宋体" w:eastAsia="宋体" w:hint="default"/>
                <w:spacing w:val="-12"/>
                <w:sz w:val="18"/>
                <w:szCs w:val="18"/>
              </w:rPr>
              <w:t>程（乾能</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7,600,00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34,368,6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51.72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41,968,6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自筹</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热电）</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吉林迁 </w:t>
            </w:r>
            <w:r>
              <w:rPr>
                <w:rFonts w:ascii="宋体" w:hAnsi="宋体" w:cs="宋体" w:eastAsia="宋体" w:hint="default"/>
                <w:spacing w:val="-12"/>
                <w:sz w:val="18"/>
                <w:szCs w:val="18"/>
              </w:rPr>
              <w:t>建（吉林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2,218,57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0,285.48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398,137,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169.41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2,616,70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7,454.89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5,499,99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9.99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拆迁款 及借款</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菱镁矿 </w:t>
            </w:r>
            <w:r>
              <w:rPr>
                <w:rFonts w:ascii="宋体" w:hAnsi="宋体" w:cs="宋体" w:eastAsia="宋体" w:hint="default"/>
                <w:spacing w:val="-12"/>
                <w:sz w:val="18"/>
                <w:szCs w:val="18"/>
              </w:rPr>
              <w:t>开采（海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城海鸣）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463,059,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536.30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23,518,8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12,400,2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64.49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474,178,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142.31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21,519,2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21,519,2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美伦造 纸添加 剂项目</w:t>
            </w:r>
          </w:p>
          <w:p>
            <w:pPr>
              <w:pStyle w:val="TableParagraph"/>
              <w:spacing w:line="319" w:lineRule="auto" w:before="19"/>
              <w:ind w:left="22" w:right="157"/>
              <w:jc w:val="both"/>
              <w:rPr>
                <w:rFonts w:ascii="宋体" w:hAnsi="宋体" w:cs="宋体" w:eastAsia="宋体" w:hint="default"/>
                <w:sz w:val="18"/>
                <w:szCs w:val="18"/>
              </w:rPr>
            </w:pPr>
            <w:r>
              <w:rPr>
                <w:rFonts w:ascii="宋体" w:hAnsi="宋体" w:cs="宋体" w:eastAsia="宋体" w:hint="default"/>
                <w:sz w:val="18"/>
                <w:szCs w:val="18"/>
              </w:rPr>
              <w:t>（寿光 美伦）</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2" w:right="0"/>
              <w:jc w:val="center"/>
              <w:rPr>
                <w:rFonts w:ascii="Times New Roman" w:hAnsi="Times New Roman" w:cs="Times New Roman" w:eastAsia="Times New Roman" w:hint="default"/>
                <w:sz w:val="18"/>
                <w:szCs w:val="18"/>
              </w:rPr>
            </w:pPr>
            <w:r>
              <w:rPr>
                <w:rFonts w:ascii="Times New Roman"/>
                <w:sz w:val="18"/>
              </w:rPr>
              <w:t>339,261,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614.70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84,057,4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67.77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0" w:right="0"/>
              <w:jc w:val="center"/>
              <w:rPr>
                <w:rFonts w:ascii="Times New Roman" w:hAnsi="Times New Roman" w:cs="Times New Roman" w:eastAsia="Times New Roman" w:hint="default"/>
                <w:sz w:val="18"/>
                <w:szCs w:val="18"/>
              </w:rPr>
            </w:pPr>
            <w:r>
              <w:rPr>
                <w:rFonts w:ascii="Times New Roman"/>
                <w:sz w:val="18"/>
              </w:rPr>
              <w:t>423,319,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082.47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10,363,6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2,660,06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82" w:right="91" w:hanging="90"/>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热敏纸 改造项 </w:t>
            </w:r>
            <w:r>
              <w:rPr>
                <w:rFonts w:ascii="宋体" w:hAnsi="宋体" w:cs="宋体" w:eastAsia="宋体" w:hint="default"/>
                <w:spacing w:val="-12"/>
                <w:sz w:val="18"/>
                <w:szCs w:val="18"/>
              </w:rPr>
              <w:t>目（寿光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美术纸）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208,582,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395.43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27,072,7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56.18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235,655,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151.61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6,209,63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5,067,79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82" w:right="91" w:hanging="90"/>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林浆一 体化项 </w:t>
            </w:r>
            <w:r>
              <w:rPr>
                <w:rFonts w:ascii="宋体" w:hAnsi="宋体" w:cs="宋体" w:eastAsia="宋体" w:hint="default"/>
                <w:spacing w:val="-12"/>
                <w:sz w:val="18"/>
                <w:szCs w:val="18"/>
              </w:rPr>
              <w:t>目（黄冈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34.85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130,795,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345.46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188,754,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526.59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319,549,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872.05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108,757,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353.17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235,843,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702.35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219,695,</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911.60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124,905,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143.92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3,441,81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3,441,81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0.51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5,266,03</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1,817.60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3,484,26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2,699.02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5,041,02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3,688.09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3,709,27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0,828.53</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181,662,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186.74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116,141,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226.35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47"/>
        <w:jc w:val="left"/>
        <w:rPr>
          <w:b w:val="0"/>
          <w:bCs w:val="0"/>
        </w:rPr>
      </w:pPr>
      <w:r>
        <w:rPr>
          <w:rFonts w:ascii="Times New Roman" w:hAnsi="Times New Roman" w:cs="Times New Roman" w:eastAsia="Times New Roman" w:hint="default"/>
        </w:rPr>
        <w:t>15</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3"/>
        <w:gridCol w:w="3232"/>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22,810,138.46</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35,814,649.31</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145,843.92</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28,153,418.31</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22,955,982.38</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63,968,067.62</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16</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吉林晨鸣环保迁建</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242,538,418.36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武汉晨鸣搬迁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345,643,229.17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588,181,647.53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82"/>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2"/>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495"/>
        <w:gridCol w:w="1412"/>
        <w:gridCol w:w="1386"/>
        <w:gridCol w:w="1400"/>
        <w:gridCol w:w="1400"/>
        <w:gridCol w:w="160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12" w:type="dxa"/>
            <w:tcBorders>
              <w:top w:val="single" w:sz="4" w:space="0" w:color="000000"/>
              <w:left w:val="single" w:sz="13" w:space="0" w:color="D3D3D3"/>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1,546,569,094.81</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18,318,427.47</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1,564,887,522.28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548,620.23</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3,375,350.00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3,923,970.23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548,620.23</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3,375,350.00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3,923,970.23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25,572,307.46</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48,530.00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25,620,837.46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17,751,239.51</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18,350.00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17,769,589.51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7,821,067.95</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30,180.00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7,851,247.95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1,521,545,407.58</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21,645,247.47</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1,543,190,655.05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1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185,133,243.12</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14,336,276.90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199,469,520.02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31,839,814.20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2,050,230.07</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33,890,044.27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31,839,814.20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2,050,230.07</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33,890,044.27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9,243,154.28</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30,180.00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9,273,334.28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3,205,654.46</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3,205,654.46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6,037,499.82</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30,180.00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6,067,679.82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期末余额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207,729,903.04</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16,356,326.97</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224,086,230.01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三、账面价值</w:t>
            </w:r>
          </w:p>
        </w:tc>
        <w:tc>
          <w:tcPr>
            <w:tcW w:w="141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1,313,815,504.54</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5,288,920.50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1,319,104,425.04</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1,361,435,851.69</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3,982,150.57</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1,365,418,002.26</w:t>
            </w:r>
          </w:p>
        </w:tc>
      </w:tr>
    </w:tbl>
    <w:p>
      <w:pPr>
        <w:pStyle w:val="BodyText"/>
        <w:spacing w:line="300" w:lineRule="auto" w:before="10"/>
        <w:ind w:left="153" w:right="189" w:firstLine="360"/>
        <w:jc w:val="right"/>
      </w:pPr>
      <w:r>
        <w:rPr>
          <w:spacing w:val="-2"/>
        </w:rPr>
        <w:t>注：（</w:t>
      </w:r>
      <w:r>
        <w:rPr>
          <w:rFonts w:ascii="Times New Roman" w:hAnsi="Times New Roman" w:cs="Times New Roman" w:eastAsia="Times New Roman" w:hint="default"/>
          <w:spacing w:val="-2"/>
        </w:rPr>
        <w:t>1</w:t>
      </w:r>
      <w:r>
        <w:rPr>
          <w:spacing w:val="-2"/>
        </w:rPr>
        <w:t>）于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日，账面价值人民币</w:t>
      </w:r>
      <w:r>
        <w:rPr>
          <w:rFonts w:ascii="Times New Roman" w:hAnsi="Times New Roman" w:cs="Times New Roman" w:eastAsia="Times New Roman" w:hint="default"/>
          <w:spacing w:val="-2"/>
        </w:rPr>
        <w:t>316,286,184.74</w:t>
      </w:r>
      <w:r>
        <w:rPr>
          <w:spacing w:val="-2"/>
        </w:rPr>
        <w:t>元（</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日：人民币</w:t>
      </w:r>
      <w:r>
        <w:rPr>
          <w:rFonts w:ascii="Times New Roman" w:hAnsi="Times New Roman" w:cs="Times New Roman" w:eastAsia="Times New Roman" w:hint="default"/>
          <w:spacing w:val="-2"/>
        </w:rPr>
        <w:t>323,501,839.10</w:t>
      </w:r>
      <w:r>
        <w:rPr>
          <w:spacing w:val="-2"/>
        </w:rPr>
        <w:t>元）无形资产</w:t>
      </w:r>
      <w:r>
        <w:rPr/>
        <w:t> </w:t>
      </w:r>
      <w:r>
        <w:rPr>
          <w:spacing w:val="3"/>
        </w:rPr>
        <w:t>所有权受到限制，系本公司以账面价值为人民币</w:t>
      </w:r>
      <w:r>
        <w:rPr>
          <w:rFonts w:ascii="Times New Roman" w:hAnsi="Times New Roman" w:cs="Times New Roman" w:eastAsia="Times New Roman" w:hint="default"/>
          <w:spacing w:val="3"/>
        </w:rPr>
        <w:t>316,286,184.74</w:t>
      </w:r>
      <w:r>
        <w:rPr>
          <w:spacing w:val="3"/>
        </w:rPr>
        <w:t>元的土地使用权为抵押，取得长期借款</w:t>
      </w:r>
      <w:r>
        <w:rPr>
          <w:rFonts w:ascii="Times New Roman" w:hAnsi="Times New Roman" w:cs="Times New Roman" w:eastAsia="Times New Roman" w:hint="default"/>
          <w:spacing w:val="3"/>
        </w:rPr>
        <w:t>2,520,707,400.00</w:t>
      </w:r>
      <w:r>
        <w:rPr>
          <w:spacing w:val="3"/>
        </w:rPr>
        <w:t>元</w:t>
      </w:r>
    </w:p>
    <w:p>
      <w:pPr>
        <w:pStyle w:val="BodyText"/>
        <w:spacing w:line="240" w:lineRule="auto" w:before="13"/>
        <w:ind w:right="91"/>
        <w:jc w:val="left"/>
      </w:pPr>
      <w:r>
        <w:rPr>
          <w:spacing w:val="-4"/>
        </w:rPr>
        <w:t>（</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rFonts w:ascii="Times New Roman" w:hAnsi="Times New Roman" w:cs="Times New Roman" w:eastAsia="Times New Roman" w:hint="default"/>
          <w:spacing w:val="-4"/>
        </w:rPr>
        <w:t>2,784,334,971.96</w:t>
      </w:r>
      <w:r>
        <w:rPr>
          <w:spacing w:val="-4"/>
        </w:rPr>
        <w:t>元）和</w:t>
      </w:r>
      <w:r>
        <w:rPr>
          <w:rFonts w:ascii="Times New Roman" w:hAnsi="Times New Roman" w:cs="Times New Roman" w:eastAsia="Times New Roman" w:hint="default"/>
          <w:spacing w:val="-4"/>
        </w:rPr>
        <w:t>269,980,900.00</w:t>
      </w:r>
      <w:r>
        <w:rPr>
          <w:spacing w:val="-4"/>
        </w:rPr>
        <w:t>元的一年内到期的长期借款（</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rFonts w:ascii="Times New Roman" w:hAnsi="Times New Roman" w:cs="Times New Roman" w:eastAsia="Times New Roman" w:hint="default"/>
          <w:spacing w:val="-4"/>
        </w:rPr>
        <w:t>269,313,900.00</w:t>
      </w:r>
      <w:r>
        <w:rPr>
          <w:spacing w:val="-4"/>
        </w:rPr>
        <w:t>元）；</w:t>
      </w:r>
    </w:p>
    <w:p>
      <w:pPr>
        <w:pStyle w:val="BodyText"/>
        <w:spacing w:line="240" w:lineRule="auto" w:before="62"/>
        <w:ind w:right="182"/>
        <w:jc w:val="left"/>
      </w:pPr>
      <w:r>
        <w:rPr>
          <w:rFonts w:ascii="Times New Roman" w:hAnsi="Times New Roman" w:cs="Times New Roman" w:eastAsia="Times New Roman" w:hint="default"/>
        </w:rPr>
        <w:t>2014</w:t>
      </w:r>
      <w:r>
        <w:rPr/>
        <w:t>年该土地使用权的摊销额为人民币</w:t>
      </w:r>
      <w:r>
        <w:rPr>
          <w:rFonts w:ascii="Times New Roman" w:hAnsi="Times New Roman" w:cs="Times New Roman" w:eastAsia="Times New Roman" w:hint="default"/>
        </w:rPr>
        <w:t>44,496,535.26</w:t>
      </w:r>
      <w:r>
        <w:rPr/>
        <w:t>元（</w:t>
      </w:r>
      <w:r>
        <w:rPr>
          <w:rFonts w:ascii="Times New Roman" w:hAnsi="Times New Roman" w:cs="Times New Roman" w:eastAsia="Times New Roman" w:hint="default"/>
        </w:rPr>
        <w:t>2013</w:t>
      </w:r>
      <w:r>
        <w:rPr/>
        <w:t>年：人民币</w:t>
      </w:r>
      <w:r>
        <w:rPr>
          <w:rFonts w:ascii="Times New Roman" w:hAnsi="Times New Roman" w:cs="Times New Roman" w:eastAsia="Times New Roman" w:hint="default"/>
        </w:rPr>
        <w:t>7,215,654.36</w:t>
      </w:r>
      <w:r>
        <w:rPr/>
        <w:t>元）</w:t>
      </w:r>
    </w:p>
    <w:p>
      <w:pPr>
        <w:pStyle w:val="BodyText"/>
        <w:spacing w:line="240" w:lineRule="auto" w:before="62"/>
        <w:ind w:left="0" w:right="138"/>
        <w:jc w:val="right"/>
      </w:pPr>
      <w:r>
        <w:rPr/>
        <w:t>（2）土地使用权系本集团依照中国法律在中国境内取得的国有土地使用权，出让期限自取得土地使用权起为</w:t>
      </w:r>
      <w:r>
        <w:rPr>
          <w:rFonts w:ascii="Times New Roman" w:hAnsi="Times New Roman" w:cs="Times New Roman" w:eastAsia="Times New Roman" w:hint="default"/>
        </w:rPr>
        <w:t>40-50</w:t>
      </w:r>
      <w:r>
        <w:rPr/>
        <w:t>年。</w:t>
      </w:r>
    </w:p>
    <w:p>
      <w:pPr>
        <w:spacing w:line="240" w:lineRule="auto" w:before="12"/>
        <w:rPr>
          <w:rFonts w:ascii="宋体" w:hAnsi="宋体" w:cs="宋体" w:eastAsia="宋体" w:hint="default"/>
          <w:sz w:val="25"/>
          <w:szCs w:val="25"/>
        </w:rPr>
      </w:pPr>
    </w:p>
    <w:p>
      <w:pPr>
        <w:pStyle w:val="Heading4"/>
        <w:spacing w:line="240" w:lineRule="auto"/>
        <w:ind w:right="182"/>
        <w:jc w:val="left"/>
        <w:rPr>
          <w:b w:val="0"/>
          <w:bCs w:val="0"/>
        </w:rPr>
      </w:pPr>
      <w:r>
        <w:rPr>
          <w:rFonts w:ascii="Times New Roman" w:hAnsi="Times New Roman" w:cs="Times New Roman" w:eastAsia="Times New Roman" w:hint="default"/>
        </w:rPr>
        <w:t>18</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82"/>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9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560"/>
        <w:gridCol w:w="1410"/>
        <w:gridCol w:w="1700"/>
        <w:gridCol w:w="536"/>
        <w:gridCol w:w="538"/>
        <w:gridCol w:w="539"/>
        <w:gridCol w:w="1410"/>
      </w:tblGrid>
      <w:tr>
        <w:trPr>
          <w:trHeight w:val="402" w:hRule="exact"/>
        </w:trPr>
        <w:tc>
          <w:tcPr>
            <w:tcW w:w="3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3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07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560" w:type="dxa"/>
            <w:vMerge/>
            <w:tcBorders>
              <w:left w:val="single" w:sz="4" w:space="0" w:color="000000"/>
              <w:bottom w:val="single" w:sz="4" w:space="0" w:color="000000"/>
              <w:right w:val="single" w:sz="4" w:space="0" w:color="000000"/>
            </w:tcBorders>
            <w:shd w:val="clear" w:color="auto" w:fill="D3D3D3"/>
          </w:tcPr>
          <w:p>
            <w:pPr/>
          </w:p>
        </w:tc>
        <w:tc>
          <w:tcPr>
            <w:tcW w:w="1410" w:type="dxa"/>
            <w:vMerge/>
            <w:tcBorders>
              <w:left w:val="single" w:sz="4" w:space="0" w:color="000000"/>
              <w:bottom w:val="single" w:sz="4" w:space="0" w:color="000000"/>
              <w:right w:val="single" w:sz="4" w:space="0" w:color="000000"/>
            </w:tcBorders>
            <w:shd w:val="clear" w:color="auto" w:fill="D3D3D3"/>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0"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560"/>
        <w:gridCol w:w="1410"/>
        <w:gridCol w:w="1700"/>
        <w:gridCol w:w="536"/>
        <w:gridCol w:w="538"/>
        <w:gridCol w:w="539"/>
        <w:gridCol w:w="1410"/>
      </w:tblGrid>
      <w:tr>
        <w:trPr>
          <w:trHeight w:val="40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14,314,160.60</w:t>
            </w:r>
          </w:p>
        </w:tc>
        <w:tc>
          <w:tcPr>
            <w:tcW w:w="1700"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14,314,160.60</w:t>
            </w:r>
          </w:p>
        </w:tc>
      </w:tr>
      <w:tr>
        <w:trPr>
          <w:trHeight w:val="40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山东晨鸣板材有限责任公司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5,969,626.57</w:t>
            </w:r>
          </w:p>
        </w:tc>
        <w:tc>
          <w:tcPr>
            <w:tcW w:w="1700"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5,969,626.57</w:t>
            </w:r>
          </w:p>
        </w:tc>
      </w:tr>
      <w:tr>
        <w:trPr>
          <w:trHeight w:val="402" w:hRule="exact"/>
        </w:trPr>
        <w:tc>
          <w:tcPr>
            <w:tcW w:w="3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20,283,787.17</w:t>
            </w:r>
          </w:p>
        </w:tc>
        <w:tc>
          <w:tcPr>
            <w:tcW w:w="1700"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20,283,787.17</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8" w:right="147" w:firstLine="25"/>
        <w:jc w:val="left"/>
      </w:pPr>
      <w:r>
        <w:rPr/>
        <w:t>商誉为本公司于以前年度非同一控制下的企业合并形成。 资产负债表日，公司管理层评估产生商誉的现金产出单元的可收回金额，以决定是否对其计提相应的减值准备。现金</w:t>
      </w:r>
    </w:p>
    <w:p>
      <w:pPr>
        <w:pStyle w:val="BodyText"/>
        <w:spacing w:line="300" w:lineRule="auto" w:before="18"/>
        <w:ind w:right="142"/>
        <w:jc w:val="left"/>
      </w:pPr>
      <w:r>
        <w:rPr>
          <w:spacing w:val="-1"/>
        </w:rPr>
        <w:t>产出单元的可收回金额按管理层制定的未来五年财务预算中的现金流量预算，并按照</w:t>
      </w:r>
      <w:r>
        <w:rPr>
          <w:rFonts w:ascii="Times New Roman" w:hAnsi="Times New Roman" w:cs="Times New Roman" w:eastAsia="Times New Roman" w:hint="default"/>
          <w:spacing w:val="-1"/>
        </w:rPr>
        <w:t>8.32%(2013</w:t>
      </w:r>
      <w:r>
        <w:rPr>
          <w:spacing w:val="-1"/>
        </w:rPr>
        <w:t>年：</w:t>
      </w:r>
      <w:r>
        <w:rPr>
          <w:rFonts w:ascii="Times New Roman" w:hAnsi="Times New Roman" w:cs="Times New Roman" w:eastAsia="Times New Roman" w:hint="default"/>
          <w:spacing w:val="-1"/>
        </w:rPr>
        <w:t>8.32%)</w:t>
      </w:r>
      <w:r>
        <w:rPr>
          <w:spacing w:val="-1"/>
        </w:rPr>
        <w:t>的折现率评估货</w:t>
      </w:r>
      <w:r>
        <w:rPr>
          <w:spacing w:val="-83"/>
        </w:rPr>
        <w:t> </w:t>
      </w:r>
      <w:r>
        <w:rPr/>
        <w:t>币之时间价值。经过减值测试，商誉无需计提减值准备。</w:t>
      </w:r>
    </w:p>
    <w:p>
      <w:pPr>
        <w:spacing w:line="240" w:lineRule="auto" w:before="6"/>
        <w:rPr>
          <w:rFonts w:ascii="宋体" w:hAnsi="宋体" w:cs="宋体" w:eastAsia="宋体" w:hint="default"/>
          <w:sz w:val="23"/>
          <w:szCs w:val="23"/>
        </w:rPr>
      </w:pPr>
    </w:p>
    <w:p>
      <w:pPr>
        <w:pStyle w:val="Heading4"/>
        <w:spacing w:line="240" w:lineRule="auto"/>
        <w:ind w:right="147"/>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615"/>
        <w:gridCol w:w="1619"/>
        <w:gridCol w:w="1615"/>
        <w:gridCol w:w="1614"/>
        <w:gridCol w:w="1615"/>
        <w:gridCol w:w="1615"/>
      </w:tblGrid>
      <w:tr>
        <w:trPr>
          <w:trHeight w:val="402" w:hRule="exact"/>
        </w:trPr>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林地费用</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166,383,850.46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2,355,559.88</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6,945,972.07</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161,793,438.27</w:t>
            </w:r>
          </w:p>
        </w:tc>
      </w:tr>
      <w:tr>
        <w:trPr>
          <w:trHeight w:val="402"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2,154,633.22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9,944,438.00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201,761.66</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11,897,309.56</w:t>
            </w:r>
          </w:p>
        </w:tc>
      </w:tr>
      <w:tr>
        <w:trPr>
          <w:trHeight w:val="402" w:hRule="exact"/>
        </w:trPr>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168,538,483.68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12,299,997.88</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7,147,733.73</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173,690,747.83</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20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24"/>
        <w:gridCol w:w="1942"/>
        <w:gridCol w:w="1938"/>
        <w:gridCol w:w="1939"/>
        <w:gridCol w:w="1939"/>
      </w:tblGrid>
      <w:tr>
        <w:trPr>
          <w:trHeight w:val="200" w:hRule="exact"/>
        </w:trPr>
        <w:tc>
          <w:tcPr>
            <w:tcW w:w="1924" w:type="dxa"/>
            <w:tcBorders>
              <w:top w:val="single" w:sz="4" w:space="0" w:color="000000"/>
              <w:left w:val="single" w:sz="4" w:space="0" w:color="000000"/>
              <w:bottom w:val="nil" w:sz="6" w:space="0" w:color="auto"/>
              <w:right w:val="single" w:sz="4" w:space="0" w:color="000000"/>
            </w:tcBorders>
            <w:shd w:val="clear" w:color="auto" w:fill="D3D3D3"/>
          </w:tcPr>
          <w:p>
            <w:pPr/>
          </w:p>
        </w:tc>
        <w:tc>
          <w:tcPr>
            <w:tcW w:w="388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192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80" w:type="dxa"/>
            <w:gridSpan w:val="2"/>
            <w:vMerge/>
            <w:tcBorders>
              <w:left w:val="single" w:sz="4" w:space="0" w:color="000000"/>
              <w:bottom w:val="single" w:sz="4" w:space="0" w:color="000000"/>
              <w:right w:val="single" w:sz="4" w:space="0" w:color="000000"/>
            </w:tcBorders>
            <w:shd w:val="clear" w:color="auto" w:fill="D3D3D3"/>
          </w:tcPr>
          <w:p>
            <w:pPr/>
          </w:p>
        </w:tc>
        <w:tc>
          <w:tcPr>
            <w:tcW w:w="3878"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1924" w:type="dxa"/>
            <w:vMerge/>
            <w:tcBorders>
              <w:left w:val="single" w:sz="4" w:space="0" w:color="000000"/>
              <w:bottom w:val="nil" w:sz="6" w:space="0" w:color="auto"/>
              <w:right w:val="single" w:sz="4" w:space="0" w:color="000000"/>
            </w:tcBorders>
            <w:shd w:val="clear" w:color="auto" w:fill="D3D3D3"/>
          </w:tcPr>
          <w:p>
            <w:pPr/>
          </w:p>
        </w:tc>
        <w:tc>
          <w:tcPr>
            <w:tcW w:w="19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12" w:hRule="exact"/>
        </w:trPr>
        <w:tc>
          <w:tcPr>
            <w:tcW w:w="19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42" w:type="dxa"/>
            <w:vMerge/>
            <w:tcBorders>
              <w:left w:val="single" w:sz="4" w:space="0" w:color="000000"/>
              <w:bottom w:val="single" w:sz="4" w:space="0" w:color="000000"/>
              <w:right w:val="single" w:sz="4" w:space="0" w:color="000000"/>
            </w:tcBorders>
            <w:shd w:val="clear" w:color="auto" w:fill="D3D3D3"/>
          </w:tcPr>
          <w:p>
            <w:pPr/>
          </w:p>
        </w:tc>
        <w:tc>
          <w:tcPr>
            <w:tcW w:w="1938" w:type="dxa"/>
            <w:vMerge/>
            <w:tcBorders>
              <w:left w:val="single" w:sz="4" w:space="0" w:color="000000"/>
              <w:bottom w:val="single" w:sz="4" w:space="0" w:color="000000"/>
              <w:right w:val="single" w:sz="4" w:space="0" w:color="000000"/>
            </w:tcBorders>
            <w:shd w:val="clear" w:color="auto" w:fill="D3D3D3"/>
          </w:tcPr>
          <w:p>
            <w:pPr/>
          </w:p>
        </w:tc>
        <w:tc>
          <w:tcPr>
            <w:tcW w:w="1939" w:type="dxa"/>
            <w:vMerge/>
            <w:tcBorders>
              <w:left w:val="single" w:sz="4" w:space="0" w:color="000000"/>
              <w:bottom w:val="single" w:sz="4" w:space="0" w:color="000000"/>
              <w:right w:val="single" w:sz="4" w:space="0" w:color="000000"/>
            </w:tcBorders>
            <w:shd w:val="clear" w:color="auto" w:fill="D3D3D3"/>
          </w:tcPr>
          <w:p>
            <w:pPr/>
          </w:p>
        </w:tc>
        <w:tc>
          <w:tcPr>
            <w:tcW w:w="1939"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340,772,888.98</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79,501,792.10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328,446,526.51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76,545,138.40</w:t>
            </w: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110,493,658.36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27,623,414.59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57,569,528.58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14,392,382.14</w:t>
            </w: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1,858,290,693.47</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451,519,833.69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1,567,274,751.26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391,818,687.83</w:t>
            </w: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应付未付款项</w:t>
            </w:r>
          </w:p>
        </w:tc>
        <w:tc>
          <w:tcPr>
            <w:tcW w:w="1942"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106,430,519.52</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20,362,747.08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53,895,396.66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10,652,244.21</w:t>
            </w: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42"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184,861,975.76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41,259,848.98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70,461,516.47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14,244,935.80</w:t>
            </w: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2,600,849,736.09</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620,267,636.44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2,077,647,719.48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507,653,388.38</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06"/>
        <w:gridCol w:w="3246"/>
        <w:gridCol w:w="3230"/>
      </w:tblGrid>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31,495,183.10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30,069,082.11</w:t>
            </w:r>
          </w:p>
        </w:tc>
      </w:tr>
      <w:tr>
        <w:trPr>
          <w:trHeight w:val="403"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457,830,039.77</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420,230,273.61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217"/>
        <w:gridCol w:w="3246"/>
        <w:gridCol w:w="3230"/>
      </w:tblGrid>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082" w:right="0"/>
              <w:jc w:val="left"/>
              <w:rPr>
                <w:rFonts w:ascii="Times New Roman" w:hAnsi="Times New Roman" w:cs="Times New Roman" w:eastAsia="Times New Roman" w:hint="default"/>
                <w:sz w:val="18"/>
                <w:szCs w:val="18"/>
              </w:rPr>
            </w:pPr>
            <w:r>
              <w:rPr>
                <w:rFonts w:ascii="Times New Roman"/>
                <w:sz w:val="18"/>
              </w:rPr>
              <w:t>489,325,222.87</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3" w:right="0"/>
              <w:jc w:val="left"/>
              <w:rPr>
                <w:rFonts w:ascii="Times New Roman" w:hAnsi="Times New Roman" w:cs="Times New Roman" w:eastAsia="Times New Roman" w:hint="default"/>
                <w:sz w:val="18"/>
                <w:szCs w:val="18"/>
              </w:rPr>
            </w:pPr>
            <w:r>
              <w:rPr>
                <w:rFonts w:ascii="Times New Roman"/>
                <w:sz w:val="18"/>
              </w:rPr>
              <w:t>450,299,355.72</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419"/>
        <w:gridCol w:w="2426"/>
        <w:gridCol w:w="2424"/>
        <w:gridCol w:w="2424"/>
      </w:tblGrid>
      <w:tr>
        <w:trPr>
          <w:trHeight w:val="401" w:hRule="exact"/>
        </w:trPr>
        <w:tc>
          <w:tcPr>
            <w:tcW w:w="2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6"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60,626,308.87</w:t>
            </w: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37,886,444.37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37,886,444.37</w:t>
            </w: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59,767,165.56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64,240,356.54</w:t>
            </w: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116,596,801.25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116,631,374.76</w:t>
            </w: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140,521,936.04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140,845,789.07</w:t>
            </w: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103,057,692.55</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457,830,039.77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420,230,273.61</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21</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购房款</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162,000,000.00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土地款</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32,124,242.00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减：一年内到期部分（见附注七、</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1,094,124,242.00</w:t>
            </w:r>
          </w:p>
        </w:tc>
        <w:tc>
          <w:tcPr>
            <w:tcW w:w="32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22</w:t>
      </w:r>
      <w:r>
        <w:rPr/>
        <w:t>、资产减值准备明细</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2245"/>
        <w:gridCol w:w="1339"/>
        <w:gridCol w:w="1236"/>
        <w:gridCol w:w="1134"/>
        <w:gridCol w:w="1236"/>
        <w:gridCol w:w="1134"/>
        <w:gridCol w:w="1333"/>
      </w:tblGrid>
      <w:tr>
        <w:trPr>
          <w:trHeight w:val="347" w:hRule="exact"/>
        </w:trPr>
        <w:tc>
          <w:tcPr>
            <w:tcW w:w="2245"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39"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236"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3504" w:type="dxa"/>
            <w:gridSpan w:val="3"/>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333"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347" w:hRule="exact"/>
        </w:trPr>
        <w:tc>
          <w:tcPr>
            <w:tcW w:w="2245" w:type="dxa"/>
            <w:vMerge/>
            <w:tcBorders>
              <w:left w:val="single" w:sz="6" w:space="0" w:color="000000"/>
              <w:bottom w:val="single" w:sz="6" w:space="0" w:color="000000"/>
              <w:right w:val="single" w:sz="6" w:space="0" w:color="000000"/>
            </w:tcBorders>
            <w:shd w:val="clear" w:color="auto" w:fill="CCCCCC"/>
          </w:tcPr>
          <w:p>
            <w:pPr/>
          </w:p>
        </w:tc>
        <w:tc>
          <w:tcPr>
            <w:tcW w:w="1339" w:type="dxa"/>
            <w:vMerge/>
            <w:tcBorders>
              <w:left w:val="single" w:sz="6" w:space="0" w:color="000000"/>
              <w:bottom w:val="single" w:sz="6" w:space="0" w:color="000000"/>
              <w:right w:val="single" w:sz="6" w:space="0" w:color="000000"/>
            </w:tcBorders>
            <w:shd w:val="clear" w:color="auto" w:fill="CCCCCC"/>
          </w:tcPr>
          <w:p>
            <w:pPr/>
          </w:p>
        </w:tc>
        <w:tc>
          <w:tcPr>
            <w:tcW w:w="1236" w:type="dxa"/>
            <w:vMerge/>
            <w:tcBorders>
              <w:left w:val="single" w:sz="6" w:space="0" w:color="000000"/>
              <w:bottom w:val="single" w:sz="6" w:space="0" w:color="000000"/>
              <w:right w:val="single" w:sz="6" w:space="0" w:color="000000"/>
            </w:tcBorders>
            <w:shd w:val="clear" w:color="auto" w:fill="CCCCCC"/>
          </w:tcPr>
          <w:p>
            <w:pPr/>
          </w:p>
        </w:tc>
        <w:tc>
          <w:tcPr>
            <w:tcW w:w="11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90" w:right="0"/>
              <w:jc w:val="left"/>
              <w:rPr>
                <w:rFonts w:ascii="宋体" w:hAnsi="宋体" w:cs="宋体" w:eastAsia="宋体" w:hint="default"/>
                <w:sz w:val="18"/>
                <w:szCs w:val="18"/>
              </w:rPr>
            </w:pPr>
            <w:r>
              <w:rPr>
                <w:rFonts w:ascii="宋体" w:hAnsi="宋体" w:cs="宋体" w:eastAsia="宋体" w:hint="default"/>
                <w:sz w:val="18"/>
                <w:szCs w:val="18"/>
              </w:rPr>
              <w:t>转回数</w:t>
            </w:r>
          </w:p>
        </w:tc>
        <w:tc>
          <w:tcPr>
            <w:tcW w:w="123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sz w:val="18"/>
                <w:szCs w:val="18"/>
              </w:rPr>
              <w:t>转销数</w:t>
            </w:r>
          </w:p>
        </w:tc>
        <w:tc>
          <w:tcPr>
            <w:tcW w:w="11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33" w:type="dxa"/>
            <w:vMerge/>
            <w:tcBorders>
              <w:left w:val="single" w:sz="6" w:space="0" w:color="000000"/>
              <w:bottom w:val="single" w:sz="6" w:space="0" w:color="000000"/>
              <w:right w:val="single" w:sz="6" w:space="0" w:color="000000"/>
            </w:tcBorders>
            <w:shd w:val="clear" w:color="auto" w:fill="CCCCCC"/>
          </w:tcPr>
          <w:p>
            <w:pPr/>
          </w:p>
        </w:tc>
      </w:tr>
      <w:tr>
        <w:trPr>
          <w:trHeight w:val="347" w:hRule="exact"/>
        </w:trPr>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297,937,136.69</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56,192,999.85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1,972,368.11</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4,869,760.05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7,503,241.47</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339,784,766.91</w:t>
            </w:r>
          </w:p>
        </w:tc>
      </w:tr>
      <w:tr>
        <w:trPr>
          <w:trHeight w:val="348" w:hRule="exact"/>
        </w:trPr>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36,472,052.20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5,319,730.37</w:t>
            </w:r>
          </w:p>
        </w:tc>
        <w:tc>
          <w:tcPr>
            <w:tcW w:w="1134"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36,472,052.20</w:t>
            </w:r>
          </w:p>
        </w:tc>
        <w:tc>
          <w:tcPr>
            <w:tcW w:w="1134"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5,319,730.37</w:t>
            </w:r>
          </w:p>
        </w:tc>
      </w:tr>
      <w:tr>
        <w:trPr>
          <w:trHeight w:val="659" w:hRule="exact"/>
        </w:trPr>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6"/>
                <w:sz w:val="18"/>
                <w:szCs w:val="18"/>
              </w:rPr>
              <w:t>三、可供出售金融资产减值 </w:t>
            </w:r>
            <w:r>
              <w:rPr>
                <w:rFonts w:ascii="宋体" w:hAnsi="宋体" w:cs="宋体" w:eastAsia="宋体" w:hint="default"/>
                <w:sz w:val="18"/>
                <w:szCs w:val="18"/>
              </w:rPr>
              <w:t>准备</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2,589,574.47</w:t>
            </w:r>
          </w:p>
        </w:tc>
        <w:tc>
          <w:tcPr>
            <w:tcW w:w="123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1,139,574.47</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1,450,000.00</w:t>
            </w:r>
          </w:p>
        </w:tc>
      </w:tr>
      <w:tr>
        <w:trPr>
          <w:trHeight w:val="347" w:hRule="exact"/>
        </w:trPr>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四、固定资产减值准备</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26,220,000.00</w:t>
            </w:r>
          </w:p>
        </w:tc>
        <w:tc>
          <w:tcPr>
            <w:tcW w:w="123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26,220,000.00</w:t>
            </w:r>
          </w:p>
        </w:tc>
      </w:tr>
      <w:tr>
        <w:trPr>
          <w:trHeight w:val="348" w:hRule="exact"/>
        </w:trPr>
        <w:tc>
          <w:tcPr>
            <w:tcW w:w="224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363,218,763.36</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61,512,730.22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1,972,368.11</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41,341,812.25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8,642,815.94</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372,774,497.28</w:t>
            </w:r>
          </w:p>
        </w:tc>
      </w:tr>
    </w:tbl>
    <w:p>
      <w:pPr>
        <w:pStyle w:val="BodyText"/>
        <w:spacing w:line="240" w:lineRule="auto" w:before="10"/>
        <w:ind w:left="514" w:right="147"/>
        <w:jc w:val="left"/>
      </w:pPr>
      <w:r>
        <w:rPr/>
        <w:t>注：资产减值准备其他减少系本期处置子公司和其他权益投资导致。</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47"/>
        <w:jc w:val="left"/>
        <w:rPr>
          <w:b w:val="0"/>
          <w:bCs w:val="0"/>
        </w:rPr>
      </w:pPr>
      <w:r>
        <w:rPr>
          <w:rFonts w:ascii="Times New Roman" w:hAnsi="Times New Roman" w:cs="Times New Roman" w:eastAsia="Times New Roman" w:hint="default"/>
        </w:rPr>
        <w:t>23</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06"/>
        <w:gridCol w:w="3246"/>
        <w:gridCol w:w="3230"/>
      </w:tblGrid>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584,082,701.72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398,617,193.53</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9,628,636,791.99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3,999,962,588.92</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10,257,577,099.21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5,420,305,455.40</w:t>
            </w:r>
          </w:p>
        </w:tc>
      </w:tr>
      <w:tr>
        <w:trPr>
          <w:trHeight w:val="403"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20,470,296,592.92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9,818,885,237.85</w:t>
            </w:r>
          </w:p>
        </w:tc>
      </w:tr>
    </w:tbl>
    <w:p>
      <w:pPr>
        <w:pStyle w:val="BodyText"/>
        <w:spacing w:line="240" w:lineRule="auto" w:before="10"/>
        <w:ind w:right="147"/>
        <w:jc w:val="left"/>
      </w:pPr>
      <w:r>
        <w:rPr/>
        <w:t>注：（</w:t>
      </w:r>
      <w:r>
        <w:rPr>
          <w:rFonts w:ascii="Times New Roman" w:hAnsi="Times New Roman" w:cs="Times New Roman" w:eastAsia="Times New Roman" w:hint="default"/>
        </w:rPr>
        <w:t>1</w:t>
      </w:r>
      <w:r>
        <w:rPr/>
        <w:t>）保证借款系本集团作为子公司的担保人，由子公司向金融机构取得的借款。</w:t>
      </w:r>
    </w:p>
    <w:p>
      <w:pPr>
        <w:pStyle w:val="BodyText"/>
        <w:spacing w:line="240" w:lineRule="auto" w:before="62"/>
        <w:ind w:left="514" w:right="147"/>
        <w:jc w:val="left"/>
      </w:pPr>
      <w:r>
        <w:rPr/>
        <w:t>（</w:t>
      </w:r>
      <w:r>
        <w:rPr>
          <w:rFonts w:ascii="Times New Roman" w:hAnsi="Times New Roman" w:cs="Times New Roman" w:eastAsia="Times New Roman" w:hint="default"/>
        </w:rPr>
        <w:t>2</w:t>
      </w:r>
      <w:r>
        <w:rPr/>
        <w:t>）本集团无已到期未偿还的短期借款情况。</w:t>
      </w:r>
    </w:p>
    <w:p>
      <w:pPr>
        <w:pStyle w:val="BodyText"/>
        <w:spacing w:line="240" w:lineRule="auto" w:before="62"/>
        <w:ind w:left="514" w:right="147"/>
        <w:jc w:val="left"/>
      </w:pPr>
      <w:r>
        <w:rPr/>
        <w:t>（</w:t>
      </w:r>
      <w:r>
        <w:rPr>
          <w:rFonts w:ascii="Times New Roman" w:hAnsi="Times New Roman" w:cs="Times New Roman" w:eastAsia="Times New Roman" w:hint="default"/>
        </w:rPr>
        <w:t>3</w:t>
      </w:r>
      <w:r>
        <w:rPr/>
        <w:t>）质押借款的抵押资产类别以及金额，参见附注七、</w:t>
      </w:r>
      <w:r>
        <w:rPr>
          <w:rFonts w:ascii="Times New Roman" w:hAnsi="Times New Roman" w:cs="Times New Roman" w:eastAsia="Times New Roman" w:hint="default"/>
        </w:rPr>
        <w:t>58</w:t>
      </w:r>
      <w:r>
        <w:rPr/>
        <w:t>。</w:t>
      </w:r>
    </w:p>
    <w:p>
      <w:pPr>
        <w:spacing w:line="240" w:lineRule="auto" w:before="12"/>
        <w:rPr>
          <w:rFonts w:ascii="宋体" w:hAnsi="宋体" w:cs="宋体" w:eastAsia="宋体" w:hint="default"/>
          <w:sz w:val="25"/>
          <w:szCs w:val="25"/>
        </w:rPr>
      </w:pPr>
    </w:p>
    <w:p>
      <w:pPr>
        <w:pStyle w:val="Heading4"/>
        <w:spacing w:line="240" w:lineRule="auto"/>
        <w:ind w:right="147"/>
        <w:jc w:val="left"/>
        <w:rPr>
          <w:b w:val="0"/>
          <w:bCs w:val="0"/>
        </w:rPr>
      </w:pPr>
      <w:r>
        <w:rPr>
          <w:rFonts w:ascii="Times New Roman" w:hAnsi="Times New Roman" w:cs="Times New Roman" w:eastAsia="Times New Roman" w:hint="default"/>
        </w:rPr>
        <w:t>24</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06"/>
        <w:gridCol w:w="3246"/>
        <w:gridCol w:w="3230"/>
      </w:tblGrid>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1,598,110,792.85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290,403,790.59</w:t>
            </w:r>
          </w:p>
        </w:tc>
      </w:tr>
      <w:tr>
        <w:trPr>
          <w:trHeight w:val="403"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1,598,110,792.85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290,403,790.59</w:t>
            </w:r>
          </w:p>
        </w:tc>
      </w:tr>
    </w:tbl>
    <w:p>
      <w:pPr>
        <w:pStyle w:val="BodyText"/>
        <w:spacing w:line="240" w:lineRule="auto" w:before="51"/>
        <w:ind w:right="147"/>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147"/>
        <w:jc w:val="left"/>
        <w:rPr>
          <w:b w:val="0"/>
          <w:bCs w:val="0"/>
        </w:rPr>
      </w:pPr>
      <w:r>
        <w:rPr>
          <w:rFonts w:ascii="Times New Roman" w:hAnsi="Times New Roman" w:cs="Times New Roman" w:eastAsia="Times New Roman" w:hint="default"/>
        </w:rPr>
        <w:t>25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2,965,990,209.36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2,251,158,621.76</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228,866,967.30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240,434,222.13</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112,980,731.55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120,073,847.85</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100,528,205.72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83,503,235.40</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3,408,366,113.93</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2,695,169,927.14</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）账龄超过</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德国福伊特公司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77,477,820.69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暂欠</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山东诺德英物流有限公司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9,905,622.19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暂欠</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福伊特国际贸易（上海）有限公司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6,095,030.26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暂欠</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哈尔滨锅炉厂有限责任公司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5,142,951.54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暂欠</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山东思源水业工程有限公司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4,377,011.99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暂欠</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102,998,436.67</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26</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255,718,680.43</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425,728,033.93</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14,338,046.45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16,704,227.65</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270,056,726.88</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442,432,261.58</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）账龄超过</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天津信一包装制品有限公司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3,324,016.55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对方未要求发货</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山东凯隆纸业科技有限公司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1,082,000.00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对方未要求发货</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永一胶粘</w:t>
            </w:r>
            <w:r>
              <w:rPr>
                <w:rFonts w:ascii="Times New Roman" w:hAnsi="Times New Roman" w:cs="Times New Roman" w:eastAsia="Times New Roman" w:hint="default"/>
                <w:sz w:val="18"/>
                <w:szCs w:val="18"/>
              </w:rPr>
              <w:t>(</w:t>
            </w:r>
            <w:r>
              <w:rPr>
                <w:rFonts w:ascii="宋体" w:hAnsi="宋体" w:cs="宋体" w:eastAsia="宋体" w:hint="default"/>
                <w:sz w:val="18"/>
                <w:szCs w:val="18"/>
              </w:rPr>
              <w:t>中山</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1,318,163.09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对方未要求发货</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5,724,179.64</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27</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95"/>
        <w:gridCol w:w="1606"/>
        <w:gridCol w:w="1594"/>
        <w:gridCol w:w="1595"/>
        <w:gridCol w:w="1594"/>
      </w:tblGrid>
      <w:tr>
        <w:trPr>
          <w:trHeight w:val="402"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128,698,038.95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795,917,070.97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772,083,662.09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152,531,447.83</w:t>
            </w:r>
          </w:p>
        </w:tc>
      </w:tr>
      <w:tr>
        <w:trPr>
          <w:trHeight w:val="402"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1,561,698.08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71,477,106.04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71,656,284.80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1,382,519.32</w:t>
            </w:r>
          </w:p>
        </w:tc>
      </w:tr>
      <w:tr>
        <w:trPr>
          <w:trHeight w:val="402"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12,075.15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2,648,660.75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2,648,660.75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12,075.15</w:t>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130,271,812.18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870,042,837.76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846,388,607.64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153,926,042.30</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3155"/>
        <w:gridCol w:w="1640"/>
        <w:gridCol w:w="1628"/>
        <w:gridCol w:w="1630"/>
        <w:gridCol w:w="1628"/>
      </w:tblGrid>
      <w:tr>
        <w:trPr>
          <w:trHeight w:val="402" w:hRule="exact"/>
        </w:trPr>
        <w:tc>
          <w:tcPr>
            <w:tcW w:w="3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6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73,707,512.94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651,092,408.23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628,260,909.60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96,539,011.57</w:t>
            </w:r>
          </w:p>
        </w:tc>
      </w:tr>
      <w:tr>
        <w:trPr>
          <w:trHeight w:val="402" w:hRule="exact"/>
        </w:trPr>
        <w:tc>
          <w:tcPr>
            <w:tcW w:w="3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640" w:type="dxa"/>
            <w:tcBorders>
              <w:top w:val="single" w:sz="4" w:space="0" w:color="000000"/>
              <w:left w:val="single" w:sz="10" w:space="0" w:color="D3D3D3"/>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60,355,293.88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60,355,293.88</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6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8,259,570.67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33,087,868.88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33,090,168.32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8,257,271.23</w:t>
            </w:r>
          </w:p>
        </w:tc>
      </w:tr>
      <w:tr>
        <w:trPr>
          <w:trHeight w:val="402" w:hRule="exact"/>
        </w:trPr>
        <w:tc>
          <w:tcPr>
            <w:tcW w:w="3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7,294,373.22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24,829,773.86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24,840,373.24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7,283,773.84</w:t>
            </w:r>
          </w:p>
        </w:tc>
      </w:tr>
      <w:tr>
        <w:trPr>
          <w:trHeight w:val="402" w:hRule="exact"/>
        </w:trPr>
        <w:tc>
          <w:tcPr>
            <w:tcW w:w="3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1,589.18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5,156,670.26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5,152,707.38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5,552.06</w:t>
            </w:r>
          </w:p>
        </w:tc>
      </w:tr>
      <w:tr>
        <w:trPr>
          <w:trHeight w:val="402" w:hRule="exact"/>
        </w:trPr>
        <w:tc>
          <w:tcPr>
            <w:tcW w:w="3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963,608.27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3,101,424.76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3,097,087.70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967,945.33</w:t>
            </w:r>
          </w:p>
        </w:tc>
      </w:tr>
      <w:tr>
        <w:trPr>
          <w:trHeight w:val="402" w:hRule="exact"/>
        </w:trPr>
        <w:tc>
          <w:tcPr>
            <w:tcW w:w="3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6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5,206,430.44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38,606,794.66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36,124,353.63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7,688,871.47</w:t>
            </w:r>
          </w:p>
        </w:tc>
      </w:tr>
      <w:tr>
        <w:trPr>
          <w:trHeight w:val="402" w:hRule="exact"/>
        </w:trPr>
        <w:tc>
          <w:tcPr>
            <w:tcW w:w="3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6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22,719,929.36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12,774,705.32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14,252,936.66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21,241,698.02</w:t>
            </w:r>
          </w:p>
        </w:tc>
      </w:tr>
      <w:tr>
        <w:trPr>
          <w:trHeight w:val="402" w:hRule="exact"/>
        </w:trPr>
        <w:tc>
          <w:tcPr>
            <w:tcW w:w="31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640"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18,804,595.54</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18,804,595.54</w:t>
            </w:r>
          </w:p>
        </w:tc>
      </w:tr>
      <w:tr>
        <w:trPr>
          <w:trHeight w:val="402" w:hRule="exact"/>
        </w:trPr>
        <w:tc>
          <w:tcPr>
            <w:tcW w:w="3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128,698,038.95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795,917,070.97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772,083,662.09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152,531,447.83</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28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206"/>
        <w:gridCol w:w="3246"/>
        <w:gridCol w:w="3230"/>
      </w:tblGrid>
      <w:tr>
        <w:trPr>
          <w:trHeight w:val="401"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27,861,717.80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6,620,418.81</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5,993,146.04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596,310.07</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88,084,906.73</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104,402,645.76</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14,783,877.45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1,780,803.13</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2,479,631.43</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1,713,580.49</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46"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11,103,517.24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5,495,793.45</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46"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6,146,726.60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7,824,057.43</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教育税附加及其他</w:t>
            </w:r>
          </w:p>
        </w:tc>
        <w:tc>
          <w:tcPr>
            <w:tcW w:w="3246"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2,397,509.16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446,510.66</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46"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2,249,056.49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1,312,817.07</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161,100,088.94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130,192,936.87</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29</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62,417,222.24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65,559,777.08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中期票据利息</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27,455,083.26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27,455,083.34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私募债利息</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60,175,000.00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60,175,000.00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150,047,305.50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153,189,860.42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47"/>
        <w:jc w:val="left"/>
        <w:rPr>
          <w:b w:val="0"/>
          <w:bCs w:val="0"/>
        </w:rPr>
      </w:pPr>
      <w:r>
        <w:rPr>
          <w:rFonts w:ascii="Times New Roman" w:hAnsi="Times New Roman" w:cs="Times New Roman" w:eastAsia="Times New Roman" w:hint="default"/>
        </w:rPr>
        <w:t>30</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578,321,880.79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419,910,089.94</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149,759,077.76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23,967,481.29</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20,710,865.78</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16,877,980.44</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34,999,060.28</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26,081,044.22</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783,790,884.61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486,836,595.89</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）账龄超过</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辽宁北海实业（集团）有限公司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21,804,600.00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子公司股东按约定债权投资</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寿光市恒泰企业投资有限公司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18,668,679.17</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子公司股东按约定债权投资</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国营寿光清水泊农场</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8,800,000.00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暂欠</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49,273,279.17</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31</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06"/>
        <w:gridCol w:w="3246"/>
        <w:gridCol w:w="3230"/>
      </w:tblGrid>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一年内到期的长期借款（附注七、</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1,099,968,900.00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789,115,500.00</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一年内到期的应付债券（附注七、</w:t>
            </w:r>
            <w:r>
              <w:rPr>
                <w:rFonts w:ascii="Times New Roman" w:hAnsi="Times New Roman" w:cs="Times New Roman" w:eastAsia="Times New Roman" w:hint="default"/>
                <w:sz w:val="18"/>
                <w:szCs w:val="18"/>
              </w:rPr>
              <w:t>34</w:t>
            </w:r>
            <w:r>
              <w:rPr>
                <w:rFonts w:ascii="宋体" w:hAnsi="宋体" w:cs="宋体" w:eastAsia="宋体" w:hint="default"/>
                <w:sz w:val="18"/>
                <w:szCs w:val="18"/>
              </w:rPr>
              <w:t>）</w:t>
            </w:r>
          </w:p>
        </w:tc>
        <w:tc>
          <w:tcPr>
            <w:tcW w:w="3246" w:type="dxa"/>
            <w:tcBorders>
              <w:top w:val="single" w:sz="4" w:space="0" w:color="000000"/>
              <w:left w:val="single" w:sz="10" w:space="0" w:color="D3D3D3"/>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498,688,952.66</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1,099,968,900.00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1,287,804,452.66</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32</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3,853,488,888.90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3,853,488,888.90</w:t>
            </w:r>
          </w:p>
        </w:tc>
      </w:tr>
    </w:tbl>
    <w:p>
      <w:pPr>
        <w:pStyle w:val="BodyText"/>
        <w:spacing w:line="240" w:lineRule="auto" w:before="51"/>
        <w:ind w:left="0" w:right="150"/>
        <w:jc w:val="right"/>
      </w:pPr>
      <w:r>
        <w:rPr/>
        <w:t>单位： 元</w:t>
      </w:r>
    </w:p>
    <w:p>
      <w:pPr>
        <w:pStyle w:val="BodyText"/>
        <w:spacing w:line="240" w:lineRule="auto" w:before="116"/>
        <w:ind w:left="423" w:right="147"/>
        <w:jc w:val="left"/>
      </w:pPr>
      <w:r>
        <w:rPr/>
        <w:t>短期融资券的增减变动</w:t>
      </w:r>
    </w:p>
    <w:p>
      <w:pPr>
        <w:spacing w:line="240" w:lineRule="auto" w:before="1"/>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666"/>
        <w:gridCol w:w="1304"/>
        <w:gridCol w:w="1346"/>
        <w:gridCol w:w="1369"/>
        <w:gridCol w:w="1888"/>
        <w:gridCol w:w="2084"/>
      </w:tblGrid>
      <w:tr>
        <w:trPr>
          <w:trHeight w:val="347" w:hRule="exact"/>
        </w:trPr>
        <w:tc>
          <w:tcPr>
            <w:tcW w:w="1666" w:type="dxa"/>
            <w:tcBorders>
              <w:top w:val="single" w:sz="6" w:space="0" w:color="000000"/>
              <w:left w:val="single" w:sz="6" w:space="0" w:color="000000"/>
              <w:bottom w:val="single" w:sz="6" w:space="0" w:color="000000"/>
              <w:right w:val="nil" w:sz="6" w:space="0" w:color="auto"/>
            </w:tcBorders>
            <w:shd w:val="clear" w:color="auto" w:fill="CCCCCC"/>
          </w:tcPr>
          <w:p>
            <w:pPr>
              <w:pStyle w:val="TableParagraph"/>
              <w:spacing w:line="240" w:lineRule="auto" w:before="21"/>
              <w:ind w:left="410"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304" w:type="dxa"/>
            <w:tcBorders>
              <w:top w:val="single" w:sz="6" w:space="0" w:color="000000"/>
              <w:left w:val="nil" w:sz="6" w:space="0" w:color="auto"/>
              <w:bottom w:val="single" w:sz="6" w:space="0" w:color="000000"/>
              <w:right w:val="nil" w:sz="6" w:space="0" w:color="auto"/>
            </w:tcBorders>
            <w:shd w:val="clear" w:color="auto" w:fill="CCCCCC"/>
          </w:tcPr>
          <w:p>
            <w:pPr>
              <w:pStyle w:val="TableParagraph"/>
              <w:spacing w:line="240" w:lineRule="auto" w:before="21"/>
              <w:ind w:left="528"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346" w:type="dxa"/>
            <w:tcBorders>
              <w:top w:val="single" w:sz="6" w:space="0" w:color="000000"/>
              <w:left w:val="nil" w:sz="6" w:space="0" w:color="auto"/>
              <w:bottom w:val="single" w:sz="6" w:space="0" w:color="000000"/>
              <w:right w:val="nil" w:sz="6" w:space="0" w:color="auto"/>
            </w:tcBorders>
            <w:shd w:val="clear" w:color="auto" w:fill="CCCCCC"/>
          </w:tcPr>
          <w:p>
            <w:pPr>
              <w:pStyle w:val="TableParagraph"/>
              <w:spacing w:line="240" w:lineRule="auto" w:before="21"/>
              <w:ind w:left="41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9" w:type="dxa"/>
            <w:tcBorders>
              <w:top w:val="single" w:sz="6" w:space="0" w:color="000000"/>
              <w:left w:val="nil" w:sz="6" w:space="0" w:color="auto"/>
              <w:bottom w:val="single" w:sz="6" w:space="0" w:color="000000"/>
              <w:right w:val="nil" w:sz="6" w:space="0" w:color="auto"/>
            </w:tcBorders>
            <w:shd w:val="clear" w:color="auto" w:fill="CCCCCC"/>
          </w:tcPr>
          <w:p>
            <w:pPr>
              <w:pStyle w:val="TableParagraph"/>
              <w:spacing w:line="240" w:lineRule="auto" w:before="21"/>
              <w:ind w:left="210"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1888" w:type="dxa"/>
            <w:tcBorders>
              <w:top w:val="single" w:sz="6" w:space="0" w:color="000000"/>
              <w:left w:val="nil" w:sz="6" w:space="0" w:color="auto"/>
              <w:bottom w:val="single" w:sz="6" w:space="0" w:color="000000"/>
              <w:right w:val="nil" w:sz="6" w:space="0" w:color="auto"/>
            </w:tcBorders>
            <w:shd w:val="clear" w:color="auto" w:fill="CCCCCC"/>
          </w:tcPr>
          <w:p>
            <w:pPr>
              <w:pStyle w:val="TableParagraph"/>
              <w:spacing w:line="240" w:lineRule="auto" w:before="21"/>
              <w:ind w:left="438"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2084" w:type="dxa"/>
            <w:tcBorders>
              <w:top w:val="single" w:sz="6" w:space="0" w:color="000000"/>
              <w:left w:val="nil" w:sz="6" w:space="0" w:color="auto"/>
              <w:bottom w:val="single" w:sz="6" w:space="0" w:color="000000"/>
              <w:right w:val="single" w:sz="6" w:space="0" w:color="000000"/>
            </w:tcBorders>
            <w:shd w:val="clear" w:color="auto" w:fill="CCCCCC"/>
          </w:tcPr>
          <w:p>
            <w:pPr>
              <w:pStyle w:val="TableParagraph"/>
              <w:spacing w:line="240" w:lineRule="auto" w:before="21"/>
              <w:ind w:left="729" w:right="0"/>
              <w:jc w:val="left"/>
              <w:rPr>
                <w:rFonts w:ascii="宋体" w:hAnsi="宋体" w:cs="宋体" w:eastAsia="宋体" w:hint="default"/>
                <w:sz w:val="18"/>
                <w:szCs w:val="18"/>
              </w:rPr>
            </w:pPr>
            <w:r>
              <w:rPr>
                <w:rFonts w:ascii="宋体" w:hAnsi="宋体" w:cs="宋体" w:eastAsia="宋体" w:hint="default"/>
                <w:sz w:val="18"/>
                <w:szCs w:val="18"/>
              </w:rPr>
              <w:t>年初余额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1522"/>
        <w:gridCol w:w="1675"/>
        <w:gridCol w:w="1064"/>
        <w:gridCol w:w="1217"/>
        <w:gridCol w:w="1978"/>
        <w:gridCol w:w="2202"/>
      </w:tblGrid>
      <w:tr>
        <w:trPr>
          <w:trHeight w:val="347" w:hRule="exact"/>
        </w:trPr>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CP001</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1,800,000,000.00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2013.09</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1,792,800,000.00</w:t>
            </w:r>
          </w:p>
        </w:tc>
        <w:tc>
          <w:tcPr>
            <w:tcW w:w="2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1,836,733,333.34</w:t>
            </w:r>
          </w:p>
        </w:tc>
      </w:tr>
      <w:tr>
        <w:trPr>
          <w:trHeight w:val="347" w:hRule="exact"/>
        </w:trPr>
        <w:tc>
          <w:tcPr>
            <w:tcW w:w="1522"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CP002</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2,000,000,000.00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2013.10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1,992,000,000.00</w:t>
            </w:r>
          </w:p>
        </w:tc>
        <w:tc>
          <w:tcPr>
            <w:tcW w:w="2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2,016,755,555.56</w:t>
            </w:r>
          </w:p>
        </w:tc>
      </w:tr>
      <w:tr>
        <w:trPr>
          <w:trHeight w:val="348" w:hRule="exact"/>
        </w:trPr>
        <w:tc>
          <w:tcPr>
            <w:tcW w:w="152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3,800,000,000.00</w:t>
            </w:r>
          </w:p>
        </w:tc>
        <w:tc>
          <w:tcPr>
            <w:tcW w:w="1064"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3,784,800,000.00</w:t>
            </w:r>
          </w:p>
        </w:tc>
        <w:tc>
          <w:tcPr>
            <w:tcW w:w="2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3,853,488,888.90</w:t>
            </w:r>
          </w:p>
        </w:tc>
      </w:tr>
    </w:tbl>
    <w:p>
      <w:pPr>
        <w:pStyle w:val="BodyText"/>
        <w:spacing w:line="240" w:lineRule="auto" w:before="10"/>
        <w:ind w:left="514" w:right="147"/>
        <w:jc w:val="left"/>
      </w:pPr>
      <w:r>
        <w:rPr/>
        <w:t>（续）</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535"/>
        <w:gridCol w:w="1073"/>
        <w:gridCol w:w="1840"/>
        <w:gridCol w:w="1379"/>
        <w:gridCol w:w="1838"/>
        <w:gridCol w:w="1993"/>
      </w:tblGrid>
      <w:tr>
        <w:trPr>
          <w:trHeight w:val="331" w:hRule="exact"/>
        </w:trPr>
        <w:tc>
          <w:tcPr>
            <w:tcW w:w="1535" w:type="dxa"/>
            <w:tcBorders>
              <w:top w:val="single" w:sz="6" w:space="0" w:color="000000"/>
              <w:left w:val="single" w:sz="6" w:space="0" w:color="000000"/>
              <w:bottom w:val="single" w:sz="6" w:space="0" w:color="000000"/>
              <w:right w:val="nil" w:sz="6" w:space="0" w:color="auto"/>
            </w:tcBorders>
            <w:shd w:val="clear" w:color="auto" w:fill="CCCCCC"/>
          </w:tcPr>
          <w:p>
            <w:pPr>
              <w:pStyle w:val="TableParagraph"/>
              <w:spacing w:line="240" w:lineRule="auto" w:before="21"/>
              <w:ind w:left="416"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073" w:type="dxa"/>
            <w:tcBorders>
              <w:top w:val="single" w:sz="6" w:space="0" w:color="000000"/>
              <w:left w:val="nil" w:sz="6" w:space="0" w:color="auto"/>
              <w:bottom w:val="single" w:sz="6" w:space="0" w:color="000000"/>
              <w:right w:val="nil" w:sz="6" w:space="0" w:color="auto"/>
            </w:tcBorders>
            <w:shd w:val="clear" w:color="auto" w:fill="CCCCCC"/>
          </w:tcPr>
          <w:p>
            <w:pPr>
              <w:pStyle w:val="TableParagraph"/>
              <w:spacing w:line="240" w:lineRule="auto" w:before="21"/>
              <w:ind w:left="192" w:right="0"/>
              <w:jc w:val="left"/>
              <w:rPr>
                <w:rFonts w:ascii="宋体" w:hAnsi="宋体" w:cs="宋体" w:eastAsia="宋体" w:hint="default"/>
                <w:sz w:val="18"/>
                <w:szCs w:val="18"/>
              </w:rPr>
            </w:pPr>
            <w:r>
              <w:rPr>
                <w:rFonts w:ascii="宋体" w:hAnsi="宋体" w:cs="宋体" w:eastAsia="宋体" w:hint="default"/>
                <w:sz w:val="18"/>
                <w:szCs w:val="18"/>
              </w:rPr>
              <w:t>本年发行</w:t>
            </w:r>
          </w:p>
        </w:tc>
        <w:tc>
          <w:tcPr>
            <w:tcW w:w="1840" w:type="dxa"/>
            <w:tcBorders>
              <w:top w:val="single" w:sz="6" w:space="0" w:color="000000"/>
              <w:left w:val="nil" w:sz="6" w:space="0" w:color="auto"/>
              <w:bottom w:val="single" w:sz="6" w:space="0" w:color="000000"/>
              <w:right w:val="nil" w:sz="6" w:space="0" w:color="auto"/>
            </w:tcBorders>
            <w:shd w:val="clear" w:color="auto" w:fill="CCCCCC"/>
          </w:tcPr>
          <w:p>
            <w:pPr>
              <w:pStyle w:val="TableParagraph"/>
              <w:spacing w:line="240" w:lineRule="auto" w:before="21"/>
              <w:ind w:left="305" w:right="0"/>
              <w:jc w:val="left"/>
              <w:rPr>
                <w:rFonts w:ascii="宋体" w:hAnsi="宋体" w:cs="宋体" w:eastAsia="宋体" w:hint="default"/>
                <w:sz w:val="18"/>
                <w:szCs w:val="18"/>
              </w:rPr>
            </w:pPr>
            <w:r>
              <w:rPr>
                <w:rFonts w:ascii="宋体" w:hAnsi="宋体" w:cs="宋体" w:eastAsia="宋体" w:hint="default"/>
                <w:sz w:val="18"/>
                <w:szCs w:val="18"/>
              </w:rPr>
              <w:t>按面值计提利息</w:t>
            </w:r>
          </w:p>
        </w:tc>
        <w:tc>
          <w:tcPr>
            <w:tcW w:w="1379" w:type="dxa"/>
            <w:tcBorders>
              <w:top w:val="single" w:sz="6" w:space="0" w:color="000000"/>
              <w:left w:val="nil" w:sz="6" w:space="0" w:color="auto"/>
              <w:bottom w:val="single" w:sz="6" w:space="0" w:color="000000"/>
              <w:right w:val="nil" w:sz="6" w:space="0" w:color="auto"/>
            </w:tcBorders>
            <w:shd w:val="clear" w:color="auto" w:fill="CCCCCC"/>
          </w:tcPr>
          <w:p>
            <w:pPr>
              <w:pStyle w:val="TableParagraph"/>
              <w:spacing w:line="240" w:lineRule="auto" w:before="21"/>
              <w:ind w:left="255" w:right="0"/>
              <w:jc w:val="left"/>
              <w:rPr>
                <w:rFonts w:ascii="宋体" w:hAnsi="宋体" w:cs="宋体" w:eastAsia="宋体" w:hint="default"/>
                <w:sz w:val="18"/>
                <w:szCs w:val="18"/>
              </w:rPr>
            </w:pPr>
            <w:r>
              <w:rPr>
                <w:rFonts w:ascii="宋体" w:hAnsi="宋体" w:cs="宋体" w:eastAsia="宋体" w:hint="default"/>
                <w:sz w:val="18"/>
                <w:szCs w:val="18"/>
              </w:rPr>
              <w:t>溢折价摊销</w:t>
            </w:r>
          </w:p>
        </w:tc>
        <w:tc>
          <w:tcPr>
            <w:tcW w:w="1838" w:type="dxa"/>
            <w:tcBorders>
              <w:top w:val="single" w:sz="6" w:space="0" w:color="000000"/>
              <w:left w:val="nil" w:sz="6" w:space="0" w:color="auto"/>
              <w:bottom w:val="single" w:sz="6" w:space="0" w:color="000000"/>
              <w:right w:val="nil" w:sz="6" w:space="0" w:color="auto"/>
            </w:tcBorders>
            <w:shd w:val="clear" w:color="auto" w:fill="CCCCCC"/>
          </w:tcPr>
          <w:p>
            <w:pPr>
              <w:pStyle w:val="TableParagraph"/>
              <w:spacing w:line="240" w:lineRule="auto" w:before="21"/>
              <w:ind w:left="575" w:right="0"/>
              <w:jc w:val="left"/>
              <w:rPr>
                <w:rFonts w:ascii="宋体" w:hAnsi="宋体" w:cs="宋体" w:eastAsia="宋体" w:hint="default"/>
                <w:sz w:val="18"/>
                <w:szCs w:val="18"/>
              </w:rPr>
            </w:pPr>
            <w:r>
              <w:rPr>
                <w:rFonts w:ascii="宋体" w:hAnsi="宋体" w:cs="宋体" w:eastAsia="宋体" w:hint="default"/>
                <w:sz w:val="18"/>
                <w:szCs w:val="18"/>
              </w:rPr>
              <w:t>本年偿还</w:t>
            </w:r>
          </w:p>
        </w:tc>
        <w:tc>
          <w:tcPr>
            <w:tcW w:w="1993" w:type="dxa"/>
            <w:tcBorders>
              <w:top w:val="single" w:sz="6" w:space="0" w:color="000000"/>
              <w:left w:val="nil" w:sz="6" w:space="0" w:color="auto"/>
              <w:bottom w:val="single" w:sz="6" w:space="0" w:color="000000"/>
              <w:right w:val="single" w:sz="6" w:space="0" w:color="000000"/>
            </w:tcBorders>
            <w:shd w:val="clear" w:color="auto" w:fill="CCCCCC"/>
          </w:tcPr>
          <w:p>
            <w:pPr>
              <w:pStyle w:val="TableParagraph"/>
              <w:spacing w:line="240" w:lineRule="auto" w:before="21"/>
              <w:ind w:left="653"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63" w:hRule="exact"/>
        </w:trPr>
        <w:tc>
          <w:tcPr>
            <w:tcW w:w="1535"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CP001</w:t>
            </w:r>
          </w:p>
        </w:tc>
        <w:tc>
          <w:tcPr>
            <w:tcW w:w="1073" w:type="dxa"/>
            <w:tcBorders>
              <w:top w:val="single" w:sz="9" w:space="0" w:color="000000"/>
              <w:left w:val="single" w:sz="6" w:space="0" w:color="000000"/>
              <w:bottom w:val="single" w:sz="6" w:space="0" w:color="000000"/>
              <w:right w:val="single" w:sz="6" w:space="0" w:color="000000"/>
            </w:tcBorders>
          </w:tcPr>
          <w:p>
            <w:pPr/>
          </w:p>
        </w:tc>
        <w:tc>
          <w:tcPr>
            <w:tcW w:w="1840"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pacing w:val="-1"/>
                <w:sz w:val="18"/>
              </w:rPr>
              <w:t>62,866,666.66</w:t>
            </w:r>
          </w:p>
        </w:tc>
        <w:tc>
          <w:tcPr>
            <w:tcW w:w="1379"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3"/>
              <w:ind w:right="3"/>
              <w:jc w:val="right"/>
              <w:rPr>
                <w:rFonts w:ascii="Times New Roman" w:hAnsi="Times New Roman" w:cs="Times New Roman" w:eastAsia="Times New Roman" w:hint="default"/>
                <w:sz w:val="18"/>
                <w:szCs w:val="18"/>
              </w:rPr>
            </w:pPr>
            <w:r>
              <w:rPr>
                <w:rFonts w:ascii="Times New Roman"/>
                <w:spacing w:val="-1"/>
                <w:sz w:val="18"/>
              </w:rPr>
              <w:t>4,800,000.00</w:t>
            </w:r>
          </w:p>
        </w:tc>
        <w:tc>
          <w:tcPr>
            <w:tcW w:w="1838"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3"/>
              <w:ind w:left="561" w:right="0"/>
              <w:jc w:val="left"/>
              <w:rPr>
                <w:rFonts w:ascii="Times New Roman" w:hAnsi="Times New Roman" w:cs="Times New Roman" w:eastAsia="Times New Roman" w:hint="default"/>
                <w:sz w:val="18"/>
                <w:szCs w:val="18"/>
              </w:rPr>
            </w:pPr>
            <w:r>
              <w:rPr>
                <w:rFonts w:ascii="Times New Roman"/>
                <w:sz w:val="18"/>
              </w:rPr>
              <w:t>1,904,400,000.00</w:t>
            </w:r>
          </w:p>
        </w:tc>
        <w:tc>
          <w:tcPr>
            <w:tcW w:w="1993" w:type="dxa"/>
            <w:tcBorders>
              <w:top w:val="single" w:sz="9" w:space="0" w:color="000000"/>
              <w:left w:val="single" w:sz="6" w:space="0" w:color="000000"/>
              <w:bottom w:val="single" w:sz="6" w:space="0" w:color="000000"/>
              <w:right w:val="single" w:sz="6" w:space="0" w:color="000000"/>
            </w:tcBorders>
          </w:tcPr>
          <w:p>
            <w:pPr/>
          </w:p>
        </w:tc>
      </w:tr>
      <w:tr>
        <w:trPr>
          <w:trHeight w:val="347"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CP002</w:t>
            </w:r>
          </w:p>
        </w:tc>
        <w:tc>
          <w:tcPr>
            <w:tcW w:w="1073" w:type="dxa"/>
            <w:tcBorders>
              <w:top w:val="single" w:sz="6" w:space="0" w:color="000000"/>
              <w:left w:val="single" w:sz="6" w:space="0" w:color="000000"/>
              <w:bottom w:val="single" w:sz="6" w:space="0" w:color="000000"/>
              <w:right w:val="single" w:sz="6" w:space="0" w:color="000000"/>
            </w:tcBorders>
          </w:tcPr>
          <w:p>
            <w:pP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93,244,444.44</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6,000,000.00</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61" w:right="0"/>
              <w:jc w:val="left"/>
              <w:rPr>
                <w:rFonts w:ascii="Times New Roman" w:hAnsi="Times New Roman" w:cs="Times New Roman" w:eastAsia="Times New Roman" w:hint="default"/>
                <w:sz w:val="18"/>
                <w:szCs w:val="18"/>
              </w:rPr>
            </w:pPr>
            <w:r>
              <w:rPr>
                <w:rFonts w:ascii="Times New Roman"/>
                <w:sz w:val="18"/>
              </w:rPr>
              <w:t>2,116,000,000.00</w:t>
            </w: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53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73" w:type="dxa"/>
            <w:tcBorders>
              <w:top w:val="single" w:sz="6" w:space="0" w:color="000000"/>
              <w:left w:val="single" w:sz="6" w:space="0" w:color="000000"/>
              <w:bottom w:val="single" w:sz="6" w:space="0" w:color="000000"/>
              <w:right w:val="single" w:sz="6" w:space="0" w:color="000000"/>
            </w:tcBorders>
          </w:tcPr>
          <w:p>
            <w:pP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156,111,111.10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10,800,000.00</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61" w:right="0"/>
              <w:jc w:val="left"/>
              <w:rPr>
                <w:rFonts w:ascii="Times New Roman" w:hAnsi="Times New Roman" w:cs="Times New Roman" w:eastAsia="Times New Roman" w:hint="default"/>
                <w:sz w:val="18"/>
                <w:szCs w:val="18"/>
              </w:rPr>
            </w:pPr>
            <w:r>
              <w:rPr>
                <w:rFonts w:ascii="Times New Roman"/>
                <w:sz w:val="18"/>
              </w:rPr>
              <w:t>4,020,400,000.00</w:t>
            </w:r>
          </w:p>
        </w:tc>
        <w:tc>
          <w:tcPr>
            <w:tcW w:w="199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33</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796"/>
        <w:gridCol w:w="2944"/>
        <w:gridCol w:w="2942"/>
      </w:tblGrid>
      <w:tr>
        <w:trPr>
          <w:trHeight w:val="401"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44" w:type="dxa"/>
            <w:tcBorders>
              <w:top w:val="single" w:sz="5"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2,790,688,300.00</w:t>
            </w:r>
          </w:p>
        </w:tc>
        <w:tc>
          <w:tcPr>
            <w:tcW w:w="294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3,053,648,871.96</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1,274,978,809.25</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470,888,400.00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1,412,592,035.94</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988,444,035.94</w:t>
            </w:r>
          </w:p>
        </w:tc>
      </w:tr>
      <w:tr>
        <w:trPr>
          <w:trHeight w:val="402" w:hRule="exact"/>
        </w:trPr>
        <w:tc>
          <w:tcPr>
            <w:tcW w:w="379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其中：一年内到期的长期借款（附注七、</w:t>
            </w:r>
            <w:r>
              <w:rPr>
                <w:rFonts w:ascii="Times New Roman" w:hAnsi="Times New Roman" w:cs="Times New Roman" w:eastAsia="Times New Roman" w:hint="default"/>
                <w:sz w:val="18"/>
                <w:szCs w:val="18"/>
              </w:rPr>
              <w:t>31</w:t>
            </w:r>
            <w:r>
              <w:rPr>
                <w:rFonts w:ascii="宋体" w:hAnsi="宋体" w:cs="宋体" w:eastAsia="宋体" w:hint="default"/>
                <w:sz w:val="18"/>
                <w:szCs w:val="18"/>
              </w:rPr>
              <w:t>）</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1,099,968,900.00</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789,115,500.00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年到期的长期借款</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1,725,485,400.00</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898,143,000.00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年到期的长期借款</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1,485,450,209.25</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1,204,701,900.00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年以上到期的长期借款</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1,167,354,635.94</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1,621,020,907.90</w:t>
            </w:r>
          </w:p>
        </w:tc>
      </w:tr>
      <w:tr>
        <w:trPr>
          <w:trHeight w:val="401"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4,378,290,245.19</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3,723,865,807.90</w:t>
            </w:r>
          </w:p>
        </w:tc>
      </w:tr>
    </w:tbl>
    <w:p>
      <w:pPr>
        <w:pStyle w:val="BodyText"/>
        <w:spacing w:line="240" w:lineRule="auto" w:before="52"/>
        <w:ind w:left="514" w:right="147"/>
        <w:jc w:val="left"/>
      </w:pPr>
      <w:r>
        <w:rPr/>
        <w:t>注：（</w:t>
      </w:r>
      <w:r>
        <w:rPr>
          <w:rFonts w:ascii="Times New Roman" w:hAnsi="Times New Roman" w:cs="Times New Roman" w:eastAsia="Times New Roman" w:hint="default"/>
        </w:rPr>
        <w:t>1</w:t>
      </w:r>
      <w:r>
        <w:rPr/>
        <w:t>）抵押借款的抵押资产类别以及金额</w:t>
      </w:r>
      <w:r>
        <w:rPr>
          <w:rFonts w:ascii="Times New Roman" w:hAnsi="Times New Roman" w:cs="Times New Roman" w:eastAsia="Times New Roman" w:hint="default"/>
        </w:rPr>
        <w:t>,</w:t>
      </w:r>
      <w:r>
        <w:rPr/>
        <w:t>参见附注七、</w:t>
      </w:r>
      <w:r>
        <w:rPr>
          <w:rFonts w:ascii="Times New Roman" w:hAnsi="Times New Roman" w:cs="Times New Roman" w:eastAsia="Times New Roman" w:hint="default"/>
        </w:rPr>
        <w:t>13</w:t>
      </w:r>
      <w:r>
        <w:rPr/>
        <w:t>及七、</w:t>
      </w:r>
      <w:r>
        <w:rPr>
          <w:rFonts w:ascii="Times New Roman" w:hAnsi="Times New Roman" w:cs="Times New Roman" w:eastAsia="Times New Roman" w:hint="default"/>
        </w:rPr>
        <w:t>17</w:t>
      </w:r>
      <w:r>
        <w:rPr/>
        <w:t>。</w:t>
      </w:r>
    </w:p>
    <w:p>
      <w:pPr>
        <w:pStyle w:val="BodyText"/>
        <w:spacing w:line="300" w:lineRule="auto" w:before="102"/>
        <w:ind w:left="153" w:right="205" w:firstLine="360"/>
        <w:jc w:val="both"/>
      </w:pPr>
      <w:r>
        <w:rPr/>
        <w:t>（</w:t>
      </w:r>
      <w:r>
        <w:rPr>
          <w:rFonts w:ascii="Times New Roman" w:hAnsi="Times New Roman" w:cs="Times New Roman" w:eastAsia="Times New Roman" w:hint="default"/>
        </w:rPr>
        <w:t>2</w:t>
      </w:r>
      <w:r>
        <w:rPr/>
        <w:t>）保证借款：人民币</w:t>
      </w:r>
      <w:r>
        <w:rPr>
          <w:rFonts w:ascii="Times New Roman" w:hAnsi="Times New Roman" w:cs="Times New Roman" w:eastAsia="Times New Roman" w:hint="default"/>
        </w:rPr>
        <w:t>294,618,000.00</w:t>
      </w:r>
      <w:r>
        <w:rPr/>
        <w:t>元的借款由本公司为湛江晨鸣浆纸有限公司提供担保、人民币</w:t>
      </w:r>
      <w:r>
        <w:rPr>
          <w:spacing w:val="15"/>
        </w:rPr>
        <w:t> </w:t>
      </w:r>
      <w:r>
        <w:rPr>
          <w:rFonts w:ascii="Times New Roman" w:hAnsi="Times New Roman" w:cs="Times New Roman" w:eastAsia="Times New Roman" w:hint="default"/>
        </w:rPr>
        <w:t>46,000,000.00</w:t>
      </w:r>
      <w:r>
        <w:rPr/>
        <w:t>的 借款由本公司为黄冈晨鸣林业发展有限责任公司提供担保、人民币</w:t>
      </w:r>
      <w:r>
        <w:rPr>
          <w:rFonts w:ascii="Times New Roman" w:hAnsi="Times New Roman" w:cs="Times New Roman" w:eastAsia="Times New Roman" w:hint="default"/>
        </w:rPr>
        <w:t>670,560,809.25</w:t>
      </w:r>
      <w:r>
        <w:rPr/>
        <w:t>元的借款由本公司为山东晨鸣融资租赁有 限公司提供担保、人民币</w:t>
      </w:r>
      <w:r>
        <w:rPr>
          <w:rFonts w:ascii="Times New Roman" w:hAnsi="Times New Roman" w:cs="Times New Roman" w:eastAsia="Times New Roman" w:hint="default"/>
        </w:rPr>
        <w:t>35,800,000.00</w:t>
      </w:r>
      <w:r>
        <w:rPr/>
        <w:t>的借款由江西晨鸣纸业有限责任公司为南昌晨鸣林业发展有限公司提供担保、人民</w:t>
      </w:r>
      <w:r>
        <w:rPr>
          <w:spacing w:val="-20"/>
        </w:rPr>
        <w:t> </w:t>
      </w:r>
      <w:r>
        <w:rPr>
          <w:spacing w:val="-20"/>
        </w:rPr>
      </w:r>
      <w:r>
        <w:rPr/>
        <w:t>币</w:t>
      </w:r>
      <w:r>
        <w:rPr>
          <w:spacing w:val="-19"/>
        </w:rPr>
        <w:t> </w:t>
      </w:r>
      <w:r>
        <w:rPr>
          <w:rFonts w:ascii="Times New Roman" w:hAnsi="Times New Roman" w:cs="Times New Roman" w:eastAsia="Times New Roman" w:hint="default"/>
        </w:rPr>
        <w:t>228,000,000.00</w:t>
      </w:r>
      <w:r>
        <w:rPr/>
        <w:t>元的借款由湛江晨鸣纸业有限公司为江西晨鸣纸业有限公司提供担保，期限详见附注十二、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p>
    <w:p>
      <w:pPr>
        <w:spacing w:line="240" w:lineRule="auto" w:before="12"/>
        <w:rPr>
          <w:rFonts w:ascii="宋体" w:hAnsi="宋体" w:cs="宋体" w:eastAsia="宋体" w:hint="default"/>
          <w:sz w:val="21"/>
          <w:szCs w:val="21"/>
        </w:rPr>
      </w:pPr>
    </w:p>
    <w:p>
      <w:pPr>
        <w:pStyle w:val="Heading4"/>
        <w:spacing w:line="240" w:lineRule="auto"/>
        <w:ind w:right="147"/>
        <w:jc w:val="left"/>
        <w:rPr>
          <w:b w:val="0"/>
          <w:bCs w:val="0"/>
        </w:rPr>
      </w:pPr>
      <w:r>
        <w:rPr>
          <w:rFonts w:ascii="Times New Roman" w:hAnsi="Times New Roman" w:cs="Times New Roman" w:eastAsia="Times New Roman" w:hint="default"/>
        </w:rPr>
        <w:t>34</w:t>
      </w:r>
      <w:r>
        <w:rPr/>
        <w:t>、应付债券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1,993,899,974.62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1,990,203,485.86</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3,783,231,333.39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3,778,215,126.87</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香港晨鸣债</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498,688,952.66</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减：一年内到期部分年末余额</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498,688,952.66</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5,777,131,308.01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5,768,418,612.73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9"/>
        <w:gridCol w:w="799"/>
        <w:gridCol w:w="799"/>
        <w:gridCol w:w="798"/>
        <w:gridCol w:w="798"/>
        <w:gridCol w:w="797"/>
        <w:gridCol w:w="797"/>
        <w:gridCol w:w="797"/>
        <w:gridCol w:w="797"/>
        <w:gridCol w:w="797"/>
        <w:gridCol w:w="798"/>
        <w:gridCol w:w="797"/>
      </w:tblGrid>
      <w:tr>
        <w:trPr>
          <w:trHeight w:val="714"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03" w:right="31"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晨鸣债</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1,982,000</w:t>
            </w:r>
          </w:p>
          <w:p>
            <w:pPr>
              <w:pStyle w:val="TableParagraph"/>
              <w:spacing w:line="240" w:lineRule="auto" w:before="106"/>
              <w:ind w:left="19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1,990,203</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,485.86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119,000,0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3,696,488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118,999,9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99.99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1,993,899</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,974.62</w:t>
            </w:r>
          </w:p>
        </w:tc>
      </w:tr>
      <w:tr>
        <w:trPr>
          <w:trHeight w:val="102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晨鸣债</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3,800,000</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3,773,400</w:t>
            </w:r>
          </w:p>
          <w:p>
            <w:pPr>
              <w:pStyle w:val="TableParagraph"/>
              <w:spacing w:line="240" w:lineRule="auto" w:before="106"/>
              <w:ind w:left="19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3,778,215</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,126.87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214,700,0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5,016,206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214,700,0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3,783,231</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,333.39</w:t>
            </w:r>
          </w:p>
        </w:tc>
      </w:tr>
      <w:tr>
        <w:trPr>
          <w:trHeight w:val="102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香港晨 鸣债</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491,750,0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498,688,9</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52.66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4,232,445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1,311,047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507,375,0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6,247,150</w:t>
            </w:r>
          </w:p>
          <w:p>
            <w:pPr>
              <w:pStyle w:val="TableParagraph"/>
              <w:spacing w:line="240" w:lineRule="auto" w:before="106"/>
              <w:ind w:left="19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6,267,107</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,565.39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337,932,4</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45.14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10,023,74</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2.62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841,074,9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99.99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5,777,131</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,308.01</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35</w:t>
      </w:r>
      <w:r>
        <w:rPr/>
        <w:t>、长期应付款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南昌经济技术开发区投资控股有限公司</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36</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402"/>
        <w:gridCol w:w="1529"/>
        <w:gridCol w:w="1529"/>
        <w:gridCol w:w="1702"/>
        <w:gridCol w:w="1528"/>
        <w:gridCol w:w="1004"/>
      </w:tblGrid>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吉林晨鸣环保迁建</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971,805,561.39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220,000,000.00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1,191,805,561.39</w:t>
            </w:r>
          </w:p>
        </w:tc>
        <w:tc>
          <w:tcPr>
            <w:tcW w:w="152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武汉晨鸣环保迁建</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370,920,000.00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370,920,000.00</w:t>
            </w:r>
          </w:p>
        </w:tc>
        <w:tc>
          <w:tcPr>
            <w:tcW w:w="152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黄冈林浆纸一体化项目</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161,983,516.66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0" w:right="0"/>
              <w:jc w:val="left"/>
              <w:rPr>
                <w:rFonts w:ascii="Times New Roman" w:hAnsi="Times New Roman" w:cs="Times New Roman" w:eastAsia="Times New Roman" w:hint="default"/>
                <w:sz w:val="18"/>
                <w:szCs w:val="18"/>
              </w:rPr>
            </w:pPr>
            <w:r>
              <w:rPr>
                <w:rFonts w:ascii="Times New Roman"/>
                <w:sz w:val="18"/>
              </w:rPr>
              <w:t>161,983,516.66</w:t>
            </w:r>
          </w:p>
        </w:tc>
        <w:tc>
          <w:tcPr>
            <w:tcW w:w="10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971,805,561.39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752,903,516.66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1,562,725,561.39</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0" w:right="0"/>
              <w:jc w:val="left"/>
              <w:rPr>
                <w:rFonts w:ascii="Times New Roman" w:hAnsi="Times New Roman" w:cs="Times New Roman" w:eastAsia="Times New Roman" w:hint="default"/>
                <w:sz w:val="18"/>
                <w:szCs w:val="18"/>
              </w:rPr>
            </w:pPr>
            <w:r>
              <w:rPr>
                <w:rFonts w:ascii="Times New Roman"/>
                <w:sz w:val="18"/>
              </w:rPr>
              <w:t>161,983,516.66</w:t>
            </w:r>
          </w:p>
        </w:tc>
        <w:tc>
          <w:tcPr>
            <w:tcW w:w="1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10"/>
        <w:ind w:left="153" w:right="213" w:firstLine="360"/>
        <w:jc w:val="both"/>
      </w:pPr>
      <w:r>
        <w:rPr>
          <w:spacing w:val="-1"/>
        </w:rPr>
        <w:t>注：本年度，按照与国开吉林投资有限公司签署搬迁补偿协议，本公司收到搬迁补偿款</w:t>
      </w:r>
      <w:r>
        <w:rPr>
          <w:rFonts w:ascii="Times New Roman" w:hAnsi="Times New Roman" w:cs="Times New Roman" w:eastAsia="Times New Roman" w:hint="default"/>
          <w:spacing w:val="-1"/>
        </w:rPr>
        <w:t>220,000,000.00</w:t>
      </w:r>
      <w:r>
        <w:rPr>
          <w:spacing w:val="-1"/>
        </w:rPr>
        <w:t>元。本年度用搬</w:t>
      </w:r>
      <w:r>
        <w:rPr/>
        <w:t> 迁补偿款补偿搬迁损失</w:t>
      </w:r>
      <w:r>
        <w:rPr>
          <w:rFonts w:ascii="Times New Roman" w:hAnsi="Times New Roman" w:cs="Times New Roman" w:eastAsia="Times New Roman" w:hint="default"/>
        </w:rPr>
        <w:t>233,025,033.91</w:t>
      </w:r>
      <w:r>
        <w:rPr/>
        <w:t>元，转入递延收益</w:t>
      </w:r>
      <w:r>
        <w:rPr>
          <w:rFonts w:ascii="Times New Roman" w:hAnsi="Times New Roman" w:cs="Times New Roman" w:eastAsia="Times New Roman" w:hint="default"/>
        </w:rPr>
        <w:t>958,780,527.48</w:t>
      </w:r>
      <w:r>
        <w:rPr/>
        <w:t>元；根据武汉市政府关于</w:t>
      </w:r>
      <w:r>
        <w:rPr>
          <w:rFonts w:ascii="Times New Roman" w:hAnsi="Times New Roman" w:cs="Times New Roman" w:eastAsia="Times New Roman" w:hint="default"/>
        </w:rPr>
        <w:t>“</w:t>
      </w:r>
      <w:r>
        <w:rPr/>
        <w:t>武汉晨鸣公司关于淘汰落</w:t>
      </w:r>
      <w:r>
        <w:rPr>
          <w:spacing w:val="-63"/>
        </w:rPr>
        <w:t> </w:t>
      </w:r>
      <w:r>
        <w:rPr>
          <w:spacing w:val="-63"/>
        </w:rPr>
      </w:r>
      <w:r>
        <w:rPr/>
        <w:t>后产能环保迁建</w:t>
      </w:r>
      <w:r>
        <w:rPr>
          <w:rFonts w:ascii="Times New Roman" w:hAnsi="Times New Roman" w:cs="Times New Roman" w:eastAsia="Times New Roman" w:hint="default"/>
        </w:rPr>
        <w:t>”</w:t>
      </w:r>
      <w:r>
        <w:rPr/>
        <w:t>会议精神，本公司收到淘汰落后产能奖励资金和搬迁补偿款</w:t>
      </w:r>
      <w:r>
        <w:rPr>
          <w:rFonts w:ascii="Times New Roman" w:hAnsi="Times New Roman" w:cs="Times New Roman" w:eastAsia="Times New Roman" w:hint="default"/>
        </w:rPr>
        <w:t>370,920,000.00</w:t>
      </w:r>
      <w:r>
        <w:rPr/>
        <w:t>元。本年度用搬迁补偿款补偿</w:t>
      </w:r>
      <w:r>
        <w:rPr>
          <w:spacing w:val="-18"/>
        </w:rPr>
        <w:t> </w:t>
      </w:r>
      <w:r>
        <w:rPr>
          <w:spacing w:val="-18"/>
        </w:rPr>
      </w:r>
      <w:r>
        <w:rPr>
          <w:spacing w:val="-1"/>
        </w:rPr>
        <w:t>搬迁损失</w:t>
      </w:r>
      <w:r>
        <w:rPr>
          <w:rFonts w:ascii="Times New Roman" w:hAnsi="Times New Roman" w:cs="Times New Roman" w:eastAsia="Times New Roman" w:hint="default"/>
          <w:spacing w:val="-1"/>
        </w:rPr>
        <w:t>365,074,268.77</w:t>
      </w:r>
      <w:r>
        <w:rPr>
          <w:spacing w:val="-1"/>
        </w:rPr>
        <w:t>元，转入递延收益</w:t>
      </w:r>
      <w:r>
        <w:rPr>
          <w:rFonts w:ascii="Times New Roman" w:hAnsi="Times New Roman" w:cs="Times New Roman" w:eastAsia="Times New Roman" w:hint="default"/>
          <w:spacing w:val="-1"/>
        </w:rPr>
        <w:t>5,845,731.23</w:t>
      </w:r>
      <w:r>
        <w:rPr>
          <w:spacing w:val="-1"/>
        </w:rPr>
        <w:t>元。根据《黄冈晨鸣林浆纸一体化项目专项政府性补助资金管理暂行</w:t>
      </w:r>
      <w:r>
        <w:rPr/>
        <w:t> 办法》，将黄冈市财政局下发的专项用于黄冈晨鸣林浆纸一体化项目的专项资金</w:t>
      </w:r>
      <w:r>
        <w:rPr>
          <w:rFonts w:ascii="Times New Roman" w:hAnsi="Times New Roman" w:cs="Times New Roman" w:eastAsia="Times New Roman" w:hint="default"/>
        </w:rPr>
        <w:t>161,983,516.66</w:t>
      </w:r>
      <w:r>
        <w:rPr/>
        <w:t>元计入专项应付款。</w:t>
      </w:r>
    </w:p>
    <w:p>
      <w:pPr>
        <w:spacing w:after="0" w:line="300" w:lineRule="auto"/>
        <w:jc w:val="both"/>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47"/>
        <w:jc w:val="left"/>
        <w:rPr>
          <w:b w:val="0"/>
          <w:bCs w:val="0"/>
        </w:rPr>
      </w:pPr>
      <w:r>
        <w:rPr>
          <w:rFonts w:ascii="Times New Roman" w:hAnsi="Times New Roman" w:cs="Times New Roman" w:eastAsia="Times New Roman" w:hint="default"/>
        </w:rPr>
        <w:t>37</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926"/>
        <w:gridCol w:w="1218"/>
        <w:gridCol w:w="1316"/>
        <w:gridCol w:w="1091"/>
        <w:gridCol w:w="1349"/>
        <w:gridCol w:w="782"/>
      </w:tblGrid>
      <w:tr>
        <w:trPr>
          <w:trHeight w:val="402" w:hRule="exact"/>
        </w:trPr>
        <w:tc>
          <w:tcPr>
            <w:tcW w:w="3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3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2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493,600,712.15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1,041,955,222.71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59,434,500.08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1,476,121,434.78</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493,600,712.15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1,041,955,222.71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59,434,500.08</w:t>
            </w:r>
          </w:p>
        </w:tc>
        <w:tc>
          <w:tcPr>
            <w:tcW w:w="134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1,476,121,434.78</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7"/>
        <w:jc w:val="left"/>
      </w:pPr>
      <w:r>
        <w:rPr/>
        <w:t>涉及政府补助的项目：</w:t>
      </w:r>
    </w:p>
    <w:p>
      <w:pPr>
        <w:pStyle w:val="BodyText"/>
        <w:spacing w:line="240" w:lineRule="auto" w:before="116"/>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951"/>
        <w:gridCol w:w="1186"/>
        <w:gridCol w:w="1444"/>
        <w:gridCol w:w="1778"/>
        <w:gridCol w:w="613"/>
        <w:gridCol w:w="1320"/>
        <w:gridCol w:w="1402"/>
      </w:tblGrid>
      <w:tr>
        <w:trPr>
          <w:trHeight w:val="714" w:hRule="exact"/>
        </w:trPr>
        <w:tc>
          <w:tcPr>
            <w:tcW w:w="19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26" w:right="85"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4" w:right="72" w:hanging="630"/>
              <w:jc w:val="left"/>
              <w:rPr>
                <w:rFonts w:ascii="宋体" w:hAnsi="宋体" w:cs="宋体" w:eastAsia="宋体" w:hint="default"/>
                <w:sz w:val="18"/>
                <w:szCs w:val="18"/>
              </w:rPr>
            </w:pPr>
            <w:r>
              <w:rPr>
                <w:rFonts w:ascii="宋体" w:hAnsi="宋体" w:cs="宋体" w:eastAsia="宋体" w:hint="default"/>
                <w:sz w:val="18"/>
                <w:szCs w:val="18"/>
              </w:rPr>
              <w:t>本期计入营业外收入 金额</w:t>
            </w:r>
          </w:p>
        </w:tc>
        <w:tc>
          <w:tcPr>
            <w:tcW w:w="6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1" w:right="30" w:hanging="180"/>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25" w:right="38"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环境保护专项资金补助</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67,038,714.68</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968,626,258.71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34,041,863.79</w:t>
            </w:r>
          </w:p>
        </w:tc>
        <w:tc>
          <w:tcPr>
            <w:tcW w:w="6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1,001,623,109.60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国家科技支撑计划课题 经费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7,440,725.00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2,108,453.30</w:t>
            </w:r>
          </w:p>
        </w:tc>
        <w:tc>
          <w:tcPr>
            <w:tcW w:w="6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5,832,271.70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松花江环保项目专项经 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26,913,079.80</w:t>
            </w:r>
          </w:p>
        </w:tc>
        <w:tc>
          <w:tcPr>
            <w:tcW w:w="1444"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1,030,000.08</w:t>
            </w:r>
          </w:p>
        </w:tc>
        <w:tc>
          <w:tcPr>
            <w:tcW w:w="6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25,883,079.72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碱回收系统改造</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4,883,749.85</w:t>
            </w:r>
          </w:p>
        </w:tc>
        <w:tc>
          <w:tcPr>
            <w:tcW w:w="1444"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183,140.62</w:t>
            </w:r>
          </w:p>
        </w:tc>
        <w:tc>
          <w:tcPr>
            <w:tcW w:w="6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4,700,609.23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污水处理及节水改造项 目</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11,909,151.27</w:t>
            </w:r>
          </w:p>
        </w:tc>
        <w:tc>
          <w:tcPr>
            <w:tcW w:w="1444"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990,418.60</w:t>
            </w:r>
          </w:p>
        </w:tc>
        <w:tc>
          <w:tcPr>
            <w:tcW w:w="6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10,918,732.67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技改项目财政补助</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100,544,210.53</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18,803,100.00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5,044,085.32</w:t>
            </w:r>
          </w:p>
        </w:tc>
        <w:tc>
          <w:tcPr>
            <w:tcW w:w="6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114,303,225.21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湛江林浆纸一体化项目</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273,646,753.33</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4,637,456.00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11,954,540.97</w:t>
            </w:r>
          </w:p>
        </w:tc>
        <w:tc>
          <w:tcPr>
            <w:tcW w:w="6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266,329,668.36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186"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34,837,908.00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3,930,290.26</w:t>
            </w:r>
          </w:p>
        </w:tc>
        <w:tc>
          <w:tcPr>
            <w:tcW w:w="6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30,907,617.74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铁路改线补偿</w:t>
            </w:r>
          </w:p>
        </w:tc>
        <w:tc>
          <w:tcPr>
            <w:tcW w:w="1186"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14,250,000.00</w:t>
            </w:r>
          </w:p>
        </w:tc>
        <w:tc>
          <w:tcPr>
            <w:tcW w:w="1778"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1,224,327.69</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300,500.00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151,707.14</w:t>
            </w:r>
          </w:p>
        </w:tc>
        <w:tc>
          <w:tcPr>
            <w:tcW w:w="6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1,373,120.55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493,600,712.15</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1,041,955,222.71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59,434,500.08</w:t>
            </w:r>
          </w:p>
        </w:tc>
        <w:tc>
          <w:tcPr>
            <w:tcW w:w="6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1,476,121,434.78</w:t>
            </w:r>
          </w:p>
        </w:tc>
        <w:tc>
          <w:tcPr>
            <w:tcW w:w="1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38</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1,091,270,700.55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1,088,060,197.75</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私募债</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1,493,497,659.09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1,489,103,380.29</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年内到期</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年内到期</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2,600,000,000.00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未摊销发行费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-15,231,640.36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-22,836,421.96</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2,584,768,359.64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2,577,163,578.04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47"/>
        <w:jc w:val="left"/>
        <w:rPr>
          <w:b w:val="0"/>
          <w:bCs w:val="0"/>
        </w:rPr>
      </w:pPr>
      <w:r>
        <w:rPr>
          <w:rFonts w:ascii="Times New Roman" w:hAnsi="Times New Roman" w:cs="Times New Roman" w:eastAsia="Times New Roman" w:hint="default"/>
        </w:rPr>
        <w:t>39</w:t>
      </w:r>
      <w:r>
        <w:rPr/>
        <w:t>、</w:t>
      </w:r>
      <w:r>
        <w:rPr>
          <w:spacing w:val="-2"/>
        </w:rPr>
        <w:t> </w:t>
      </w:r>
      <w:r>
        <w:rPr/>
        <w:t>股本</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2737"/>
        <w:gridCol w:w="1879"/>
        <w:gridCol w:w="1568"/>
        <w:gridCol w:w="1588"/>
        <w:gridCol w:w="1885"/>
      </w:tblGrid>
      <w:tr>
        <w:trPr>
          <w:trHeight w:val="347" w:hRule="exact"/>
        </w:trPr>
        <w:tc>
          <w:tcPr>
            <w:tcW w:w="2737"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9"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56"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43" w:right="0"/>
              <w:jc w:val="left"/>
              <w:rPr>
                <w:rFonts w:ascii="宋体" w:hAnsi="宋体" w:cs="宋体" w:eastAsia="宋体" w:hint="default"/>
                <w:sz w:val="18"/>
                <w:szCs w:val="18"/>
              </w:rPr>
            </w:pPr>
            <w:r>
              <w:rPr>
                <w:rFonts w:ascii="宋体" w:hAnsi="宋体" w:cs="宋体" w:eastAsia="宋体" w:hint="default"/>
                <w:sz w:val="18"/>
                <w:szCs w:val="18"/>
              </w:rPr>
              <w:t>本年增减变动（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85"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7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6" w:hRule="exact"/>
        </w:trPr>
        <w:tc>
          <w:tcPr>
            <w:tcW w:w="2737" w:type="dxa"/>
            <w:vMerge/>
            <w:tcBorders>
              <w:left w:val="single" w:sz="6" w:space="0" w:color="000000"/>
              <w:bottom w:val="single" w:sz="6" w:space="0" w:color="000000"/>
              <w:right w:val="single" w:sz="6" w:space="0" w:color="000000"/>
            </w:tcBorders>
            <w:shd w:val="clear" w:color="auto" w:fill="CCCCCC"/>
          </w:tcPr>
          <w:p>
            <w:pPr/>
          </w:p>
        </w:tc>
        <w:tc>
          <w:tcPr>
            <w:tcW w:w="1879" w:type="dxa"/>
            <w:vMerge/>
            <w:tcBorders>
              <w:left w:val="single" w:sz="6" w:space="0" w:color="000000"/>
              <w:bottom w:val="single" w:sz="6" w:space="0" w:color="000000"/>
              <w:right w:val="single" w:sz="6" w:space="0" w:color="000000"/>
            </w:tcBorders>
            <w:shd w:val="clear" w:color="auto" w:fill="CCCCCC"/>
          </w:tcPr>
          <w:p>
            <w:pPr/>
          </w:p>
        </w:tc>
        <w:tc>
          <w:tcPr>
            <w:tcW w:w="156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517" w:right="0"/>
              <w:jc w:val="left"/>
              <w:rPr>
                <w:rFonts w:ascii="宋体" w:hAnsi="宋体" w:cs="宋体" w:eastAsia="宋体" w:hint="default"/>
                <w:sz w:val="18"/>
                <w:szCs w:val="18"/>
              </w:rPr>
            </w:pPr>
            <w:r>
              <w:rPr>
                <w:rFonts w:ascii="宋体" w:hAnsi="宋体" w:cs="宋体" w:eastAsia="宋体" w:hint="default"/>
                <w:sz w:val="18"/>
                <w:szCs w:val="18"/>
              </w:rPr>
              <w:t>回购</w:t>
            </w:r>
          </w:p>
        </w:tc>
        <w:tc>
          <w:tcPr>
            <w:tcW w:w="15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61"/>
              <w:jc w:val="center"/>
              <w:rPr>
                <w:rFonts w:ascii="宋体" w:hAnsi="宋体" w:cs="宋体" w:eastAsia="宋体" w:hint="default"/>
                <w:sz w:val="18"/>
                <w:szCs w:val="18"/>
              </w:rPr>
            </w:pPr>
            <w:r>
              <w:rPr>
                <w:rFonts w:ascii="宋体" w:hAnsi="宋体" w:cs="宋体" w:eastAsia="宋体" w:hint="default"/>
                <w:sz w:val="18"/>
                <w:szCs w:val="18"/>
              </w:rPr>
              <w:t>小计</w:t>
            </w:r>
          </w:p>
        </w:tc>
        <w:tc>
          <w:tcPr>
            <w:tcW w:w="1885" w:type="dxa"/>
            <w:vMerge/>
            <w:tcBorders>
              <w:left w:val="single" w:sz="6" w:space="0" w:color="000000"/>
              <w:bottom w:val="single" w:sz="6" w:space="0" w:color="000000"/>
              <w:right w:val="single" w:sz="6" w:space="0" w:color="000000"/>
            </w:tcBorders>
            <w:shd w:val="clear" w:color="auto" w:fill="CCCCCC"/>
          </w:tcPr>
          <w:p>
            <w:pPr/>
          </w:p>
        </w:tc>
      </w:tr>
      <w:tr>
        <w:trPr>
          <w:trHeight w:val="348" w:hRule="exact"/>
        </w:trPr>
        <w:tc>
          <w:tcPr>
            <w:tcW w:w="2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1,113,278,456.00</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1,113,278,456.00</w:t>
            </w:r>
          </w:p>
        </w:tc>
      </w:tr>
      <w:tr>
        <w:trPr>
          <w:trHeight w:val="347" w:hRule="exact"/>
        </w:trPr>
        <w:tc>
          <w:tcPr>
            <w:tcW w:w="2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境内上市外资股（</w:t>
            </w:r>
            <w:r>
              <w:rPr>
                <w:rFonts w:ascii="Times New Roman" w:hAnsi="Times New Roman" w:cs="Times New Roman" w:eastAsia="Times New Roman" w:hint="default"/>
                <w:sz w:val="18"/>
                <w:szCs w:val="18"/>
              </w:rPr>
              <w:t>B</w:t>
            </w:r>
            <w:r>
              <w:rPr>
                <w:rFonts w:ascii="宋体" w:hAnsi="宋体" w:cs="宋体" w:eastAsia="宋体" w:hint="default"/>
                <w:sz w:val="18"/>
                <w:szCs w:val="18"/>
              </w:rPr>
              <w:t>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470,923,511.00</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470,923,511.00</w:t>
            </w:r>
          </w:p>
        </w:tc>
      </w:tr>
      <w:tr>
        <w:trPr>
          <w:trHeight w:val="347" w:hRule="exact"/>
        </w:trPr>
        <w:tc>
          <w:tcPr>
            <w:tcW w:w="2737"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境外上市外资股（</w:t>
            </w:r>
            <w:r>
              <w:rPr>
                <w:rFonts w:ascii="Times New Roman" w:hAnsi="Times New Roman" w:cs="Times New Roman" w:eastAsia="Times New Roman" w:hint="default"/>
                <w:sz w:val="18"/>
                <w:szCs w:val="18"/>
              </w:rPr>
              <w:t>H</w:t>
            </w:r>
            <w:r>
              <w:rPr>
                <w:rFonts w:ascii="宋体" w:hAnsi="宋体" w:cs="宋体" w:eastAsia="宋体" w:hint="default"/>
                <w:sz w:val="18"/>
                <w:szCs w:val="18"/>
              </w:rPr>
              <w:t>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391,270,000.00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57" w:right="0"/>
              <w:jc w:val="left"/>
              <w:rPr>
                <w:rFonts w:ascii="Times New Roman" w:hAnsi="Times New Roman" w:cs="Times New Roman" w:eastAsia="Times New Roman" w:hint="default"/>
                <w:sz w:val="18"/>
                <w:szCs w:val="18"/>
              </w:rPr>
            </w:pPr>
            <w:r>
              <w:rPr>
                <w:rFonts w:ascii="Times New Roman"/>
                <w:sz w:val="18"/>
              </w:rPr>
              <w:t>-39,066,500.00</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-39,066,500.00</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352,203,500.00</w:t>
            </w:r>
          </w:p>
        </w:tc>
      </w:tr>
      <w:tr>
        <w:trPr>
          <w:trHeight w:val="348" w:hRule="exact"/>
        </w:trPr>
        <w:tc>
          <w:tcPr>
            <w:tcW w:w="273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股份总额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1,975,471,967.00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57" w:right="0"/>
              <w:jc w:val="left"/>
              <w:rPr>
                <w:rFonts w:ascii="Times New Roman" w:hAnsi="Times New Roman" w:cs="Times New Roman" w:eastAsia="Times New Roman" w:hint="default"/>
                <w:sz w:val="18"/>
                <w:szCs w:val="18"/>
              </w:rPr>
            </w:pPr>
            <w:r>
              <w:rPr>
                <w:rFonts w:ascii="Times New Roman"/>
                <w:sz w:val="18"/>
              </w:rPr>
              <w:t>-39,066,500.00</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-39,066,500.00</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1,936,405,467.00</w:t>
            </w:r>
          </w:p>
        </w:tc>
      </w:tr>
    </w:tbl>
    <w:p>
      <w:pPr>
        <w:pStyle w:val="BodyText"/>
        <w:spacing w:line="300" w:lineRule="auto" w:before="10"/>
        <w:ind w:right="146" w:firstLine="359"/>
        <w:jc w:val="left"/>
      </w:pPr>
      <w:r>
        <w:rPr/>
        <w:t>公司自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月回购</w:t>
      </w:r>
      <w:r>
        <w:rPr>
          <w:rFonts w:ascii="Times New Roman" w:hAnsi="Times New Roman" w:cs="Times New Roman" w:eastAsia="Times New Roman" w:hint="default"/>
        </w:rPr>
        <w:t>39,066,500</w:t>
      </w:r>
      <w:r>
        <w:rPr/>
        <w:t>股境外上市外资股（</w:t>
      </w:r>
      <w:r>
        <w:rPr>
          <w:rFonts w:ascii="Times New Roman" w:hAnsi="Times New Roman" w:cs="Times New Roman" w:eastAsia="Times New Roman" w:hint="default"/>
        </w:rPr>
        <w:t>H</w:t>
      </w:r>
      <w:r>
        <w:rPr/>
        <w:t>股），变更后的股本人民币</w:t>
      </w:r>
      <w:r>
        <w:rPr>
          <w:rFonts w:ascii="Times New Roman" w:hAnsi="Times New Roman" w:cs="Times New Roman" w:eastAsia="Times New Roman" w:hint="default"/>
        </w:rPr>
        <w:t>1,936,405,467</w:t>
      </w:r>
      <w:r>
        <w:rPr/>
        <w:t>元。该股 本已经经瑞华会计师事务所验证，并出具了编号为瑞华验字【</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37020007</w:t>
      </w:r>
      <w:r>
        <w:rPr/>
        <w:t>号的验资报告。</w:t>
      </w:r>
    </w:p>
    <w:p>
      <w:pPr>
        <w:spacing w:line="240" w:lineRule="auto" w:before="1"/>
        <w:rPr>
          <w:rFonts w:ascii="宋体" w:hAnsi="宋体" w:cs="宋体" w:eastAsia="宋体" w:hint="default"/>
          <w:sz w:val="22"/>
          <w:szCs w:val="22"/>
        </w:rPr>
      </w:pPr>
    </w:p>
    <w:p>
      <w:pPr>
        <w:pStyle w:val="Heading4"/>
        <w:spacing w:line="240" w:lineRule="auto"/>
        <w:ind w:right="147"/>
        <w:jc w:val="left"/>
        <w:rPr>
          <w:b w:val="0"/>
          <w:bCs w:val="0"/>
        </w:rPr>
      </w:pPr>
      <w:r>
        <w:rPr>
          <w:rFonts w:ascii="Times New Roman" w:hAnsi="Times New Roman" w:cs="Times New Roman" w:eastAsia="Times New Roman" w:hint="default"/>
        </w:rPr>
        <w:t>40</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5,534,359,521.73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11,069,234.64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66,614,390.17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5,478,814,366.20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670,322,507.21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670,322,507.21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6,204,682,028.94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11,069,234.64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66,614,390.17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6,149,136,873.41</w:t>
            </w:r>
          </w:p>
        </w:tc>
      </w:tr>
    </w:tbl>
    <w:p>
      <w:pPr>
        <w:pStyle w:val="BodyText"/>
        <w:spacing w:line="300" w:lineRule="auto" w:before="10"/>
        <w:ind w:left="153" w:right="149" w:firstLine="360"/>
        <w:jc w:val="both"/>
      </w:pPr>
      <w:r>
        <w:rPr>
          <w:spacing w:val="-2"/>
        </w:rPr>
        <w:t>注：公司之子公司山东晨鸣热电股份有限公司于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5</w:t>
      </w:r>
      <w:r>
        <w:rPr>
          <w:spacing w:val="-2"/>
        </w:rPr>
        <w:t>日召开股东会，通过了以晨鸣热电</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日账面每股</w:t>
      </w:r>
      <w:r>
        <w:rPr/>
        <w:t> </w:t>
      </w:r>
      <w:r>
        <w:rPr>
          <w:spacing w:val="-1"/>
        </w:rPr>
        <w:t>净资产（</w:t>
      </w:r>
      <w:r>
        <w:rPr>
          <w:rFonts w:ascii="Times New Roman" w:hAnsi="Times New Roman" w:cs="Times New Roman" w:eastAsia="Times New Roman" w:hint="default"/>
          <w:spacing w:val="-1"/>
        </w:rPr>
        <w:t>1.77</w:t>
      </w:r>
      <w:r>
        <w:rPr>
          <w:spacing w:val="-1"/>
        </w:rPr>
        <w:t>元</w:t>
      </w:r>
      <w:r>
        <w:rPr>
          <w:rFonts w:ascii="Times New Roman" w:hAnsi="Times New Roman" w:cs="Times New Roman" w:eastAsia="Times New Roman" w:hint="default"/>
          <w:spacing w:val="-1"/>
        </w:rPr>
        <w:t>/</w:t>
      </w:r>
      <w:r>
        <w:rPr>
          <w:spacing w:val="-1"/>
        </w:rPr>
        <w:t>股）的价格，共计</w:t>
      </w:r>
      <w:r>
        <w:rPr>
          <w:rFonts w:ascii="Times New Roman" w:hAnsi="Times New Roman" w:cs="Times New Roman" w:eastAsia="Times New Roman" w:hint="default"/>
          <w:spacing w:val="-1"/>
        </w:rPr>
        <w:t>23,413,560.00</w:t>
      </w:r>
      <w:r>
        <w:rPr>
          <w:spacing w:val="-1"/>
        </w:rPr>
        <w:t>元回购发行在外的</w:t>
      </w:r>
      <w:r>
        <w:rPr>
          <w:rFonts w:ascii="Times New Roman" w:hAnsi="Times New Roman" w:cs="Times New Roman" w:eastAsia="Times New Roman" w:hint="default"/>
          <w:spacing w:val="-1"/>
        </w:rPr>
        <w:t>13,228,000</w:t>
      </w:r>
      <w:r>
        <w:rPr>
          <w:spacing w:val="-1"/>
        </w:rPr>
        <w:t>股少数股东股份（</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月底少数股东权益为</w:t>
      </w:r>
      <w:r>
        <w:rPr>
          <w:spacing w:val="-66"/>
        </w:rPr>
        <w:t> </w:t>
      </w:r>
      <w:r>
        <w:rPr>
          <w:rFonts w:ascii="Times New Roman" w:hAnsi="Times New Roman" w:cs="Times New Roman" w:eastAsia="Times New Roman" w:hint="default"/>
          <w:spacing w:val="-2"/>
        </w:rPr>
        <w:t>34,455,926.94</w:t>
      </w:r>
      <w:r>
        <w:rPr>
          <w:spacing w:val="-2"/>
        </w:rPr>
        <w:t>元），增加资本公积</w:t>
      </w:r>
      <w:r>
        <w:rPr>
          <w:rFonts w:ascii="Times New Roman" w:hAnsi="Times New Roman" w:cs="Times New Roman" w:eastAsia="Times New Roman" w:hint="default"/>
          <w:spacing w:val="-2"/>
        </w:rPr>
        <w:t>—</w:t>
      </w:r>
      <w:r>
        <w:rPr>
          <w:spacing w:val="-2"/>
        </w:rPr>
        <w:t>股本溢价</w:t>
      </w:r>
      <w:r>
        <w:rPr>
          <w:rFonts w:ascii="Times New Roman" w:hAnsi="Times New Roman" w:cs="Times New Roman" w:eastAsia="Times New Roman" w:hint="default"/>
          <w:spacing w:val="-2"/>
        </w:rPr>
        <w:t>11,042,366.94</w:t>
      </w:r>
      <w:r>
        <w:rPr>
          <w:spacing w:val="-2"/>
        </w:rPr>
        <w:t>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20</w:t>
      </w:r>
      <w:r>
        <w:rPr>
          <w:spacing w:val="-2"/>
        </w:rPr>
        <w:t>日，收到中国证券登记结算有限公司出售因权益</w:t>
      </w:r>
      <w:r>
        <w:rPr>
          <w:spacing w:val="-38"/>
        </w:rPr>
        <w:t> </w:t>
      </w:r>
      <w:r>
        <w:rPr>
          <w:spacing w:val="-38"/>
        </w:rPr>
      </w:r>
      <w:r>
        <w:rPr>
          <w:spacing w:val="-1"/>
        </w:rPr>
        <w:t>分派等业务形成的零碎股</w:t>
      </w:r>
      <w:r>
        <w:rPr>
          <w:rFonts w:ascii="Times New Roman" w:hAnsi="Times New Roman" w:cs="Times New Roman" w:eastAsia="Times New Roman" w:hint="default"/>
          <w:spacing w:val="-1"/>
        </w:rPr>
        <w:t>6,159</w:t>
      </w:r>
      <w:r>
        <w:rPr>
          <w:spacing w:val="-1"/>
        </w:rPr>
        <w:t>股产生的收入，增加资本公积</w:t>
      </w:r>
      <w:r>
        <w:rPr>
          <w:rFonts w:ascii="Times New Roman" w:hAnsi="Times New Roman" w:cs="Times New Roman" w:eastAsia="Times New Roman" w:hint="default"/>
          <w:spacing w:val="-1"/>
        </w:rPr>
        <w:t>—</w:t>
      </w:r>
      <w:r>
        <w:rPr>
          <w:spacing w:val="-1"/>
        </w:rPr>
        <w:t>股本溢价</w:t>
      </w:r>
      <w:r>
        <w:rPr>
          <w:rFonts w:ascii="Times New Roman" w:hAnsi="Times New Roman" w:cs="Times New Roman" w:eastAsia="Times New Roman" w:hint="default"/>
          <w:spacing w:val="-1"/>
        </w:rPr>
        <w:t>26,867.70</w:t>
      </w:r>
      <w:r>
        <w:rPr>
          <w:spacing w:val="-1"/>
        </w:rPr>
        <w:t>元；公司回购</w:t>
      </w:r>
      <w:r>
        <w:rPr>
          <w:rFonts w:ascii="Times New Roman" w:hAnsi="Times New Roman" w:cs="Times New Roman" w:eastAsia="Times New Roman" w:hint="default"/>
          <w:spacing w:val="-1"/>
        </w:rPr>
        <w:t>39,066,500</w:t>
      </w:r>
      <w:r>
        <w:rPr>
          <w:spacing w:val="-1"/>
        </w:rPr>
        <w:t>股境外上市外资股</w:t>
      </w:r>
    </w:p>
    <w:p>
      <w:pPr>
        <w:pStyle w:val="BodyText"/>
        <w:spacing w:line="240" w:lineRule="auto" w:before="13"/>
        <w:ind w:right="147"/>
        <w:jc w:val="left"/>
      </w:pPr>
      <w:r>
        <w:rPr/>
        <w:t>（</w:t>
      </w:r>
      <w:r>
        <w:rPr>
          <w:rFonts w:ascii="Times New Roman" w:hAnsi="Times New Roman" w:cs="Times New Roman" w:eastAsia="Times New Roman" w:hint="default"/>
        </w:rPr>
        <w:t>H</w:t>
      </w:r>
      <w:r>
        <w:rPr/>
        <w:t>股），支付港币折合人民币</w:t>
      </w:r>
      <w:r>
        <w:rPr>
          <w:rFonts w:ascii="Times New Roman" w:hAnsi="Times New Roman" w:cs="Times New Roman" w:eastAsia="Times New Roman" w:hint="default"/>
        </w:rPr>
        <w:t>105,680,890.17</w:t>
      </w:r>
      <w:r>
        <w:rPr/>
        <w:t>元，冲减资本公积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66,614,390.17</w:t>
      </w:r>
      <w:r>
        <w:rPr/>
        <w:t>元。</w:t>
      </w:r>
    </w:p>
    <w:p>
      <w:pPr>
        <w:spacing w:line="240" w:lineRule="auto" w:before="12"/>
        <w:rPr>
          <w:rFonts w:ascii="宋体" w:hAnsi="宋体" w:cs="宋体" w:eastAsia="宋体" w:hint="default"/>
          <w:sz w:val="25"/>
          <w:szCs w:val="25"/>
        </w:rPr>
      </w:pPr>
    </w:p>
    <w:p>
      <w:pPr>
        <w:pStyle w:val="Heading4"/>
        <w:spacing w:line="240" w:lineRule="auto"/>
        <w:ind w:right="147"/>
        <w:jc w:val="left"/>
        <w:rPr>
          <w:b w:val="0"/>
          <w:bCs w:val="0"/>
        </w:rPr>
      </w:pPr>
      <w:r>
        <w:rPr>
          <w:rFonts w:ascii="Times New Roman" w:hAnsi="Times New Roman" w:cs="Times New Roman" w:eastAsia="Times New Roman" w:hint="default"/>
        </w:rPr>
        <w:t>41</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690"/>
        <w:gridCol w:w="1102"/>
        <w:gridCol w:w="1079"/>
        <w:gridCol w:w="1009"/>
        <w:gridCol w:w="816"/>
        <w:gridCol w:w="1102"/>
        <w:gridCol w:w="781"/>
        <w:gridCol w:w="1103"/>
      </w:tblGrid>
      <w:tr>
        <w:trPr>
          <w:trHeight w:val="401" w:hRule="exact"/>
        </w:trPr>
        <w:tc>
          <w:tcPr>
            <w:tcW w:w="2690" w:type="dxa"/>
            <w:vMerge w:val="restart"/>
            <w:tcBorders>
              <w:top w:val="single" w:sz="4" w:space="0" w:color="000000"/>
              <w:left w:val="single" w:sz="4" w:space="0" w:color="000000"/>
              <w:right w:val="single" w:sz="4" w:space="0" w:color="000000"/>
            </w:tcBorders>
            <w:shd w:val="clear" w:color="auto" w:fill="D3D3D3"/>
          </w:tcPr>
          <w:p>
            <w:pPr/>
          </w:p>
        </w:tc>
        <w:tc>
          <w:tcPr>
            <w:tcW w:w="1102" w:type="dxa"/>
            <w:vMerge w:val="restart"/>
            <w:tcBorders>
              <w:top w:val="single" w:sz="4" w:space="0" w:color="000000"/>
              <w:left w:val="single" w:sz="4" w:space="0" w:color="000000"/>
              <w:right w:val="single" w:sz="4" w:space="0" w:color="000000"/>
            </w:tcBorders>
            <w:shd w:val="clear" w:color="auto" w:fill="D3D3D3"/>
          </w:tcPr>
          <w:p>
            <w:pPr/>
          </w:p>
        </w:tc>
        <w:tc>
          <w:tcPr>
            <w:tcW w:w="478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103" w:type="dxa"/>
            <w:vMerge w:val="restart"/>
            <w:tcBorders>
              <w:top w:val="single" w:sz="4" w:space="0" w:color="000000"/>
              <w:left w:val="single" w:sz="4" w:space="0" w:color="000000"/>
              <w:right w:val="single" w:sz="4" w:space="0" w:color="000000"/>
            </w:tcBorders>
            <w:shd w:val="clear" w:color="auto" w:fill="D3D3D3"/>
          </w:tcPr>
          <w:p>
            <w:pPr/>
          </w:p>
        </w:tc>
      </w:tr>
      <w:tr>
        <w:trPr>
          <w:trHeight w:val="161" w:hRule="exact"/>
        </w:trPr>
        <w:tc>
          <w:tcPr>
            <w:tcW w:w="2690" w:type="dxa"/>
            <w:vMerge/>
            <w:tcBorders>
              <w:left w:val="single" w:sz="4" w:space="0" w:color="000000"/>
              <w:right w:val="single" w:sz="4" w:space="0" w:color="000000"/>
            </w:tcBorders>
            <w:shd w:val="clear" w:color="auto" w:fill="D3D3D3"/>
          </w:tcPr>
          <w:p>
            <w:pPr/>
          </w:p>
        </w:tc>
        <w:tc>
          <w:tcPr>
            <w:tcW w:w="1102" w:type="dxa"/>
            <w:vMerge/>
            <w:tcBorders>
              <w:left w:val="single" w:sz="4" w:space="0" w:color="000000"/>
              <w:right w:val="single" w:sz="4" w:space="0" w:color="000000"/>
            </w:tcBorders>
            <w:shd w:val="clear" w:color="auto" w:fill="D3D3D3"/>
          </w:tcPr>
          <w:p>
            <w:pPr/>
          </w:p>
        </w:tc>
        <w:tc>
          <w:tcPr>
            <w:tcW w:w="1079" w:type="dxa"/>
            <w:vMerge w:val="restart"/>
            <w:tcBorders>
              <w:top w:val="single" w:sz="4" w:space="0" w:color="000000"/>
              <w:left w:val="single" w:sz="4" w:space="0" w:color="000000"/>
              <w:right w:val="single" w:sz="4" w:space="0" w:color="000000"/>
            </w:tcBorders>
            <w:shd w:val="clear" w:color="auto" w:fill="D3D3D3"/>
          </w:tcPr>
          <w:p>
            <w:pPr/>
          </w:p>
        </w:tc>
        <w:tc>
          <w:tcPr>
            <w:tcW w:w="100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55" w:right="42"/>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816" w:type="dxa"/>
            <w:vMerge w:val="restart"/>
            <w:tcBorders>
              <w:top w:val="single" w:sz="4" w:space="0" w:color="000000"/>
              <w:left w:val="single" w:sz="4" w:space="0" w:color="000000"/>
              <w:right w:val="single" w:sz="4" w:space="0" w:color="000000"/>
            </w:tcBorders>
            <w:shd w:val="clear" w:color="auto" w:fill="D3D3D3"/>
          </w:tcPr>
          <w:p>
            <w:pPr/>
          </w:p>
        </w:tc>
        <w:tc>
          <w:tcPr>
            <w:tcW w:w="1102" w:type="dxa"/>
            <w:vMerge w:val="restart"/>
            <w:tcBorders>
              <w:top w:val="single" w:sz="4" w:space="0" w:color="000000"/>
              <w:left w:val="single" w:sz="4" w:space="0" w:color="000000"/>
              <w:right w:val="single" w:sz="4" w:space="0" w:color="000000"/>
            </w:tcBorders>
            <w:shd w:val="clear" w:color="auto" w:fill="D3D3D3"/>
          </w:tcPr>
          <w:p>
            <w:pPr/>
          </w:p>
        </w:tc>
        <w:tc>
          <w:tcPr>
            <w:tcW w:w="7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103" w:type="dxa"/>
            <w:vMerge/>
            <w:tcBorders>
              <w:left w:val="single" w:sz="4" w:space="0" w:color="000000"/>
              <w:right w:val="single" w:sz="4" w:space="0" w:color="000000"/>
            </w:tcBorders>
            <w:shd w:val="clear" w:color="auto" w:fill="D3D3D3"/>
          </w:tcPr>
          <w:p>
            <w:pPr/>
          </w:p>
        </w:tc>
      </w:tr>
      <w:tr>
        <w:trPr>
          <w:trHeight w:val="106" w:hRule="exact"/>
        </w:trPr>
        <w:tc>
          <w:tcPr>
            <w:tcW w:w="2690" w:type="dxa"/>
            <w:vMerge/>
            <w:tcBorders>
              <w:left w:val="single" w:sz="4" w:space="0" w:color="000000"/>
              <w:bottom w:val="nil" w:sz="6" w:space="0" w:color="auto"/>
              <w:right w:val="single" w:sz="4" w:space="0" w:color="000000"/>
            </w:tcBorders>
            <w:shd w:val="clear" w:color="auto" w:fill="D3D3D3"/>
          </w:tcPr>
          <w:p>
            <w:pPr/>
          </w:p>
        </w:tc>
        <w:tc>
          <w:tcPr>
            <w:tcW w:w="1102" w:type="dxa"/>
            <w:vMerge/>
            <w:tcBorders>
              <w:left w:val="single" w:sz="4" w:space="0" w:color="000000"/>
              <w:bottom w:val="nil" w:sz="6" w:space="0" w:color="auto"/>
              <w:right w:val="single" w:sz="4" w:space="0" w:color="000000"/>
            </w:tcBorders>
            <w:shd w:val="clear" w:color="auto" w:fill="D3D3D3"/>
          </w:tcPr>
          <w:p>
            <w:pPr/>
          </w:p>
        </w:tc>
        <w:tc>
          <w:tcPr>
            <w:tcW w:w="1079" w:type="dxa"/>
            <w:vMerge/>
            <w:tcBorders>
              <w:left w:val="single" w:sz="4" w:space="0" w:color="000000"/>
              <w:bottom w:val="nil" w:sz="6" w:space="0" w:color="auto"/>
              <w:right w:val="single" w:sz="4" w:space="0" w:color="000000"/>
            </w:tcBorders>
            <w:shd w:val="clear" w:color="auto" w:fill="D3D3D3"/>
          </w:tcPr>
          <w:p>
            <w:pPr/>
          </w:p>
        </w:tc>
        <w:tc>
          <w:tcPr>
            <w:tcW w:w="1009" w:type="dxa"/>
            <w:vMerge/>
            <w:tcBorders>
              <w:left w:val="single" w:sz="4" w:space="0" w:color="000000"/>
              <w:right w:val="single" w:sz="4" w:space="0" w:color="000000"/>
            </w:tcBorders>
            <w:shd w:val="clear" w:color="auto" w:fill="D3D3D3"/>
          </w:tcPr>
          <w:p>
            <w:pPr/>
          </w:p>
        </w:tc>
        <w:tc>
          <w:tcPr>
            <w:tcW w:w="816" w:type="dxa"/>
            <w:vMerge/>
            <w:tcBorders>
              <w:left w:val="single" w:sz="4" w:space="0" w:color="000000"/>
              <w:bottom w:val="nil" w:sz="6" w:space="0" w:color="auto"/>
              <w:right w:val="single" w:sz="4" w:space="0" w:color="000000"/>
            </w:tcBorders>
            <w:shd w:val="clear" w:color="auto" w:fill="D3D3D3"/>
          </w:tcPr>
          <w:p>
            <w:pPr/>
          </w:p>
        </w:tc>
        <w:tc>
          <w:tcPr>
            <w:tcW w:w="1102" w:type="dxa"/>
            <w:vMerge/>
            <w:tcBorders>
              <w:left w:val="single" w:sz="4" w:space="0" w:color="000000"/>
              <w:bottom w:val="nil" w:sz="6" w:space="0" w:color="auto"/>
              <w:right w:val="single" w:sz="4" w:space="0" w:color="000000"/>
            </w:tcBorders>
            <w:shd w:val="clear" w:color="auto" w:fill="D3D3D3"/>
          </w:tcPr>
          <w:p>
            <w:pPr/>
          </w:p>
        </w:tc>
        <w:tc>
          <w:tcPr>
            <w:tcW w:w="78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 w:right="24"/>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103" w:type="dxa"/>
            <w:vMerge/>
            <w:tcBorders>
              <w:left w:val="single" w:sz="4" w:space="0" w:color="000000"/>
              <w:bottom w:val="nil" w:sz="6" w:space="0" w:color="auto"/>
              <w:right w:val="single" w:sz="4" w:space="0" w:color="000000"/>
            </w:tcBorders>
            <w:shd w:val="clear" w:color="auto" w:fill="D3D3D3"/>
          </w:tcPr>
          <w:p>
            <w:pPr/>
          </w:p>
        </w:tc>
      </w:tr>
      <w:tr>
        <w:trPr>
          <w:trHeight w:val="367" w:hRule="exact"/>
        </w:trPr>
        <w:tc>
          <w:tcPr>
            <w:tcW w:w="26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7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102"/>
              <w:ind w:left="168" w:right="89"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009" w:type="dxa"/>
            <w:vMerge/>
            <w:tcBorders>
              <w:left w:val="single" w:sz="4" w:space="0" w:color="000000"/>
              <w:right w:val="single" w:sz="4" w:space="0" w:color="000000"/>
            </w:tcBorders>
            <w:shd w:val="clear" w:color="auto" w:fill="D3D3D3"/>
          </w:tcPr>
          <w:p>
            <w:pPr/>
          </w:p>
        </w:tc>
        <w:tc>
          <w:tcPr>
            <w:tcW w:w="81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77"/>
              <w:ind w:left="138" w:right="36"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1102"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77"/>
              <w:ind w:left="269" w:right="100"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781" w:type="dxa"/>
            <w:vMerge/>
            <w:tcBorders>
              <w:left w:val="single" w:sz="4" w:space="0" w:color="000000"/>
              <w:right w:val="single" w:sz="4" w:space="0" w:color="000000"/>
            </w:tcBorders>
            <w:shd w:val="clear" w:color="auto" w:fill="D3D3D3"/>
          </w:tcPr>
          <w:p>
            <w:pPr/>
          </w:p>
        </w:tc>
        <w:tc>
          <w:tcPr>
            <w:tcW w:w="11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2690" w:type="dxa"/>
            <w:vMerge w:val="restart"/>
            <w:tcBorders>
              <w:top w:val="nil" w:sz="6" w:space="0" w:color="auto"/>
              <w:left w:val="single" w:sz="4" w:space="0" w:color="000000"/>
              <w:right w:val="single" w:sz="4" w:space="0" w:color="000000"/>
            </w:tcBorders>
            <w:shd w:val="clear" w:color="auto" w:fill="D3D3D3"/>
          </w:tcPr>
          <w:p>
            <w:pPr/>
          </w:p>
        </w:tc>
        <w:tc>
          <w:tcPr>
            <w:tcW w:w="1102" w:type="dxa"/>
            <w:vMerge w:val="restart"/>
            <w:tcBorders>
              <w:top w:val="nil" w:sz="6" w:space="0" w:color="auto"/>
              <w:left w:val="single" w:sz="4" w:space="0" w:color="000000"/>
              <w:right w:val="single" w:sz="4" w:space="0" w:color="000000"/>
            </w:tcBorders>
            <w:shd w:val="clear" w:color="auto" w:fill="D3D3D3"/>
          </w:tcPr>
          <w:p>
            <w:pPr/>
          </w:p>
        </w:tc>
        <w:tc>
          <w:tcPr>
            <w:tcW w:w="1079" w:type="dxa"/>
            <w:vMerge/>
            <w:tcBorders>
              <w:left w:val="single" w:sz="4" w:space="0" w:color="000000"/>
              <w:bottom w:val="nil" w:sz="6" w:space="0" w:color="auto"/>
              <w:right w:val="single" w:sz="4" w:space="0" w:color="000000"/>
            </w:tcBorders>
            <w:shd w:val="clear" w:color="auto" w:fill="D3D3D3"/>
          </w:tcPr>
          <w:p>
            <w:pPr/>
          </w:p>
        </w:tc>
        <w:tc>
          <w:tcPr>
            <w:tcW w:w="1009" w:type="dxa"/>
            <w:vMerge/>
            <w:tcBorders>
              <w:left w:val="single" w:sz="4" w:space="0" w:color="000000"/>
              <w:right w:val="single" w:sz="4" w:space="0" w:color="000000"/>
            </w:tcBorders>
            <w:shd w:val="clear" w:color="auto" w:fill="D3D3D3"/>
          </w:tcPr>
          <w:p>
            <w:pPr/>
          </w:p>
        </w:tc>
        <w:tc>
          <w:tcPr>
            <w:tcW w:w="816" w:type="dxa"/>
            <w:vMerge/>
            <w:tcBorders>
              <w:left w:val="single" w:sz="4" w:space="0" w:color="000000"/>
              <w:bottom w:val="nil" w:sz="6" w:space="0" w:color="auto"/>
              <w:right w:val="single" w:sz="4" w:space="0" w:color="000000"/>
            </w:tcBorders>
            <w:shd w:val="clear" w:color="auto" w:fill="D3D3D3"/>
          </w:tcPr>
          <w:p>
            <w:pPr/>
          </w:p>
        </w:tc>
        <w:tc>
          <w:tcPr>
            <w:tcW w:w="1102" w:type="dxa"/>
            <w:vMerge/>
            <w:tcBorders>
              <w:left w:val="single" w:sz="4" w:space="0" w:color="000000"/>
              <w:bottom w:val="nil" w:sz="6" w:space="0" w:color="auto"/>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c>
          <w:tcPr>
            <w:tcW w:w="1103" w:type="dxa"/>
            <w:vMerge w:val="restart"/>
            <w:tcBorders>
              <w:top w:val="nil" w:sz="6" w:space="0" w:color="auto"/>
              <w:left w:val="single" w:sz="4" w:space="0" w:color="000000"/>
              <w:right w:val="single" w:sz="4" w:space="0" w:color="000000"/>
            </w:tcBorders>
            <w:shd w:val="clear" w:color="auto" w:fill="D3D3D3"/>
          </w:tcPr>
          <w:p>
            <w:pPr/>
          </w:p>
        </w:tc>
      </w:tr>
      <w:tr>
        <w:trPr>
          <w:trHeight w:val="156" w:hRule="exact"/>
        </w:trPr>
        <w:tc>
          <w:tcPr>
            <w:tcW w:w="2690" w:type="dxa"/>
            <w:vMerge/>
            <w:tcBorders>
              <w:left w:val="single" w:sz="4" w:space="0" w:color="000000"/>
              <w:right w:val="single" w:sz="4" w:space="0" w:color="000000"/>
            </w:tcBorders>
            <w:shd w:val="clear" w:color="auto" w:fill="D3D3D3"/>
          </w:tcPr>
          <w:p>
            <w:pPr/>
          </w:p>
        </w:tc>
        <w:tc>
          <w:tcPr>
            <w:tcW w:w="1102" w:type="dxa"/>
            <w:vMerge/>
            <w:tcBorders>
              <w:left w:val="single" w:sz="4" w:space="0" w:color="000000"/>
              <w:right w:val="single" w:sz="4" w:space="0" w:color="000000"/>
            </w:tcBorders>
            <w:shd w:val="clear" w:color="auto" w:fill="D3D3D3"/>
          </w:tcPr>
          <w:p>
            <w:pPr/>
          </w:p>
        </w:tc>
        <w:tc>
          <w:tcPr>
            <w:tcW w:w="1079" w:type="dxa"/>
            <w:vMerge w:val="restart"/>
            <w:tcBorders>
              <w:top w:val="nil" w:sz="6" w:space="0" w:color="auto"/>
              <w:left w:val="single" w:sz="4" w:space="0" w:color="000000"/>
              <w:right w:val="single" w:sz="4" w:space="0" w:color="000000"/>
            </w:tcBorders>
            <w:shd w:val="clear" w:color="auto" w:fill="D3D3D3"/>
          </w:tcPr>
          <w:p>
            <w:pPr/>
          </w:p>
        </w:tc>
        <w:tc>
          <w:tcPr>
            <w:tcW w:w="1009" w:type="dxa"/>
            <w:vMerge/>
            <w:tcBorders>
              <w:left w:val="single" w:sz="4" w:space="0" w:color="000000"/>
              <w:right w:val="single" w:sz="4" w:space="0" w:color="000000"/>
            </w:tcBorders>
            <w:shd w:val="clear" w:color="auto" w:fill="D3D3D3"/>
          </w:tcPr>
          <w:p>
            <w:pPr/>
          </w:p>
        </w:tc>
        <w:tc>
          <w:tcPr>
            <w:tcW w:w="816" w:type="dxa"/>
            <w:vMerge w:val="restart"/>
            <w:tcBorders>
              <w:top w:val="nil" w:sz="6" w:space="0" w:color="auto"/>
              <w:left w:val="single" w:sz="4" w:space="0" w:color="000000"/>
              <w:right w:val="single" w:sz="4" w:space="0" w:color="000000"/>
            </w:tcBorders>
            <w:shd w:val="clear" w:color="auto" w:fill="D3D3D3"/>
          </w:tcPr>
          <w:p>
            <w:pPr/>
          </w:p>
        </w:tc>
        <w:tc>
          <w:tcPr>
            <w:tcW w:w="1102" w:type="dxa"/>
            <w:vMerge w:val="restart"/>
            <w:tcBorders>
              <w:top w:val="nil" w:sz="6" w:space="0" w:color="auto"/>
              <w:left w:val="single" w:sz="4" w:space="0" w:color="000000"/>
              <w:right w:val="single" w:sz="4" w:space="0" w:color="000000"/>
            </w:tcBorders>
            <w:shd w:val="clear" w:color="auto" w:fill="D3D3D3"/>
          </w:tcPr>
          <w:p>
            <w:pPr/>
          </w:p>
        </w:tc>
        <w:tc>
          <w:tcPr>
            <w:tcW w:w="781" w:type="dxa"/>
            <w:vMerge/>
            <w:tcBorders>
              <w:left w:val="single" w:sz="4" w:space="0" w:color="000000"/>
              <w:bottom w:val="nil" w:sz="6" w:space="0" w:color="auto"/>
              <w:right w:val="single" w:sz="4" w:space="0" w:color="000000"/>
            </w:tcBorders>
            <w:shd w:val="clear" w:color="auto" w:fill="D3D3D3"/>
          </w:tcPr>
          <w:p>
            <w:pPr/>
          </w:p>
        </w:tc>
        <w:tc>
          <w:tcPr>
            <w:tcW w:w="1103" w:type="dxa"/>
            <w:vMerge/>
            <w:tcBorders>
              <w:left w:val="single" w:sz="4" w:space="0" w:color="000000"/>
              <w:right w:val="single" w:sz="4" w:space="0" w:color="000000"/>
            </w:tcBorders>
            <w:shd w:val="clear" w:color="auto" w:fill="D3D3D3"/>
          </w:tcPr>
          <w:p>
            <w:pPr/>
          </w:p>
        </w:tc>
      </w:tr>
      <w:tr>
        <w:trPr>
          <w:trHeight w:val="162" w:hRule="exact"/>
        </w:trPr>
        <w:tc>
          <w:tcPr>
            <w:tcW w:w="2690" w:type="dxa"/>
            <w:vMerge/>
            <w:tcBorders>
              <w:left w:val="single" w:sz="4" w:space="0" w:color="000000"/>
              <w:bottom w:val="single" w:sz="4" w:space="0" w:color="000000"/>
              <w:right w:val="single" w:sz="4" w:space="0" w:color="000000"/>
            </w:tcBorders>
            <w:shd w:val="clear" w:color="auto" w:fill="D3D3D3"/>
          </w:tcPr>
          <w:p>
            <w:pPr/>
          </w:p>
        </w:tc>
        <w:tc>
          <w:tcPr>
            <w:tcW w:w="1102" w:type="dxa"/>
            <w:vMerge/>
            <w:tcBorders>
              <w:left w:val="single" w:sz="4" w:space="0" w:color="000000"/>
              <w:bottom w:val="single" w:sz="4" w:space="0" w:color="000000"/>
              <w:right w:val="single" w:sz="4" w:space="0" w:color="000000"/>
            </w:tcBorders>
            <w:shd w:val="clear" w:color="auto" w:fill="D3D3D3"/>
          </w:tcPr>
          <w:p>
            <w:pPr/>
          </w:p>
        </w:tc>
        <w:tc>
          <w:tcPr>
            <w:tcW w:w="1079" w:type="dxa"/>
            <w:vMerge/>
            <w:tcBorders>
              <w:left w:val="single" w:sz="4" w:space="0" w:color="000000"/>
              <w:bottom w:val="single" w:sz="4" w:space="0" w:color="000000"/>
              <w:right w:val="single" w:sz="4" w:space="0" w:color="000000"/>
            </w:tcBorders>
            <w:shd w:val="clear" w:color="auto" w:fill="D3D3D3"/>
          </w:tcPr>
          <w:p>
            <w:pPr/>
          </w:p>
        </w:tc>
        <w:tc>
          <w:tcPr>
            <w:tcW w:w="1009" w:type="dxa"/>
            <w:vMerge/>
            <w:tcBorders>
              <w:left w:val="single" w:sz="4" w:space="0" w:color="000000"/>
              <w:bottom w:val="single" w:sz="4" w:space="0" w:color="000000"/>
              <w:right w:val="single" w:sz="4" w:space="0" w:color="000000"/>
            </w:tcBorders>
            <w:shd w:val="clear" w:color="auto" w:fill="D3D3D3"/>
          </w:tcPr>
          <w:p>
            <w:pPr/>
          </w:p>
        </w:tc>
        <w:tc>
          <w:tcPr>
            <w:tcW w:w="816" w:type="dxa"/>
            <w:vMerge/>
            <w:tcBorders>
              <w:left w:val="single" w:sz="4" w:space="0" w:color="000000"/>
              <w:bottom w:val="single" w:sz="4" w:space="0" w:color="000000"/>
              <w:right w:val="single" w:sz="4" w:space="0" w:color="000000"/>
            </w:tcBorders>
            <w:shd w:val="clear" w:color="auto" w:fill="D3D3D3"/>
          </w:tcPr>
          <w:p>
            <w:pPr/>
          </w:p>
        </w:tc>
        <w:tc>
          <w:tcPr>
            <w:tcW w:w="1102" w:type="dxa"/>
            <w:vMerge/>
            <w:tcBorders>
              <w:left w:val="single" w:sz="4" w:space="0" w:color="000000"/>
              <w:bottom w:val="single" w:sz="4" w:space="0" w:color="000000"/>
              <w:right w:val="single" w:sz="4" w:space="0" w:color="000000"/>
            </w:tcBorders>
            <w:shd w:val="clear" w:color="auto" w:fill="D3D3D3"/>
          </w:tcPr>
          <w:p>
            <w:pPr/>
          </w:p>
        </w:tc>
        <w:tc>
          <w:tcPr>
            <w:tcW w:w="7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03"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6"/>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 收益</w:t>
            </w:r>
          </w:p>
        </w:tc>
        <w:tc>
          <w:tcPr>
            <w:tcW w:w="11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center"/>
              <w:rPr>
                <w:rFonts w:ascii="Times New Roman" w:hAnsi="Times New Roman" w:cs="Times New Roman" w:eastAsia="Times New Roman" w:hint="default"/>
                <w:sz w:val="18"/>
                <w:szCs w:val="18"/>
              </w:rPr>
            </w:pPr>
            <w:r>
              <w:rPr>
                <w:rFonts w:ascii="Times New Roman"/>
                <w:sz w:val="18"/>
              </w:rPr>
              <w:t>16,934,073.59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16,829,094.54</w:t>
            </w:r>
          </w:p>
        </w:tc>
        <w:tc>
          <w:tcPr>
            <w:tcW w:w="100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16,829,094.54</w:t>
            </w:r>
          </w:p>
        </w:tc>
        <w:tc>
          <w:tcPr>
            <w:tcW w:w="78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33,763,168.13</w:t>
            </w:r>
          </w:p>
        </w:tc>
      </w:tr>
      <w:tr>
        <w:trPr>
          <w:trHeight w:val="402" w:hRule="exact"/>
        </w:trPr>
        <w:tc>
          <w:tcPr>
            <w:tcW w:w="2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1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6"/>
              <w:jc w:val="center"/>
              <w:rPr>
                <w:rFonts w:ascii="Times New Roman" w:hAnsi="Times New Roman" w:cs="Times New Roman" w:eastAsia="Times New Roman" w:hint="default"/>
                <w:sz w:val="18"/>
                <w:szCs w:val="18"/>
              </w:rPr>
            </w:pPr>
            <w:r>
              <w:rPr>
                <w:rFonts w:ascii="Times New Roman"/>
                <w:sz w:val="18"/>
              </w:rPr>
              <w:t>16,934,073.59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16,829,094.54</w:t>
            </w:r>
          </w:p>
        </w:tc>
        <w:tc>
          <w:tcPr>
            <w:tcW w:w="100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16,829,094.54</w:t>
            </w:r>
          </w:p>
        </w:tc>
        <w:tc>
          <w:tcPr>
            <w:tcW w:w="78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33,763,168.13</w:t>
            </w:r>
          </w:p>
        </w:tc>
      </w:tr>
      <w:tr>
        <w:trPr>
          <w:trHeight w:val="402" w:hRule="exact"/>
        </w:trPr>
        <w:tc>
          <w:tcPr>
            <w:tcW w:w="2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6"/>
              <w:jc w:val="center"/>
              <w:rPr>
                <w:rFonts w:ascii="Times New Roman" w:hAnsi="Times New Roman" w:cs="Times New Roman" w:eastAsia="Times New Roman" w:hint="default"/>
                <w:sz w:val="18"/>
                <w:szCs w:val="18"/>
              </w:rPr>
            </w:pPr>
            <w:r>
              <w:rPr>
                <w:rFonts w:ascii="Times New Roman"/>
                <w:sz w:val="18"/>
              </w:rPr>
              <w:t>16,934,073.59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16,829,094.54</w:t>
            </w:r>
          </w:p>
        </w:tc>
        <w:tc>
          <w:tcPr>
            <w:tcW w:w="100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16,829,094.54</w:t>
            </w:r>
          </w:p>
        </w:tc>
        <w:tc>
          <w:tcPr>
            <w:tcW w:w="78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33,763,168.13</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42</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1913"/>
        <w:gridCol w:w="1953"/>
        <w:gridCol w:w="1938"/>
        <w:gridCol w:w="1939"/>
        <w:gridCol w:w="1939"/>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655" w:right="0"/>
              <w:jc w:val="left"/>
              <w:rPr>
                <w:rFonts w:ascii="Times New Roman" w:hAnsi="Times New Roman" w:cs="Times New Roman" w:eastAsia="Times New Roman" w:hint="default"/>
                <w:sz w:val="18"/>
                <w:szCs w:val="18"/>
              </w:rPr>
            </w:pPr>
            <w:r>
              <w:rPr>
                <w:rFonts w:ascii="Times New Roman"/>
                <w:sz w:val="18"/>
              </w:rPr>
              <w:t>1,132,116,106.40</w:t>
            </w: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3" w:right="0"/>
              <w:jc w:val="left"/>
              <w:rPr>
                <w:rFonts w:ascii="Times New Roman" w:hAnsi="Times New Roman" w:cs="Times New Roman" w:eastAsia="Times New Roman" w:hint="default"/>
                <w:sz w:val="18"/>
                <w:szCs w:val="18"/>
              </w:rPr>
            </w:pPr>
            <w:r>
              <w:rPr>
                <w:rFonts w:ascii="Times New Roman"/>
                <w:sz w:val="18"/>
              </w:rPr>
              <w:t>1,132,116,106.40</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655" w:right="0"/>
              <w:jc w:val="left"/>
              <w:rPr>
                <w:rFonts w:ascii="Times New Roman" w:hAnsi="Times New Roman" w:cs="Times New Roman" w:eastAsia="Times New Roman" w:hint="default"/>
                <w:sz w:val="18"/>
                <w:szCs w:val="18"/>
              </w:rPr>
            </w:pPr>
            <w:r>
              <w:rPr>
                <w:rFonts w:ascii="Times New Roman"/>
                <w:sz w:val="18"/>
              </w:rPr>
              <w:t>1,132,116,106.40</w:t>
            </w: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3" w:right="0"/>
              <w:jc w:val="left"/>
              <w:rPr>
                <w:rFonts w:ascii="Times New Roman" w:hAnsi="Times New Roman" w:cs="Times New Roman" w:eastAsia="Times New Roman" w:hint="default"/>
                <w:sz w:val="18"/>
                <w:szCs w:val="18"/>
              </w:rPr>
            </w:pPr>
            <w:r>
              <w:rPr>
                <w:rFonts w:ascii="Times New Roman"/>
                <w:sz w:val="18"/>
              </w:rPr>
              <w:t>1,132,116,106.40</w:t>
            </w:r>
          </w:p>
        </w:tc>
      </w:tr>
    </w:tbl>
    <w:p>
      <w:pPr>
        <w:pStyle w:val="BodyText"/>
        <w:spacing w:line="300" w:lineRule="auto" w:before="10"/>
        <w:ind w:right="90" w:firstLine="360"/>
        <w:jc w:val="left"/>
      </w:pPr>
      <w:r>
        <w:rPr>
          <w:spacing w:val="-4"/>
        </w:rPr>
        <w:t>注：根据公司法、章程的规定，本公司按净利润的</w:t>
      </w:r>
      <w:r>
        <w:rPr>
          <w:rFonts w:ascii="Times New Roman" w:hAnsi="Times New Roman" w:cs="Times New Roman" w:eastAsia="Times New Roman" w:hint="default"/>
          <w:spacing w:val="-4"/>
        </w:rPr>
        <w:t>10%</w:t>
      </w:r>
      <w:r>
        <w:rPr>
          <w:spacing w:val="-4"/>
        </w:rPr>
        <w:t>提取法定盈余公积金。法定盈余公积累计额为本公司注册资本</w:t>
      </w:r>
      <w:r>
        <w:rPr>
          <w:rFonts w:ascii="Times New Roman" w:hAnsi="Times New Roman" w:cs="Times New Roman" w:eastAsia="Times New Roman" w:hint="default"/>
          <w:spacing w:val="-4"/>
        </w:rPr>
        <w:t>50%</w:t>
      </w:r>
      <w:r>
        <w:rPr>
          <w:rFonts w:ascii="Times New Roman" w:hAnsi="Times New Roman" w:cs="Times New Roman" w:eastAsia="Times New Roman" w:hint="default"/>
        </w:rPr>
        <w:t> </w:t>
      </w:r>
      <w:r>
        <w:rPr/>
        <w:t>以上的，可不再提取。</w:t>
      </w:r>
    </w:p>
    <w:p>
      <w:pPr>
        <w:pStyle w:val="BodyText"/>
        <w:spacing w:line="316" w:lineRule="auto" w:before="31"/>
        <w:ind w:right="90" w:firstLine="360"/>
        <w:jc w:val="left"/>
      </w:pPr>
      <w:r>
        <w:rPr>
          <w:spacing w:val="-2"/>
        </w:rPr>
        <w:t>本公司在提取法定盈余公积金后，可提取任意盈余公积金。经批准，任意盈余公积金可用于弥补以前年度亏损或增加股</w:t>
      </w:r>
      <w:r>
        <w:rPr/>
        <w:t> 本。</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43</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7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752"/>
        <w:gridCol w:w="2974"/>
        <w:gridCol w:w="2957"/>
      </w:tblGrid>
      <w:tr>
        <w:trPr>
          <w:trHeight w:val="401" w:hRule="exact"/>
        </w:trPr>
        <w:tc>
          <w:tcPr>
            <w:tcW w:w="3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4,741,638,941.58</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4,149,511,927.88</w:t>
            </w:r>
          </w:p>
        </w:tc>
      </w:tr>
      <w:tr>
        <w:trPr>
          <w:trHeight w:val="402" w:hRule="exact"/>
        </w:trPr>
        <w:tc>
          <w:tcPr>
            <w:tcW w:w="3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4,741,638,941.58</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4,149,511,927.88</w:t>
            </w:r>
          </w:p>
        </w:tc>
      </w:tr>
      <w:tr>
        <w:trPr>
          <w:trHeight w:val="402" w:hRule="exact"/>
        </w:trPr>
        <w:tc>
          <w:tcPr>
            <w:tcW w:w="3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505,204,384.73</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710,655,331.72</w:t>
            </w:r>
          </w:p>
        </w:tc>
      </w:tr>
      <w:tr>
        <w:trPr>
          <w:trHeight w:val="402" w:hRule="exact"/>
        </w:trPr>
        <w:tc>
          <w:tcPr>
            <w:tcW w:w="3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580,921,640.10</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118,528,318.02</w:t>
            </w:r>
          </w:p>
        </w:tc>
      </w:tr>
      <w:tr>
        <w:trPr>
          <w:trHeight w:val="401" w:hRule="exact"/>
        </w:trPr>
        <w:tc>
          <w:tcPr>
            <w:tcW w:w="3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4,665,921,686.21</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4,741,638,941.58</w:t>
            </w:r>
          </w:p>
        </w:tc>
      </w:tr>
    </w:tbl>
    <w:p>
      <w:pPr>
        <w:spacing w:line="240" w:lineRule="auto" w:before="3"/>
        <w:rPr>
          <w:rFonts w:ascii="宋体" w:hAnsi="宋体" w:cs="宋体" w:eastAsia="宋体" w:hint="default"/>
          <w:sz w:val="8"/>
          <w:szCs w:val="8"/>
        </w:rPr>
      </w:pPr>
    </w:p>
    <w:p>
      <w:pPr>
        <w:pStyle w:val="BodyText"/>
        <w:spacing w:line="240" w:lineRule="auto" w:before="44"/>
        <w:ind w:left="514" w:right="90"/>
        <w:jc w:val="left"/>
      </w:pPr>
      <w:r>
        <w:rPr/>
        <w:t>注</w:t>
      </w:r>
      <w:r>
        <w:rPr>
          <w:spacing w:val="-90"/>
        </w:rPr>
        <w:t>：</w:t>
      </w:r>
      <w:r>
        <w:rPr/>
        <w:t>（</w:t>
      </w:r>
      <w:r>
        <w:rPr>
          <w:rFonts w:ascii="Times New Roman" w:hAnsi="Times New Roman" w:cs="Times New Roman" w:eastAsia="Times New Roman" w:hint="default"/>
        </w:rPr>
        <w:t>1</w:t>
      </w:r>
      <w:r>
        <w:rPr/>
        <w:t>）利润分配情况说明</w:t>
      </w:r>
    </w:p>
    <w:p>
      <w:pPr>
        <w:spacing w:line="240" w:lineRule="auto" w:before="7"/>
        <w:rPr>
          <w:rFonts w:ascii="宋体" w:hAnsi="宋体" w:cs="宋体" w:eastAsia="宋体" w:hint="default"/>
          <w:sz w:val="14"/>
          <w:szCs w:val="14"/>
        </w:rPr>
      </w:pPr>
    </w:p>
    <w:p>
      <w:pPr>
        <w:pStyle w:val="BodyText"/>
        <w:spacing w:line="386" w:lineRule="auto"/>
        <w:ind w:left="153" w:right="95" w:firstLine="360"/>
        <w:jc w:val="left"/>
      </w:pPr>
      <w:r>
        <w:rPr/>
        <w:t>根据</w:t>
      </w:r>
      <w:r>
        <w:rPr>
          <w:spacing w:val="-45"/>
        </w:rPr>
        <w:t> </w:t>
      </w:r>
      <w:r>
        <w:rPr>
          <w:rFonts w:ascii="Times New Roman" w:hAnsi="Times New Roman" w:cs="Times New Roman" w:eastAsia="Times New Roman" w:hint="default"/>
        </w:rPr>
        <w:t>2014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19 </w:t>
      </w:r>
      <w:r>
        <w:rPr/>
        <w:t>日经本公司</w:t>
      </w:r>
      <w:r>
        <w:rPr>
          <w:spacing w:val="-45"/>
        </w:rPr>
        <w:t> </w:t>
      </w:r>
      <w:r>
        <w:rPr>
          <w:rFonts w:ascii="Times New Roman" w:hAnsi="Times New Roman" w:cs="Times New Roman" w:eastAsia="Times New Roman" w:hint="default"/>
        </w:rPr>
        <w:t>2014 </w:t>
      </w:r>
      <w:r>
        <w:rPr/>
        <w:t>年度股东大会批准的《公司</w:t>
      </w:r>
      <w:r>
        <w:rPr>
          <w:spacing w:val="-45"/>
        </w:rPr>
        <w:t> </w:t>
      </w:r>
      <w:r>
        <w:rPr>
          <w:rFonts w:ascii="Times New Roman" w:hAnsi="Times New Roman" w:cs="Times New Roman" w:eastAsia="Times New Roman" w:hint="default"/>
        </w:rPr>
        <w:t>2013 </w:t>
      </w:r>
      <w:r>
        <w:rPr/>
        <w:t>年度利润分配方案</w:t>
      </w:r>
      <w:r>
        <w:rPr>
          <w:spacing w:val="-90"/>
        </w:rPr>
        <w:t>》</w:t>
      </w:r>
      <w:r>
        <w:rPr/>
        <w:t>，本公司向全体股东派发现</w:t>
      </w:r>
      <w:r>
        <w:rPr/>
        <w:t> 金股利，每股人民币</w:t>
      </w:r>
      <w:r>
        <w:rPr>
          <w:spacing w:val="-46"/>
        </w:rPr>
        <w:t> </w:t>
      </w:r>
      <w:r>
        <w:rPr>
          <w:rFonts w:ascii="Times New Roman" w:hAnsi="Times New Roman" w:cs="Times New Roman" w:eastAsia="Times New Roman" w:hint="default"/>
        </w:rPr>
        <w:t>0.30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年人民币</w:t>
      </w:r>
      <w:r>
        <w:rPr>
          <w:spacing w:val="-46"/>
        </w:rPr>
        <w:t> </w:t>
      </w:r>
      <w:r>
        <w:rPr>
          <w:rFonts w:ascii="Times New Roman" w:hAnsi="Times New Roman" w:cs="Times New Roman" w:eastAsia="Times New Roman" w:hint="default"/>
        </w:rPr>
        <w:t>0.06</w:t>
      </w:r>
      <w:r>
        <w:rPr>
          <w:rFonts w:ascii="Times New Roman" w:hAnsi="Times New Roman" w:cs="Times New Roman" w:eastAsia="Times New Roman" w:hint="default"/>
          <w:spacing w:val="-1"/>
        </w:rPr>
        <w:t> </w:t>
      </w:r>
      <w:r>
        <w:rPr/>
        <w:t>元</w:t>
      </w:r>
      <w:r>
        <w:rPr>
          <w:spacing w:val="-90"/>
        </w:rPr>
        <w:t>）</w:t>
      </w:r>
      <w:r>
        <w:rPr/>
        <w:t>，因公司回购</w:t>
      </w:r>
      <w:r>
        <w:rPr>
          <w:spacing w:val="-46"/>
        </w:rPr>
        <w:t> </w:t>
      </w: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spacing w:val="1"/>
        </w:rPr>
        <w:t>股</w:t>
      </w:r>
      <w:r>
        <w:rPr/>
        <w:t>，按照分红登记日股份数</w:t>
      </w:r>
      <w:r>
        <w:rPr>
          <w:spacing w:val="-46"/>
        </w:rPr>
        <w:t> </w:t>
      </w:r>
      <w:r>
        <w:rPr>
          <w:rFonts w:ascii="Times New Roman" w:hAnsi="Times New Roman" w:cs="Times New Roman" w:eastAsia="Times New Roman" w:hint="default"/>
        </w:rPr>
        <w:t>1,936,405,46</w:t>
      </w:r>
      <w:r>
        <w:rPr>
          <w:rFonts w:ascii="Times New Roman" w:hAnsi="Times New Roman" w:cs="Times New Roman" w:eastAsia="Times New Roman" w:hint="default"/>
          <w:spacing w:val="-2"/>
        </w:rPr>
        <w:t>7</w:t>
      </w:r>
      <w:r>
        <w:rPr>
          <w:rFonts w:ascii="Times New Roman" w:hAnsi="Times New Roman" w:cs="Times New Roman" w:eastAsia="Times New Roman" w:hint="default"/>
        </w:rPr>
        <w:t>.00</w:t>
      </w:r>
      <w:r>
        <w:rPr>
          <w:rFonts w:ascii="Times New Roman" w:hAnsi="Times New Roman" w:cs="Times New Roman" w:eastAsia="Times New Roman" w:hint="default"/>
          <w:spacing w:val="-1"/>
        </w:rPr>
        <w:t> </w:t>
      </w:r>
      <w:r>
        <w:rPr/>
        <w:t>股计</w:t>
      </w:r>
      <w:r>
        <w:rPr>
          <w:spacing w:val="1"/>
        </w:rPr>
        <w:t>算</w:t>
      </w:r>
      <w:r>
        <w:rPr/>
        <w:t>，</w:t>
      </w:r>
      <w:r>
        <w:rPr/>
        <w:t> 共计</w:t>
      </w:r>
      <w:r>
        <w:rPr>
          <w:spacing w:val="-46"/>
        </w:rPr>
        <w:t> </w:t>
      </w:r>
      <w:r>
        <w:rPr>
          <w:rFonts w:ascii="Times New Roman" w:hAnsi="Times New Roman" w:cs="Times New Roman" w:eastAsia="Times New Roman" w:hint="default"/>
        </w:rPr>
        <w:t>580,921,6</w:t>
      </w:r>
      <w:r>
        <w:rPr>
          <w:rFonts w:ascii="Times New Roman" w:hAnsi="Times New Roman" w:cs="Times New Roman" w:eastAsia="Times New Roman" w:hint="default"/>
          <w:spacing w:val="-2"/>
        </w:rPr>
        <w:t>4</w:t>
      </w:r>
      <w:r>
        <w:rPr>
          <w:rFonts w:ascii="Times New Roman" w:hAnsi="Times New Roman" w:cs="Times New Roman" w:eastAsia="Times New Roman" w:hint="default"/>
        </w:rPr>
        <w:t>0.10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18,528,318.02</w:t>
      </w:r>
      <w:r>
        <w:rPr>
          <w:rFonts w:ascii="Times New Roman" w:hAnsi="Times New Roman" w:cs="Times New Roman" w:eastAsia="Times New Roman" w:hint="default"/>
          <w:spacing w:val="-1"/>
        </w:rPr>
        <w:t> </w:t>
      </w:r>
      <w:r>
        <w:rPr/>
        <w:t>元</w:t>
      </w:r>
      <w:r>
        <w:rPr>
          <w:spacing w:val="-90"/>
        </w:rPr>
        <w:t>）</w:t>
      </w:r>
      <w:r>
        <w:rPr/>
        <w:t>。</w:t>
      </w:r>
    </w:p>
    <w:p>
      <w:pPr>
        <w:pStyle w:val="BodyText"/>
        <w:spacing w:line="240" w:lineRule="auto" w:before="68"/>
        <w:ind w:left="513" w:right="90"/>
        <w:jc w:val="left"/>
      </w:pPr>
      <w:r>
        <w:rPr/>
        <w:t>（</w:t>
      </w:r>
      <w:r>
        <w:rPr>
          <w:rFonts w:ascii="Times New Roman" w:hAnsi="Times New Roman" w:cs="Times New Roman" w:eastAsia="Times New Roman" w:hint="default"/>
        </w:rPr>
        <w:t>2</w:t>
      </w:r>
      <w:r>
        <w:rPr/>
        <w:t>）子公司报告期内提取盈余公积的情况</w:t>
      </w:r>
    </w:p>
    <w:p>
      <w:pPr>
        <w:spacing w:line="240" w:lineRule="auto" w:before="8"/>
        <w:rPr>
          <w:rFonts w:ascii="宋体" w:hAnsi="宋体" w:cs="宋体" w:eastAsia="宋体" w:hint="default"/>
          <w:sz w:val="14"/>
          <w:szCs w:val="14"/>
        </w:rPr>
      </w:pPr>
    </w:p>
    <w:p>
      <w:pPr>
        <w:pStyle w:val="BodyText"/>
        <w:spacing w:line="240" w:lineRule="auto"/>
        <w:ind w:left="513" w:right="90"/>
        <w:jc w:val="left"/>
      </w:pPr>
      <w:r>
        <w:rPr/>
        <w:t>本公司之子公司于</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年度提取盈余公积</w:t>
      </w:r>
      <w:r>
        <w:rPr>
          <w:spacing w:val="-50"/>
        </w:rPr>
        <w:t> </w:t>
      </w:r>
      <w:r>
        <w:rPr>
          <w:rFonts w:ascii="Times New Roman" w:hAnsi="Times New Roman" w:cs="Times New Roman" w:eastAsia="Times New Roman" w:hint="default"/>
        </w:rPr>
        <w:t>60,611,990.85</w:t>
      </w:r>
      <w:r>
        <w:rPr>
          <w:rFonts w:ascii="Times New Roman" w:hAnsi="Times New Roman" w:cs="Times New Roman" w:eastAsia="Times New Roman" w:hint="default"/>
          <w:spacing w:val="-5"/>
        </w:rPr>
        <w:t> </w:t>
      </w:r>
      <w:r>
        <w:rPr/>
        <w:t>元，其中归属于母公司的金额为</w:t>
      </w:r>
      <w:r>
        <w:rPr>
          <w:spacing w:val="-50"/>
        </w:rPr>
        <w:t> </w:t>
      </w:r>
      <w:r>
        <w:rPr>
          <w:rFonts w:ascii="Times New Roman" w:hAnsi="Times New Roman" w:cs="Times New Roman" w:eastAsia="Times New Roman" w:hint="default"/>
        </w:rPr>
        <w:t>60,611,990.85</w:t>
      </w:r>
      <w:r>
        <w:rPr>
          <w:rFonts w:ascii="Times New Roman" w:hAnsi="Times New Roman" w:cs="Times New Roman" w:eastAsia="Times New Roman" w:hint="default"/>
          <w:spacing w:val="-5"/>
        </w:rPr>
        <w:t> </w:t>
      </w:r>
      <w:r>
        <w:rPr/>
        <w:t>元。</w:t>
      </w:r>
    </w:p>
    <w:p>
      <w:pPr>
        <w:spacing w:line="240" w:lineRule="auto" w:before="12"/>
        <w:rPr>
          <w:rFonts w:ascii="宋体" w:hAnsi="宋体" w:cs="宋体" w:eastAsia="宋体" w:hint="default"/>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44</w:t>
      </w:r>
      <w:r>
        <w:rPr/>
        <w:t>、</w:t>
      </w:r>
      <w:r>
        <w:rPr>
          <w:spacing w:val="-8"/>
        </w:rPr>
        <w:t> </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514" w:right="90"/>
        <w:jc w:val="left"/>
      </w:pPr>
      <w:r>
        <w:rPr/>
        <w:t>（</w:t>
      </w:r>
      <w:r>
        <w:rPr>
          <w:rFonts w:ascii="Times New Roman" w:hAnsi="Times New Roman" w:cs="Times New Roman" w:eastAsia="Times New Roman" w:hint="default"/>
        </w:rPr>
        <w:t>1</w:t>
      </w:r>
      <w:r>
        <w:rPr/>
        <w:t>）营业收入、营业成本</w:t>
      </w:r>
    </w:p>
    <w:p>
      <w:pPr>
        <w:pStyle w:val="BodyText"/>
        <w:spacing w:line="240" w:lineRule="auto" w:before="103"/>
        <w:ind w:left="0" w:right="169"/>
        <w:jc w:val="right"/>
      </w:pPr>
      <w:r>
        <w:rPr/>
        <w:t>单位：</w:t>
      </w:r>
      <w:r>
        <w:rPr>
          <w:spacing w:val="-17"/>
        </w:rPr>
        <w:t> </w:t>
      </w:r>
      <w:r>
        <w:rPr/>
        <w:t>元</w:t>
      </w:r>
    </w:p>
    <w:p>
      <w:pPr>
        <w:spacing w:line="240" w:lineRule="auto" w:before="6"/>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1929"/>
        <w:gridCol w:w="1933"/>
        <w:gridCol w:w="1932"/>
        <w:gridCol w:w="1932"/>
        <w:gridCol w:w="1932"/>
      </w:tblGrid>
      <w:tr>
        <w:trPr>
          <w:trHeight w:val="422" w:hRule="exact"/>
        </w:trPr>
        <w:tc>
          <w:tcPr>
            <w:tcW w:w="1929"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65"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64"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28" w:hRule="exact"/>
        </w:trPr>
        <w:tc>
          <w:tcPr>
            <w:tcW w:w="1929" w:type="dxa"/>
            <w:vMerge/>
            <w:tcBorders>
              <w:left w:val="single" w:sz="6" w:space="0" w:color="000000"/>
              <w:bottom w:val="single" w:sz="6" w:space="0" w:color="000000"/>
              <w:right w:val="single" w:sz="6" w:space="0" w:color="000000"/>
            </w:tcBorders>
            <w:shd w:val="clear" w:color="auto" w:fill="D3D3D3"/>
          </w:tcPr>
          <w:p>
            <w:pPr/>
          </w:p>
        </w:tc>
        <w:tc>
          <w:tcPr>
            <w:tcW w:w="193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3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3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3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26" w:hRule="exact"/>
        </w:trPr>
        <w:tc>
          <w:tcPr>
            <w:tcW w:w="192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33"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18,998,422,868.69</w:t>
            </w:r>
          </w:p>
        </w:tc>
        <w:tc>
          <w:tcPr>
            <w:tcW w:w="1932"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15,276,153,607.54</w:t>
            </w:r>
          </w:p>
        </w:tc>
        <w:tc>
          <w:tcPr>
            <w:tcW w:w="1932"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20,152,795,532.07</w:t>
            </w:r>
          </w:p>
        </w:tc>
        <w:tc>
          <w:tcPr>
            <w:tcW w:w="1932"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16,492,529,772.47</w:t>
            </w:r>
          </w:p>
        </w:tc>
      </w:tr>
      <w:tr>
        <w:trPr>
          <w:trHeight w:val="426" w:hRule="exact"/>
        </w:trPr>
        <w:tc>
          <w:tcPr>
            <w:tcW w:w="192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103,254,209.00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46,949,171.66</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236,094,535.34</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159,356,247.17</w:t>
            </w:r>
          </w:p>
        </w:tc>
      </w:tr>
      <w:tr>
        <w:trPr>
          <w:trHeight w:val="428" w:hRule="exact"/>
        </w:trPr>
        <w:tc>
          <w:tcPr>
            <w:tcW w:w="192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19,101,677,077.69</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15,323,102,779.20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20,388,890,067.41</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16,651,886,019.64</w:t>
            </w:r>
          </w:p>
        </w:tc>
      </w:tr>
    </w:tbl>
    <w:p>
      <w:pPr>
        <w:pStyle w:val="BodyText"/>
        <w:spacing w:line="240" w:lineRule="auto" w:before="10"/>
        <w:ind w:left="692" w:right="90"/>
        <w:jc w:val="left"/>
      </w:pPr>
      <w:r>
        <w:rPr/>
        <w:t>（</w:t>
      </w:r>
      <w:r>
        <w:rPr>
          <w:rFonts w:ascii="Times New Roman" w:hAnsi="Times New Roman" w:cs="Times New Roman" w:eastAsia="Times New Roman" w:hint="default"/>
        </w:rPr>
        <w:t>2</w:t>
      </w:r>
      <w:r>
        <w:rPr/>
        <w:t>）主营业务（分行业）</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1873"/>
        <w:gridCol w:w="2119"/>
        <w:gridCol w:w="1726"/>
        <w:gridCol w:w="2057"/>
        <w:gridCol w:w="1883"/>
      </w:tblGrid>
      <w:tr>
        <w:trPr>
          <w:trHeight w:val="347" w:hRule="exact"/>
        </w:trPr>
        <w:tc>
          <w:tcPr>
            <w:tcW w:w="1873"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940"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7" w:hRule="exact"/>
        </w:trPr>
        <w:tc>
          <w:tcPr>
            <w:tcW w:w="1873" w:type="dxa"/>
            <w:vMerge/>
            <w:tcBorders>
              <w:left w:val="single" w:sz="6" w:space="0" w:color="000000"/>
              <w:bottom w:val="single" w:sz="6" w:space="0" w:color="000000"/>
              <w:right w:val="single" w:sz="6" w:space="0" w:color="000000"/>
            </w:tcBorders>
            <w:shd w:val="clear" w:color="auto" w:fill="CCCCCC"/>
          </w:tcPr>
          <w:p>
            <w:pPr/>
          </w:p>
        </w:tc>
        <w:tc>
          <w:tcPr>
            <w:tcW w:w="21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9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5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57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8"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一、机制纸</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52" w:right="0"/>
              <w:jc w:val="left"/>
              <w:rPr>
                <w:rFonts w:ascii="Times New Roman" w:hAnsi="Times New Roman" w:cs="Times New Roman" w:eastAsia="Times New Roman" w:hint="default"/>
                <w:sz w:val="18"/>
                <w:szCs w:val="18"/>
              </w:rPr>
            </w:pPr>
            <w:r>
              <w:rPr>
                <w:rFonts w:ascii="Times New Roman"/>
                <w:sz w:val="18"/>
              </w:rPr>
              <w:t>17,975,118,165.42</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8" w:right="0"/>
              <w:jc w:val="left"/>
              <w:rPr>
                <w:rFonts w:ascii="Times New Roman" w:hAnsi="Times New Roman" w:cs="Times New Roman" w:eastAsia="Times New Roman" w:hint="default"/>
                <w:sz w:val="18"/>
                <w:szCs w:val="18"/>
              </w:rPr>
            </w:pPr>
            <w:r>
              <w:rPr>
                <w:rFonts w:ascii="Times New Roman"/>
                <w:sz w:val="18"/>
              </w:rPr>
              <w:t>14,590,759,989.08</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89" w:right="0"/>
              <w:jc w:val="left"/>
              <w:rPr>
                <w:rFonts w:ascii="Times New Roman" w:hAnsi="Times New Roman" w:cs="Times New Roman" w:eastAsia="Times New Roman" w:hint="default"/>
                <w:sz w:val="18"/>
                <w:szCs w:val="18"/>
              </w:rPr>
            </w:pPr>
            <w:r>
              <w:rPr>
                <w:rFonts w:ascii="Times New Roman"/>
                <w:sz w:val="18"/>
              </w:rPr>
              <w:t>18,244,191,565.62</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14" w:right="0"/>
              <w:jc w:val="left"/>
              <w:rPr>
                <w:rFonts w:ascii="Times New Roman" w:hAnsi="Times New Roman" w:cs="Times New Roman" w:eastAsia="Times New Roman" w:hint="default"/>
                <w:sz w:val="18"/>
                <w:szCs w:val="18"/>
              </w:rPr>
            </w:pPr>
            <w:r>
              <w:rPr>
                <w:rFonts w:ascii="Times New Roman"/>
                <w:sz w:val="18"/>
              </w:rPr>
              <w:t>15,088,624,360.62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6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1873"/>
        <w:gridCol w:w="2119"/>
        <w:gridCol w:w="1726"/>
        <w:gridCol w:w="2057"/>
        <w:gridCol w:w="1883"/>
      </w:tblGrid>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二、电力及热力</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513,786,969.44</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346,919,674.07</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1,519,119,225.58</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1,128,949,590.22</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三、建筑材料</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225,322,331.60</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180,981,974.32</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241,343,187.87</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204,068,954.93</w:t>
            </w:r>
          </w:p>
        </w:tc>
      </w:tr>
      <w:tr>
        <w:trPr>
          <w:trHeight w:val="348"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四、造纸化工用品</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59,945,519.46</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54,847,129.21</w:t>
            </w:r>
          </w:p>
        </w:tc>
        <w:tc>
          <w:tcPr>
            <w:tcW w:w="2057" w:type="dxa"/>
            <w:tcBorders>
              <w:top w:val="single" w:sz="6" w:space="0" w:color="000000"/>
              <w:left w:val="single" w:sz="6" w:space="0" w:color="000000"/>
              <w:bottom w:val="single" w:sz="6" w:space="0" w:color="000000"/>
              <w:right w:val="single" w:sz="6" w:space="0" w:color="000000"/>
            </w:tcBorders>
          </w:tcPr>
          <w:p>
            <w:pPr/>
          </w:p>
        </w:tc>
        <w:tc>
          <w:tcPr>
            <w:tcW w:w="188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五、酒店</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26,793,066.32</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5,434,372.02</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36,324,584.14</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8,589,278.93</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197,456,816.45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97,210,468.84</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111,816,968.86</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62,297,587.77</w:t>
            </w:r>
          </w:p>
        </w:tc>
      </w:tr>
      <w:tr>
        <w:trPr>
          <w:trHeight w:val="348" w:hRule="exact"/>
        </w:trPr>
        <w:tc>
          <w:tcPr>
            <w:tcW w:w="187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18,998,422,868.69</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15,276,153,607.54</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20,152,795,532.07</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16,492,529,772.47</w:t>
            </w:r>
          </w:p>
        </w:tc>
      </w:tr>
    </w:tbl>
    <w:p>
      <w:pPr>
        <w:pStyle w:val="BodyText"/>
        <w:spacing w:line="240" w:lineRule="auto" w:before="10"/>
        <w:ind w:left="694" w:right="147"/>
        <w:jc w:val="left"/>
      </w:pPr>
      <w:r>
        <w:rPr/>
        <w:t>（</w:t>
      </w:r>
      <w:r>
        <w:rPr>
          <w:rFonts w:ascii="Times New Roman" w:hAnsi="Times New Roman" w:cs="Times New Roman" w:eastAsia="Times New Roman" w:hint="default"/>
        </w:rPr>
        <w:t>3</w:t>
      </w:r>
      <w:r>
        <w:rPr/>
        <w:t>）主营业务（机制纸分产品）</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1873"/>
        <w:gridCol w:w="2119"/>
        <w:gridCol w:w="1726"/>
        <w:gridCol w:w="2057"/>
        <w:gridCol w:w="1883"/>
      </w:tblGrid>
      <w:tr>
        <w:trPr>
          <w:trHeight w:val="347" w:hRule="exact"/>
        </w:trPr>
        <w:tc>
          <w:tcPr>
            <w:tcW w:w="1873"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940"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7" w:hRule="exact"/>
        </w:trPr>
        <w:tc>
          <w:tcPr>
            <w:tcW w:w="1873" w:type="dxa"/>
            <w:vMerge/>
            <w:tcBorders>
              <w:left w:val="single" w:sz="6" w:space="0" w:color="000000"/>
              <w:bottom w:val="single" w:sz="6" w:space="0" w:color="000000"/>
              <w:right w:val="single" w:sz="6" w:space="0" w:color="000000"/>
            </w:tcBorders>
            <w:shd w:val="clear" w:color="auto" w:fill="CCCCCC"/>
          </w:tcPr>
          <w:p>
            <w:pPr/>
          </w:p>
        </w:tc>
        <w:tc>
          <w:tcPr>
            <w:tcW w:w="21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9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5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57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轻涂纸</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693,819,246.02</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602,872,005.81</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959,374,495.99</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797,143,663.55</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2,967,684,563.34</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2,361,726,555.66</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2,573,322,197.99</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2,101,348,540.72</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书写纸</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211,560,370.68</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159,961,258.19</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307,750,040.04</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249,202,911.49</w:t>
            </w:r>
          </w:p>
        </w:tc>
      </w:tr>
      <w:tr>
        <w:trPr>
          <w:trHeight w:val="348"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4,428,510,204.03</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3,602,836,734.87</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4,504,344,844.03</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3,863,437,378.40</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新闻纸</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1,091,419,636.72</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816,390,508.43</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1,501,678,237.85</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1,103,153,831.64</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箱板纸</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754,167,430.95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715,607,309.32</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812,352,574.23</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815,342,139.62</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1,991,690,191.45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1,620,353,693.26</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2,161,704,531.76</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1,738,047,195.43</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静电纸</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1,742,073,088.67</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1,309,377,091.22</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1,906,857,070.30</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1,496,527,676.12</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其他机制纸</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4,094,193,433.56</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3,401,634,832.32</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3,516,807,573.43</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2,924,421,023.65</w:t>
            </w:r>
          </w:p>
        </w:tc>
      </w:tr>
      <w:tr>
        <w:trPr>
          <w:trHeight w:val="348" w:hRule="exact"/>
        </w:trPr>
        <w:tc>
          <w:tcPr>
            <w:tcW w:w="187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17,975,118,165.42</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14,590,759,989.08</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18,244,191,565.62</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15,088,624,360.62</w:t>
            </w:r>
          </w:p>
        </w:tc>
      </w:tr>
    </w:tbl>
    <w:p>
      <w:pPr>
        <w:pStyle w:val="BodyText"/>
        <w:spacing w:line="240" w:lineRule="auto" w:before="10"/>
        <w:ind w:left="514" w:right="147"/>
        <w:jc w:val="left"/>
      </w:pPr>
      <w:r>
        <w:rPr/>
        <w:t>（</w:t>
      </w:r>
      <w:r>
        <w:rPr>
          <w:rFonts w:ascii="Times New Roman" w:hAnsi="Times New Roman" w:cs="Times New Roman" w:eastAsia="Times New Roman" w:hint="default"/>
        </w:rPr>
        <w:t>4</w:t>
      </w:r>
      <w:r>
        <w:rPr/>
        <w:t>）主营业务（机制纸分地区）</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1873"/>
        <w:gridCol w:w="2119"/>
        <w:gridCol w:w="1726"/>
        <w:gridCol w:w="2057"/>
        <w:gridCol w:w="1883"/>
      </w:tblGrid>
      <w:tr>
        <w:trPr>
          <w:trHeight w:val="347" w:hRule="exact"/>
        </w:trPr>
        <w:tc>
          <w:tcPr>
            <w:tcW w:w="1873"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940"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7" w:hRule="exact"/>
        </w:trPr>
        <w:tc>
          <w:tcPr>
            <w:tcW w:w="1873" w:type="dxa"/>
            <w:vMerge/>
            <w:tcBorders>
              <w:left w:val="single" w:sz="6" w:space="0" w:color="000000"/>
              <w:bottom w:val="single" w:sz="6" w:space="0" w:color="000000"/>
              <w:right w:val="single" w:sz="6" w:space="0" w:color="000000"/>
            </w:tcBorders>
            <w:shd w:val="clear" w:color="auto" w:fill="CCCCCC"/>
          </w:tcPr>
          <w:p>
            <w:pPr/>
          </w:p>
        </w:tc>
        <w:tc>
          <w:tcPr>
            <w:tcW w:w="21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9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5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57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8"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14,552,115,907.65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11,488,109,021.61</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15,171,253,868.29</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12,290,062,532.74</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其他国家和地区</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3,423,002,257.77</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3,102,650,967.47</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3,072,937,697.33</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2,798,561,827.88</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17,975,118,165.42</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14,590,759,989.08</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18,244,191,565.62</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15,088,624,360.62</w:t>
            </w:r>
          </w:p>
        </w:tc>
      </w:tr>
    </w:tbl>
    <w:p>
      <w:pPr>
        <w:pStyle w:val="BodyText"/>
        <w:spacing w:line="240" w:lineRule="auto" w:before="10"/>
        <w:ind w:left="514" w:right="147"/>
        <w:jc w:val="left"/>
      </w:pPr>
      <w:r>
        <w:rPr/>
        <w:t>（</w:t>
      </w:r>
      <w:r>
        <w:rPr>
          <w:rFonts w:ascii="Times New Roman" w:hAnsi="Times New Roman" w:cs="Times New Roman" w:eastAsia="Times New Roman" w:hint="default"/>
        </w:rPr>
        <w:t>5</w:t>
      </w:r>
      <w:r>
        <w:rPr/>
        <w:t>）前五名客户的营业收入情况</w:t>
      </w:r>
    </w:p>
    <w:p>
      <w:pPr>
        <w:spacing w:line="240" w:lineRule="auto" w:before="13"/>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3673"/>
        <w:gridCol w:w="2888"/>
        <w:gridCol w:w="3096"/>
      </w:tblGrid>
      <w:tr>
        <w:trPr>
          <w:trHeight w:val="335" w:hRule="exact"/>
        </w:trPr>
        <w:tc>
          <w:tcPr>
            <w:tcW w:w="367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32" w:right="0"/>
              <w:jc w:val="center"/>
              <w:rPr>
                <w:rFonts w:ascii="宋体" w:hAnsi="宋体" w:cs="宋体" w:eastAsia="宋体" w:hint="default"/>
                <w:sz w:val="18"/>
                <w:szCs w:val="18"/>
              </w:rPr>
            </w:pPr>
            <w:r>
              <w:rPr>
                <w:rFonts w:ascii="宋体" w:hAnsi="宋体" w:cs="宋体" w:eastAsia="宋体" w:hint="default"/>
                <w:sz w:val="18"/>
                <w:szCs w:val="18"/>
              </w:rPr>
              <w:t>期间</w:t>
            </w:r>
          </w:p>
        </w:tc>
        <w:tc>
          <w:tcPr>
            <w:tcW w:w="28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447" w:right="0"/>
              <w:jc w:val="left"/>
              <w:rPr>
                <w:rFonts w:ascii="宋体" w:hAnsi="宋体" w:cs="宋体" w:eastAsia="宋体" w:hint="default"/>
                <w:sz w:val="18"/>
                <w:szCs w:val="18"/>
              </w:rPr>
            </w:pPr>
            <w:r>
              <w:rPr>
                <w:rFonts w:ascii="宋体" w:hAnsi="宋体" w:cs="宋体" w:eastAsia="宋体" w:hint="default"/>
                <w:sz w:val="18"/>
                <w:szCs w:val="18"/>
              </w:rPr>
              <w:t>前五名客户营业收入合计</w:t>
            </w:r>
          </w:p>
        </w:tc>
        <w:tc>
          <w:tcPr>
            <w:tcW w:w="309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占同期营业收入的比例</w:t>
            </w:r>
          </w:p>
        </w:tc>
      </w:tr>
      <w:tr>
        <w:trPr>
          <w:trHeight w:val="348" w:hRule="exact"/>
        </w:trPr>
        <w:tc>
          <w:tcPr>
            <w:tcW w:w="3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1,420,196,436.91</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4"/>
              <w:jc w:val="center"/>
              <w:rPr>
                <w:rFonts w:ascii="Times New Roman" w:hAnsi="Times New Roman" w:cs="Times New Roman" w:eastAsia="Times New Roman" w:hint="default"/>
                <w:sz w:val="18"/>
                <w:szCs w:val="18"/>
              </w:rPr>
            </w:pPr>
            <w:r>
              <w:rPr>
                <w:rFonts w:ascii="Times New Roman"/>
                <w:sz w:val="18"/>
              </w:rPr>
              <w:t>7.43%</w:t>
            </w:r>
          </w:p>
        </w:tc>
      </w:tr>
      <w:tr>
        <w:trPr>
          <w:trHeight w:val="347" w:hRule="exact"/>
        </w:trPr>
        <w:tc>
          <w:tcPr>
            <w:tcW w:w="3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1,159,451,679.05</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5.69%</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45</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206"/>
        <w:gridCol w:w="3246"/>
        <w:gridCol w:w="3230"/>
      </w:tblGrid>
      <w:tr>
        <w:trPr>
          <w:trHeight w:val="401"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32,145,655.62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15,368,137.34</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31,769,524.59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38,246,715.31</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22,108,018.32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24,829,356.69</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246"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4,395,872.20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4,748,112.49</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46"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547,132.76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2,468,807.39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217"/>
        <w:gridCol w:w="3246"/>
        <w:gridCol w:w="3230"/>
      </w:tblGrid>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46"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63,869.56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171,081.76</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91,030,073.05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85,832,210.98</w:t>
            </w:r>
          </w:p>
        </w:tc>
      </w:tr>
    </w:tbl>
    <w:p>
      <w:pPr>
        <w:pStyle w:val="BodyText"/>
        <w:spacing w:line="240" w:lineRule="auto" w:before="10"/>
        <w:ind w:right="147"/>
        <w:jc w:val="left"/>
      </w:pPr>
      <w:r>
        <w:rPr/>
        <w:t>注：各项营业税金及附加的计缴标准详见附注六、税项。</w:t>
      </w:r>
    </w:p>
    <w:p>
      <w:pPr>
        <w:spacing w:line="240" w:lineRule="auto" w:before="12"/>
        <w:rPr>
          <w:rFonts w:ascii="宋体" w:hAnsi="宋体" w:cs="宋体" w:eastAsia="宋体" w:hint="default"/>
          <w:sz w:val="26"/>
          <w:szCs w:val="26"/>
        </w:rPr>
      </w:pPr>
    </w:p>
    <w:p>
      <w:pPr>
        <w:pStyle w:val="Heading4"/>
        <w:spacing w:line="240" w:lineRule="auto"/>
        <w:ind w:right="147"/>
        <w:jc w:val="left"/>
        <w:rPr>
          <w:b w:val="0"/>
          <w:bCs w:val="0"/>
        </w:rPr>
      </w:pPr>
      <w:r>
        <w:rPr>
          <w:rFonts w:ascii="Times New Roman" w:hAnsi="Times New Roman" w:cs="Times New Roman" w:eastAsia="Times New Roman" w:hint="default"/>
        </w:rPr>
        <w:t>46</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229"/>
        <w:gridCol w:w="3233"/>
        <w:gridCol w:w="3232"/>
      </w:tblGrid>
      <w:tr>
        <w:trPr>
          <w:trHeight w:val="401"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120,719,398.48</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116,750,755.01</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13,399,540.68</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18,004,121.19</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6,221,988.78</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6,365,282.20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34,664,069.53</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29,520,578.69</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6,653,665.56</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6,965,244.83</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793,007,171.93</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771,135,730.03</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装卸费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20,458,378.39</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24,267,204.90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9,437,945.50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8,946,309.54</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64,557,863.44</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65,119,426.31</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仓储费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4,339,299.19</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7,840,514.22</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74,596,213.75</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74,229,868.59</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1,148,055,535.23</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1,129,145,035.51</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47</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3"/>
        <w:gridCol w:w="3232"/>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工资及附加费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152,205,135.11</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185,735,210.11</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37,236,019.36</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36,143,571.41</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10,824,798.38</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10,261,700.98</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18,767,977.72</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17,221,874.87</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54,439,941.88</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56,957,280.03</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排污费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24,663,623.70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24,375,706.65</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24,289,958.40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21,996,694.34</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32,028,062.78</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30,699,445.68</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469,826,539.65</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379,261,152.54</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108,339,551.67</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75,806,245.69</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停工损失</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26,068,427.32</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65,937,178.56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229"/>
        <w:gridCol w:w="3233"/>
        <w:gridCol w:w="3232"/>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25,947,612.69</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22,887,645.39</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173,305,258.73</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268,820,849.75</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1,160,542,907.39</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1,198,704,556.00</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48</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229"/>
        <w:gridCol w:w="3233"/>
        <w:gridCol w:w="3232"/>
      </w:tblGrid>
      <w:tr>
        <w:trPr>
          <w:trHeight w:val="401"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1,540,167,178.31</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1,364,151,261.72</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232,604,192.19</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211,164,138.80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185,230,554.68</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121,960,707.45</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26,067,912.64</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-164,346,803.25</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减：汇兑损益资本化金额</w:t>
            </w:r>
          </w:p>
        </w:tc>
        <w:tc>
          <w:tcPr>
            <w:tcW w:w="3233"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80,858,813.39</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63,924,562.74</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1,229,259,157.47</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930,604,174.96</w:t>
            </w:r>
          </w:p>
        </w:tc>
      </w:tr>
    </w:tbl>
    <w:p>
      <w:pPr>
        <w:pStyle w:val="BodyText"/>
        <w:spacing w:line="240" w:lineRule="auto" w:before="51"/>
        <w:ind w:right="147"/>
        <w:jc w:val="left"/>
      </w:pPr>
      <w:r>
        <w:rPr/>
        <w:t>其他说明：</w:t>
      </w:r>
    </w:p>
    <w:p>
      <w:pPr>
        <w:spacing w:line="240" w:lineRule="auto" w:before="5"/>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4330"/>
        <w:gridCol w:w="2664"/>
        <w:gridCol w:w="2664"/>
      </w:tblGrid>
      <w:tr>
        <w:trPr>
          <w:trHeight w:val="329" w:hRule="exact"/>
        </w:trPr>
        <w:tc>
          <w:tcPr>
            <w:tcW w:w="43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6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
              <w:ind w:left="7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6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7" w:hRule="exact"/>
        </w:trPr>
        <w:tc>
          <w:tcPr>
            <w:tcW w:w="4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年内须全部偿还银行贷款、透支及其他贷款的利息</w:t>
            </w:r>
          </w:p>
        </w:tc>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954,007,544.33</w:t>
            </w:r>
          </w:p>
        </w:tc>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831,236,017.12</w:t>
            </w:r>
          </w:p>
        </w:tc>
      </w:tr>
      <w:tr>
        <w:trPr>
          <w:trHeight w:val="347" w:hRule="exact"/>
        </w:trPr>
        <w:tc>
          <w:tcPr>
            <w:tcW w:w="4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其他的利息</w:t>
            </w:r>
          </w:p>
        </w:tc>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1,106,872,842.55</w:t>
            </w:r>
          </w:p>
        </w:tc>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1,597,900,319.47</w:t>
            </w:r>
          </w:p>
        </w:tc>
      </w:tr>
      <w:tr>
        <w:trPr>
          <w:trHeight w:val="343" w:hRule="exact"/>
        </w:trPr>
        <w:tc>
          <w:tcPr>
            <w:tcW w:w="43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2,060,880,386.88</w:t>
            </w:r>
          </w:p>
        </w:tc>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2,429,136,336.59</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4"/>
        <w:spacing w:line="240" w:lineRule="auto" w:before="35"/>
        <w:ind w:right="147"/>
        <w:jc w:val="left"/>
        <w:rPr>
          <w:b w:val="0"/>
          <w:bCs w:val="0"/>
        </w:rPr>
      </w:pPr>
      <w:r>
        <w:rPr>
          <w:rFonts w:ascii="Times New Roman" w:hAnsi="Times New Roman" w:cs="Times New Roman" w:eastAsia="Times New Roman" w:hint="default"/>
        </w:rPr>
        <w:t>49</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06"/>
        <w:gridCol w:w="3246"/>
        <w:gridCol w:w="3230"/>
      </w:tblGrid>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54,220,631.74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-27,367,139.39</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5,319,730.37</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36,472,052.20</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三、固定资产减值损失</w:t>
            </w:r>
          </w:p>
        </w:tc>
        <w:tc>
          <w:tcPr>
            <w:tcW w:w="3246" w:type="dxa"/>
            <w:tcBorders>
              <w:top w:val="single" w:sz="4" w:space="0" w:color="000000"/>
              <w:left w:val="single" w:sz="10" w:space="0" w:color="D3D3D3"/>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59,540,362.11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24,104,912.81</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50</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808"/>
        <w:gridCol w:w="2944"/>
        <w:gridCol w:w="2942"/>
      </w:tblGrid>
      <w:tr>
        <w:trPr>
          <w:trHeight w:val="402" w:hRule="exact"/>
        </w:trPr>
        <w:tc>
          <w:tcPr>
            <w:tcW w:w="3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以公允价值计量的消耗性生物资产变动收益</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6,856,815.32</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0" w:right="0"/>
              <w:jc w:val="left"/>
              <w:rPr>
                <w:rFonts w:ascii="Times New Roman" w:hAnsi="Times New Roman" w:cs="Times New Roman" w:eastAsia="Times New Roman" w:hint="default"/>
                <w:sz w:val="18"/>
                <w:szCs w:val="18"/>
              </w:rPr>
            </w:pPr>
            <w:r>
              <w:rPr>
                <w:rFonts w:ascii="Times New Roman"/>
                <w:sz w:val="18"/>
              </w:rPr>
              <w:t>11,221,828.76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796"/>
        <w:gridCol w:w="2955"/>
        <w:gridCol w:w="2942"/>
      </w:tblGrid>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5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6,856,815.32</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0" w:right="0"/>
              <w:jc w:val="left"/>
              <w:rPr>
                <w:rFonts w:ascii="Times New Roman" w:hAnsi="Times New Roman" w:cs="Times New Roman" w:eastAsia="Times New Roman" w:hint="default"/>
                <w:sz w:val="18"/>
                <w:szCs w:val="18"/>
              </w:rPr>
            </w:pPr>
            <w:r>
              <w:rPr>
                <w:rFonts w:ascii="Times New Roman"/>
                <w:sz w:val="18"/>
              </w:rPr>
              <w:t>11,221,828.76</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51</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482"/>
        <w:gridCol w:w="3244"/>
        <w:gridCol w:w="2957"/>
      </w:tblGrid>
      <w:tr>
        <w:trPr>
          <w:trHeight w:val="401" w:hRule="exact"/>
        </w:trPr>
        <w:tc>
          <w:tcPr>
            <w:tcW w:w="3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4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-5,156,941.21</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208,888.59</w:t>
            </w:r>
          </w:p>
        </w:tc>
      </w:tr>
      <w:tr>
        <w:trPr>
          <w:trHeight w:val="402" w:hRule="exact"/>
        </w:trPr>
        <w:tc>
          <w:tcPr>
            <w:tcW w:w="3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4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-8,516,933.29</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23,497,069.99</w:t>
            </w:r>
          </w:p>
        </w:tc>
      </w:tr>
      <w:tr>
        <w:trPr>
          <w:trHeight w:val="402" w:hRule="exact"/>
        </w:trPr>
        <w:tc>
          <w:tcPr>
            <w:tcW w:w="3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4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-124,070.12</w:t>
            </w: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对外委托贷款收益</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82,833,581.81</w:t>
            </w: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69,035,637.19</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23,705,958.58</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52</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408"/>
        <w:gridCol w:w="2426"/>
        <w:gridCol w:w="2424"/>
        <w:gridCol w:w="2424"/>
      </w:tblGrid>
      <w:tr>
        <w:trPr>
          <w:trHeight w:val="402" w:hRule="exact"/>
        </w:trPr>
        <w:tc>
          <w:tcPr>
            <w:tcW w:w="2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6"/>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86,153,319.82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6,695,769.19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86,153,319.82</w:t>
            </w:r>
          </w:p>
        </w:tc>
      </w:tr>
      <w:tr>
        <w:trPr>
          <w:trHeight w:val="402" w:hRule="exact"/>
        </w:trPr>
        <w:tc>
          <w:tcPr>
            <w:tcW w:w="2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2,388,902.38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6,695,769.19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2,388,902.38</w:t>
            </w:r>
          </w:p>
        </w:tc>
      </w:tr>
      <w:tr>
        <w:trPr>
          <w:trHeight w:val="402" w:hRule="exact"/>
        </w:trPr>
        <w:tc>
          <w:tcPr>
            <w:tcW w:w="2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4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83,764,417.44</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83,764,417.44</w:t>
            </w:r>
          </w:p>
        </w:tc>
      </w:tr>
      <w:tr>
        <w:trPr>
          <w:trHeight w:val="402" w:hRule="exact"/>
        </w:trPr>
        <w:tc>
          <w:tcPr>
            <w:tcW w:w="2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4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1,725,797.17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268,577.19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1,725,797.17</w:t>
            </w:r>
          </w:p>
        </w:tc>
      </w:tr>
      <w:tr>
        <w:trPr>
          <w:trHeight w:val="402" w:hRule="exact"/>
        </w:trPr>
        <w:tc>
          <w:tcPr>
            <w:tcW w:w="2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269,545,217.93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190,712,413.64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260,000,612.10</w:t>
            </w:r>
          </w:p>
        </w:tc>
      </w:tr>
      <w:tr>
        <w:trPr>
          <w:trHeight w:val="40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武汉搬迁停产损失补偿</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27,551,586.08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193,264,875.64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27,551,586.08</w:t>
            </w:r>
          </w:p>
        </w:tc>
      </w:tr>
      <w:tr>
        <w:trPr>
          <w:trHeight w:val="40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吉林搬迁停产损失补偿</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12,467,512.55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99,453,494.34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12,467,512.55</w:t>
            </w:r>
          </w:p>
        </w:tc>
      </w:tr>
      <w:tr>
        <w:trPr>
          <w:trHeight w:val="40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426"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2,408,368.37</w:t>
            </w: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12,867,912.27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11,241,687.62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12,867,912.27</w:t>
            </w:r>
          </w:p>
        </w:tc>
      </w:tr>
      <w:tr>
        <w:trPr>
          <w:trHeight w:val="403" w:hRule="exact"/>
        </w:trPr>
        <w:tc>
          <w:tcPr>
            <w:tcW w:w="2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410,311,345.82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504,045,185.99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400,766,739.99</w:t>
            </w:r>
          </w:p>
        </w:tc>
      </w:tr>
    </w:tbl>
    <w:p>
      <w:pPr>
        <w:pStyle w:val="BodyText"/>
        <w:spacing w:line="240" w:lineRule="auto" w:before="51"/>
        <w:ind w:right="147"/>
        <w:jc w:val="left"/>
      </w:pPr>
      <w:r>
        <w:rPr/>
        <w:t>计入当期损益的政府补助：</w:t>
      </w:r>
    </w:p>
    <w:p>
      <w:pPr>
        <w:pStyle w:val="BodyText"/>
        <w:spacing w:line="240" w:lineRule="auto" w:before="116"/>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419"/>
        <w:gridCol w:w="2426"/>
        <w:gridCol w:w="2424"/>
        <w:gridCol w:w="2424"/>
      </w:tblGrid>
      <w:tr>
        <w:trPr>
          <w:trHeight w:val="402" w:hRule="exact"/>
        </w:trPr>
        <w:tc>
          <w:tcPr>
            <w:tcW w:w="2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8"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5"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递延收益摊销（附注七、</w:t>
            </w:r>
            <w:r>
              <w:rPr>
                <w:rFonts w:ascii="Times New Roman" w:hAnsi="Times New Roman" w:cs="Times New Roman" w:eastAsia="Times New Roman" w:hint="default"/>
                <w:sz w:val="18"/>
                <w:szCs w:val="18"/>
              </w:rPr>
              <w:t>37</w:t>
            </w:r>
            <w:r>
              <w:rPr>
                <w:rFonts w:ascii="宋体" w:hAnsi="宋体" w:cs="宋体" w:eastAsia="宋体" w:hint="default"/>
                <w:sz w:val="18"/>
                <w:szCs w:val="18"/>
              </w:rPr>
              <w:t>）</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59,434,500.08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25,427,653.88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200,566,112.02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149,519,965.31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9,544,605.83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15,764,794.45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269,545,217.93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190,712,413.64</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53</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2396"/>
        <w:gridCol w:w="2438"/>
        <w:gridCol w:w="2424"/>
        <w:gridCol w:w="2424"/>
      </w:tblGrid>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6"/>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12,236,126.04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36,560,317.17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12,236,126.04</w:t>
            </w: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12,236,126.04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36,560,317.17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12,236,126.04</w:t>
            </w: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2,105,652.24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1,934,144.14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2,105,652.24</w:t>
            </w: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15,341,778.28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41,294,461.31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15,341,778.28</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54</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206"/>
        <w:gridCol w:w="3246"/>
        <w:gridCol w:w="3230"/>
      </w:tblGrid>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220,708,140.68</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324,213,944.11</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-113,008,730.04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-148,275,512.20</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107,699,410.64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175,938,431.91</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817"/>
        <w:gridCol w:w="4865"/>
      </w:tblGrid>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561,008,283.29</w:t>
            </w:r>
          </w:p>
        </w:tc>
      </w:tr>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84,151,242.49</w:t>
            </w:r>
          </w:p>
        </w:tc>
      </w:tr>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40,651,963.36</w:t>
            </w:r>
          </w:p>
        </w:tc>
      </w:tr>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372,579.32</w:t>
            </w:r>
          </w:p>
        </w:tc>
      </w:tr>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-10,557,096.41</w:t>
            </w:r>
          </w:p>
        </w:tc>
      </w:tr>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16,127,724.28</w:t>
            </w:r>
          </w:p>
        </w:tc>
      </w:tr>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-4,038,688.25</w:t>
            </w:r>
          </w:p>
        </w:tc>
      </w:tr>
      <w:tr>
        <w:trPr>
          <w:trHeight w:val="714"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25,257,349.00</w:t>
            </w:r>
          </w:p>
        </w:tc>
      </w:tr>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-44,265,663.15</w:t>
            </w:r>
          </w:p>
        </w:tc>
      </w:tr>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107,699,410.64</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55</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详见附注七、</w:t>
      </w:r>
      <w:r>
        <w:rPr>
          <w:rFonts w:ascii="Times New Roman" w:hAnsi="Times New Roman" w:cs="Times New Roman" w:eastAsia="Times New Roman" w:hint="default"/>
        </w:rPr>
        <w:t>41</w:t>
      </w:r>
      <w:r>
        <w:rPr/>
        <w:t>。</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147"/>
        <w:jc w:val="left"/>
        <w:rPr>
          <w:b w:val="0"/>
          <w:bCs w:val="0"/>
        </w:rPr>
      </w:pPr>
      <w:r>
        <w:rPr>
          <w:rFonts w:ascii="Times New Roman" w:hAnsi="Times New Roman" w:cs="Times New Roman" w:eastAsia="Times New Roman" w:hint="default"/>
        </w:rPr>
        <w:t>56</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7,462,262.25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1,319,963.69</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232,604,192.19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211,164,138.80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200,566,112.02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149,519,965.31</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往来款及其他收入</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159,354,402.77</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60,985,992.30</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599,986,969.23</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422,990,060.10</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80,858,813.39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63,924,562.74</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88,847,821.84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87,116,120.65</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47,576,695.91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43,339,796.08</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12,520,690.32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13,856,616.40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767,726,460.95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773,000,263.65</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14,350,343.74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16,064,169.16</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排污费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24,663,623.70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24,375,706.65</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18,767,977.72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19,774,877.15</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30,372,618.50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25,589,983.20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装卸费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20,458,378.39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24,267,204.90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5,207,318.09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5,472,804.41</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应收融资租赁业务本金净增加</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2,624,793,605.97</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455,827,098.55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106,136,781.55</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4,191,971,447.07</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1,202,918,886.54</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收到专项资金</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161,983,516.66</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收拆迁补偿款项</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590,920,000.00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3" w:right="0"/>
              <w:jc w:val="left"/>
              <w:rPr>
                <w:rFonts w:ascii="Times New Roman" w:hAnsi="Times New Roman" w:cs="Times New Roman" w:eastAsia="Times New Roman" w:hint="default"/>
                <w:sz w:val="18"/>
                <w:szCs w:val="18"/>
              </w:rPr>
            </w:pPr>
            <w:r>
              <w:rPr>
                <w:rFonts w:ascii="Times New Roman"/>
                <w:sz w:val="18"/>
              </w:rPr>
              <w:t>964,840,000.00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983,926.53</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与资产相关的政府补助资金</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77,328,964.00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129,978,841.00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收到上期股权转让款</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271,850,000.00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委托贷款利息收入</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82,833,581.81</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913,066,062.47</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1,367,652,767.53</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628"/>
        <w:gridCol w:w="3034"/>
        <w:gridCol w:w="3032"/>
      </w:tblGrid>
      <w:tr>
        <w:trPr>
          <w:trHeight w:val="401" w:hRule="exact"/>
        </w:trPr>
        <w:tc>
          <w:tcPr>
            <w:tcW w:w="3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子公司变联营企业散失控制权减少的现金</w:t>
            </w:r>
          </w:p>
        </w:tc>
        <w:tc>
          <w:tcPr>
            <w:tcW w:w="3034" w:type="dxa"/>
            <w:tcBorders>
              <w:top w:val="single" w:sz="4" w:space="0" w:color="000000"/>
              <w:left w:val="single" w:sz="4" w:space="0" w:color="000000"/>
              <w:bottom w:val="single" w:sz="4" w:space="0" w:color="000000"/>
              <w:right w:val="single" w:sz="4" w:space="0" w:color="000000"/>
            </w:tcBorders>
          </w:tcPr>
          <w:p>
            <w:pP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3,180,221.51</w:t>
            </w:r>
          </w:p>
        </w:tc>
      </w:tr>
      <w:tr>
        <w:trPr>
          <w:trHeight w:val="402" w:hRule="exact"/>
        </w:trPr>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1,000,000,000.00</w:t>
            </w:r>
          </w:p>
        </w:tc>
        <w:tc>
          <w:tcPr>
            <w:tcW w:w="30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1,000,000,000.00</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3,180,221.51</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3,784,800,000.00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私募债</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1,486,500,000.00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限制性银行存款增加</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291,470,312.13</w:t>
            </w:r>
          </w:p>
        </w:tc>
      </w:tr>
      <w:tr>
        <w:trPr>
          <w:trHeight w:val="71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南昌经济技术开发区投资控股有限公司 借款</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0" w:space="0" w:color="D3D3D3"/>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5,622,770,312.13</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偿还长期应付款</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偿还短期融资券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3,800,000,000.00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偿还香港晨鸣债</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偿还中期票据</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限制性银行存款本期增加</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2,678,364,459.52</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热电收购少数股东股权</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23,413,560.00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74,699,131.07</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30,954,891.40</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265,363,183.60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217"/>
        <w:gridCol w:w="3246"/>
        <w:gridCol w:w="3230"/>
      </w:tblGrid>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946" w:right="0"/>
              <w:jc w:val="left"/>
              <w:rPr>
                <w:rFonts w:ascii="Times New Roman" w:hAnsi="Times New Roman" w:cs="Times New Roman" w:eastAsia="Times New Roman" w:hint="default"/>
                <w:sz w:val="18"/>
                <w:szCs w:val="18"/>
              </w:rPr>
            </w:pPr>
            <w:r>
              <w:rPr>
                <w:rFonts w:ascii="Times New Roman"/>
                <w:sz w:val="18"/>
              </w:rPr>
              <w:t>7,136,477,150.59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7" w:right="0"/>
              <w:jc w:val="left"/>
              <w:rPr>
                <w:rFonts w:ascii="Times New Roman" w:hAnsi="Times New Roman" w:cs="Times New Roman" w:eastAsia="Times New Roman" w:hint="default"/>
                <w:sz w:val="18"/>
                <w:szCs w:val="18"/>
              </w:rPr>
            </w:pPr>
            <w:r>
              <w:rPr>
                <w:rFonts w:ascii="Times New Roman"/>
                <w:sz w:val="18"/>
              </w:rPr>
              <w:t>1,396,318,075.00</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57</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5585"/>
        <w:gridCol w:w="2054"/>
        <w:gridCol w:w="2042"/>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0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453,308,872.65</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690,353,237.62</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59,540,362.11</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19,539,893.55</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1,402,497,083.69</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1,324,698,175.84</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33,890,044.27</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31,794,800.76</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7,147,733.73</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8,604,638.05</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-73,917,193.78</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29,864,547.98</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-6,856,815.32</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-11,221,828.76</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1,345,854,589.93</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1,238,839,467.15</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-69,035,637.19</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-23,705,958.58</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-113,008,730.04</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-148,275,512.20</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-270,691,002.10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540,994,617.31</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-3,401,693,697.79</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-801,235,384.48</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1,618,364,125.69</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-1,777,633,893.33</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985,399,735.85</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1,122,616,800.91</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0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0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976,096,861.30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726,532,928.96</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726,532,928.96</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2,343,550,185.45</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249,563,932.34</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-1,617,017,256.49</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5030"/>
        <w:gridCol w:w="4652"/>
      </w:tblGrid>
      <w:tr>
        <w:trPr>
          <w:trHeight w:val="402"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6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76,194,000.00</w:t>
            </w:r>
          </w:p>
        </w:tc>
      </w:tr>
      <w:tr>
        <w:trPr>
          <w:trHeight w:val="402"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6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1,158,788.59</w:t>
            </w:r>
          </w:p>
        </w:tc>
      </w:tr>
      <w:tr>
        <w:trPr>
          <w:trHeight w:val="402"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6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75,035,211.41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9"/>
          <w:szCs w:val="29"/>
        </w:rPr>
      </w:pPr>
    </w:p>
    <w:p>
      <w:pPr>
        <w:pStyle w:val="BodyText"/>
        <w:spacing w:line="240" w:lineRule="auto" w:before="44"/>
        <w:ind w:left="513" w:right="147"/>
        <w:jc w:val="left"/>
      </w:pPr>
      <w:r>
        <w:rPr/>
        <w:t>注：本年度处置子公司为山东晨鸣新力热电有限公司。</w:t>
      </w:r>
    </w:p>
    <w:p>
      <w:pPr>
        <w:spacing w:line="240" w:lineRule="auto" w:before="12"/>
        <w:rPr>
          <w:rFonts w:ascii="宋体" w:hAnsi="宋体" w:cs="宋体" w:eastAsia="宋体" w:hint="default"/>
          <w:sz w:val="25"/>
          <w:szCs w:val="25"/>
        </w:rPr>
      </w:pPr>
    </w:p>
    <w:p>
      <w:pPr>
        <w:pStyle w:val="Heading4"/>
        <w:spacing w:line="240" w:lineRule="auto"/>
        <w:ind w:right="147"/>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49"/>
        <w:gridCol w:w="3109"/>
        <w:gridCol w:w="3224"/>
      </w:tblGrid>
      <w:tr>
        <w:trPr>
          <w:trHeight w:val="401" w:hRule="exact"/>
        </w:trPr>
        <w:tc>
          <w:tcPr>
            <w:tcW w:w="3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1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976,096,861.30</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726,532,928.96</w:t>
            </w:r>
          </w:p>
        </w:tc>
      </w:tr>
      <w:tr>
        <w:trPr>
          <w:trHeight w:val="402" w:hRule="exact"/>
        </w:trPr>
        <w:tc>
          <w:tcPr>
            <w:tcW w:w="3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1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1,437,037.09</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1,333,503.27</w:t>
            </w:r>
          </w:p>
        </w:tc>
      </w:tr>
      <w:tr>
        <w:trPr>
          <w:trHeight w:val="402" w:hRule="exact"/>
        </w:trPr>
        <w:tc>
          <w:tcPr>
            <w:tcW w:w="3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1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974,659,824.21</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725,199,425.69</w:t>
            </w:r>
          </w:p>
        </w:tc>
      </w:tr>
      <w:tr>
        <w:trPr>
          <w:trHeight w:val="402" w:hRule="exact"/>
        </w:trPr>
        <w:tc>
          <w:tcPr>
            <w:tcW w:w="3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二、期末现金及现金等价物余额</w:t>
            </w:r>
          </w:p>
        </w:tc>
        <w:tc>
          <w:tcPr>
            <w:tcW w:w="31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976,096,861.30</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726,532,928.96</w:t>
            </w:r>
          </w:p>
        </w:tc>
      </w:tr>
    </w:tbl>
    <w:p>
      <w:pPr>
        <w:pStyle w:val="BodyText"/>
        <w:spacing w:line="300" w:lineRule="auto" w:before="51"/>
        <w:ind w:left="153" w:right="147" w:firstLine="360"/>
        <w:jc w:val="left"/>
      </w:pPr>
      <w:r>
        <w:rPr/>
        <w:t>注：①截至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日，所有权受限的货币资金为人民币</w:t>
      </w:r>
      <w:r>
        <w:rPr>
          <w:rFonts w:ascii="Times New Roman" w:hAnsi="Times New Roman" w:cs="Times New Roman" w:eastAsia="Times New Roman" w:hint="default"/>
        </w:rPr>
        <w:t>4,499,561,324.80</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1,821,196,865.28 </w:t>
      </w:r>
      <w:r>
        <w:rPr/>
        <w:t>元）。</w:t>
      </w:r>
    </w:p>
    <w:p>
      <w:pPr>
        <w:pStyle w:val="BodyText"/>
        <w:spacing w:line="240" w:lineRule="auto" w:before="72"/>
        <w:ind w:left="513" w:right="147"/>
        <w:jc w:val="left"/>
      </w:pPr>
      <w:r>
        <w:rPr/>
        <w:t>②现金不含受限制的现金和现金等价物。</w:t>
      </w:r>
    </w:p>
    <w:p>
      <w:pPr>
        <w:spacing w:line="240" w:lineRule="auto" w:before="10"/>
        <w:rPr>
          <w:rFonts w:ascii="宋体" w:hAnsi="宋体" w:cs="宋体" w:eastAsia="宋体" w:hint="default"/>
          <w:sz w:val="26"/>
          <w:szCs w:val="26"/>
        </w:rPr>
      </w:pPr>
    </w:p>
    <w:p>
      <w:pPr>
        <w:pStyle w:val="Heading4"/>
        <w:spacing w:line="240" w:lineRule="auto"/>
        <w:ind w:right="147"/>
        <w:jc w:val="left"/>
        <w:rPr>
          <w:b w:val="0"/>
          <w:bCs w:val="0"/>
        </w:rPr>
      </w:pPr>
      <w:r>
        <w:rPr>
          <w:rFonts w:ascii="Times New Roman" w:hAnsi="Times New Roman" w:cs="Times New Roman" w:eastAsia="Times New Roman" w:hint="default"/>
        </w:rPr>
        <w:t>58</w:t>
      </w:r>
      <w:r>
        <w:rPr/>
        <w:t>、所有权或使用权受到限制的资产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970"/>
        <w:gridCol w:w="2004"/>
        <w:gridCol w:w="5708"/>
      </w:tblGrid>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5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4,499,561,324.80</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作为银行借款的质押、银行承兑票据和信用证的保证金、存款准备金</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1,223,759,078.99</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作为取得短期借款、开立应付票据的质押物</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4,762,682,480.74</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作为银行借款的抵押物</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316,286,184.74</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作为银行借款的抵押物</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10,802,289,069.27</w:t>
            </w:r>
          </w:p>
        </w:tc>
        <w:tc>
          <w:tcPr>
            <w:tcW w:w="5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59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527"/>
        <w:gridCol w:w="2322"/>
        <w:gridCol w:w="2423"/>
        <w:gridCol w:w="2422"/>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22" w:type="dxa"/>
            <w:tcBorders>
              <w:top w:val="single" w:sz="4" w:space="0" w:color="000000"/>
              <w:left w:val="single" w:sz="4" w:space="0" w:color="000000"/>
              <w:bottom w:val="single" w:sz="4" w:space="0" w:color="000000"/>
              <w:right w:val="single" w:sz="4" w:space="0" w:color="000000"/>
            </w:tcBorders>
          </w:tcPr>
          <w:p>
            <w:pPr/>
          </w:p>
        </w:tc>
        <w:tc>
          <w:tcPr>
            <w:tcW w:w="2423"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57,781,428.76</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6.119</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353,564,562.71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725,280.26</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7.4556</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5,407,399.49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286,573.57</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0.78887</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226,069.29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156,853,955.86</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0.051371</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8,057,716.22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5.0174</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22" w:type="dxa"/>
            <w:tcBorders>
              <w:top w:val="single" w:sz="4" w:space="0" w:color="000000"/>
              <w:left w:val="single" w:sz="4" w:space="0" w:color="000000"/>
              <w:bottom w:val="single" w:sz="4" w:space="0" w:color="000000"/>
              <w:right w:val="single" w:sz="4" w:space="0" w:color="000000"/>
            </w:tcBorders>
          </w:tcPr>
          <w:p>
            <w:pPr/>
          </w:p>
        </w:tc>
        <w:tc>
          <w:tcPr>
            <w:tcW w:w="2423"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43,468,070.66</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6.119</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265,981,124.37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527"/>
        <w:gridCol w:w="2322"/>
        <w:gridCol w:w="2423"/>
        <w:gridCol w:w="2422"/>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1592"/>
              <w:jc w:val="right"/>
              <w:rPr>
                <w:rFonts w:ascii="宋体" w:hAnsi="宋体" w:cs="宋体" w:eastAsia="宋体" w:hint="default"/>
                <w:sz w:val="18"/>
                <w:szCs w:val="18"/>
              </w:rPr>
            </w:pPr>
            <w:r>
              <w:rPr>
                <w:rFonts w:ascii="宋体" w:hAnsi="宋体" w:cs="宋体" w:eastAsia="宋体" w:hint="default"/>
                <w:sz w:val="18"/>
                <w:szCs w:val="18"/>
              </w:rPr>
              <w:t>欧元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911,190.23</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7.4556</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6,793,469.88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1592"/>
              <w:jc w:val="right"/>
              <w:rPr>
                <w:rFonts w:ascii="宋体" w:hAnsi="宋体" w:cs="宋体" w:eastAsia="宋体" w:hint="default"/>
                <w:sz w:val="18"/>
                <w:szCs w:val="18"/>
              </w:rPr>
            </w:pPr>
            <w:r>
              <w:rPr>
                <w:rFonts w:ascii="宋体" w:hAnsi="宋体" w:cs="宋体" w:eastAsia="宋体" w:hint="default"/>
                <w:sz w:val="18"/>
                <w:szCs w:val="18"/>
              </w:rPr>
              <w:t>日元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473,538,085.00</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0.051371</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24,326,124.96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22" w:type="dxa"/>
            <w:tcBorders>
              <w:top w:val="single" w:sz="4" w:space="0" w:color="000000"/>
              <w:left w:val="single" w:sz="4" w:space="0" w:color="000000"/>
              <w:bottom w:val="single" w:sz="4" w:space="0" w:color="000000"/>
              <w:right w:val="single" w:sz="4" w:space="0" w:color="000000"/>
            </w:tcBorders>
          </w:tcPr>
          <w:p>
            <w:pPr/>
          </w:p>
        </w:tc>
        <w:tc>
          <w:tcPr>
            <w:tcW w:w="2423"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439,586,666.00</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6.1190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2,689,830,809.25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22" w:type="dxa"/>
            <w:tcBorders>
              <w:top w:val="single" w:sz="4" w:space="0" w:color="000000"/>
              <w:left w:val="single" w:sz="4" w:space="0" w:color="000000"/>
              <w:bottom w:val="single" w:sz="4" w:space="0" w:color="000000"/>
              <w:right w:val="single" w:sz="4" w:space="0" w:color="000000"/>
            </w:tcBorders>
          </w:tcPr>
          <w:p>
            <w:pPr/>
          </w:p>
        </w:tc>
        <w:tc>
          <w:tcPr>
            <w:tcW w:w="2423"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180,647,781.05</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6.119</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1,105,383,772.24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1592"/>
              <w:jc w:val="right"/>
              <w:rPr>
                <w:rFonts w:ascii="宋体" w:hAnsi="宋体" w:cs="宋体" w:eastAsia="宋体" w:hint="default"/>
                <w:sz w:val="18"/>
                <w:szCs w:val="18"/>
              </w:rPr>
            </w:pPr>
            <w:r>
              <w:rPr>
                <w:rFonts w:ascii="宋体" w:hAnsi="宋体" w:cs="宋体" w:eastAsia="宋体" w:hint="default"/>
                <w:sz w:val="18"/>
                <w:szCs w:val="18"/>
              </w:rPr>
              <w:t>欧元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71,693,100.07</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7.4556</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534,515,076.88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22" w:type="dxa"/>
            <w:tcBorders>
              <w:top w:val="single" w:sz="4" w:space="0" w:color="000000"/>
              <w:left w:val="single" w:sz="4" w:space="0" w:color="000000"/>
              <w:bottom w:val="single" w:sz="4" w:space="0" w:color="000000"/>
              <w:right w:val="single" w:sz="4" w:space="0" w:color="000000"/>
            </w:tcBorders>
          </w:tcPr>
          <w:p>
            <w:pPr/>
          </w:p>
        </w:tc>
        <w:tc>
          <w:tcPr>
            <w:tcW w:w="2423"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1,202,299,308.55</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6.1190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7,356,869,468.98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1592"/>
              <w:jc w:val="right"/>
              <w:rPr>
                <w:rFonts w:ascii="宋体" w:hAnsi="宋体" w:cs="宋体" w:eastAsia="宋体" w:hint="default"/>
                <w:sz w:val="18"/>
                <w:szCs w:val="18"/>
              </w:rPr>
            </w:pPr>
            <w:r>
              <w:rPr>
                <w:rFonts w:ascii="宋体" w:hAnsi="宋体" w:cs="宋体" w:eastAsia="宋体" w:hint="default"/>
                <w:sz w:val="18"/>
                <w:szCs w:val="18"/>
              </w:rPr>
              <w:t>欧元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39,138,685.61</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7.4556</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291,802,384.43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1592"/>
              <w:jc w:val="right"/>
              <w:rPr>
                <w:rFonts w:ascii="宋体" w:hAnsi="宋体" w:cs="宋体" w:eastAsia="宋体" w:hint="default"/>
                <w:sz w:val="18"/>
                <w:szCs w:val="18"/>
              </w:rPr>
            </w:pPr>
            <w:r>
              <w:rPr>
                <w:rFonts w:ascii="宋体" w:hAnsi="宋体" w:cs="宋体" w:eastAsia="宋体" w:hint="default"/>
                <w:sz w:val="18"/>
                <w:szCs w:val="18"/>
              </w:rPr>
              <w:t>日元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1,620,000,000.00</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0.051371</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83,221,020.00</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）境外经营实体说明</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3724"/>
        <w:gridCol w:w="2014"/>
        <w:gridCol w:w="2010"/>
        <w:gridCol w:w="1910"/>
      </w:tblGrid>
      <w:tr>
        <w:trPr>
          <w:trHeight w:val="348" w:hRule="exact"/>
        </w:trPr>
        <w:tc>
          <w:tcPr>
            <w:tcW w:w="372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01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54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20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9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97" w:right="0"/>
              <w:jc w:val="left"/>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347" w:hRule="exact"/>
        </w:trPr>
        <w:tc>
          <w:tcPr>
            <w:tcW w:w="3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美元</w:t>
            </w:r>
          </w:p>
        </w:tc>
      </w:tr>
      <w:tr>
        <w:trPr>
          <w:trHeight w:val="347" w:hRule="exact"/>
        </w:trPr>
        <w:tc>
          <w:tcPr>
            <w:tcW w:w="3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晨鸣国际有限公司</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洛杉矶</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洛杉矶</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美元</w:t>
            </w:r>
          </w:p>
        </w:tc>
      </w:tr>
      <w:tr>
        <w:trPr>
          <w:trHeight w:val="347" w:hRule="exact"/>
        </w:trPr>
        <w:tc>
          <w:tcPr>
            <w:tcW w:w="3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晨鸣纸业日本株式会社</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Times New Roman" w:hAnsi="Times New Roman" w:cs="Times New Roman" w:eastAsia="Times New Roman" w:hint="default"/>
                <w:sz w:val="18"/>
                <w:szCs w:val="18"/>
              </w:rPr>
              <w:t>.</w:t>
            </w:r>
            <w:r>
              <w:rPr>
                <w:rFonts w:ascii="宋体" w:hAnsi="宋体" w:cs="宋体" w:eastAsia="宋体" w:hint="default"/>
                <w:sz w:val="18"/>
                <w:szCs w:val="18"/>
              </w:rPr>
              <w:t>东京</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Times New Roman" w:hAnsi="Times New Roman" w:cs="Times New Roman" w:eastAsia="Times New Roman" w:hint="default"/>
                <w:sz w:val="18"/>
                <w:szCs w:val="18"/>
              </w:rPr>
              <w:t>.</w:t>
            </w:r>
            <w:r>
              <w:rPr>
                <w:rFonts w:ascii="宋体" w:hAnsi="宋体" w:cs="宋体" w:eastAsia="宋体" w:hint="default"/>
                <w:sz w:val="18"/>
                <w:szCs w:val="18"/>
              </w:rPr>
              <w:t>东京</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日元</w:t>
            </w:r>
          </w:p>
        </w:tc>
      </w:tr>
      <w:tr>
        <w:trPr>
          <w:trHeight w:val="348" w:hRule="exact"/>
        </w:trPr>
        <w:tc>
          <w:tcPr>
            <w:tcW w:w="3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GmbH</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德国</w:t>
            </w:r>
            <w:r>
              <w:rPr>
                <w:rFonts w:ascii="Times New Roman" w:hAnsi="Times New Roman" w:cs="Times New Roman" w:eastAsia="Times New Roman" w:hint="default"/>
                <w:sz w:val="18"/>
                <w:szCs w:val="18"/>
              </w:rPr>
              <w:t>.</w:t>
            </w:r>
            <w:r>
              <w:rPr>
                <w:rFonts w:ascii="宋体" w:hAnsi="宋体" w:cs="宋体" w:eastAsia="宋体" w:hint="default"/>
                <w:sz w:val="18"/>
                <w:szCs w:val="18"/>
              </w:rPr>
              <w:t>汉堡</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德国</w:t>
            </w:r>
            <w:r>
              <w:rPr>
                <w:rFonts w:ascii="Times New Roman" w:hAnsi="Times New Roman" w:cs="Times New Roman" w:eastAsia="Times New Roman" w:hint="default"/>
                <w:sz w:val="18"/>
                <w:szCs w:val="18"/>
              </w:rPr>
              <w:t>.</w:t>
            </w:r>
            <w:r>
              <w:rPr>
                <w:rFonts w:ascii="宋体" w:hAnsi="宋体" w:cs="宋体" w:eastAsia="宋体" w:hint="default"/>
                <w:sz w:val="18"/>
                <w:szCs w:val="18"/>
              </w:rPr>
              <w:t>汉堡</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欧元</w:t>
            </w:r>
          </w:p>
        </w:tc>
      </w:tr>
    </w:tbl>
    <w:p>
      <w:pPr>
        <w:spacing w:line="240" w:lineRule="auto" w:before="2"/>
        <w:rPr>
          <w:rFonts w:ascii="宋体" w:hAnsi="宋体" w:cs="宋体" w:eastAsia="宋体" w:hint="default"/>
          <w:b/>
          <w:bCs/>
          <w:sz w:val="8"/>
          <w:szCs w:val="8"/>
        </w:rPr>
      </w:pPr>
    </w:p>
    <w:p>
      <w:pPr>
        <w:pStyle w:val="BodyText"/>
        <w:spacing w:line="240" w:lineRule="auto" w:before="44"/>
        <w:ind w:left="514" w:right="147"/>
        <w:jc w:val="left"/>
      </w:pPr>
      <w:r>
        <w:rPr/>
        <w:t>本公司之境外子公司根据其经营所处的主要经济环境中的货币确定美元、日元、欧元为其记账本位币。</w:t>
      </w:r>
    </w:p>
    <w:p>
      <w:pPr>
        <w:spacing w:line="240" w:lineRule="auto" w:before="2"/>
        <w:rPr>
          <w:rFonts w:ascii="宋体" w:hAnsi="宋体" w:cs="宋体" w:eastAsia="宋体" w:hint="default"/>
          <w:sz w:val="24"/>
          <w:szCs w:val="24"/>
        </w:rPr>
      </w:pPr>
    </w:p>
    <w:p>
      <w:pPr>
        <w:pStyle w:val="Heading2"/>
        <w:spacing w:line="240" w:lineRule="auto"/>
        <w:ind w:right="147"/>
        <w:jc w:val="left"/>
        <w:rPr>
          <w:b w:val="0"/>
          <w:bCs w:val="0"/>
        </w:rPr>
      </w:pP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rFonts w:ascii="Times New Roman" w:hAnsi="Times New Roman" w:cs="Times New Roman" w:eastAsia="Times New Roman" w:hint="default"/>
        </w:rPr>
        <w:t>1</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BodyText"/>
        <w:spacing w:line="240" w:lineRule="auto" w:before="44"/>
        <w:ind w:right="-20"/>
        <w:jc w:val="left"/>
      </w:pPr>
      <w:r>
        <w:rPr/>
        <w:t>是否存在单次处置对子公司投资即丧失控制权的情形</w:t>
      </w:r>
    </w:p>
    <w:p>
      <w:pPr>
        <w:pStyle w:val="BodyText"/>
        <w:spacing w:line="240" w:lineRule="auto" w:before="116"/>
        <w:ind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482"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0"/>
              <w:jc w:val="both"/>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bl>
    <w:p>
      <w:pPr>
        <w:spacing w:after="0" w:line="316" w:lineRule="auto"/>
        <w:jc w:val="both"/>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山东晨 鸣新力 热电有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76,194,0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股权出 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移交控 制权</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-8,516,9</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sz w:val="18"/>
              </w:rPr>
              <w:t>33.29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寿光市 晨鸣天 园林业 有限公 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工商登 记注销</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寿光恒 丰仓储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456,537.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工商登 记注销</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47"/>
        <w:jc w:val="left"/>
      </w:pPr>
      <w:r>
        <w:rPr/>
        <w:t>是否存在通过多次交易分步处置对子公司投资且在本期丧失控制权的情形</w:t>
      </w:r>
    </w:p>
    <w:p>
      <w:pPr>
        <w:pStyle w:val="BodyText"/>
        <w:spacing w:line="240" w:lineRule="auto" w:before="117"/>
        <w:ind w:right="147"/>
        <w:jc w:val="left"/>
      </w:pPr>
      <w:r>
        <w:rPr/>
        <w:t>□ 是 √ 否</w:t>
      </w:r>
    </w:p>
    <w:p>
      <w:pPr>
        <w:spacing w:line="240" w:lineRule="auto" w:before="10"/>
        <w:rPr>
          <w:rFonts w:ascii="宋体" w:hAnsi="宋体" w:cs="宋体" w:eastAsia="宋体" w:hint="default"/>
          <w:sz w:val="26"/>
          <w:szCs w:val="26"/>
        </w:rPr>
      </w:pPr>
    </w:p>
    <w:p>
      <w:pPr>
        <w:pStyle w:val="Heading4"/>
        <w:spacing w:line="240" w:lineRule="auto"/>
        <w:ind w:right="147"/>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147"/>
        <w:jc w:val="left"/>
      </w:pPr>
      <w:r>
        <w:rPr/>
        <w:t>（1）新增子公司情况</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456"/>
        <w:gridCol w:w="900"/>
        <w:gridCol w:w="3424"/>
        <w:gridCol w:w="1079"/>
        <w:gridCol w:w="719"/>
        <w:gridCol w:w="2092"/>
      </w:tblGrid>
      <w:tr>
        <w:trPr>
          <w:trHeight w:val="744" w:hRule="exact"/>
        </w:trPr>
        <w:tc>
          <w:tcPr>
            <w:tcW w:w="14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成立时间</w:t>
            </w:r>
          </w:p>
        </w:tc>
        <w:tc>
          <w:tcPr>
            <w:tcW w:w="342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0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63"/>
              <w:ind w:left="353" w:right="8" w:hanging="345"/>
              <w:jc w:val="left"/>
              <w:rPr>
                <w:rFonts w:ascii="宋体" w:hAnsi="宋体" w:cs="宋体" w:eastAsia="宋体" w:hint="default"/>
                <w:sz w:val="18"/>
                <w:szCs w:val="18"/>
              </w:rPr>
            </w:pPr>
            <w:r>
              <w:rPr>
                <w:rFonts w:ascii="宋体" w:hAnsi="宋体" w:cs="宋体" w:eastAsia="宋体" w:hint="default"/>
                <w:spacing w:val="-6"/>
                <w:sz w:val="18"/>
                <w:szCs w:val="18"/>
              </w:rPr>
              <w:t>注册资本（万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元）</w:t>
            </w:r>
          </w:p>
        </w:tc>
        <w:tc>
          <w:tcPr>
            <w:tcW w:w="7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63"/>
              <w:ind w:left="263" w:right="8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20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68"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8"/>
              <w:ind w:left="10" w:right="-18"/>
              <w:jc w:val="left"/>
              <w:rPr>
                <w:rFonts w:ascii="宋体" w:hAnsi="宋体" w:cs="宋体" w:eastAsia="宋体" w:hint="default"/>
                <w:sz w:val="18"/>
                <w:szCs w:val="18"/>
              </w:rPr>
            </w:pPr>
            <w:r>
              <w:rPr>
                <w:rFonts w:ascii="宋体" w:hAnsi="宋体" w:cs="宋体" w:eastAsia="宋体" w:hint="default"/>
                <w:spacing w:val="23"/>
                <w:sz w:val="18"/>
                <w:szCs w:val="18"/>
              </w:rPr>
              <w:t>山东晨鸣融资租</w:t>
            </w:r>
            <w:r>
              <w:rPr>
                <w:rFonts w:ascii="宋体" w:hAnsi="宋体" w:cs="宋体" w:eastAsia="宋体" w:hint="default"/>
                <w:spacing w:val="-63"/>
                <w:sz w:val="18"/>
                <w:szCs w:val="18"/>
              </w:rPr>
              <w:t> </w:t>
            </w:r>
            <w:r>
              <w:rPr>
                <w:rFonts w:ascii="宋体" w:hAnsi="宋体" w:cs="宋体" w:eastAsia="宋体" w:hint="default"/>
                <w:sz w:val="18"/>
                <w:szCs w:val="18"/>
              </w:rPr>
              <w:t>赁有限公司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sz w:val="18"/>
              </w:rPr>
              <w:t>2014.02</w:t>
            </w:r>
          </w:p>
        </w:tc>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10" w:right="1"/>
              <w:jc w:val="both"/>
              <w:rPr>
                <w:rFonts w:ascii="宋体" w:hAnsi="宋体" w:cs="宋体" w:eastAsia="宋体" w:hint="default"/>
                <w:sz w:val="18"/>
                <w:szCs w:val="18"/>
              </w:rPr>
            </w:pPr>
            <w:r>
              <w:rPr>
                <w:rFonts w:ascii="宋体" w:hAnsi="宋体" w:cs="宋体" w:eastAsia="宋体" w:hint="default"/>
                <w:spacing w:val="-2"/>
                <w:sz w:val="18"/>
                <w:szCs w:val="18"/>
              </w:rPr>
              <w:t>融资租赁业务；经营性租赁业务；向国内外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购买租赁资产；租赁资产的残值处理和维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修；租赁交易咨询。</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8"/>
              <w:jc w:val="right"/>
              <w:rPr>
                <w:rFonts w:ascii="宋体" w:hAnsi="宋体" w:cs="宋体" w:eastAsia="宋体" w:hint="default"/>
                <w:sz w:val="18"/>
                <w:szCs w:val="18"/>
              </w:rPr>
            </w:pPr>
            <w:r>
              <w:rPr>
                <w:rFonts w:ascii="宋体"/>
                <w:sz w:val="18"/>
              </w:rPr>
              <w:t>270,000.00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8"/>
              <w:jc w:val="right"/>
              <w:rPr>
                <w:rFonts w:ascii="宋体" w:hAnsi="宋体" w:cs="宋体" w:eastAsia="宋体" w:hint="default"/>
                <w:sz w:val="18"/>
                <w:szCs w:val="18"/>
              </w:rPr>
            </w:pPr>
            <w:r>
              <w:rPr>
                <w:rFonts w:ascii="宋体"/>
                <w:sz w:val="18"/>
              </w:rPr>
              <w:t>100</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3"/>
              <w:ind w:left="9" w:right="-17"/>
              <w:jc w:val="both"/>
              <w:rPr>
                <w:rFonts w:ascii="宋体" w:hAnsi="宋体" w:cs="宋体" w:eastAsia="宋体" w:hint="default"/>
                <w:sz w:val="18"/>
                <w:szCs w:val="18"/>
              </w:rPr>
            </w:pPr>
            <w:r>
              <w:rPr>
                <w:rFonts w:ascii="宋体" w:hAnsi="宋体" w:cs="宋体" w:eastAsia="宋体" w:hint="default"/>
                <w:spacing w:val="7"/>
                <w:sz w:val="18"/>
                <w:szCs w:val="18"/>
              </w:rPr>
              <w:t>公司七届董事会第四次临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时会议决议通过，由全资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2"/>
                <w:sz w:val="18"/>
                <w:szCs w:val="18"/>
              </w:rPr>
              <w:t>子公司香港</w:t>
            </w:r>
            <w:r>
              <w:rPr>
                <w:rFonts w:ascii="宋体" w:hAnsi="宋体" w:cs="宋体" w:eastAsia="宋体" w:hint="default"/>
                <w:spacing w:val="-59"/>
                <w:sz w:val="18"/>
                <w:szCs w:val="18"/>
              </w:rPr>
              <w:t> </w:t>
            </w:r>
            <w:r>
              <w:rPr>
                <w:rFonts w:ascii="宋体" w:hAnsi="宋体" w:cs="宋体" w:eastAsia="宋体" w:hint="default"/>
                <w:spacing w:val="22"/>
                <w:sz w:val="18"/>
                <w:szCs w:val="18"/>
              </w:rPr>
              <w:t>晨鸣出资成</w:t>
            </w:r>
            <w:r>
              <w:rPr>
                <w:rFonts w:ascii="宋体" w:hAnsi="宋体" w:cs="宋体" w:eastAsia="宋体" w:hint="default"/>
                <w:spacing w:val="-88"/>
                <w:sz w:val="18"/>
                <w:szCs w:val="18"/>
              </w:rPr>
              <w:t> </w:t>
            </w:r>
            <w:r>
              <w:rPr>
                <w:rFonts w:ascii="宋体" w:hAnsi="宋体" w:cs="宋体" w:eastAsia="宋体" w:hint="default"/>
                <w:sz w:val="18"/>
                <w:szCs w:val="18"/>
              </w:rPr>
              <w:t>立。</w:t>
            </w:r>
          </w:p>
        </w:tc>
      </w:tr>
      <w:tr>
        <w:trPr>
          <w:trHeight w:val="168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10" w:right="-18"/>
              <w:jc w:val="left"/>
              <w:rPr>
                <w:rFonts w:ascii="宋体" w:hAnsi="宋体" w:cs="宋体" w:eastAsia="宋体" w:hint="default"/>
                <w:sz w:val="18"/>
                <w:szCs w:val="18"/>
              </w:rPr>
            </w:pPr>
            <w:r>
              <w:rPr>
                <w:rFonts w:ascii="宋体" w:hAnsi="宋体" w:cs="宋体" w:eastAsia="宋体" w:hint="default"/>
                <w:spacing w:val="23"/>
                <w:sz w:val="18"/>
                <w:szCs w:val="18"/>
              </w:rPr>
              <w:t>山东晨鸣投资有</w:t>
            </w:r>
            <w:r>
              <w:rPr>
                <w:rFonts w:ascii="宋体" w:hAnsi="宋体" w:cs="宋体" w:eastAsia="宋体" w:hint="default"/>
                <w:spacing w:val="-63"/>
                <w:sz w:val="18"/>
                <w:szCs w:val="18"/>
              </w:rPr>
              <w:t> </w:t>
            </w:r>
            <w:r>
              <w:rPr>
                <w:rFonts w:ascii="宋体" w:hAnsi="宋体" w:cs="宋体" w:eastAsia="宋体" w:hint="default"/>
                <w:sz w:val="18"/>
                <w:szCs w:val="18"/>
              </w:rPr>
              <w:t>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z w:val="18"/>
              </w:rPr>
              <w:t>2014.03</w:t>
            </w:r>
          </w:p>
        </w:tc>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3"/>
              <w:ind w:left="10" w:right="-17"/>
              <w:jc w:val="both"/>
              <w:rPr>
                <w:rFonts w:ascii="宋体" w:hAnsi="宋体" w:cs="宋体" w:eastAsia="宋体" w:hint="default"/>
                <w:sz w:val="18"/>
                <w:szCs w:val="18"/>
              </w:rPr>
            </w:pPr>
            <w:r>
              <w:rPr>
                <w:rFonts w:ascii="宋体" w:hAnsi="宋体" w:cs="宋体" w:eastAsia="宋体" w:hint="default"/>
                <w:spacing w:val="8"/>
                <w:sz w:val="18"/>
                <w:szCs w:val="18"/>
              </w:rPr>
              <w:t>在中国政府鼓励和允许外商投资的领域依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法进行投资；为其投资企业提供采购原材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料、销售产品等服务；在中国境内设立科研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开发中心或部门，从事新产品和高新技术的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研究和开发；为其投资者提供咨询服务等。</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20,000.00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100</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9" w:right="-17"/>
              <w:jc w:val="both"/>
              <w:rPr>
                <w:rFonts w:ascii="宋体" w:hAnsi="宋体" w:cs="宋体" w:eastAsia="宋体" w:hint="default"/>
                <w:sz w:val="18"/>
                <w:szCs w:val="18"/>
              </w:rPr>
            </w:pPr>
            <w:r>
              <w:rPr>
                <w:rFonts w:ascii="宋体" w:hAnsi="宋体" w:cs="宋体" w:eastAsia="宋体" w:hint="default"/>
                <w:spacing w:val="7"/>
                <w:sz w:val="18"/>
                <w:szCs w:val="18"/>
              </w:rPr>
              <w:t>公司七届董事会第四次临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时会议决议通过，由全资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2"/>
                <w:sz w:val="18"/>
                <w:szCs w:val="18"/>
              </w:rPr>
              <w:t>子公司香港</w:t>
            </w:r>
            <w:r>
              <w:rPr>
                <w:rFonts w:ascii="宋体" w:hAnsi="宋体" w:cs="宋体" w:eastAsia="宋体" w:hint="default"/>
                <w:spacing w:val="-59"/>
                <w:sz w:val="18"/>
                <w:szCs w:val="18"/>
              </w:rPr>
              <w:t> </w:t>
            </w:r>
            <w:r>
              <w:rPr>
                <w:rFonts w:ascii="宋体" w:hAnsi="宋体" w:cs="宋体" w:eastAsia="宋体" w:hint="default"/>
                <w:spacing w:val="22"/>
                <w:sz w:val="18"/>
                <w:szCs w:val="18"/>
              </w:rPr>
              <w:t>晨鸣出资成</w:t>
            </w:r>
            <w:r>
              <w:rPr>
                <w:rFonts w:ascii="宋体" w:hAnsi="宋体" w:cs="宋体" w:eastAsia="宋体" w:hint="default"/>
                <w:spacing w:val="-88"/>
                <w:sz w:val="18"/>
                <w:szCs w:val="18"/>
              </w:rPr>
              <w:t> </w:t>
            </w:r>
            <w:r>
              <w:rPr>
                <w:rFonts w:ascii="宋体" w:hAnsi="宋体" w:cs="宋体" w:eastAsia="宋体" w:hint="default"/>
                <w:sz w:val="18"/>
                <w:szCs w:val="18"/>
              </w:rPr>
              <w:t>立。</w:t>
            </w:r>
          </w:p>
        </w:tc>
      </w:tr>
      <w:tr>
        <w:trPr>
          <w:trHeight w:val="2616"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316" w:lineRule="auto"/>
              <w:ind w:left="10" w:right="-18"/>
              <w:jc w:val="left"/>
              <w:rPr>
                <w:rFonts w:ascii="宋体" w:hAnsi="宋体" w:cs="宋体" w:eastAsia="宋体" w:hint="default"/>
                <w:sz w:val="18"/>
                <w:szCs w:val="18"/>
              </w:rPr>
            </w:pPr>
            <w:r>
              <w:rPr>
                <w:rFonts w:ascii="宋体" w:hAnsi="宋体" w:cs="宋体" w:eastAsia="宋体" w:hint="default"/>
                <w:spacing w:val="23"/>
                <w:sz w:val="18"/>
                <w:szCs w:val="18"/>
              </w:rPr>
              <w:t>山东晨鸣集团财</w:t>
            </w:r>
            <w:r>
              <w:rPr>
                <w:rFonts w:ascii="宋体" w:hAnsi="宋体" w:cs="宋体" w:eastAsia="宋体" w:hint="default"/>
                <w:spacing w:val="-63"/>
                <w:sz w:val="18"/>
                <w:szCs w:val="18"/>
              </w:rPr>
              <w:t> </w:t>
            </w:r>
            <w:r>
              <w:rPr>
                <w:rFonts w:ascii="宋体" w:hAnsi="宋体" w:cs="宋体" w:eastAsia="宋体" w:hint="default"/>
                <w:sz w:val="18"/>
                <w:szCs w:val="18"/>
              </w:rPr>
              <w:t>务有限公司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z w:val="18"/>
              </w:rPr>
              <w:t>2014.07</w:t>
            </w:r>
          </w:p>
        </w:tc>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10" w:right="1"/>
              <w:jc w:val="left"/>
              <w:rPr>
                <w:rFonts w:ascii="宋体" w:hAnsi="宋体" w:cs="宋体" w:eastAsia="宋体" w:hint="default"/>
                <w:sz w:val="18"/>
                <w:szCs w:val="18"/>
              </w:rPr>
            </w:pPr>
            <w:r>
              <w:rPr>
                <w:rFonts w:ascii="宋体" w:hAnsi="宋体" w:cs="宋体" w:eastAsia="宋体" w:hint="default"/>
                <w:spacing w:val="8"/>
                <w:sz w:val="18"/>
                <w:szCs w:val="18"/>
              </w:rPr>
              <w:t>经营中国银行业监督管理委员会依照有关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法律、行政法规和其他规定批准的业务。</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100,000.00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100</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3"/>
              <w:ind w:left="9" w:right="-42"/>
              <w:jc w:val="both"/>
              <w:rPr>
                <w:rFonts w:ascii="宋体" w:hAnsi="宋体" w:cs="宋体" w:eastAsia="宋体" w:hint="default"/>
                <w:sz w:val="18"/>
                <w:szCs w:val="18"/>
              </w:rPr>
            </w:pPr>
            <w:r>
              <w:rPr>
                <w:rFonts w:ascii="宋体" w:hAnsi="宋体" w:cs="宋体" w:eastAsia="宋体" w:hint="default"/>
                <w:spacing w:val="7"/>
                <w:sz w:val="18"/>
                <w:szCs w:val="18"/>
              </w:rPr>
              <w:t>经中国银监会山东监管局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下发的《山东银监局关于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山东晨鸣集团财务有限公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司开业的批复》（鲁银监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准【2014】233</w:t>
            </w:r>
            <w:r>
              <w:rPr>
                <w:rFonts w:ascii="宋体" w:hAnsi="宋体" w:cs="宋体" w:eastAsia="宋体" w:hint="default"/>
                <w:spacing w:val="-46"/>
                <w:sz w:val="18"/>
                <w:szCs w:val="18"/>
              </w:rPr>
              <w:t> </w:t>
            </w:r>
            <w:r>
              <w:rPr>
                <w:rFonts w:ascii="宋体" w:hAnsi="宋体" w:cs="宋体" w:eastAsia="宋体" w:hint="default"/>
                <w:sz w:val="18"/>
                <w:szCs w:val="18"/>
              </w:rPr>
              <w:t>号）批准，</w:t>
            </w:r>
            <w:r>
              <w:rPr>
                <w:rFonts w:ascii="宋体" w:hAnsi="宋体" w:cs="宋体" w:eastAsia="宋体" w:hint="default"/>
                <w:sz w:val="18"/>
                <w:szCs w:val="18"/>
              </w:rPr>
              <w:t> </w:t>
            </w:r>
            <w:r>
              <w:rPr>
                <w:rFonts w:ascii="宋体" w:hAnsi="宋体" w:cs="宋体" w:eastAsia="宋体" w:hint="default"/>
                <w:spacing w:val="7"/>
                <w:sz w:val="18"/>
                <w:szCs w:val="18"/>
              </w:rPr>
              <w:t>同意由山东晨鸣和江西晨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鸣分别出资</w:t>
            </w:r>
            <w:r>
              <w:rPr>
                <w:rFonts w:ascii="宋体" w:hAnsi="宋体" w:cs="宋体" w:eastAsia="宋体" w:hint="default"/>
                <w:spacing w:val="-50"/>
                <w:sz w:val="18"/>
                <w:szCs w:val="18"/>
              </w:rPr>
              <w:t> </w:t>
            </w:r>
            <w:r>
              <w:rPr>
                <w:rFonts w:ascii="宋体" w:hAnsi="宋体" w:cs="宋体" w:eastAsia="宋体" w:hint="default"/>
                <w:sz w:val="18"/>
                <w:szCs w:val="18"/>
              </w:rPr>
              <w:t>80,000</w:t>
            </w:r>
            <w:r>
              <w:rPr>
                <w:rFonts w:ascii="宋体" w:hAnsi="宋体" w:cs="宋体" w:eastAsia="宋体" w:hint="default"/>
                <w:spacing w:val="-50"/>
                <w:sz w:val="18"/>
                <w:szCs w:val="18"/>
              </w:rPr>
              <w:t> </w:t>
            </w:r>
            <w:r>
              <w:rPr>
                <w:rFonts w:ascii="宋体" w:hAnsi="宋体" w:cs="宋体" w:eastAsia="宋体" w:hint="default"/>
                <w:sz w:val="18"/>
                <w:szCs w:val="18"/>
              </w:rPr>
              <w:t>万元和</w:t>
            </w:r>
          </w:p>
          <w:p>
            <w:pPr>
              <w:pStyle w:val="TableParagraph"/>
              <w:spacing w:line="240" w:lineRule="auto" w:before="20"/>
              <w:ind w:left="9" w:right="0"/>
              <w:jc w:val="both"/>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6"/>
                <w:sz w:val="18"/>
                <w:szCs w:val="18"/>
              </w:rPr>
              <w:t> </w:t>
            </w:r>
            <w:r>
              <w:rPr>
                <w:rFonts w:ascii="宋体" w:hAnsi="宋体" w:cs="宋体" w:eastAsia="宋体" w:hint="default"/>
                <w:sz w:val="18"/>
                <w:szCs w:val="18"/>
              </w:rPr>
              <w:t>万元成立。</w:t>
            </w:r>
          </w:p>
        </w:tc>
      </w:tr>
    </w:tbl>
    <w:p>
      <w:pPr>
        <w:spacing w:after="0" w:line="240" w:lineRule="auto"/>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1456"/>
        <w:gridCol w:w="900"/>
        <w:gridCol w:w="3424"/>
        <w:gridCol w:w="1079"/>
        <w:gridCol w:w="719"/>
        <w:gridCol w:w="2092"/>
      </w:tblGrid>
      <w:tr>
        <w:trPr>
          <w:trHeight w:val="145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10" w:right="-18"/>
              <w:jc w:val="left"/>
              <w:rPr>
                <w:rFonts w:ascii="宋体" w:hAnsi="宋体" w:cs="宋体" w:eastAsia="宋体" w:hint="default"/>
                <w:sz w:val="18"/>
                <w:szCs w:val="18"/>
              </w:rPr>
            </w:pPr>
            <w:r>
              <w:rPr>
                <w:rFonts w:ascii="宋体" w:hAnsi="宋体" w:cs="宋体" w:eastAsia="宋体" w:hint="default"/>
                <w:spacing w:val="23"/>
                <w:sz w:val="18"/>
                <w:szCs w:val="18"/>
              </w:rPr>
              <w:t>晨鸣林业有限公</w:t>
            </w:r>
            <w:r>
              <w:rPr>
                <w:rFonts w:ascii="宋体" w:hAnsi="宋体" w:cs="宋体" w:eastAsia="宋体" w:hint="default"/>
                <w:spacing w:val="-63"/>
                <w:sz w:val="18"/>
                <w:szCs w:val="18"/>
              </w:rPr>
              <w:t> </w:t>
            </w:r>
            <w:r>
              <w:rPr>
                <w:rFonts w:ascii="宋体" w:hAnsi="宋体" w:cs="宋体" w:eastAsia="宋体" w:hint="default"/>
                <w:sz w:val="18"/>
                <w:szCs w:val="18"/>
              </w:rPr>
              <w:t>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27"/>
              <w:jc w:val="right"/>
              <w:rPr>
                <w:rFonts w:ascii="宋体" w:hAnsi="宋体" w:cs="宋体" w:eastAsia="宋体" w:hint="default"/>
                <w:sz w:val="18"/>
                <w:szCs w:val="18"/>
              </w:rPr>
            </w:pPr>
            <w:r>
              <w:rPr>
                <w:rFonts w:ascii="宋体"/>
                <w:sz w:val="18"/>
              </w:rPr>
              <w:t>2014.08</w:t>
            </w:r>
          </w:p>
        </w:tc>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10" w:right="7" w:hanging="1"/>
              <w:jc w:val="both"/>
              <w:rPr>
                <w:rFonts w:ascii="宋体" w:hAnsi="宋体" w:cs="宋体" w:eastAsia="宋体" w:hint="default"/>
                <w:sz w:val="18"/>
                <w:szCs w:val="18"/>
              </w:rPr>
            </w:pPr>
            <w:r>
              <w:rPr>
                <w:rFonts w:ascii="宋体" w:hAnsi="宋体" w:cs="宋体" w:eastAsia="宋体" w:hint="default"/>
                <w:spacing w:val="-2"/>
                <w:sz w:val="18"/>
                <w:szCs w:val="18"/>
              </w:rPr>
              <w:t>林业、农业项目投资；投资与资产管理；林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业技术研究开发；造林与更新；林产品采集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等</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8"/>
              <w:jc w:val="right"/>
              <w:rPr>
                <w:rFonts w:ascii="宋体" w:hAnsi="宋体" w:cs="宋体" w:eastAsia="宋体" w:hint="default"/>
                <w:sz w:val="18"/>
                <w:szCs w:val="18"/>
              </w:rPr>
            </w:pPr>
            <w:r>
              <w:rPr>
                <w:rFonts w:ascii="宋体"/>
                <w:sz w:val="18"/>
              </w:rPr>
              <w:t>10,000.00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8"/>
              <w:jc w:val="right"/>
              <w:rPr>
                <w:rFonts w:ascii="宋体" w:hAnsi="宋体" w:cs="宋体" w:eastAsia="宋体" w:hint="default"/>
                <w:sz w:val="18"/>
                <w:szCs w:val="18"/>
              </w:rPr>
            </w:pPr>
            <w:r>
              <w:rPr>
                <w:rFonts w:ascii="宋体"/>
                <w:sz w:val="18"/>
              </w:rPr>
              <w:t>100</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9" w:right="1"/>
              <w:jc w:val="both"/>
              <w:rPr>
                <w:rFonts w:ascii="宋体" w:hAnsi="宋体" w:cs="宋体" w:eastAsia="宋体" w:hint="default"/>
                <w:sz w:val="18"/>
                <w:szCs w:val="18"/>
              </w:rPr>
            </w:pPr>
            <w:r>
              <w:rPr>
                <w:rFonts w:ascii="宋体" w:hAnsi="宋体" w:cs="宋体" w:eastAsia="宋体" w:hint="default"/>
                <w:spacing w:val="7"/>
                <w:sz w:val="18"/>
                <w:szCs w:val="18"/>
              </w:rPr>
              <w:t>公司七届董事会第六次会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议决定由山东晨鸣成立晨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鸣林业有限公司，实缴注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册资本</w:t>
            </w:r>
            <w:r>
              <w:rPr>
                <w:rFonts w:ascii="宋体" w:hAnsi="宋体" w:cs="宋体" w:eastAsia="宋体" w:hint="default"/>
                <w:spacing w:val="-46"/>
                <w:sz w:val="18"/>
                <w:szCs w:val="18"/>
              </w:rPr>
              <w:t> </w:t>
            </w:r>
            <w:r>
              <w:rPr>
                <w:rFonts w:ascii="宋体" w:hAnsi="宋体" w:cs="宋体" w:eastAsia="宋体" w:hint="default"/>
                <w:sz w:val="18"/>
                <w:szCs w:val="18"/>
              </w:rPr>
              <w:t>4,500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168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19" w:lineRule="auto"/>
              <w:ind w:left="10" w:right="-18"/>
              <w:jc w:val="left"/>
              <w:rPr>
                <w:rFonts w:ascii="宋体" w:hAnsi="宋体" w:cs="宋体" w:eastAsia="宋体" w:hint="default"/>
                <w:sz w:val="18"/>
                <w:szCs w:val="18"/>
              </w:rPr>
            </w:pPr>
            <w:r>
              <w:rPr>
                <w:rFonts w:ascii="宋体" w:hAnsi="宋体" w:cs="宋体" w:eastAsia="宋体" w:hint="default"/>
                <w:spacing w:val="23"/>
                <w:sz w:val="18"/>
                <w:szCs w:val="18"/>
              </w:rPr>
              <w:t>青岛晨鸣国际物</w:t>
            </w:r>
            <w:r>
              <w:rPr>
                <w:rFonts w:ascii="宋体" w:hAnsi="宋体" w:cs="宋体" w:eastAsia="宋体" w:hint="default"/>
                <w:spacing w:val="-63"/>
                <w:sz w:val="18"/>
                <w:szCs w:val="18"/>
              </w:rPr>
              <w:t> </w:t>
            </w:r>
            <w:r>
              <w:rPr>
                <w:rFonts w:ascii="宋体" w:hAnsi="宋体" w:cs="宋体" w:eastAsia="宋体" w:hint="default"/>
                <w:sz w:val="18"/>
                <w:szCs w:val="18"/>
              </w:rPr>
              <w:t>流有限公司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27"/>
              <w:jc w:val="right"/>
              <w:rPr>
                <w:rFonts w:ascii="宋体" w:hAnsi="宋体" w:cs="宋体" w:eastAsia="宋体" w:hint="default"/>
                <w:sz w:val="18"/>
                <w:szCs w:val="18"/>
              </w:rPr>
            </w:pPr>
            <w:r>
              <w:rPr>
                <w:rFonts w:ascii="宋体"/>
                <w:sz w:val="18"/>
              </w:rPr>
              <w:t>2014.04</w:t>
            </w:r>
          </w:p>
        </w:tc>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10" w:right="-17"/>
              <w:jc w:val="both"/>
              <w:rPr>
                <w:rFonts w:ascii="宋体" w:hAnsi="宋体" w:cs="宋体" w:eastAsia="宋体" w:hint="default"/>
                <w:sz w:val="18"/>
                <w:szCs w:val="18"/>
              </w:rPr>
            </w:pPr>
            <w:r>
              <w:rPr>
                <w:rFonts w:ascii="宋体" w:hAnsi="宋体" w:cs="宋体" w:eastAsia="宋体" w:hint="default"/>
                <w:spacing w:val="-2"/>
                <w:sz w:val="18"/>
                <w:szCs w:val="18"/>
              </w:rPr>
              <w:t>物流分拨（不含运输）；国际贸易、转口贸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易、区内企业之间的贸易；铜版纸、纸板、 </w:t>
            </w:r>
            <w:r>
              <w:rPr>
                <w:rFonts w:ascii="宋体" w:hAnsi="宋体" w:cs="宋体" w:eastAsia="宋体" w:hint="default"/>
                <w:spacing w:val="-2"/>
                <w:sz w:val="18"/>
                <w:szCs w:val="18"/>
              </w:rPr>
              <w:t>纸制品的进出口、批发、佣金代理及相关业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务咨询。</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1,000.00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100</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3"/>
              <w:ind w:left="9" w:right="1"/>
              <w:jc w:val="both"/>
              <w:rPr>
                <w:rFonts w:ascii="宋体" w:hAnsi="宋体" w:cs="宋体" w:eastAsia="宋体" w:hint="default"/>
                <w:sz w:val="18"/>
                <w:szCs w:val="18"/>
              </w:rPr>
            </w:pPr>
            <w:r>
              <w:rPr>
                <w:rFonts w:ascii="宋体" w:hAnsi="宋体" w:cs="宋体" w:eastAsia="宋体" w:hint="default"/>
                <w:spacing w:val="7"/>
                <w:sz w:val="18"/>
                <w:szCs w:val="18"/>
              </w:rPr>
              <w:t>公司七届董事会第四次会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议决定由山东晨鸣和香港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晨鸣分别出资 300</w:t>
            </w:r>
            <w:r>
              <w:rPr>
                <w:rFonts w:ascii="宋体" w:hAnsi="宋体" w:cs="宋体" w:eastAsia="宋体" w:hint="default"/>
                <w:spacing w:val="-8"/>
                <w:sz w:val="18"/>
                <w:szCs w:val="18"/>
              </w:rPr>
              <w:t> </w:t>
            </w:r>
            <w:r>
              <w:rPr>
                <w:rFonts w:ascii="宋体" w:hAnsi="宋体" w:cs="宋体" w:eastAsia="宋体" w:hint="default"/>
                <w:sz w:val="18"/>
                <w:szCs w:val="18"/>
              </w:rPr>
              <w:t>万元和</w:t>
            </w:r>
          </w:p>
          <w:p>
            <w:pPr>
              <w:pStyle w:val="TableParagraph"/>
              <w:spacing w:line="240" w:lineRule="auto" w:before="18"/>
              <w:ind w:left="9" w:right="0"/>
              <w:jc w:val="both"/>
              <w:rPr>
                <w:rFonts w:ascii="宋体" w:hAnsi="宋体" w:cs="宋体" w:eastAsia="宋体" w:hint="default"/>
                <w:sz w:val="18"/>
                <w:szCs w:val="18"/>
              </w:rPr>
            </w:pPr>
            <w:r>
              <w:rPr>
                <w:rFonts w:ascii="宋体" w:hAnsi="宋体" w:cs="宋体" w:eastAsia="宋体" w:hint="default"/>
                <w:sz w:val="18"/>
                <w:szCs w:val="18"/>
              </w:rPr>
              <w:t>700</w:t>
            </w:r>
            <w:r>
              <w:rPr>
                <w:rFonts w:ascii="宋体" w:hAnsi="宋体" w:cs="宋体" w:eastAsia="宋体" w:hint="default"/>
                <w:spacing w:val="-39"/>
                <w:sz w:val="18"/>
                <w:szCs w:val="18"/>
              </w:rPr>
              <w:t> </w:t>
            </w:r>
            <w:r>
              <w:rPr>
                <w:rFonts w:ascii="宋体" w:hAnsi="宋体" w:cs="宋体" w:eastAsia="宋体" w:hint="default"/>
                <w:spacing w:val="-6"/>
                <w:sz w:val="18"/>
                <w:szCs w:val="18"/>
              </w:rPr>
              <w:t>万元成立，实缴资本为</w:t>
            </w:r>
          </w:p>
          <w:p>
            <w:pPr>
              <w:pStyle w:val="TableParagraph"/>
              <w:spacing w:line="240" w:lineRule="auto" w:before="77"/>
              <w:ind w:left="9" w:right="0"/>
              <w:jc w:val="both"/>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811"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95"/>
              <w:ind w:left="10" w:right="-18"/>
              <w:jc w:val="left"/>
              <w:rPr>
                <w:rFonts w:ascii="宋体" w:hAnsi="宋体" w:cs="宋体" w:eastAsia="宋体" w:hint="default"/>
                <w:sz w:val="18"/>
                <w:szCs w:val="18"/>
              </w:rPr>
            </w:pPr>
            <w:r>
              <w:rPr>
                <w:rFonts w:ascii="宋体" w:hAnsi="宋体" w:cs="宋体" w:eastAsia="宋体" w:hint="default"/>
                <w:spacing w:val="23"/>
                <w:sz w:val="18"/>
                <w:szCs w:val="18"/>
              </w:rPr>
              <w:t>吉林晨鸣新型墙</w:t>
            </w:r>
            <w:r>
              <w:rPr>
                <w:rFonts w:ascii="宋体" w:hAnsi="宋体" w:cs="宋体" w:eastAsia="宋体" w:hint="default"/>
                <w:spacing w:val="-63"/>
                <w:sz w:val="18"/>
                <w:szCs w:val="18"/>
              </w:rPr>
              <w:t> </w:t>
            </w:r>
            <w:r>
              <w:rPr>
                <w:rFonts w:ascii="宋体" w:hAnsi="宋体" w:cs="宋体" w:eastAsia="宋体" w:hint="default"/>
                <w:sz w:val="18"/>
                <w:szCs w:val="18"/>
              </w:rPr>
              <w:t>体材料有限公司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7"/>
              <w:jc w:val="right"/>
              <w:rPr>
                <w:rFonts w:ascii="宋体" w:hAnsi="宋体" w:cs="宋体" w:eastAsia="宋体" w:hint="default"/>
                <w:sz w:val="18"/>
                <w:szCs w:val="18"/>
              </w:rPr>
            </w:pPr>
            <w:r>
              <w:rPr>
                <w:rFonts w:ascii="宋体"/>
                <w:sz w:val="18"/>
              </w:rPr>
              <w:t>2014.07</w:t>
            </w:r>
          </w:p>
        </w:tc>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95"/>
              <w:ind w:left="10" w:right="99"/>
              <w:jc w:val="left"/>
              <w:rPr>
                <w:rFonts w:ascii="宋体" w:hAnsi="宋体" w:cs="宋体" w:eastAsia="宋体" w:hint="default"/>
                <w:sz w:val="18"/>
                <w:szCs w:val="18"/>
              </w:rPr>
            </w:pPr>
            <w:r>
              <w:rPr>
                <w:rFonts w:ascii="宋体" w:hAnsi="宋体" w:cs="宋体" w:eastAsia="宋体" w:hint="default"/>
                <w:spacing w:val="-7"/>
                <w:sz w:val="18"/>
                <w:szCs w:val="18"/>
              </w:rPr>
              <w:t>新型墙体材料（不包括危险化学品）的生产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销售；粉煤灰的综合利用。</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95"/>
              <w:ind w:left="-11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338" w:right="0"/>
              <w:jc w:val="left"/>
              <w:rPr>
                <w:rFonts w:ascii="宋体" w:hAnsi="宋体" w:cs="宋体" w:eastAsia="宋体" w:hint="default"/>
                <w:sz w:val="18"/>
                <w:szCs w:val="18"/>
              </w:rPr>
            </w:pPr>
            <w:r>
              <w:rPr>
                <w:rFonts w:ascii="宋体"/>
                <w:sz w:val="18"/>
              </w:rPr>
              <w:t>1,000.00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
              <w:jc w:val="right"/>
              <w:rPr>
                <w:rFonts w:ascii="宋体" w:hAnsi="宋体" w:cs="宋体" w:eastAsia="宋体" w:hint="default"/>
                <w:sz w:val="18"/>
                <w:szCs w:val="18"/>
              </w:rPr>
            </w:pPr>
            <w:r>
              <w:rPr>
                <w:rFonts w:ascii="宋体"/>
                <w:sz w:val="18"/>
              </w:rPr>
              <w:t>100</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95"/>
              <w:ind w:left="9" w:right="1"/>
              <w:jc w:val="left"/>
              <w:rPr>
                <w:rFonts w:ascii="宋体" w:hAnsi="宋体" w:cs="宋体" w:eastAsia="宋体" w:hint="default"/>
                <w:sz w:val="18"/>
                <w:szCs w:val="18"/>
              </w:rPr>
            </w:pPr>
            <w:r>
              <w:rPr>
                <w:rFonts w:ascii="宋体" w:hAnsi="宋体" w:cs="宋体" w:eastAsia="宋体" w:hint="default"/>
                <w:spacing w:val="7"/>
                <w:sz w:val="18"/>
                <w:szCs w:val="18"/>
              </w:rPr>
              <w:t>由全资子公司吉林晨鸣投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资设立</w:t>
            </w:r>
          </w:p>
        </w:tc>
      </w:tr>
    </w:tbl>
    <w:p>
      <w:pPr>
        <w:pStyle w:val="BodyText"/>
        <w:spacing w:line="240" w:lineRule="auto" w:before="10"/>
        <w:ind w:left="514" w:right="147"/>
        <w:jc w:val="left"/>
      </w:pPr>
      <w:r>
        <w:rPr/>
        <w:t>续</w:t>
      </w:r>
    </w:p>
    <w:p>
      <w:pPr>
        <w:spacing w:line="240" w:lineRule="auto" w:before="8"/>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4284"/>
        <w:gridCol w:w="2909"/>
        <w:gridCol w:w="2465"/>
      </w:tblGrid>
      <w:tr>
        <w:trPr>
          <w:trHeight w:val="323" w:hRule="exact"/>
        </w:trPr>
        <w:tc>
          <w:tcPr>
            <w:tcW w:w="428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90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年末净资产</w:t>
            </w:r>
          </w:p>
        </w:tc>
        <w:tc>
          <w:tcPr>
            <w:tcW w:w="24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
              <w:ind w:left="775" w:right="0"/>
              <w:jc w:val="left"/>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364" w:hRule="exact"/>
        </w:trPr>
        <w:tc>
          <w:tcPr>
            <w:tcW w:w="428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290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right="2"/>
              <w:jc w:val="right"/>
              <w:rPr>
                <w:rFonts w:ascii="Times New Roman" w:hAnsi="Times New Roman" w:cs="Times New Roman" w:eastAsia="Times New Roman" w:hint="default"/>
                <w:sz w:val="18"/>
                <w:szCs w:val="18"/>
              </w:rPr>
            </w:pPr>
            <w:r>
              <w:rPr>
                <w:rFonts w:ascii="Times New Roman"/>
                <w:spacing w:val="-1"/>
                <w:sz w:val="18"/>
              </w:rPr>
              <w:t>2,784,083,425.57</w:t>
            </w:r>
          </w:p>
        </w:tc>
        <w:tc>
          <w:tcPr>
            <w:tcW w:w="246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pacing w:val="-1"/>
                <w:sz w:val="18"/>
              </w:rPr>
              <w:t>84,083,425.57</w:t>
            </w:r>
          </w:p>
        </w:tc>
      </w:tr>
      <w:tr>
        <w:trPr>
          <w:trHeight w:val="347"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山东晨鸣投资有限公司</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199,865,505.58</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-134,494.42</w:t>
            </w:r>
          </w:p>
        </w:tc>
      </w:tr>
      <w:tr>
        <w:trPr>
          <w:trHeight w:val="347"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青岛晨鸣国际物流有限公司</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2,988,403.33</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-11,596.67</w:t>
            </w:r>
          </w:p>
        </w:tc>
      </w:tr>
      <w:tr>
        <w:trPr>
          <w:trHeight w:val="347"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山东晨鸣集团财务有限公司</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1,006,713,646.36</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6,713,646.36</w:t>
            </w:r>
          </w:p>
        </w:tc>
      </w:tr>
      <w:tr>
        <w:trPr>
          <w:trHeight w:val="347"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晨鸣林业有限公司</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43,722,164.84</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-1,277,835.16</w:t>
            </w:r>
          </w:p>
        </w:tc>
      </w:tr>
      <w:tr>
        <w:trPr>
          <w:trHeight w:val="348"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吉林晨鸣新型墙体材料有限公司</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246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28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4,047,373,145.68</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89,373,145.68</w:t>
            </w:r>
          </w:p>
        </w:tc>
      </w:tr>
    </w:tbl>
    <w:p>
      <w:pPr>
        <w:spacing w:line="240" w:lineRule="auto" w:before="6"/>
        <w:rPr>
          <w:rFonts w:ascii="宋体" w:hAnsi="宋体" w:cs="宋体" w:eastAsia="宋体" w:hint="default"/>
          <w:sz w:val="8"/>
          <w:szCs w:val="8"/>
        </w:rPr>
      </w:pPr>
    </w:p>
    <w:p>
      <w:pPr>
        <w:pStyle w:val="BodyText"/>
        <w:spacing w:line="240" w:lineRule="auto" w:before="44"/>
        <w:ind w:left="514" w:right="147"/>
        <w:jc w:val="left"/>
      </w:pPr>
      <w:r>
        <w:rPr/>
        <w:t>（2）注销子公司情况</w:t>
      </w:r>
    </w:p>
    <w:p>
      <w:pPr>
        <w:spacing w:line="240" w:lineRule="auto" w:before="2"/>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776"/>
        <w:gridCol w:w="3241"/>
        <w:gridCol w:w="2651"/>
      </w:tblGrid>
      <w:tr>
        <w:trPr>
          <w:trHeight w:val="425" w:hRule="exact"/>
        </w:trPr>
        <w:tc>
          <w:tcPr>
            <w:tcW w:w="37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2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3"/>
              <w:ind w:right="1253"/>
              <w:jc w:val="right"/>
              <w:rPr>
                <w:rFonts w:ascii="宋体" w:hAnsi="宋体" w:cs="宋体" w:eastAsia="宋体" w:hint="default"/>
                <w:sz w:val="18"/>
                <w:szCs w:val="18"/>
              </w:rPr>
            </w:pPr>
            <w:r>
              <w:rPr>
                <w:rFonts w:ascii="宋体" w:hAnsi="宋体" w:cs="宋体" w:eastAsia="宋体" w:hint="default"/>
                <w:sz w:val="18"/>
                <w:szCs w:val="18"/>
              </w:rPr>
              <w:t>注销时间</w:t>
            </w:r>
          </w:p>
        </w:tc>
        <w:tc>
          <w:tcPr>
            <w:tcW w:w="265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注销情况</w:t>
            </w:r>
          </w:p>
        </w:tc>
      </w:tr>
      <w:tr>
        <w:trPr>
          <w:trHeight w:val="439" w:hRule="exact"/>
        </w:trPr>
        <w:tc>
          <w:tcPr>
            <w:tcW w:w="3776" w:type="dxa"/>
            <w:tcBorders>
              <w:top w:val="single" w:sz="6" w:space="0" w:color="C0C0C0"/>
              <w:left w:val="single" w:sz="4" w:space="0" w:color="000000"/>
              <w:bottom w:val="single" w:sz="4" w:space="0" w:color="000000"/>
              <w:right w:val="single" w:sz="4" w:space="0" w:color="000000"/>
            </w:tcBorders>
          </w:tcPr>
          <w:p>
            <w:pPr>
              <w:pStyle w:val="TableParagraph"/>
              <w:spacing w:line="240" w:lineRule="auto" w:before="68"/>
              <w:ind w:left="10" w:right="0"/>
              <w:jc w:val="left"/>
              <w:rPr>
                <w:rFonts w:ascii="宋体" w:hAnsi="宋体" w:cs="宋体" w:eastAsia="宋体" w:hint="default"/>
                <w:sz w:val="18"/>
                <w:szCs w:val="18"/>
              </w:rPr>
            </w:pPr>
            <w:r>
              <w:rPr>
                <w:rFonts w:ascii="宋体" w:hAnsi="宋体" w:cs="宋体" w:eastAsia="宋体" w:hint="default"/>
                <w:sz w:val="18"/>
                <w:szCs w:val="18"/>
              </w:rPr>
              <w:t>寿光市晨鸣天园林业有限公司</w:t>
            </w:r>
          </w:p>
        </w:tc>
        <w:tc>
          <w:tcPr>
            <w:tcW w:w="3241" w:type="dxa"/>
            <w:tcBorders>
              <w:top w:val="single" w:sz="6" w:space="0" w:color="C0C0C0"/>
              <w:left w:val="single" w:sz="4" w:space="0" w:color="000000"/>
              <w:bottom w:val="single" w:sz="4" w:space="0" w:color="000000"/>
              <w:right w:val="single" w:sz="4" w:space="0" w:color="000000"/>
            </w:tcBorders>
          </w:tcPr>
          <w:p>
            <w:pPr>
              <w:pStyle w:val="TableParagraph"/>
              <w:spacing w:line="240" w:lineRule="auto" w:before="68"/>
              <w:ind w:right="1298"/>
              <w:jc w:val="right"/>
              <w:rPr>
                <w:rFonts w:ascii="宋体" w:hAnsi="宋体" w:cs="宋体" w:eastAsia="宋体" w:hint="default"/>
                <w:sz w:val="18"/>
                <w:szCs w:val="18"/>
              </w:rPr>
            </w:pPr>
            <w:r>
              <w:rPr>
                <w:rFonts w:ascii="宋体"/>
                <w:sz w:val="18"/>
              </w:rPr>
              <w:t>2014.05</w:t>
            </w:r>
          </w:p>
        </w:tc>
        <w:tc>
          <w:tcPr>
            <w:tcW w:w="2651" w:type="dxa"/>
            <w:tcBorders>
              <w:top w:val="single" w:sz="6" w:space="0" w:color="C0C0C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宋体" w:hAnsi="宋体" w:cs="宋体" w:eastAsia="宋体" w:hint="default"/>
                <w:sz w:val="18"/>
                <w:szCs w:val="18"/>
              </w:rPr>
              <w:t>工商登记注销已完成</w:t>
            </w:r>
          </w:p>
        </w:tc>
      </w:tr>
      <w:tr>
        <w:trPr>
          <w:trHeight w:val="43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 w:right="0"/>
              <w:jc w:val="left"/>
              <w:rPr>
                <w:rFonts w:ascii="宋体" w:hAnsi="宋体" w:cs="宋体" w:eastAsia="宋体" w:hint="default"/>
                <w:sz w:val="18"/>
                <w:szCs w:val="18"/>
              </w:rPr>
            </w:pPr>
            <w:r>
              <w:rPr>
                <w:rFonts w:ascii="宋体" w:hAnsi="宋体" w:cs="宋体" w:eastAsia="宋体" w:hint="default"/>
                <w:sz w:val="18"/>
                <w:szCs w:val="18"/>
              </w:rPr>
              <w:t>寿光恒丰仓储有限公司</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298"/>
              <w:jc w:val="right"/>
              <w:rPr>
                <w:rFonts w:ascii="宋体" w:hAnsi="宋体" w:cs="宋体" w:eastAsia="宋体" w:hint="default"/>
                <w:sz w:val="18"/>
                <w:szCs w:val="18"/>
              </w:rPr>
            </w:pPr>
            <w:r>
              <w:rPr>
                <w:rFonts w:ascii="宋体"/>
                <w:sz w:val="18"/>
              </w:rPr>
              <w:t>2014.06</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工商登记注销已完成</w:t>
            </w:r>
          </w:p>
        </w:tc>
      </w:tr>
    </w:tbl>
    <w:p>
      <w:pPr>
        <w:spacing w:line="240" w:lineRule="auto" w:before="2"/>
        <w:rPr>
          <w:rFonts w:ascii="宋体" w:hAnsi="宋体" w:cs="宋体" w:eastAsia="宋体" w:hint="default"/>
          <w:sz w:val="18"/>
          <w:szCs w:val="18"/>
        </w:rPr>
      </w:pPr>
    </w:p>
    <w:p>
      <w:pPr>
        <w:pStyle w:val="Heading2"/>
        <w:spacing w:line="240" w:lineRule="auto" w:before="26"/>
        <w:ind w:right="147"/>
        <w:jc w:val="left"/>
        <w:rPr>
          <w:b w:val="0"/>
          <w:bCs w:val="0"/>
        </w:rPr>
      </w:pP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787"/>
        <w:gridCol w:w="1152"/>
        <w:gridCol w:w="1152"/>
        <w:gridCol w:w="1098"/>
        <w:gridCol w:w="808"/>
        <w:gridCol w:w="806"/>
        <w:gridCol w:w="890"/>
      </w:tblGrid>
      <w:tr>
        <w:trPr>
          <w:trHeight w:val="402" w:hRule="exact"/>
        </w:trPr>
        <w:tc>
          <w:tcPr>
            <w:tcW w:w="3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1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3787" w:type="dxa"/>
            <w:vMerge/>
            <w:tcBorders>
              <w:left w:val="single" w:sz="4" w:space="0" w:color="000000"/>
              <w:bottom w:val="single" w:sz="4" w:space="0" w:color="000000"/>
              <w:right w:val="single" w:sz="4" w:space="0" w:color="000000"/>
            </w:tcBorders>
            <w:shd w:val="clear" w:color="auto" w:fill="D3D3D3"/>
          </w:tcPr>
          <w:p>
            <w:pPr/>
          </w:p>
        </w:tc>
        <w:tc>
          <w:tcPr>
            <w:tcW w:w="1152" w:type="dxa"/>
            <w:vMerge/>
            <w:tcBorders>
              <w:left w:val="single" w:sz="4" w:space="0" w:color="000000"/>
              <w:bottom w:val="single" w:sz="4" w:space="0" w:color="000000"/>
              <w:right w:val="single" w:sz="4" w:space="0" w:color="000000"/>
            </w:tcBorders>
            <w:shd w:val="clear" w:color="auto" w:fill="D3D3D3"/>
          </w:tcPr>
          <w:p>
            <w:pPr/>
          </w:p>
        </w:tc>
        <w:tc>
          <w:tcPr>
            <w:tcW w:w="1152" w:type="dxa"/>
            <w:vMerge/>
            <w:tcBorders>
              <w:left w:val="single" w:sz="4" w:space="0" w:color="000000"/>
              <w:bottom w:val="single" w:sz="4" w:space="0" w:color="000000"/>
              <w:right w:val="single" w:sz="4" w:space="0" w:color="000000"/>
            </w:tcBorders>
            <w:shd w:val="clear" w:color="auto" w:fill="D3D3D3"/>
          </w:tcPr>
          <w:p>
            <w:pPr/>
          </w:p>
        </w:tc>
        <w:tc>
          <w:tcPr>
            <w:tcW w:w="1098" w:type="dxa"/>
            <w:vMerge/>
            <w:tcBorders>
              <w:left w:val="single" w:sz="4" w:space="0" w:color="000000"/>
              <w:bottom w:val="single" w:sz="4" w:space="0" w:color="000000"/>
              <w:right w:val="single" w:sz="4" w:space="0" w:color="000000"/>
            </w:tcBorders>
            <w:shd w:val="clear" w:color="auto" w:fill="D3D3D3"/>
          </w:tcPr>
          <w:p>
            <w:pP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89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50.93%</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山东晨鸣热电股份有限公司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海拉尔晨鸣纸业有限责任公司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海拉尔</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海拉尔</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75.00%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海城</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海城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矿业</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60.00%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51.00%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49.00%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3787"/>
        <w:gridCol w:w="1152"/>
        <w:gridCol w:w="1152"/>
        <w:gridCol w:w="1098"/>
        <w:gridCol w:w="808"/>
        <w:gridCol w:w="806"/>
        <w:gridCol w:w="890"/>
      </w:tblGrid>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山东御景大酒店有限公司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餐饮</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70.00%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纸品贸易</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寿光晨鸣现代物流有限公司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寿光晨鸣美术纸有限公司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75.00%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富裕</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富裕</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黄冈</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黄冈</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制浆</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黄冈</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黄冈</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寿光顺达报关有限责任公司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报关</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纸品销售</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晨鸣国际有限公司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洛杉矶</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洛杉矶</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纸品贸易</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寿光晨鸣宏欣包装有限公司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寿光晨鸣工业物流有限公司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寿光晨鸣佳泰物业管理有限公司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寿光晨鸣进出口贸易有限公司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进出口贸易</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寿光晨鸣造纸机械有限公司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机械制造</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晨鸣纸业日本株式会社</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Times New Roman" w:hAnsi="Times New Roman" w:cs="Times New Roman" w:eastAsia="Times New Roman" w:hint="default"/>
                <w:sz w:val="18"/>
                <w:szCs w:val="18"/>
              </w:rPr>
              <w:t>.</w:t>
            </w:r>
            <w:r>
              <w:rPr>
                <w:rFonts w:ascii="宋体" w:hAnsi="宋体" w:cs="宋体" w:eastAsia="宋体" w:hint="default"/>
                <w:sz w:val="18"/>
                <w:szCs w:val="18"/>
              </w:rPr>
              <w:t>东京</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Times New Roman" w:hAnsi="Times New Roman" w:cs="Times New Roman" w:eastAsia="Times New Roman" w:hint="default"/>
                <w:sz w:val="18"/>
                <w:szCs w:val="18"/>
              </w:rPr>
              <w:t>.</w:t>
            </w:r>
            <w:r>
              <w:rPr>
                <w:rFonts w:ascii="宋体" w:hAnsi="宋体" w:cs="宋体" w:eastAsia="宋体" w:hint="default"/>
                <w:sz w:val="18"/>
                <w:szCs w:val="18"/>
              </w:rPr>
              <w:t>东京</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纸品贸易</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GmbH</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德国</w:t>
            </w:r>
            <w:r>
              <w:rPr>
                <w:rFonts w:ascii="Times New Roman" w:hAnsi="Times New Roman" w:cs="Times New Roman" w:eastAsia="Times New Roman" w:hint="default"/>
                <w:sz w:val="18"/>
                <w:szCs w:val="18"/>
              </w:rPr>
              <w:t>.</w:t>
            </w:r>
            <w:r>
              <w:rPr>
                <w:rFonts w:ascii="宋体" w:hAnsi="宋体" w:cs="宋体" w:eastAsia="宋体" w:hint="default"/>
                <w:sz w:val="18"/>
                <w:szCs w:val="18"/>
              </w:rPr>
              <w:t>汉堡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德国</w:t>
            </w:r>
            <w:r>
              <w:rPr>
                <w:rFonts w:ascii="Times New Roman" w:hAnsi="Times New Roman" w:cs="Times New Roman" w:eastAsia="Times New Roman" w:hint="default"/>
                <w:sz w:val="18"/>
                <w:szCs w:val="18"/>
              </w:rPr>
              <w:t>.</w:t>
            </w:r>
            <w:r>
              <w:rPr>
                <w:rFonts w:ascii="宋体" w:hAnsi="宋体" w:cs="宋体" w:eastAsia="宋体" w:hint="default"/>
                <w:sz w:val="18"/>
                <w:szCs w:val="18"/>
              </w:rPr>
              <w:t>汉堡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纸品贸易</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寿光鸿翔印刷包装有限责任公司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印刷包装</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山东晨鸣纸业集团（富裕）销售有限公司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富裕</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富裕</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纸品销售</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山东晨鸣集团财务有限公司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80.00%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晨鸣林业有限公司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青岛晨鸣国际物流有限公司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30.00%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湛江晨鸣林业发展有限公司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阳江晨鸣林业发展有限公司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阳江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阳江</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广东慧锐投资有限公司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湛江美伦浆纸有限公司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制浆</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湛江晨鸣新型墙体材料有限公司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墙体</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武汉晨鸣乾能热电有限责任公司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热电</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吉林市晨鸣机械制造有限公司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机械制造</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吉林晨鸣新型墙体材料有限公司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墙体</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寿光市晨鸣水泥有限公司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水泥</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3787"/>
        <w:gridCol w:w="1152"/>
        <w:gridCol w:w="1152"/>
        <w:gridCol w:w="1098"/>
        <w:gridCol w:w="808"/>
        <w:gridCol w:w="806"/>
        <w:gridCol w:w="890"/>
      </w:tblGrid>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山东晨鸣板材有限责任公司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板材</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山东晨鸣地板有限责任公司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地板</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南昌晨鸣林业发展有限公司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寿光虹宜包装装饰有限公司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寿光市新源煤炭有限公司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煤炭</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寿光市润生废纸回收有限责任公司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废旧购销</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寿光维远物流有限公司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无锡松岭纸业有限公司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山东晨鸣投资有限公司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80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2"/>
        <w:jc w:val="left"/>
        <w:rPr>
          <w:b w:val="0"/>
          <w:bCs w:val="0"/>
        </w:rPr>
      </w:pPr>
      <w:r>
        <w:rPr/>
        <w:t>（</w:t>
      </w:r>
      <w:r>
        <w:rPr>
          <w:rFonts w:ascii="Times New Roman" w:hAnsi="Times New Roman" w:cs="Times New Roman" w:eastAsia="Times New Roman" w:hint="default"/>
        </w:rPr>
        <w:t>2</w:t>
      </w:r>
      <w:r>
        <w:rPr/>
        <w:t>）非全资子公司情况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623"/>
        <w:gridCol w:w="1787"/>
        <w:gridCol w:w="1788"/>
        <w:gridCol w:w="1786"/>
        <w:gridCol w:w="1786"/>
      </w:tblGrid>
      <w:tr>
        <w:trPr>
          <w:trHeight w:val="763" w:hRule="exact"/>
        </w:trPr>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5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617" w:right="78"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437" w:right="77"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797" w:right="77"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402"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49.07%</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-50,599,927.97</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16" w:space="0" w:color="D3D3D3"/>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18"/>
                <w:szCs w:val="18"/>
              </w:rPr>
            </w:pPr>
            <w:r>
              <w:rPr>
                <w:rFonts w:ascii="Times New Roman"/>
                <w:spacing w:val="-1"/>
                <w:sz w:val="18"/>
              </w:rPr>
              <w:t>191,995,152.94</w:t>
            </w:r>
          </w:p>
        </w:tc>
      </w:tr>
      <w:tr>
        <w:trPr>
          <w:trHeight w:val="402"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寿光晨鸣美术纸有限公司</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-896,508.68</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31,967,919.71</w:t>
            </w:r>
          </w:p>
        </w:tc>
      </w:tr>
      <w:tr>
        <w:trPr>
          <w:trHeight w:val="402"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山东御景大酒店有限公司</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-5,793,661.49</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-22,992,868.18</w:t>
            </w:r>
          </w:p>
        </w:tc>
      </w:tr>
      <w:tr>
        <w:trPr>
          <w:trHeight w:val="402"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海拉尔晨鸣有限责任公司</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-259,683.79</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15,046,456.72</w:t>
            </w:r>
          </w:p>
        </w:tc>
      </w:tr>
      <w:tr>
        <w:trPr>
          <w:trHeight w:val="402"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c>
          <w:tcPr>
            <w:tcW w:w="1788"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96,000,000.00</w:t>
            </w:r>
          </w:p>
        </w:tc>
      </w:tr>
      <w:tr>
        <w:trPr>
          <w:trHeight w:val="402"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广东慧锐投资有限公司</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-5,840,468.87</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118,708,270.66</w:t>
            </w:r>
          </w:p>
        </w:tc>
      </w:tr>
      <w:tr>
        <w:trPr>
          <w:trHeight w:val="403"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7"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430,724,931.85</w:t>
            </w:r>
          </w:p>
        </w:tc>
      </w:tr>
    </w:tbl>
    <w:p>
      <w:pPr>
        <w:spacing w:line="240" w:lineRule="auto" w:before="2"/>
        <w:rPr>
          <w:rFonts w:ascii="宋体" w:hAnsi="宋体" w:cs="宋体" w:eastAsia="宋体" w:hint="default"/>
          <w:sz w:val="8"/>
          <w:szCs w:val="8"/>
        </w:rPr>
      </w:pPr>
    </w:p>
    <w:p>
      <w:pPr>
        <w:pStyle w:val="BodyText"/>
        <w:spacing w:line="240" w:lineRule="auto" w:before="44"/>
        <w:ind w:left="514" w:right="92"/>
        <w:jc w:val="left"/>
      </w:pPr>
      <w:r>
        <w:rPr/>
        <w:t>注：披露子公司少数股东的持股比例与表决权比例相同。</w:t>
      </w:r>
    </w:p>
    <w:p>
      <w:pPr>
        <w:spacing w:line="240" w:lineRule="auto" w:before="12"/>
        <w:rPr>
          <w:rFonts w:ascii="宋体" w:hAnsi="宋体" w:cs="宋体" w:eastAsia="宋体" w:hint="default"/>
          <w:sz w:val="25"/>
          <w:szCs w:val="25"/>
        </w:rPr>
      </w:pPr>
    </w:p>
    <w:p>
      <w:pPr>
        <w:pStyle w:val="Heading4"/>
        <w:spacing w:line="240" w:lineRule="auto"/>
        <w:ind w:right="92"/>
        <w:jc w:val="left"/>
        <w:rPr>
          <w:b w:val="0"/>
          <w:bCs w:val="0"/>
        </w:rPr>
      </w:pPr>
      <w:r>
        <w:rPr/>
        <w:t>（</w:t>
      </w:r>
      <w:r>
        <w:rPr>
          <w:rFonts w:ascii="Times New Roman" w:hAnsi="Times New Roman" w:cs="Times New Roman" w:eastAsia="Times New Roman" w:hint="default"/>
        </w:rPr>
        <w:t>3</w:t>
      </w:r>
      <w:r>
        <w:rPr/>
        <w:t>）非全资子公司的主要财务信息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3" w:right="90"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4" w:right="90"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武汉晨 鸣汉阳 纸业股 份有限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1,559,63</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7,606.19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1,419,00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6,574.94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2,978,64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4,181.13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2,621,12</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6,071.09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8,505,84</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9.24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2,629,63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1,920.33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1,270,71</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8,543.79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1,633,53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5,289.29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2,904,25</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3,833.08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2,450,42</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3,070.10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2,450,42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3,070.10</w:t>
            </w:r>
          </w:p>
        </w:tc>
      </w:tr>
      <w:tr>
        <w:trPr>
          <w:trHeight w:val="40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寿光晨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294,635,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819,868,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1,114,50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986,632,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986,632,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237,388,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821,629,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1,059,01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5" w:right="0"/>
              <w:jc w:val="left"/>
              <w:rPr>
                <w:rFonts w:ascii="Times New Roman" w:hAnsi="Times New Roman" w:cs="Times New Roman" w:eastAsia="Times New Roman" w:hint="default"/>
                <w:sz w:val="18"/>
                <w:szCs w:val="18"/>
              </w:rPr>
            </w:pPr>
            <w:r>
              <w:rPr>
                <w:rFonts w:ascii="Times New Roman"/>
                <w:sz w:val="18"/>
              </w:rPr>
              <w:t>927,559,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927,559,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0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鸣美术 纸有限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745.00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366.27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Times New Roman"/>
                <w:sz w:val="18"/>
              </w:rPr>
              <w:t>4,111.27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432.45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432.45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6" w:right="0"/>
              <w:jc w:val="left"/>
              <w:rPr>
                <w:rFonts w:ascii="Times New Roman" w:hAnsi="Times New Roman" w:cs="Times New Roman" w:eastAsia="Times New Roman" w:hint="default"/>
                <w:sz w:val="18"/>
                <w:szCs w:val="18"/>
              </w:rPr>
            </w:pPr>
            <w:r>
              <w:rPr>
                <w:rFonts w:ascii="Times New Roman"/>
                <w:sz w:val="18"/>
              </w:rPr>
              <w:t>254.32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360.49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 w:right="0"/>
              <w:jc w:val="left"/>
              <w:rPr>
                <w:rFonts w:ascii="Times New Roman" w:hAnsi="Times New Roman" w:cs="Times New Roman" w:eastAsia="Times New Roman" w:hint="default"/>
                <w:sz w:val="18"/>
                <w:szCs w:val="18"/>
              </w:rPr>
            </w:pPr>
            <w:r>
              <w:rPr>
                <w:rFonts w:ascii="Times New Roman"/>
                <w:sz w:val="18"/>
              </w:rPr>
              <w:t>7,614.81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0" w:right="0"/>
              <w:jc w:val="left"/>
              <w:rPr>
                <w:rFonts w:ascii="Times New Roman" w:hAnsi="Times New Roman" w:cs="Times New Roman" w:eastAsia="Times New Roman" w:hint="default"/>
                <w:sz w:val="18"/>
                <w:szCs w:val="18"/>
              </w:rPr>
            </w:pPr>
            <w:r>
              <w:rPr>
                <w:rFonts w:ascii="Times New Roman"/>
                <w:sz w:val="18"/>
              </w:rPr>
              <w:t>901.28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901.28</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山东御 景大酒 店有限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11,107,1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46.29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229,688,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471.01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240,795,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617.30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317,438,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511.24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317,438,</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511.24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15,057,1</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77.42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307,303,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848.40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322,361,</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025.82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379,691,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714.77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379,691,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714.77</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海拉尔 晨鸣有 限责任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22,878,6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08.35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41,823,4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64,702,0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4,516,19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8.05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4,516,19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23,551,3</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21.58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42,030,7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65,582,0</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46.33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4,357,48</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4.30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4,357,48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4.30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海城海 鸣矿业 有限责 任公司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7,833,98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486,500,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236.27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494,334,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225.63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254,334,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225.63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254,334,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225.63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3,712,19</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5.83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463,233,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594.98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466,945,</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790.81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226,945,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790.81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226,945,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790.81</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广东慧 锐投资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1,170,29</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2,476.52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626,555.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1,170,91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9,031.91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10,657,2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55.05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918,000,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928,657,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255.05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1,110,29</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2,767.15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357,488.</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1,110,65</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0,255.26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56,469,1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54.18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856,469,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154.18</w:t>
            </w:r>
          </w:p>
        </w:tc>
      </w:tr>
    </w:tbl>
    <w:p>
      <w:pPr>
        <w:pStyle w:val="BodyText"/>
        <w:spacing w:line="240" w:lineRule="auto" w:before="51"/>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8"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武汉晨鸣汉 阳纸业股份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928,484,990.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-104,818,502.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-104,818,502.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-166,091,569.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904,567,725.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-52,395,813.8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-52,395,813.8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-100,556,038.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寿光晨鸣美 术纸有限公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454,978,226.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-3,586,034.71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-3,586,034.71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86,244,090.8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554,245,297.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-28,077,533.0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-28,077,533.0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-171,640,020.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山东御景大 酒店有限公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34,406,006.9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-19,312,204.9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-19,312,204.9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-80,881,267.2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46,348,904.3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-19,332,223.8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-19,332,223.8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4,549,622.42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海拉尔晨鸣 有限责任公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-1,038,734.15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-1,038,734.15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2,441.87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-3,792,575.76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-22,042,694.2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-22,042,694.2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-342,620.83</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海城海鸣矿 业有限责任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6,848,946.00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124,981,491.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广东慧锐投 资有限公司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-11,919,324.2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-11,919,324.2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-117,757,282.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-3,103,222.78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-3,103,222.78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-93,319,986.5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47"/>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47" w:firstLine="360"/>
        <w:jc w:val="left"/>
      </w:pPr>
      <w:r>
        <w:rPr/>
        <w:t>公司之子公司山东晨鸣热电股份有限公司由于实际生产经营需要，回购发行在外的</w:t>
      </w:r>
      <w:r>
        <w:rPr>
          <w:rFonts w:ascii="Times New Roman" w:hAnsi="Times New Roman" w:cs="Times New Roman" w:eastAsia="Times New Roman" w:hint="default"/>
        </w:rPr>
        <w:t>13.29%</w:t>
      </w:r>
      <w:r>
        <w:rPr/>
        <w:t>的少数股东股份。回购完成 后，股本由</w:t>
      </w:r>
      <w:r>
        <w:rPr>
          <w:rFonts w:ascii="Times New Roman" w:hAnsi="Times New Roman" w:cs="Times New Roman" w:eastAsia="Times New Roman" w:hint="default"/>
        </w:rPr>
        <w:t>99,533,061</w:t>
      </w:r>
      <w:r>
        <w:rPr/>
        <w:t>股变为</w:t>
      </w:r>
      <w:r>
        <w:rPr>
          <w:rFonts w:ascii="Times New Roman" w:hAnsi="Times New Roman" w:cs="Times New Roman" w:eastAsia="Times New Roman" w:hint="default"/>
        </w:rPr>
        <w:t>86,325,061</w:t>
      </w:r>
      <w:r>
        <w:rPr/>
        <w:t>股，其也由公司控制</w:t>
      </w:r>
      <w:r>
        <w:rPr>
          <w:rFonts w:ascii="Times New Roman" w:hAnsi="Times New Roman" w:cs="Times New Roman" w:eastAsia="Times New Roman" w:hint="default"/>
        </w:rPr>
        <w:t>86.71%</w:t>
      </w:r>
      <w:r>
        <w:rPr/>
        <w:t>的控股子公司变为控制</w:t>
      </w:r>
      <w:r>
        <w:rPr>
          <w:rFonts w:ascii="Times New Roman" w:hAnsi="Times New Roman" w:cs="Times New Roman" w:eastAsia="Times New Roman" w:hint="default"/>
        </w:rPr>
        <w:t>100%</w:t>
      </w:r>
      <w:r>
        <w:rPr/>
        <w:t>的全资子公司。</w:t>
      </w:r>
    </w:p>
    <w:p>
      <w:pPr>
        <w:spacing w:line="240" w:lineRule="auto" w:before="1"/>
        <w:rPr>
          <w:rFonts w:ascii="宋体" w:hAnsi="宋体" w:cs="宋体" w:eastAsia="宋体" w:hint="default"/>
          <w:sz w:val="22"/>
          <w:szCs w:val="22"/>
        </w:rPr>
      </w:pPr>
    </w:p>
    <w:p>
      <w:pPr>
        <w:pStyle w:val="Heading4"/>
        <w:spacing w:line="240" w:lineRule="auto"/>
        <w:ind w:right="147"/>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5555"/>
        <w:gridCol w:w="4103"/>
      </w:tblGrid>
      <w:tr>
        <w:trPr>
          <w:trHeight w:val="347" w:hRule="exact"/>
        </w:trPr>
        <w:tc>
          <w:tcPr>
            <w:tcW w:w="555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63" w:right="0"/>
              <w:jc w:val="left"/>
              <w:rPr>
                <w:rFonts w:ascii="宋体" w:hAnsi="宋体" w:cs="宋体" w:eastAsia="宋体" w:hint="default"/>
                <w:sz w:val="18"/>
                <w:szCs w:val="18"/>
              </w:rPr>
            </w:pPr>
            <w:r>
              <w:rPr>
                <w:rFonts w:ascii="宋体" w:hAnsi="宋体" w:cs="宋体" w:eastAsia="宋体" w:hint="default"/>
                <w:sz w:val="18"/>
                <w:szCs w:val="18"/>
              </w:rPr>
              <w:t>山东晨鸣热电股份有限公司</w:t>
            </w:r>
          </w:p>
        </w:tc>
      </w:tr>
      <w:tr>
        <w:trPr>
          <w:trHeight w:val="348" w:hRule="exact"/>
        </w:trPr>
        <w:tc>
          <w:tcPr>
            <w:tcW w:w="5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23,413,560.00</w:t>
            </w:r>
          </w:p>
        </w:tc>
      </w:tr>
      <w:tr>
        <w:trPr>
          <w:trHeight w:val="347" w:hRule="exact"/>
        </w:trPr>
        <w:tc>
          <w:tcPr>
            <w:tcW w:w="5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减：按取得的股权比例计算的子公司净资产份额</w:t>
            </w:r>
          </w:p>
        </w:tc>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34,455,926.94</w:t>
            </w:r>
          </w:p>
        </w:tc>
      </w:tr>
      <w:tr>
        <w:trPr>
          <w:trHeight w:val="347" w:hRule="exact"/>
        </w:trPr>
        <w:tc>
          <w:tcPr>
            <w:tcW w:w="5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-11,042,366.94</w:t>
            </w:r>
          </w:p>
        </w:tc>
      </w:tr>
      <w:tr>
        <w:trPr>
          <w:trHeight w:val="348" w:hRule="exact"/>
        </w:trPr>
        <w:tc>
          <w:tcPr>
            <w:tcW w:w="5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11,042,366.94</w:t>
            </w:r>
          </w:p>
        </w:tc>
      </w:tr>
    </w:tbl>
    <w:p>
      <w:pPr>
        <w:spacing w:line="240" w:lineRule="auto" w:before="2"/>
        <w:rPr>
          <w:rFonts w:ascii="宋体" w:hAnsi="宋体" w:cs="宋体" w:eastAsia="宋体" w:hint="default"/>
          <w:b/>
          <w:bCs/>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880"/>
        <w:gridCol w:w="1440"/>
        <w:gridCol w:w="1260"/>
        <w:gridCol w:w="1260"/>
        <w:gridCol w:w="720"/>
        <w:gridCol w:w="646"/>
        <w:gridCol w:w="1366"/>
      </w:tblGrid>
      <w:tr>
        <w:trPr>
          <w:trHeight w:val="402" w:hRule="exact"/>
        </w:trPr>
        <w:tc>
          <w:tcPr>
            <w:tcW w:w="28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444"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6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35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6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2880" w:type="dxa"/>
            <w:vMerge/>
            <w:tcBorders>
              <w:left w:val="single" w:sz="4" w:space="0" w:color="000000"/>
              <w:bottom w:val="single" w:sz="4" w:space="0" w:color="000000"/>
              <w:right w:val="single" w:sz="4" w:space="0" w:color="000000"/>
            </w:tcBorders>
            <w:shd w:val="clear" w:color="auto" w:fill="D3D3D3"/>
          </w:tcPr>
          <w:p>
            <w:pPr/>
          </w:p>
        </w:tc>
        <w:tc>
          <w:tcPr>
            <w:tcW w:w="1440"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36"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寿光晨鸣汇森新型建材有限公司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50.00%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30.00%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江西江报传媒彩印有限公司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21.16%</w:t>
            </w:r>
          </w:p>
        </w:tc>
        <w:tc>
          <w:tcPr>
            <w:tcW w:w="64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40.00%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江西晨鸣港务有限公司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货物装卸、仓储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40.00%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4829"/>
        <w:gridCol w:w="4829"/>
      </w:tblGrid>
      <w:tr>
        <w:trPr>
          <w:trHeight w:val="427" w:hRule="exact"/>
        </w:trPr>
        <w:tc>
          <w:tcPr>
            <w:tcW w:w="4829"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570"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本年发生额</w:t>
            </w:r>
          </w:p>
        </w:tc>
      </w:tr>
      <w:tr>
        <w:trPr>
          <w:trHeight w:val="347" w:hRule="exact"/>
        </w:trPr>
        <w:tc>
          <w:tcPr>
            <w:tcW w:w="4829" w:type="dxa"/>
            <w:vMerge/>
            <w:tcBorders>
              <w:left w:val="single" w:sz="6" w:space="0" w:color="000000"/>
              <w:bottom w:val="single" w:sz="6" w:space="0" w:color="000000"/>
              <w:right w:val="single" w:sz="6" w:space="0" w:color="000000"/>
            </w:tcBorders>
            <w:shd w:val="clear" w:color="auto" w:fill="CCCCCC"/>
          </w:tcPr>
          <w:p>
            <w:pP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46" w:right="0"/>
              <w:jc w:val="left"/>
              <w:rPr>
                <w:rFonts w:ascii="宋体" w:hAnsi="宋体" w:cs="宋体" w:eastAsia="宋体" w:hint="default"/>
                <w:sz w:val="18"/>
                <w:szCs w:val="18"/>
              </w:rPr>
            </w:pPr>
            <w:r>
              <w:rPr>
                <w:rFonts w:ascii="宋体" w:hAnsi="宋体" w:cs="宋体" w:eastAsia="宋体" w:hint="default"/>
                <w:sz w:val="18"/>
                <w:szCs w:val="18"/>
              </w:rPr>
              <w:t>寿光晨鸣汇森新型建材有限公司</w:t>
            </w:r>
          </w:p>
        </w:tc>
      </w:tr>
      <w:tr>
        <w:trPr>
          <w:trHeight w:val="34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4,493,895.83</w:t>
            </w:r>
          </w:p>
        </w:tc>
      </w:tr>
      <w:tr>
        <w:trPr>
          <w:trHeight w:val="34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2,450,044.70</w:t>
            </w:r>
          </w:p>
        </w:tc>
      </w:tr>
      <w:tr>
        <w:trPr>
          <w:trHeight w:val="348"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1,613,798.14</w:t>
            </w:r>
          </w:p>
        </w:tc>
      </w:tr>
      <w:tr>
        <w:trPr>
          <w:trHeight w:val="34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6,107,693.97</w:t>
            </w:r>
          </w:p>
        </w:tc>
      </w:tr>
      <w:tr>
        <w:trPr>
          <w:trHeight w:val="34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108,118.00</w:t>
            </w:r>
          </w:p>
        </w:tc>
      </w:tr>
      <w:tr>
        <w:trPr>
          <w:trHeight w:val="34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482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108,118.00</w:t>
            </w:r>
          </w:p>
        </w:tc>
      </w:tr>
      <w:tr>
        <w:trPr>
          <w:trHeight w:val="34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5,999,575.97</w:t>
            </w:r>
          </w:p>
        </w:tc>
      </w:tr>
      <w:tr>
        <w:trPr>
          <w:trHeight w:val="348"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2,999,787.99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37" w:type="dxa"/>
        <w:tblLayout w:type="fixed"/>
        <w:tblCellMar>
          <w:top w:w="0" w:type="dxa"/>
          <w:left w:w="0" w:type="dxa"/>
          <w:bottom w:w="0" w:type="dxa"/>
          <w:right w:w="0" w:type="dxa"/>
        </w:tblCellMar>
        <w:tblLook w:val="01E0"/>
      </w:tblPr>
      <w:tblGrid>
        <w:gridCol w:w="4829"/>
        <w:gridCol w:w="4829"/>
      </w:tblGrid>
      <w:tr>
        <w:trPr>
          <w:trHeight w:val="34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2,999,787.99</w:t>
            </w:r>
          </w:p>
        </w:tc>
      </w:tr>
      <w:tr>
        <w:trPr>
          <w:trHeight w:val="34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482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-7,037.86</w:t>
            </w:r>
          </w:p>
        </w:tc>
      </w:tr>
      <w:tr>
        <w:trPr>
          <w:trHeight w:val="34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2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-424.03</w:t>
            </w:r>
          </w:p>
        </w:tc>
      </w:tr>
      <w:tr>
        <w:trPr>
          <w:trHeight w:val="34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82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-424.03</w:t>
            </w:r>
          </w:p>
        </w:tc>
      </w:tr>
    </w:tbl>
    <w:p>
      <w:pPr>
        <w:spacing w:line="240" w:lineRule="auto" w:before="2"/>
        <w:rPr>
          <w:rFonts w:ascii="宋体" w:hAnsi="宋体" w:cs="宋体" w:eastAsia="宋体" w:hint="default"/>
          <w:b/>
          <w:bCs/>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2"/>
        <w:rPr>
          <w:rFonts w:ascii="宋体" w:hAnsi="宋体" w:cs="宋体" w:eastAsia="宋体" w:hint="default"/>
          <w:b/>
          <w:bCs/>
          <w:sz w:val="27"/>
          <w:szCs w:val="27"/>
        </w:rPr>
      </w:pPr>
    </w:p>
    <w:tbl>
      <w:tblPr>
        <w:tblW w:w="0" w:type="auto"/>
        <w:jc w:val="left"/>
        <w:tblInd w:w="137" w:type="dxa"/>
        <w:tblLayout w:type="fixed"/>
        <w:tblCellMar>
          <w:top w:w="0" w:type="dxa"/>
          <w:left w:w="0" w:type="dxa"/>
          <w:bottom w:w="0" w:type="dxa"/>
          <w:right w:w="0" w:type="dxa"/>
        </w:tblCellMar>
        <w:tblLook w:val="01E0"/>
      </w:tblPr>
      <w:tblGrid>
        <w:gridCol w:w="1457"/>
        <w:gridCol w:w="1349"/>
        <w:gridCol w:w="1492"/>
        <w:gridCol w:w="1256"/>
        <w:gridCol w:w="1516"/>
        <w:gridCol w:w="1432"/>
        <w:gridCol w:w="1157"/>
      </w:tblGrid>
      <w:tr>
        <w:trPr>
          <w:trHeight w:val="408" w:hRule="exact"/>
        </w:trPr>
        <w:tc>
          <w:tcPr>
            <w:tcW w:w="1457"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97" w:type="dxa"/>
            <w:gridSpan w:val="3"/>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9"/>
              <w:ind w:left="1205"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本年发生额</w:t>
            </w:r>
          </w:p>
        </w:tc>
        <w:tc>
          <w:tcPr>
            <w:tcW w:w="4104" w:type="dxa"/>
            <w:gridSpan w:val="3"/>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9"/>
              <w:ind w:left="1208"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上年发生额</w:t>
            </w:r>
          </w:p>
        </w:tc>
      </w:tr>
      <w:tr>
        <w:trPr>
          <w:trHeight w:val="659" w:hRule="exact"/>
        </w:trPr>
        <w:tc>
          <w:tcPr>
            <w:tcW w:w="1457" w:type="dxa"/>
            <w:vMerge/>
            <w:tcBorders>
              <w:left w:val="single" w:sz="6" w:space="0" w:color="000000"/>
              <w:bottom w:val="single" w:sz="6" w:space="0" w:color="000000"/>
              <w:right w:val="single" w:sz="6" w:space="0" w:color="000000"/>
            </w:tcBorders>
            <w:shd w:val="clear" w:color="auto" w:fill="CCCCCC"/>
          </w:tcPr>
          <w:p>
            <w:pPr/>
          </w:p>
        </w:tc>
        <w:tc>
          <w:tcPr>
            <w:tcW w:w="1349" w:type="dxa"/>
            <w:tcBorders>
              <w:top w:val="single" w:sz="6" w:space="0" w:color="000000"/>
              <w:left w:val="single" w:sz="7" w:space="0" w:color="000000"/>
              <w:bottom w:val="single" w:sz="6" w:space="0" w:color="000000"/>
              <w:right w:val="single" w:sz="6" w:space="0" w:color="000000"/>
            </w:tcBorders>
          </w:tcPr>
          <w:p>
            <w:pPr>
              <w:pStyle w:val="TableParagraph"/>
              <w:spacing w:line="316" w:lineRule="auto" w:before="21"/>
              <w:ind w:left="214" w:right="36" w:hanging="180"/>
              <w:jc w:val="left"/>
              <w:rPr>
                <w:rFonts w:ascii="宋体" w:hAnsi="宋体" w:cs="宋体" w:eastAsia="宋体" w:hint="default"/>
                <w:sz w:val="18"/>
                <w:szCs w:val="18"/>
              </w:rPr>
            </w:pPr>
            <w:r>
              <w:rPr>
                <w:rFonts w:ascii="宋体" w:hAnsi="宋体" w:cs="宋体" w:eastAsia="宋体" w:hint="default"/>
                <w:sz w:val="18"/>
                <w:szCs w:val="18"/>
              </w:rPr>
              <w:t>江西江报传媒彩 印有限公司</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78" w:right="17" w:hanging="360"/>
              <w:jc w:val="left"/>
              <w:rPr>
                <w:rFonts w:ascii="宋体" w:hAnsi="宋体" w:cs="宋体" w:eastAsia="宋体" w:hint="default"/>
                <w:sz w:val="18"/>
                <w:szCs w:val="18"/>
              </w:rPr>
            </w:pPr>
            <w:r>
              <w:rPr>
                <w:rFonts w:ascii="宋体" w:hAnsi="宋体" w:cs="宋体" w:eastAsia="宋体" w:hint="default"/>
                <w:sz w:val="18"/>
                <w:szCs w:val="18"/>
              </w:rPr>
              <w:t>武汉晨鸣万兴置业 有限公司</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61" w:right="78" w:hanging="180"/>
              <w:jc w:val="left"/>
              <w:rPr>
                <w:rFonts w:ascii="宋体" w:hAnsi="宋体" w:cs="宋体" w:eastAsia="宋体" w:hint="default"/>
                <w:sz w:val="18"/>
                <w:szCs w:val="18"/>
              </w:rPr>
            </w:pPr>
            <w:r>
              <w:rPr>
                <w:rFonts w:ascii="宋体" w:hAnsi="宋体" w:cs="宋体" w:eastAsia="宋体" w:hint="default"/>
                <w:sz w:val="18"/>
                <w:szCs w:val="18"/>
              </w:rPr>
              <w:t>江西晨鸣港务 有限公司</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89" w:right="29" w:hanging="360"/>
              <w:jc w:val="left"/>
              <w:rPr>
                <w:rFonts w:ascii="宋体" w:hAnsi="宋体" w:cs="宋体" w:eastAsia="宋体" w:hint="default"/>
                <w:sz w:val="18"/>
                <w:szCs w:val="18"/>
              </w:rPr>
            </w:pPr>
            <w:r>
              <w:rPr>
                <w:rFonts w:ascii="宋体" w:hAnsi="宋体" w:cs="宋体" w:eastAsia="宋体" w:hint="default"/>
                <w:sz w:val="18"/>
                <w:szCs w:val="18"/>
              </w:rPr>
              <w:t>江西江报传媒彩印 有限公司</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59" w:right="76" w:hanging="180"/>
              <w:jc w:val="left"/>
              <w:rPr>
                <w:rFonts w:ascii="宋体" w:hAnsi="宋体" w:cs="宋体" w:eastAsia="宋体" w:hint="default"/>
                <w:sz w:val="18"/>
                <w:szCs w:val="18"/>
              </w:rPr>
            </w:pPr>
            <w:r>
              <w:rPr>
                <w:rFonts w:ascii="宋体" w:hAnsi="宋体" w:cs="宋体" w:eastAsia="宋体" w:hint="default"/>
                <w:sz w:val="18"/>
                <w:szCs w:val="18"/>
              </w:rPr>
              <w:t>武汉晨鸣万兴置 业有限公司</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11" w:right="29" w:hanging="180"/>
              <w:jc w:val="left"/>
              <w:rPr>
                <w:rFonts w:ascii="宋体" w:hAnsi="宋体" w:cs="宋体" w:eastAsia="宋体" w:hint="default"/>
                <w:sz w:val="18"/>
                <w:szCs w:val="18"/>
              </w:rPr>
            </w:pPr>
            <w:r>
              <w:rPr>
                <w:rFonts w:ascii="宋体" w:hAnsi="宋体" w:cs="宋体" w:eastAsia="宋体" w:hint="default"/>
                <w:sz w:val="18"/>
                <w:szCs w:val="18"/>
              </w:rPr>
              <w:t>江西晨鸣港务 有限公司</w:t>
            </w:r>
          </w:p>
        </w:tc>
      </w:tr>
      <w:tr>
        <w:trPr>
          <w:trHeight w:val="347"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34,431,533.02</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1,157,970,131.09</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8,473,980.97</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30,531,518.26</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640,946,294.35</w:t>
            </w:r>
          </w:p>
        </w:tc>
        <w:tc>
          <w:tcPr>
            <w:tcW w:w="115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17,470,498.79</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11,277,947.09</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47,257,698.90</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19,611,515.02</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501,203.72</w:t>
            </w:r>
          </w:p>
        </w:tc>
        <w:tc>
          <w:tcPr>
            <w:tcW w:w="115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51,902,031.81</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1,169,248,078.18</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55,731,679.87</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50,143,033.28</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641,447,498.07</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29,866,178.33</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593,911,543.51</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41,194,230.66</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27,717,783.98</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572,768,481.62</w:t>
            </w:r>
          </w:p>
        </w:tc>
        <w:tc>
          <w:tcPr>
            <w:tcW w:w="115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49"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518,810,800.00</w:t>
            </w:r>
          </w:p>
        </w:tc>
        <w:tc>
          <w:tcPr>
            <w:tcW w:w="125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1432"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29,866,178.33</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1,112,722,343.51</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41,194,230.66</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27,717,783.98</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572,768,481.62</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22,035,853.48</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56,525,734.67</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14,537,449.21</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22,425,249.30</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68,679,016.45</w:t>
            </w:r>
          </w:p>
        </w:tc>
        <w:tc>
          <w:tcPr>
            <w:tcW w:w="1157"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9"/>
              <w:jc w:val="left"/>
              <w:rPr>
                <w:rFonts w:ascii="宋体" w:hAnsi="宋体" w:cs="宋体" w:eastAsia="宋体" w:hint="default"/>
                <w:sz w:val="18"/>
                <w:szCs w:val="18"/>
              </w:rPr>
            </w:pPr>
            <w:r>
              <w:rPr>
                <w:rFonts w:ascii="宋体" w:hAnsi="宋体" w:cs="宋体" w:eastAsia="宋体" w:hint="default"/>
                <w:sz w:val="18"/>
                <w:szCs w:val="18"/>
              </w:rPr>
              <w:t>按持股比例计算 的净资产份额</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4,662,786.59</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22,610,293.87</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5,814,979.68</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4,745,182.75</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27,471,606.58</w:t>
            </w:r>
          </w:p>
        </w:tc>
        <w:tc>
          <w:tcPr>
            <w:tcW w:w="1157"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9"/>
              <w:jc w:val="left"/>
              <w:rPr>
                <w:rFonts w:ascii="宋体" w:hAnsi="宋体" w:cs="宋体" w:eastAsia="宋体" w:hint="default"/>
                <w:sz w:val="18"/>
                <w:szCs w:val="18"/>
              </w:rPr>
            </w:pPr>
            <w:r>
              <w:rPr>
                <w:rFonts w:ascii="宋体" w:hAnsi="宋体" w:cs="宋体" w:eastAsia="宋体" w:hint="default"/>
                <w:sz w:val="18"/>
                <w:szCs w:val="18"/>
              </w:rPr>
              <w:t>对联营企业权益 投资的账面价值</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4,662,786.59</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22,610,293.87</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5,814,979.68</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4,745,182.75</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27,471,606.58</w:t>
            </w:r>
          </w:p>
        </w:tc>
        <w:tc>
          <w:tcPr>
            <w:tcW w:w="115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22,626,028.80</w:t>
            </w:r>
          </w:p>
        </w:tc>
        <w:tc>
          <w:tcPr>
            <w:tcW w:w="149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2,786,061.08</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18,689,549.86</w:t>
            </w:r>
          </w:p>
        </w:tc>
        <w:tc>
          <w:tcPr>
            <w:tcW w:w="1432"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-389,395.82</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-12,153,281.78</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-532,550.79</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-224,444.11</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-7,999,022.63</w:t>
            </w:r>
          </w:p>
        </w:tc>
        <w:tc>
          <w:tcPr>
            <w:tcW w:w="115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49"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1432"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-389,395.82</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-12,153,281.78</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-532,550.79</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-224,444.11</w:t>
            </w:r>
          </w:p>
        </w:tc>
        <w:tc>
          <w:tcPr>
            <w:tcW w:w="1432"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4</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60"/>
        <w:gridCol w:w="2202"/>
        <w:gridCol w:w="2202"/>
        <w:gridCol w:w="2202"/>
      </w:tblGrid>
      <w:tr>
        <w:trPr>
          <w:trHeight w:val="714"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4"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15" w:right="104" w:hanging="810"/>
              <w:jc w:val="left"/>
              <w:rPr>
                <w:rFonts w:ascii="宋体" w:hAnsi="宋体" w:cs="宋体" w:eastAsia="宋体" w:hint="default"/>
                <w:sz w:val="18"/>
                <w:szCs w:val="18"/>
              </w:rPr>
            </w:pPr>
            <w:r>
              <w:rPr>
                <w:rFonts w:ascii="宋体" w:hAnsi="宋体" w:cs="宋体" w:eastAsia="宋体" w:hint="default"/>
                <w:sz w:val="18"/>
                <w:szCs w:val="18"/>
              </w:rPr>
              <w:t>累积未确认前期累计认的 损失</w:t>
            </w:r>
          </w:p>
        </w:tc>
        <w:tc>
          <w:tcPr>
            <w:tcW w:w="2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65" w:right="23" w:hanging="443"/>
              <w:jc w:val="left"/>
              <w:rPr>
                <w:rFonts w:ascii="宋体" w:hAnsi="宋体" w:cs="宋体" w:eastAsia="宋体" w:hint="default"/>
                <w:sz w:val="18"/>
                <w:szCs w:val="18"/>
              </w:rPr>
            </w:pPr>
            <w:r>
              <w:rPr>
                <w:rFonts w:ascii="宋体" w:hAnsi="宋体" w:cs="宋体" w:eastAsia="宋体" w:hint="default"/>
                <w:spacing w:val="-2"/>
                <w:sz w:val="18"/>
                <w:szCs w:val="18"/>
              </w:rPr>
              <w:t>本期未确认的损失（或本期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分享的净利润）</w:t>
            </w:r>
          </w:p>
        </w:tc>
        <w:tc>
          <w:tcPr>
            <w:tcW w:w="2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2" w:right="0"/>
              <w:jc w:val="left"/>
              <w:rPr>
                <w:rFonts w:ascii="Times New Roman" w:hAnsi="Times New Roman" w:cs="Times New Roman" w:eastAsia="Times New Roman" w:hint="default"/>
                <w:sz w:val="18"/>
                <w:szCs w:val="18"/>
              </w:rPr>
            </w:pPr>
            <w:r>
              <w:rPr>
                <w:rFonts w:ascii="Times New Roman"/>
                <w:sz w:val="18"/>
              </w:rPr>
              <w:t>7,308,869.16</w:t>
            </w:r>
          </w:p>
        </w:tc>
        <w:tc>
          <w:tcPr>
            <w:tcW w:w="2202" w:type="dxa"/>
            <w:tcBorders>
              <w:top w:val="single" w:sz="4" w:space="0" w:color="000000"/>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2" w:right="0"/>
              <w:jc w:val="left"/>
              <w:rPr>
                <w:rFonts w:ascii="Times New Roman" w:hAnsi="Times New Roman" w:cs="Times New Roman" w:eastAsia="Times New Roman" w:hint="default"/>
                <w:sz w:val="18"/>
                <w:szCs w:val="18"/>
              </w:rPr>
            </w:pPr>
            <w:r>
              <w:rPr>
                <w:rFonts w:ascii="Times New Roman"/>
                <w:sz w:val="18"/>
              </w:rPr>
              <w:t>7,308,869.16</w:t>
            </w:r>
          </w:p>
        </w:tc>
      </w:tr>
    </w:tbl>
    <w:p>
      <w:pPr>
        <w:spacing w:line="240" w:lineRule="auto" w:before="2"/>
        <w:rPr>
          <w:rFonts w:ascii="宋体" w:hAnsi="宋体" w:cs="宋体" w:eastAsia="宋体" w:hint="default"/>
          <w:sz w:val="18"/>
          <w:szCs w:val="18"/>
        </w:rPr>
      </w:pPr>
    </w:p>
    <w:p>
      <w:pPr>
        <w:pStyle w:val="Heading2"/>
        <w:spacing w:line="240" w:lineRule="auto" w:before="26"/>
        <w:ind w:right="147"/>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48" w:firstLine="360"/>
        <w:jc w:val="both"/>
      </w:pPr>
      <w:r>
        <w:rPr>
          <w:spacing w:val="-2"/>
        </w:rPr>
        <w:t>本公司的主要金融工具包括股权投资、债权投资、借款、应收款项、应付款项、可转换债券等，各项金融工具的详细情</w:t>
      </w:r>
      <w:r>
        <w:rPr/>
        <w:t> </w:t>
      </w:r>
      <w:r>
        <w:rPr>
          <w:spacing w:val="-2"/>
        </w:rPr>
        <w:t>况说明见本附注六相关项目。与这些金融工具有关的风险，以及本公司为降低这些风险所采取的风险管理政策如下所述。本</w:t>
      </w:r>
      <w:r>
        <w:rPr>
          <w:spacing w:val="-66"/>
        </w:rPr>
        <w:t> </w:t>
      </w:r>
      <w:r>
        <w:rPr>
          <w:spacing w:val="-66"/>
        </w:rPr>
      </w:r>
      <w:r>
        <w:rPr/>
        <w:t>公司管理层对这些风险敞口进行管理和监控以确保将上述风险控制在限定的范围之内。</w:t>
      </w:r>
    </w:p>
    <w:p>
      <w:pPr>
        <w:spacing w:after="0" w:line="316" w:lineRule="auto"/>
        <w:jc w:val="both"/>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16" w:lineRule="auto" w:before="44"/>
        <w:ind w:right="150" w:firstLine="359"/>
        <w:jc w:val="both"/>
      </w:pPr>
      <w:r>
        <w:rPr>
          <w:spacing w:val="-2"/>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pStyle w:val="BodyText"/>
        <w:spacing w:line="300" w:lineRule="auto" w:before="18"/>
        <w:ind w:left="514" w:right="147" w:firstLine="1"/>
        <w:jc w:val="left"/>
      </w:pPr>
      <w:r>
        <w:rPr>
          <w:rFonts w:ascii="Times New Roman" w:hAnsi="Times New Roman" w:cs="Times New Roman" w:eastAsia="Times New Roman" w:hint="default"/>
          <w:b/>
          <w:bCs/>
        </w:rPr>
        <w:t>1</w:t>
      </w:r>
      <w:r>
        <w:rPr>
          <w:rFonts w:ascii="宋体" w:hAnsi="宋体" w:cs="宋体" w:eastAsia="宋体" w:hint="default"/>
          <w:b/>
          <w:bCs/>
        </w:rPr>
        <w:t>、风险管理目标和政策</w:t>
      </w:r>
      <w:r>
        <w:rPr>
          <w:rFonts w:ascii="宋体" w:hAnsi="宋体" w:cs="宋体" w:eastAsia="宋体" w:hint="default"/>
          <w:b/>
          <w:bCs/>
          <w:w w:val="99"/>
        </w:rPr>
        <w:t> </w:t>
      </w:r>
      <w:r>
        <w:rPr/>
        <w:t>本公司从事风险管理的目标是在风险和收益之间取得适当的平衡，将风险对本公司经营业绩的负面影响降低到最低水</w:t>
      </w:r>
    </w:p>
    <w:p>
      <w:pPr>
        <w:pStyle w:val="BodyText"/>
        <w:spacing w:line="316" w:lineRule="auto" w:before="31"/>
        <w:ind w:right="150"/>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BodyText"/>
        <w:spacing w:line="240" w:lineRule="auto" w:before="18"/>
        <w:ind w:left="514" w:right="147"/>
        <w:jc w:val="left"/>
      </w:pPr>
      <w:r>
        <w:rPr/>
        <w:t>（</w:t>
      </w:r>
      <w:r>
        <w:rPr>
          <w:rFonts w:ascii="Times New Roman" w:hAnsi="Times New Roman" w:cs="Times New Roman" w:eastAsia="Times New Roman" w:hint="default"/>
        </w:rPr>
        <w:t>1</w:t>
      </w:r>
      <w:r>
        <w:rPr/>
        <w:t>）市场风险</w:t>
      </w:r>
    </w:p>
    <w:p>
      <w:pPr>
        <w:pStyle w:val="BodyText"/>
        <w:spacing w:line="316" w:lineRule="auto" w:before="62"/>
        <w:ind w:left="514" w:right="147"/>
        <w:jc w:val="left"/>
      </w:pPr>
      <w:r>
        <w:rPr/>
        <w:t>①外汇风险 </w:t>
      </w:r>
      <w:r>
        <w:rPr>
          <w:spacing w:val="-2"/>
        </w:rPr>
        <w:t>外汇风险指因汇率变动产生损失的风险。本公司承受外汇风险主要与美元、欧元、港币、日元有关，除本公司的几个下</w:t>
      </w:r>
    </w:p>
    <w:p>
      <w:pPr>
        <w:pStyle w:val="BodyText"/>
        <w:spacing w:line="309" w:lineRule="auto" w:before="18"/>
        <w:ind w:left="153" w:right="148"/>
        <w:jc w:val="both"/>
      </w:pPr>
      <w:r>
        <w:rPr/>
        <w:t>属子公司以美元、欧元、港币、日元进行采购和销售外，本公司的其他主要业务活动以人民币计价结算。于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35"/>
        </w:rPr>
        <w:t> </w:t>
      </w:r>
      <w:r>
        <w:rPr>
          <w:spacing w:val="-2"/>
        </w:rPr>
        <w:t>日，除下表所述资产或负债为美元、欧元、港币、日元余额外，本公司的资产及负债均为人民币余额。该等外币余额的资产</w:t>
      </w:r>
      <w:r>
        <w:rPr>
          <w:spacing w:val="-68"/>
        </w:rPr>
        <w:t> </w:t>
      </w:r>
      <w:r>
        <w:rPr>
          <w:spacing w:val="-68"/>
        </w:rPr>
      </w:r>
      <w:r>
        <w:rPr/>
        <w:t>和负债产生的外汇风险可能对本公司的经营业绩产生影响。</w:t>
      </w:r>
    </w:p>
    <w:p>
      <w:pPr>
        <w:pStyle w:val="BodyText"/>
        <w:spacing w:line="240" w:lineRule="auto" w:before="24"/>
        <w:ind w:left="513" w:right="147"/>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日，本集团持有的外币金融资产和外币金融负债折算成人民币的金额列示如下：</w:t>
      </w:r>
    </w:p>
    <w:p>
      <w:pPr>
        <w:pStyle w:val="BodyText"/>
        <w:spacing w:line="240" w:lineRule="auto" w:before="62"/>
        <w:ind w:left="0" w:right="150"/>
        <w:jc w:val="righ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p>
    <w:p>
      <w:pPr>
        <w:spacing w:line="240" w:lineRule="auto" w:before="1"/>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2168"/>
        <w:gridCol w:w="1498"/>
        <w:gridCol w:w="1499"/>
        <w:gridCol w:w="1496"/>
        <w:gridCol w:w="1500"/>
        <w:gridCol w:w="1496"/>
      </w:tblGrid>
      <w:tr>
        <w:trPr>
          <w:trHeight w:val="331" w:hRule="exact"/>
        </w:trPr>
        <w:tc>
          <w:tcPr>
            <w:tcW w:w="216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9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49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欧元</w:t>
            </w:r>
          </w:p>
        </w:tc>
        <w:tc>
          <w:tcPr>
            <w:tcW w:w="149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港币</w:t>
            </w:r>
          </w:p>
        </w:tc>
        <w:tc>
          <w:tcPr>
            <w:tcW w:w="150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149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澳元</w:t>
            </w:r>
          </w:p>
        </w:tc>
      </w:tr>
      <w:tr>
        <w:trPr>
          <w:trHeight w:val="363" w:hRule="exact"/>
        </w:trPr>
        <w:tc>
          <w:tcPr>
            <w:tcW w:w="2168"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外币金融资产</w:t>
            </w:r>
            <w:r>
              <w:rPr>
                <w:rFonts w:ascii="Times New Roman" w:hAnsi="Times New Roman" w:cs="Times New Roman" w:eastAsia="Times New Roman" w:hint="default"/>
                <w:sz w:val="18"/>
                <w:szCs w:val="18"/>
              </w:rPr>
              <w:t>-</w:t>
            </w:r>
          </w:p>
        </w:tc>
        <w:tc>
          <w:tcPr>
            <w:tcW w:w="1498" w:type="dxa"/>
            <w:tcBorders>
              <w:top w:val="single" w:sz="9" w:space="0" w:color="000000"/>
              <w:left w:val="single" w:sz="6" w:space="0" w:color="000000"/>
              <w:bottom w:val="single" w:sz="6" w:space="0" w:color="000000"/>
              <w:right w:val="single" w:sz="6" w:space="0" w:color="000000"/>
            </w:tcBorders>
          </w:tcPr>
          <w:p>
            <w:pPr/>
          </w:p>
        </w:tc>
        <w:tc>
          <w:tcPr>
            <w:tcW w:w="1499" w:type="dxa"/>
            <w:tcBorders>
              <w:top w:val="single" w:sz="9" w:space="0" w:color="000000"/>
              <w:left w:val="single" w:sz="6" w:space="0" w:color="000000"/>
              <w:bottom w:val="single" w:sz="6" w:space="0" w:color="000000"/>
              <w:right w:val="single" w:sz="6" w:space="0" w:color="000000"/>
            </w:tcBorders>
          </w:tcPr>
          <w:p>
            <w:pPr/>
          </w:p>
        </w:tc>
        <w:tc>
          <w:tcPr>
            <w:tcW w:w="1496" w:type="dxa"/>
            <w:tcBorders>
              <w:top w:val="single" w:sz="9" w:space="0" w:color="000000"/>
              <w:left w:val="single" w:sz="6" w:space="0" w:color="000000"/>
              <w:bottom w:val="single" w:sz="6" w:space="0" w:color="000000"/>
              <w:right w:val="single" w:sz="6" w:space="0" w:color="000000"/>
            </w:tcBorders>
          </w:tcPr>
          <w:p>
            <w:pPr/>
          </w:p>
        </w:tc>
        <w:tc>
          <w:tcPr>
            <w:tcW w:w="1500" w:type="dxa"/>
            <w:tcBorders>
              <w:top w:val="single" w:sz="9" w:space="0" w:color="000000"/>
              <w:left w:val="single" w:sz="6" w:space="0" w:color="000000"/>
              <w:bottom w:val="single" w:sz="6" w:space="0" w:color="000000"/>
              <w:right w:val="single" w:sz="6" w:space="0" w:color="000000"/>
            </w:tcBorders>
          </w:tcPr>
          <w:p>
            <w:pPr/>
          </w:p>
        </w:tc>
        <w:tc>
          <w:tcPr>
            <w:tcW w:w="1496" w:type="dxa"/>
            <w:tcBorders>
              <w:top w:val="single" w:sz="9" w:space="0" w:color="000000"/>
              <w:left w:val="single" w:sz="6" w:space="0" w:color="000000"/>
              <w:bottom w:val="single" w:sz="6" w:space="0" w:color="000000"/>
              <w:right w:val="single" w:sz="6" w:space="0" w:color="000000"/>
            </w:tcBorders>
          </w:tcPr>
          <w:p>
            <w:pPr/>
          </w:p>
        </w:tc>
      </w:tr>
      <w:tr>
        <w:trPr>
          <w:trHeight w:val="347"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353,564,562.71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5,407,399.49</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226,069.29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8,057,716.22</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0.05</w:t>
            </w:r>
          </w:p>
        </w:tc>
      </w:tr>
      <w:tr>
        <w:trPr>
          <w:trHeight w:val="348"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265,981,124.37</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6,793,469.88</w:t>
            </w:r>
          </w:p>
        </w:tc>
        <w:tc>
          <w:tcPr>
            <w:tcW w:w="14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24,326,124.96</w:t>
            </w:r>
          </w:p>
        </w:tc>
        <w:tc>
          <w:tcPr>
            <w:tcW w:w="149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619,545,687.08</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12,200,869.37</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226,069.29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32,383,841.18</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0.05</w:t>
            </w:r>
          </w:p>
        </w:tc>
      </w:tr>
      <w:tr>
        <w:trPr>
          <w:trHeight w:val="347"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外币金融负债</w:t>
            </w:r>
            <w:r>
              <w:rPr>
                <w:rFonts w:ascii="Times New Roman" w:hAnsi="Times New Roman" w:cs="Times New Roman" w:eastAsia="Times New Roman" w:hint="default"/>
                <w:sz w:val="18"/>
                <w:szCs w:val="18"/>
              </w:rPr>
              <w:t>-</w:t>
            </w:r>
          </w:p>
        </w:tc>
        <w:tc>
          <w:tcPr>
            <w:tcW w:w="149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1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7,356,869,468.98</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291,802,384.43</w:t>
            </w:r>
          </w:p>
        </w:tc>
        <w:tc>
          <w:tcPr>
            <w:tcW w:w="14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83,221,020.00</w:t>
            </w:r>
          </w:p>
        </w:tc>
        <w:tc>
          <w:tcPr>
            <w:tcW w:w="149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1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1,105,383,772.24</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534,515,076.88</w:t>
            </w:r>
          </w:p>
        </w:tc>
        <w:tc>
          <w:tcPr>
            <w:tcW w:w="14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575,186,000.00</w:t>
            </w:r>
          </w:p>
        </w:tc>
        <w:tc>
          <w:tcPr>
            <w:tcW w:w="1499"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1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2,689,830,809.25</w:t>
            </w:r>
          </w:p>
        </w:tc>
        <w:tc>
          <w:tcPr>
            <w:tcW w:w="1499"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16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11,727,270,050.47</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826,317,461.31</w:t>
            </w:r>
          </w:p>
        </w:tc>
        <w:tc>
          <w:tcPr>
            <w:tcW w:w="149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83,221,020.00</w:t>
            </w:r>
          </w:p>
        </w:tc>
        <w:tc>
          <w:tcPr>
            <w:tcW w:w="149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0"/>
        <w:ind w:left="0" w:right="151"/>
        <w:jc w:val="right"/>
      </w:pPr>
      <w:r>
        <w:rPr/>
        <w:t>续</w:t>
      </w:r>
      <w:r>
        <w:rPr>
          <w:spacing w:val="-19"/>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064"/>
        <w:gridCol w:w="1519"/>
        <w:gridCol w:w="1518"/>
        <w:gridCol w:w="1518"/>
        <w:gridCol w:w="1518"/>
        <w:gridCol w:w="1520"/>
      </w:tblGrid>
      <w:tr>
        <w:trPr>
          <w:trHeight w:val="347" w:hRule="exact"/>
        </w:trPr>
        <w:tc>
          <w:tcPr>
            <w:tcW w:w="20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5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欧元</w:t>
            </w:r>
          </w:p>
        </w:tc>
        <w:tc>
          <w:tcPr>
            <w:tcW w:w="15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英镑</w:t>
            </w:r>
          </w:p>
        </w:tc>
        <w:tc>
          <w:tcPr>
            <w:tcW w:w="15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5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日元</w:t>
            </w:r>
          </w:p>
        </w:tc>
      </w:tr>
      <w:tr>
        <w:trPr>
          <w:trHeight w:val="348"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外币金融资产</w:t>
            </w:r>
            <w:r>
              <w:rPr>
                <w:rFonts w:ascii="Times New Roman" w:hAnsi="Times New Roman" w:cs="Times New Roman" w:eastAsia="Times New Roman" w:hint="default"/>
                <w:sz w:val="18"/>
                <w:szCs w:val="18"/>
              </w:rPr>
              <w:t>-</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104,615,939.01</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13,247,929.28</w:t>
            </w:r>
          </w:p>
        </w:tc>
        <w:tc>
          <w:tcPr>
            <w:tcW w:w="1518"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12,772.47</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28,802,232.92</w:t>
            </w:r>
          </w:p>
        </w:tc>
      </w:tr>
      <w:tr>
        <w:trPr>
          <w:trHeight w:val="347"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404,705,934.51</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5,070,461.60</w:t>
            </w:r>
          </w:p>
        </w:tc>
        <w:tc>
          <w:tcPr>
            <w:tcW w:w="1518"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19,154,253.28</w:t>
            </w:r>
          </w:p>
        </w:tc>
      </w:tr>
      <w:tr>
        <w:trPr>
          <w:trHeight w:val="347"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509,321,873.52</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18,318,390.88</w:t>
            </w:r>
          </w:p>
        </w:tc>
        <w:tc>
          <w:tcPr>
            <w:tcW w:w="1518"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12,772.47</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47,956,486.20</w:t>
            </w:r>
          </w:p>
        </w:tc>
      </w:tr>
      <w:tr>
        <w:trPr>
          <w:trHeight w:val="347"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外币金融负债</w:t>
            </w:r>
            <w:r>
              <w:rPr>
                <w:rFonts w:ascii="Times New Roman" w:hAnsi="Times New Roman" w:cs="Times New Roman" w:eastAsia="Times New Roman" w:hint="default"/>
                <w:sz w:val="18"/>
                <w:szCs w:val="18"/>
              </w:rPr>
              <w:t>-</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3,841,095,426.52</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248,718,551.35</w:t>
            </w:r>
          </w:p>
        </w:tc>
        <w:tc>
          <w:tcPr>
            <w:tcW w:w="1518"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111,382,488.00</w:t>
            </w:r>
          </w:p>
        </w:tc>
      </w:tr>
      <w:tr>
        <w:trPr>
          <w:trHeight w:val="348"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752,809,223.34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11,635,722.04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192,313.35</w:t>
            </w:r>
          </w:p>
        </w:tc>
        <w:tc>
          <w:tcPr>
            <w:tcW w:w="151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14,826,333.50</w:t>
            </w:r>
          </w:p>
        </w:tc>
      </w:tr>
      <w:tr>
        <w:trPr>
          <w:trHeight w:val="347"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573,108,600.00</w:t>
            </w:r>
          </w:p>
        </w:tc>
        <w:tc>
          <w:tcPr>
            <w:tcW w:w="1518"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2,085,139,800.00</w:t>
            </w:r>
          </w:p>
        </w:tc>
        <w:tc>
          <w:tcPr>
            <w:tcW w:w="1518"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0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7,252,153,049.86</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260,354,273.39</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192,313.35</w:t>
            </w:r>
          </w:p>
        </w:tc>
        <w:tc>
          <w:tcPr>
            <w:tcW w:w="1518"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126,208,821.50</w:t>
            </w:r>
          </w:p>
        </w:tc>
      </w:tr>
    </w:tbl>
    <w:p>
      <w:pPr>
        <w:pStyle w:val="BodyText"/>
        <w:spacing w:line="316" w:lineRule="auto" w:before="10"/>
        <w:ind w:left="514" w:right="147" w:hanging="90"/>
        <w:jc w:val="left"/>
      </w:pPr>
      <w:r>
        <w:rPr/>
        <w:t>本公司密切关注汇率变动对本公司外汇风险的影响。本公司目前并未采取任何措施规避外汇风险。 外汇风险敏感性分析： </w:t>
      </w:r>
      <w:r>
        <w:rPr>
          <w:spacing w:val="-2"/>
        </w:rPr>
        <w:t>外汇风险敏感性分析假设：所有境外经营净投资套期及现金流量套期均高度有效。在上述假设的基础上，在其他变量不</w:t>
      </w:r>
    </w:p>
    <w:p>
      <w:pPr>
        <w:spacing w:after="0" w:line="316"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153" w:right="182"/>
        <w:jc w:val="left"/>
      </w:pPr>
      <w:r>
        <w:rPr/>
        <w:t>变的情况下，汇率可能发生的合理变动对当期损益和股东权益的税前影响如下：</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2413"/>
        <w:gridCol w:w="2414"/>
        <w:gridCol w:w="2416"/>
        <w:gridCol w:w="2414"/>
      </w:tblGrid>
      <w:tr>
        <w:trPr>
          <w:trHeight w:val="347" w:hRule="exact"/>
        </w:trPr>
        <w:tc>
          <w:tcPr>
            <w:tcW w:w="2413"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4"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汇率变动</w:t>
            </w:r>
          </w:p>
        </w:tc>
        <w:tc>
          <w:tcPr>
            <w:tcW w:w="24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本年度</w:t>
            </w:r>
          </w:p>
        </w:tc>
        <w:tc>
          <w:tcPr>
            <w:tcW w:w="241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347" w:hRule="exact"/>
        </w:trPr>
        <w:tc>
          <w:tcPr>
            <w:tcW w:w="2413" w:type="dxa"/>
            <w:vMerge/>
            <w:tcBorders>
              <w:left w:val="single" w:sz="6" w:space="0" w:color="000000"/>
              <w:bottom w:val="single" w:sz="6" w:space="0" w:color="000000"/>
              <w:right w:val="single" w:sz="6" w:space="0" w:color="000000"/>
            </w:tcBorders>
            <w:shd w:val="clear" w:color="auto" w:fill="CCCCCC"/>
          </w:tcPr>
          <w:p>
            <w:pPr/>
          </w:p>
        </w:tc>
        <w:tc>
          <w:tcPr>
            <w:tcW w:w="2414" w:type="dxa"/>
            <w:vMerge/>
            <w:tcBorders>
              <w:left w:val="single" w:sz="6" w:space="0" w:color="000000"/>
              <w:bottom w:val="single" w:sz="6" w:space="0" w:color="000000"/>
              <w:right w:val="single" w:sz="6" w:space="0" w:color="000000"/>
            </w:tcBorders>
            <w:shd w:val="clear" w:color="auto" w:fill="CCCCCC"/>
          </w:tcPr>
          <w:p>
            <w:pPr/>
          </w:p>
        </w:tc>
        <w:tc>
          <w:tcPr>
            <w:tcW w:w="24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59"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241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60" w:right="0"/>
              <w:jc w:val="left"/>
              <w:rPr>
                <w:rFonts w:ascii="宋体" w:hAnsi="宋体" w:cs="宋体" w:eastAsia="宋体" w:hint="default"/>
                <w:sz w:val="18"/>
                <w:szCs w:val="18"/>
              </w:rPr>
            </w:pPr>
            <w:r>
              <w:rPr>
                <w:rFonts w:ascii="宋体" w:hAnsi="宋体" w:cs="宋体" w:eastAsia="宋体" w:hint="default"/>
                <w:sz w:val="18"/>
                <w:szCs w:val="18"/>
              </w:rPr>
              <w:t>对利润的影响</w:t>
            </w:r>
          </w:p>
        </w:tc>
      </w:tr>
      <w:tr>
        <w:trPr>
          <w:trHeight w:val="348" w:hRule="exact"/>
        </w:trPr>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-555,386,218.17</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-337,141,558.82</w:t>
            </w:r>
          </w:p>
        </w:tc>
      </w:tr>
      <w:tr>
        <w:trPr>
          <w:trHeight w:val="347" w:hRule="exact"/>
        </w:trPr>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555,386,218.17</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337,141,558.82</w:t>
            </w:r>
          </w:p>
        </w:tc>
      </w:tr>
      <w:tr>
        <w:trPr>
          <w:trHeight w:val="347" w:hRule="exact"/>
        </w:trPr>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-40,705,829.60</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-12,101,794.13</w:t>
            </w:r>
          </w:p>
        </w:tc>
      </w:tr>
      <w:tr>
        <w:trPr>
          <w:trHeight w:val="347" w:hRule="exact"/>
        </w:trPr>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40,705,829.60</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12,101,794.13</w:t>
            </w:r>
          </w:p>
        </w:tc>
      </w:tr>
      <w:tr>
        <w:trPr>
          <w:trHeight w:val="347" w:hRule="exact"/>
        </w:trPr>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2416" w:type="dxa"/>
            <w:tcBorders>
              <w:top w:val="single" w:sz="6" w:space="0" w:color="000000"/>
              <w:left w:val="single" w:sz="6" w:space="0" w:color="000000"/>
              <w:bottom w:val="single" w:sz="6" w:space="0" w:color="000000"/>
              <w:right w:val="single" w:sz="6" w:space="0" w:color="000000"/>
            </w:tcBorders>
          </w:tcPr>
          <w:p>
            <w:pP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-9,615.67</w:t>
            </w:r>
          </w:p>
        </w:tc>
      </w:tr>
      <w:tr>
        <w:trPr>
          <w:trHeight w:val="347" w:hRule="exact"/>
        </w:trPr>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2416" w:type="dxa"/>
            <w:tcBorders>
              <w:top w:val="single" w:sz="6" w:space="0" w:color="000000"/>
              <w:left w:val="single" w:sz="6" w:space="0" w:color="000000"/>
              <w:bottom w:val="single" w:sz="6" w:space="0" w:color="000000"/>
              <w:right w:val="single" w:sz="6" w:space="0" w:color="000000"/>
            </w:tcBorders>
          </w:tcPr>
          <w:p>
            <w:pP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9,615.67</w:t>
            </w:r>
          </w:p>
        </w:tc>
      </w:tr>
      <w:tr>
        <w:trPr>
          <w:trHeight w:val="348" w:hRule="exact"/>
        </w:trPr>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w w:val="95"/>
                <w:sz w:val="18"/>
              </w:rPr>
              <w:t>11,303.46</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638.62</w:t>
            </w:r>
          </w:p>
        </w:tc>
      </w:tr>
      <w:tr>
        <w:trPr>
          <w:trHeight w:val="347" w:hRule="exact"/>
        </w:trPr>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-11,303.46</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-638.62</w:t>
            </w:r>
          </w:p>
        </w:tc>
      </w:tr>
      <w:tr>
        <w:trPr>
          <w:trHeight w:val="347" w:hRule="exact"/>
        </w:trPr>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-2,541,858.94</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-3,912,616.77</w:t>
            </w:r>
          </w:p>
        </w:tc>
      </w:tr>
      <w:tr>
        <w:trPr>
          <w:trHeight w:val="348" w:hRule="exact"/>
        </w:trPr>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2,541,858.94</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3,912,616.77</w:t>
            </w:r>
          </w:p>
        </w:tc>
      </w:tr>
    </w:tbl>
    <w:p>
      <w:pPr>
        <w:pStyle w:val="BodyText"/>
        <w:spacing w:line="316" w:lineRule="auto" w:before="10"/>
        <w:ind w:left="514" w:right="182" w:hanging="9"/>
        <w:jc w:val="left"/>
      </w:pPr>
      <w:r>
        <w:rPr/>
        <w:t>②利率风险 </w:t>
      </w:r>
      <w:r>
        <w:rPr>
          <w:spacing w:val="-2"/>
        </w:rPr>
        <w:t>本集团的利率风险产生于银行借款及应付债券等带息债务。浮动利率的金融负债使本集团面临现金流量利率风险，固定</w:t>
      </w:r>
    </w:p>
    <w:p>
      <w:pPr>
        <w:pStyle w:val="BodyText"/>
        <w:spacing w:line="316" w:lineRule="auto" w:before="18"/>
        <w:ind w:right="90"/>
        <w:jc w:val="left"/>
      </w:pPr>
      <w:r>
        <w:rPr/>
        <w:t>利率的金融负债使本集团面临公允价值利率风险。本集团根据当时的市场环境来决定固定利率及浮动利率合同的相对比例。 </w:t>
      </w:r>
      <w:r>
        <w:rPr>
          <w:spacing w:val="2"/>
        </w:rPr>
        <w:t>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日，本集团的带息债务主要为以人民币和美元计价的浮动利率借款合同，金额合计为</w:t>
      </w:r>
      <w:r>
        <w:rPr>
          <w:rFonts w:ascii="Times New Roman" w:hAnsi="Times New Roman" w:cs="Times New Roman" w:eastAsia="Times New Roman" w:hint="default"/>
          <w:spacing w:val="2"/>
        </w:rPr>
        <w:t>25,948,555,738.11</w:t>
      </w:r>
      <w:r>
        <w:rPr>
          <w:spacing w:val="2"/>
        </w:rPr>
        <w:t>元</w:t>
      </w:r>
    </w:p>
    <w:p>
      <w:pPr>
        <w:pStyle w:val="BodyText"/>
        <w:spacing w:line="300" w:lineRule="auto"/>
        <w:ind w:left="514" w:right="91" w:hanging="360"/>
        <w:jc w:val="left"/>
      </w:pPr>
      <w:r>
        <w:rPr>
          <w:spacing w:val="-3"/>
        </w:rPr>
        <w:t>（</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14,331,866,545.75</w:t>
      </w:r>
      <w:r>
        <w:rPr>
          <w:spacing w:val="-3"/>
        </w:rPr>
        <w:t>元），及以人民币计价的固定利率合同，金额为</w:t>
      </w:r>
      <w:r>
        <w:rPr>
          <w:rFonts w:ascii="Times New Roman" w:hAnsi="Times New Roman" w:cs="Times New Roman" w:eastAsia="Times New Roman" w:hint="default"/>
          <w:spacing w:val="-3"/>
        </w:rPr>
        <w:t>84</w:t>
      </w:r>
      <w:r>
        <w:rPr>
          <w:spacing w:val="-3"/>
        </w:rPr>
        <w:t>亿元（</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127</w:t>
      </w:r>
      <w:r>
        <w:rPr>
          <w:spacing w:val="-3"/>
        </w:rPr>
        <w:t>亿元）。</w:t>
      </w:r>
      <w:r>
        <w:rPr>
          <w:spacing w:val="-47"/>
        </w:rPr>
        <w:t> </w:t>
      </w:r>
      <w:r>
        <w:rPr>
          <w:spacing w:val="-47"/>
        </w:rPr>
      </w:r>
      <w:r>
        <w:rPr>
          <w:spacing w:val="-2"/>
        </w:rPr>
        <w:t>本集团总部财务部门持续监控集团利率水平。利率上升会增加新增带息债务的成本以及本集团尚未付清的以浮动利率计</w:t>
      </w:r>
    </w:p>
    <w:p>
      <w:pPr>
        <w:pStyle w:val="BodyText"/>
        <w:spacing w:line="316" w:lineRule="auto" w:before="31"/>
        <w:ind w:right="182"/>
        <w:jc w:val="left"/>
      </w:pPr>
      <w:r>
        <w:rPr>
          <w:spacing w:val="-2"/>
        </w:rPr>
        <w:t>息的带息债务的利息支出，并对本集团的财务业绩产生重大的不利影响，管理层会依据最新的市场状况及时做出调整。本公</w:t>
      </w:r>
      <w:r>
        <w:rPr>
          <w:spacing w:val="-66"/>
        </w:rPr>
        <w:t> </w:t>
      </w:r>
      <w:r>
        <w:rPr>
          <w:spacing w:val="-66"/>
        </w:rPr>
      </w:r>
      <w:r>
        <w:rPr/>
        <w:t>司董事认为未来利率变化不会对本集团的经营业绩造成重大不利影响。</w:t>
      </w:r>
    </w:p>
    <w:p>
      <w:pPr>
        <w:pStyle w:val="BodyText"/>
        <w:spacing w:line="300" w:lineRule="auto" w:before="17"/>
        <w:ind w:right="189" w:firstLine="360"/>
        <w:jc w:val="both"/>
      </w:pPr>
      <w:r>
        <w:rPr>
          <w:spacing w:val="-1"/>
        </w:rPr>
        <w:t>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日，如果带息债务计算的借款利率上升或下跌</w:t>
      </w:r>
      <w:r>
        <w:rPr>
          <w:rFonts w:ascii="Times New Roman" w:hAnsi="Times New Roman" w:cs="Times New Roman" w:eastAsia="Times New Roman" w:hint="default"/>
          <w:spacing w:val="-1"/>
        </w:rPr>
        <w:t>10%</w:t>
      </w:r>
      <w:r>
        <w:rPr>
          <w:spacing w:val="-1"/>
        </w:rPr>
        <w:t>，而其他因素保持不变，则本年度利润将减少或增加</w:t>
      </w:r>
      <w:r>
        <w:rPr/>
        <w:t> 约人民币</w:t>
      </w:r>
      <w:r>
        <w:rPr>
          <w:rFonts w:ascii="Times New Roman" w:hAnsi="Times New Roman" w:cs="Times New Roman" w:eastAsia="Times New Roman" w:hint="default"/>
        </w:rPr>
        <w:t>70,147,828,58</w:t>
      </w:r>
      <w:r>
        <w:rPr/>
        <w:t>元（</w:t>
      </w:r>
      <w:r>
        <w:rPr>
          <w:rFonts w:ascii="Times New Roman" w:hAnsi="Times New Roman" w:cs="Times New Roman" w:eastAsia="Times New Roman" w:hint="default"/>
        </w:rPr>
        <w:t>2013</w:t>
      </w:r>
      <w:r>
        <w:rPr>
          <w:rFonts w:ascii="Times New Roman" w:hAnsi="Times New Roman" w:cs="Times New Roman" w:eastAsia="Times New Roman" w:hint="default"/>
          <w:spacing w:val="19"/>
        </w:rPr>
        <w:t> </w:t>
      </w:r>
      <w:r>
        <w:rPr/>
        <w:t>年度：人民币</w:t>
      </w:r>
      <w:r>
        <w:rPr>
          <w:rFonts w:ascii="Times New Roman" w:hAnsi="Times New Roman" w:cs="Times New Roman" w:eastAsia="Times New Roman" w:hint="default"/>
        </w:rPr>
        <w:t>69,367,358.72</w:t>
      </w:r>
      <w:r>
        <w:rPr/>
        <w:t>元），主要由于利息支出的增加和减少。</w:t>
      </w:r>
    </w:p>
    <w:p>
      <w:pPr>
        <w:pStyle w:val="BodyText"/>
        <w:spacing w:line="300" w:lineRule="auto" w:before="13"/>
        <w:ind w:left="514" w:right="182"/>
        <w:jc w:val="left"/>
      </w:pPr>
      <w:r>
        <w:rPr/>
        <w:t>（</w:t>
      </w:r>
      <w:r>
        <w:rPr>
          <w:rFonts w:ascii="Times New Roman" w:hAnsi="Times New Roman" w:cs="Times New Roman" w:eastAsia="Times New Roman" w:hint="default"/>
        </w:rPr>
        <w:t>2</w:t>
      </w:r>
      <w:r>
        <w:rPr/>
        <w:t>）信用风险 </w:t>
      </w:r>
      <w:r>
        <w:rPr>
          <w:spacing w:val="-2"/>
        </w:rPr>
        <w:t>本集团对信用风险按组合分类进行管理。信用风险主要产生于银行存款、应收账款、其他应收款和应收票据等。本集团</w:t>
      </w:r>
    </w:p>
    <w:p>
      <w:pPr>
        <w:pStyle w:val="BodyText"/>
        <w:spacing w:line="312" w:lineRule="auto" w:before="31"/>
        <w:ind w:right="91"/>
        <w:jc w:val="left"/>
      </w:pPr>
      <w:r>
        <w:rPr>
          <w:spacing w:val="-4"/>
        </w:rPr>
        <w:t>银行存款主要存放于国有银行和其它大中型上市银行，应收票据全部为银行承兑汇票，本集团认为其不存在重大的信用风险，</w:t>
      </w:r>
      <w:r>
        <w:rPr>
          <w:spacing w:val="-44"/>
        </w:rPr>
        <w:t> </w:t>
      </w:r>
      <w:r>
        <w:rPr>
          <w:spacing w:val="-44"/>
        </w:rPr>
      </w:r>
      <w:r>
        <w:rPr>
          <w:spacing w:val="-2"/>
        </w:rPr>
        <w:t>不会产生因对方单位违约而导致的任何重大损失。销售通过预收和赊销两种方式结合进行结算，赊销客户执行严格的信用批</w:t>
      </w:r>
      <w:r>
        <w:rPr>
          <w:spacing w:val="-64"/>
        </w:rPr>
        <w:t> </w:t>
      </w:r>
      <w:r>
        <w:rPr>
          <w:spacing w:val="-64"/>
        </w:rPr>
      </w:r>
      <w:r>
        <w:rPr/>
        <w:t>准制度，设立专职部门定期审核每个贸易客户信用状况，合理控制每个贸易客户的信用额度及账期</w:t>
      </w:r>
      <w:r>
        <w:rPr>
          <w:rFonts w:ascii="Times New Roman" w:hAnsi="Times New Roman" w:cs="Times New Roman" w:eastAsia="Times New Roman" w:hint="default"/>
        </w:rPr>
        <w:t>;</w:t>
      </w:r>
      <w:r>
        <w:rPr/>
        <w:t>及时追讨过期欠款</w:t>
      </w:r>
      <w:r>
        <w:rPr>
          <w:rFonts w:ascii="Times New Roman" w:hAnsi="Times New Roman" w:cs="Times New Roman" w:eastAsia="Times New Roman" w:hint="default"/>
        </w:rPr>
        <w:t>;</w:t>
      </w:r>
      <w:r>
        <w:rPr/>
        <w:t>期末 逐一审核应收款项可收回金额并据此足额计提坏账准备，因而贸易客户不存在重大的信用风险。</w:t>
      </w:r>
    </w:p>
    <w:p>
      <w:pPr>
        <w:pStyle w:val="BodyText"/>
        <w:spacing w:line="240" w:lineRule="auto" w:before="22"/>
        <w:ind w:left="514" w:right="182"/>
        <w:jc w:val="left"/>
      </w:pPr>
      <w:r>
        <w:rPr/>
        <w:t>本集团管理层不认为会因以上各方的不履约行为而造成任何重大损失。</w:t>
      </w:r>
    </w:p>
    <w:p>
      <w:pPr>
        <w:pStyle w:val="BodyText"/>
        <w:spacing w:line="300" w:lineRule="auto" w:before="76"/>
        <w:ind w:left="514" w:right="182"/>
        <w:jc w:val="left"/>
      </w:pPr>
      <w:r>
        <w:rPr/>
        <w:t>（</w:t>
      </w:r>
      <w:r>
        <w:rPr>
          <w:rFonts w:ascii="Times New Roman" w:hAnsi="Times New Roman" w:cs="Times New Roman" w:eastAsia="Times New Roman" w:hint="default"/>
        </w:rPr>
        <w:t>3</w:t>
      </w:r>
      <w:r>
        <w:rPr/>
        <w:t>）流动性风险 </w:t>
      </w:r>
      <w:r>
        <w:rPr>
          <w:spacing w:val="-2"/>
        </w:rPr>
        <w:t>管理流动风险时，本公司保持管理层认为充分的现金及现金等价物并对其进行监控，以满足本公司经营需要，并降低现</w:t>
      </w:r>
    </w:p>
    <w:p>
      <w:pPr>
        <w:pStyle w:val="BodyText"/>
        <w:spacing w:line="316" w:lineRule="auto" w:before="31"/>
        <w:ind w:left="514" w:right="180" w:hanging="360"/>
        <w:jc w:val="left"/>
      </w:pPr>
      <w:r>
        <w:rPr/>
        <w:t>金流量波动的影响。本公司管理层对银行借款的使用情况进行监控并确保遵守借款协议。 本公司将银行借款作为主要资金来源。</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日，本公司尚未使用的银行借款额度为人民币</w:t>
      </w:r>
      <w:r>
        <w:rPr>
          <w:rFonts w:ascii="Times New Roman" w:hAnsi="Times New Roman" w:cs="Times New Roman" w:eastAsia="Times New Roman" w:hint="default"/>
        </w:rPr>
        <w:t>24,687,355,704.86</w:t>
      </w:r>
      <w:r>
        <w:rPr/>
        <w:t>元</w:t>
      </w:r>
    </w:p>
    <w:p>
      <w:pPr>
        <w:pStyle w:val="BodyText"/>
        <w:spacing w:line="248" w:lineRule="exact"/>
        <w:ind w:right="182"/>
        <w:jc w:val="left"/>
      </w:pP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人民币</w:t>
      </w:r>
      <w:r>
        <w:rPr>
          <w:rFonts w:ascii="Times New Roman" w:hAnsi="Times New Roman" w:cs="Times New Roman" w:eastAsia="Times New Roman" w:hint="default"/>
        </w:rPr>
        <w:t>31,097,145,300.00</w:t>
      </w:r>
      <w:r>
        <w:rPr/>
        <w:t>元）。</w:t>
      </w:r>
    </w:p>
    <w:p>
      <w:pPr>
        <w:pStyle w:val="BodyText"/>
        <w:spacing w:line="316" w:lineRule="auto" w:before="62"/>
        <w:ind w:right="189" w:firstLine="360"/>
        <w:jc w:val="both"/>
      </w:pPr>
      <w:r>
        <w:rPr>
          <w:spacing w:val="-2"/>
        </w:rPr>
        <w:t>本集团内各子公司负责其自身的现金流量预测。总部财务部门在汇总各子公司现金流量预测的基础上，在集团层面持续</w:t>
      </w:r>
      <w:r>
        <w:rPr/>
        <w:t> </w:t>
      </w:r>
      <w:r>
        <w:rPr>
          <w:spacing w:val="-2"/>
        </w:rPr>
        <w:t>监控短期和长期的资金需求，以确保维持充裕的现金储备；同时持续监控是否符合借款协议的规定，从主要金融机构获得提</w:t>
      </w:r>
      <w:r>
        <w:rPr>
          <w:spacing w:val="-66"/>
        </w:rPr>
        <w:t> </w:t>
      </w:r>
      <w:r>
        <w:rPr>
          <w:spacing w:val="-66"/>
        </w:rPr>
      </w:r>
      <w:r>
        <w:rPr/>
        <w:t>供足够备用资金的承诺，以满足短期和长期的资金需求。</w:t>
      </w:r>
    </w:p>
    <w:p>
      <w:pPr>
        <w:pStyle w:val="BodyText"/>
        <w:spacing w:line="240" w:lineRule="auto" w:before="19"/>
        <w:ind w:left="514" w:right="182"/>
        <w:jc w:val="left"/>
        <w:rPr>
          <w:rFonts w:ascii="Times New Roman" w:hAnsi="Times New Roman" w:cs="Times New Roman" w:eastAsia="Times New Roman" w:hint="default"/>
        </w:rPr>
      </w:pPr>
      <w:r>
        <w:rPr/>
        <w:t>于资产负债表日，本集团各项金融资产及金融负债合同现金流量按到期日列示如下</w:t>
      </w:r>
      <w:r>
        <w:rPr>
          <w:rFonts w:ascii="Times New Roman" w:hAnsi="Times New Roman" w:cs="Times New Roman" w:eastAsia="Times New Roman" w:hint="default"/>
        </w:rPr>
        <w:t>:</w:t>
      </w:r>
    </w:p>
    <w:p>
      <w:pPr>
        <w:pStyle w:val="BodyText"/>
        <w:spacing w:line="240" w:lineRule="auto" w:before="64"/>
        <w:ind w:left="6004" w:right="182"/>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252"/>
        <w:gridCol w:w="1541"/>
        <w:gridCol w:w="1441"/>
        <w:gridCol w:w="1441"/>
        <w:gridCol w:w="1441"/>
        <w:gridCol w:w="1541"/>
      </w:tblGrid>
      <w:tr>
        <w:trPr>
          <w:trHeight w:val="330" w:hRule="exact"/>
        </w:trPr>
        <w:tc>
          <w:tcPr>
            <w:tcW w:w="22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4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0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4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53"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44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53" w:right="0"/>
              <w:jc w:val="left"/>
              <w:rPr>
                <w:rFonts w:ascii="宋体" w:hAnsi="宋体" w:cs="宋体" w:eastAsia="宋体" w:hint="default"/>
                <w:sz w:val="18"/>
                <w:szCs w:val="18"/>
              </w:rPr>
            </w:pPr>
            <w:r>
              <w:rPr>
                <w:rFonts w:ascii="宋体" w:hAnsi="宋体" w:cs="宋体" w:eastAsia="宋体" w:hint="default"/>
                <w:sz w:val="18"/>
                <w:szCs w:val="18"/>
              </w:rPr>
              <w:t>二到五年</w:t>
            </w:r>
          </w:p>
        </w:tc>
        <w:tc>
          <w:tcPr>
            <w:tcW w:w="144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52"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54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4" w:hRule="exact"/>
        </w:trPr>
        <w:tc>
          <w:tcPr>
            <w:tcW w:w="225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541" w:type="dxa"/>
            <w:tcBorders>
              <w:top w:val="single" w:sz="10" w:space="0" w:color="000000"/>
              <w:left w:val="single" w:sz="6" w:space="0" w:color="000000"/>
              <w:bottom w:val="single" w:sz="6" w:space="0" w:color="000000"/>
              <w:right w:val="single" w:sz="6" w:space="0" w:color="000000"/>
            </w:tcBorders>
          </w:tcPr>
          <w:p>
            <w:pPr/>
          </w:p>
        </w:tc>
        <w:tc>
          <w:tcPr>
            <w:tcW w:w="1441" w:type="dxa"/>
            <w:tcBorders>
              <w:top w:val="single" w:sz="10" w:space="0" w:color="000000"/>
              <w:left w:val="single" w:sz="6" w:space="0" w:color="000000"/>
              <w:bottom w:val="single" w:sz="6" w:space="0" w:color="000000"/>
              <w:right w:val="single" w:sz="6" w:space="0" w:color="000000"/>
            </w:tcBorders>
          </w:tcPr>
          <w:p>
            <w:pPr/>
          </w:p>
        </w:tc>
        <w:tc>
          <w:tcPr>
            <w:tcW w:w="1441" w:type="dxa"/>
            <w:tcBorders>
              <w:top w:val="single" w:sz="10" w:space="0" w:color="000000"/>
              <w:left w:val="single" w:sz="6" w:space="0" w:color="000000"/>
              <w:bottom w:val="single" w:sz="6" w:space="0" w:color="000000"/>
              <w:right w:val="single" w:sz="6" w:space="0" w:color="000000"/>
            </w:tcBorders>
          </w:tcPr>
          <w:p>
            <w:pPr/>
          </w:p>
        </w:tc>
        <w:tc>
          <w:tcPr>
            <w:tcW w:w="1441" w:type="dxa"/>
            <w:tcBorders>
              <w:top w:val="single" w:sz="10" w:space="0" w:color="000000"/>
              <w:left w:val="single" w:sz="6" w:space="0" w:color="000000"/>
              <w:bottom w:val="single" w:sz="6" w:space="0" w:color="000000"/>
              <w:right w:val="single" w:sz="6" w:space="0" w:color="000000"/>
            </w:tcBorders>
          </w:tcPr>
          <w:p>
            <w:pPr/>
          </w:p>
        </w:tc>
        <w:tc>
          <w:tcPr>
            <w:tcW w:w="1541" w:type="dxa"/>
            <w:tcBorders>
              <w:top w:val="single" w:sz="10"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2252"/>
        <w:gridCol w:w="1541"/>
        <w:gridCol w:w="1441"/>
        <w:gridCol w:w="1441"/>
        <w:gridCol w:w="1441"/>
        <w:gridCol w:w="1541"/>
      </w:tblGrid>
      <w:tr>
        <w:trPr>
          <w:trHeight w:val="34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5,475,658,186.10</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5,475,658,186.10</w:t>
            </w:r>
          </w:p>
        </w:tc>
      </w:tr>
      <w:tr>
        <w:trPr>
          <w:trHeight w:val="34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3,047,541,556.15</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3,047,541,556.15</w:t>
            </w:r>
          </w:p>
        </w:tc>
      </w:tr>
      <w:tr>
        <w:trPr>
          <w:trHeight w:val="34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3,754,032,648.96</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3,754,032,648.96</w:t>
            </w:r>
          </w:p>
        </w:tc>
      </w:tr>
      <w:tr>
        <w:trPr>
          <w:trHeight w:val="34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1,851,629,373.22</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1,851,629,373.22</w:t>
            </w:r>
          </w:p>
        </w:tc>
      </w:tr>
      <w:tr>
        <w:trPr>
          <w:trHeight w:val="34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1,838,017,454.90</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1,838,017,454.90</w:t>
            </w:r>
          </w:p>
        </w:tc>
      </w:tr>
      <w:tr>
        <w:trPr>
          <w:trHeight w:val="34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865,738,333.65</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865,738,333.65</w:t>
            </w:r>
          </w:p>
        </w:tc>
      </w:tr>
      <w:tr>
        <w:trPr>
          <w:trHeight w:val="34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620,460,274.14</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1,033,174,444.51</w:t>
            </w: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1,653,634,718.65</w:t>
            </w:r>
          </w:p>
        </w:tc>
      </w:tr>
      <w:tr>
        <w:trPr>
          <w:trHeight w:val="347" w:hRule="exact"/>
        </w:trPr>
        <w:tc>
          <w:tcPr>
            <w:tcW w:w="2252"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900,000,000.00</w:t>
            </w: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900,000,000.00</w:t>
            </w:r>
          </w:p>
        </w:tc>
      </w:tr>
      <w:tr>
        <w:trPr>
          <w:trHeight w:val="347" w:hRule="exact"/>
        </w:trPr>
        <w:tc>
          <w:tcPr>
            <w:tcW w:w="22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16,832,617,552.98</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620,460,274.14</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1,933,174,444.51</w:t>
            </w: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19,386,252,271.63</w:t>
            </w:r>
          </w:p>
        </w:tc>
      </w:tr>
      <w:tr>
        <w:trPr>
          <w:trHeight w:val="34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20,470,296,592.92</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20,470,296,592.92</w:t>
            </w:r>
          </w:p>
        </w:tc>
      </w:tr>
      <w:tr>
        <w:trPr>
          <w:trHeight w:val="34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1,598,110,792.85</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1,598,110,792.85</w:t>
            </w:r>
          </w:p>
        </w:tc>
      </w:tr>
      <w:tr>
        <w:trPr>
          <w:trHeight w:val="34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3,408,366,113.93</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3,408,366,113.93</w:t>
            </w:r>
          </w:p>
        </w:tc>
      </w:tr>
      <w:tr>
        <w:trPr>
          <w:trHeight w:val="34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270,056,726.88</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270,056,726.88</w:t>
            </w:r>
          </w:p>
        </w:tc>
      </w:tr>
      <w:tr>
        <w:trPr>
          <w:trHeight w:val="34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783,790,884.61</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783,790,884.61</w:t>
            </w:r>
          </w:p>
        </w:tc>
      </w:tr>
      <w:tr>
        <w:trPr>
          <w:trHeight w:val="34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1,099,968,900.00</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1,099,968,900.00</w:t>
            </w:r>
          </w:p>
        </w:tc>
      </w:tr>
      <w:tr>
        <w:trPr>
          <w:trHeight w:val="34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1,725,485,400.00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1,485,450,209.25</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1,167,354,635.94</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4,378,290,245.19</w:t>
            </w:r>
          </w:p>
        </w:tc>
      </w:tr>
      <w:tr>
        <w:trPr>
          <w:trHeight w:val="34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2,000,000,000.00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3,800,000,000.00</w:t>
            </w: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5,800,000,000.00</w:t>
            </w:r>
          </w:p>
        </w:tc>
      </w:tr>
      <w:tr>
        <w:trPr>
          <w:trHeight w:val="34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15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1,100,000,000.00</w:t>
            </w: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34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私募债</w:t>
            </w:r>
          </w:p>
        </w:tc>
        <w:tc>
          <w:tcPr>
            <w:tcW w:w="15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1,500,000,000.00</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1,500,000,000.00</w:t>
            </w:r>
          </w:p>
        </w:tc>
      </w:tr>
      <w:tr>
        <w:trPr>
          <w:trHeight w:val="34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15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27,630,590,011.19</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5,225,485,400.00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6,385,450,209.25</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1,167,354,635.94</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40,408,880,256.38</w:t>
            </w:r>
          </w:p>
        </w:tc>
      </w:tr>
    </w:tbl>
    <w:p>
      <w:pPr>
        <w:pStyle w:val="BodyText"/>
        <w:spacing w:line="240" w:lineRule="auto" w:before="10"/>
        <w:ind w:left="514" w:right="147"/>
        <w:jc w:val="left"/>
      </w:pPr>
      <w:r>
        <w:rPr/>
        <w:t>（续）</w:t>
      </w:r>
    </w:p>
    <w:p>
      <w:pPr>
        <w:pStyle w:val="BodyText"/>
        <w:spacing w:line="240" w:lineRule="auto" w:before="76"/>
        <w:ind w:left="6419" w:right="147"/>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1282"/>
        <w:gridCol w:w="1734"/>
        <w:gridCol w:w="1568"/>
        <w:gridCol w:w="1709"/>
        <w:gridCol w:w="1632"/>
        <w:gridCol w:w="1733"/>
      </w:tblGrid>
      <w:tr>
        <w:trPr>
          <w:trHeight w:val="347" w:hRule="exact"/>
        </w:trPr>
        <w:tc>
          <w:tcPr>
            <w:tcW w:w="128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99"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6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16"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70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85" w:right="0"/>
              <w:jc w:val="left"/>
              <w:rPr>
                <w:rFonts w:ascii="宋体" w:hAnsi="宋体" w:cs="宋体" w:eastAsia="宋体" w:hint="default"/>
                <w:sz w:val="18"/>
                <w:szCs w:val="18"/>
              </w:rPr>
            </w:pPr>
            <w:r>
              <w:rPr>
                <w:rFonts w:ascii="宋体" w:hAnsi="宋体" w:cs="宋体" w:eastAsia="宋体" w:hint="default"/>
                <w:sz w:val="18"/>
                <w:szCs w:val="18"/>
              </w:rPr>
              <w:t>二到五年</w:t>
            </w:r>
          </w:p>
        </w:tc>
        <w:tc>
          <w:tcPr>
            <w:tcW w:w="163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47"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73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734"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2,547,729,794.24</w:t>
            </w: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2,547,729,794.24</w:t>
            </w:r>
          </w:p>
        </w:tc>
      </w:tr>
      <w:tr>
        <w:trPr>
          <w:trHeight w:val="347"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2,870,443,681.49</w:t>
            </w: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2,870,443,681.49</w:t>
            </w:r>
          </w:p>
        </w:tc>
      </w:tr>
      <w:tr>
        <w:trPr>
          <w:trHeight w:val="347"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3,329,519,637.66</w:t>
            </w: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3,329,519,637.66</w:t>
            </w:r>
          </w:p>
        </w:tc>
      </w:tr>
      <w:tr>
        <w:trPr>
          <w:trHeight w:val="347"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1,402,961,332.41</w:t>
            </w: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1,402,961,332.41</w:t>
            </w:r>
          </w:p>
        </w:tc>
      </w:tr>
      <w:tr>
        <w:trPr>
          <w:trHeight w:val="347"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1,589,021,331.24</w:t>
            </w: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1,589,021,331.24</w:t>
            </w:r>
          </w:p>
        </w:tc>
      </w:tr>
      <w:tr>
        <w:trPr>
          <w:trHeight w:val="348" w:hRule="exact"/>
        </w:trPr>
        <w:tc>
          <w:tcPr>
            <w:tcW w:w="128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11,739,675,777.04</w:t>
            </w: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11,739,675,777.04</w:t>
            </w:r>
          </w:p>
        </w:tc>
      </w:tr>
      <w:tr>
        <w:trPr>
          <w:trHeight w:val="347" w:hRule="exact"/>
        </w:trPr>
        <w:tc>
          <w:tcPr>
            <w:tcW w:w="128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734"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9,818,885,237.85</w:t>
            </w: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9,818,885,237.85</w:t>
            </w:r>
          </w:p>
        </w:tc>
      </w:tr>
      <w:tr>
        <w:trPr>
          <w:trHeight w:val="347"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290,403,790.59</w:t>
            </w: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290,403,790.59</w:t>
            </w:r>
          </w:p>
        </w:tc>
      </w:tr>
      <w:tr>
        <w:trPr>
          <w:trHeight w:val="347"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2,695,169,927.14</w:t>
            </w: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2,695,169,927.14</w:t>
            </w:r>
          </w:p>
        </w:tc>
      </w:tr>
      <w:tr>
        <w:trPr>
          <w:trHeight w:val="347"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442,432,261.58</w:t>
            </w: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442,432,261.58</w:t>
            </w:r>
          </w:p>
        </w:tc>
      </w:tr>
      <w:tr>
        <w:trPr>
          <w:trHeight w:val="348"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486,836,595.89</w:t>
            </w: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486,836,595.89</w:t>
            </w:r>
          </w:p>
        </w:tc>
      </w:tr>
      <w:tr>
        <w:trPr>
          <w:trHeight w:val="347"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一年内到期的非</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1,289,115,500.00</w:t>
            </w: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1,289,115,500.00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1282"/>
        <w:gridCol w:w="1734"/>
        <w:gridCol w:w="1568"/>
        <w:gridCol w:w="1709"/>
        <w:gridCol w:w="1632"/>
        <w:gridCol w:w="1733"/>
      </w:tblGrid>
      <w:tr>
        <w:trPr>
          <w:trHeight w:val="347"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34"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34"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898,143,000.00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1,204,701,900.00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1,621,020,907.90</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3,723,865,807.90</w:t>
            </w:r>
          </w:p>
        </w:tc>
      </w:tr>
      <w:tr>
        <w:trPr>
          <w:trHeight w:val="347"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34"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5,800,000,000.00</w:t>
            </w: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5,800,000,000.00</w:t>
            </w:r>
          </w:p>
        </w:tc>
      </w:tr>
      <w:tr>
        <w:trPr>
          <w:trHeight w:val="348"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34"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60,000,000.00</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47"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1734"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1,100,000,000.00</w:t>
            </w: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347"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私募债</w:t>
            </w:r>
          </w:p>
        </w:tc>
        <w:tc>
          <w:tcPr>
            <w:tcW w:w="1734"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1,500,000,000.00</w:t>
            </w: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1,500,000,000.00</w:t>
            </w:r>
          </w:p>
        </w:tc>
      </w:tr>
      <w:tr>
        <w:trPr>
          <w:trHeight w:val="347" w:hRule="exact"/>
        </w:trPr>
        <w:tc>
          <w:tcPr>
            <w:tcW w:w="1282"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3,800,000,000.00</w:t>
            </w:r>
          </w:p>
        </w:tc>
        <w:tc>
          <w:tcPr>
            <w:tcW w:w="156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3,800,000,000.00</w:t>
            </w:r>
          </w:p>
        </w:tc>
      </w:tr>
      <w:tr>
        <w:trPr>
          <w:trHeight w:val="348" w:hRule="exact"/>
        </w:trPr>
        <w:tc>
          <w:tcPr>
            <w:tcW w:w="128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16"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18,822,843,313.05</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898,143,000.00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9,604,701,900.00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1,681,020,907.90</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31,006,709,120.95</w:t>
            </w:r>
          </w:p>
        </w:tc>
      </w:tr>
    </w:tbl>
    <w:p>
      <w:pPr>
        <w:pStyle w:val="BodyText"/>
        <w:spacing w:line="240" w:lineRule="auto" w:before="10"/>
        <w:ind w:left="514" w:right="182"/>
        <w:jc w:val="left"/>
      </w:pPr>
      <w:r>
        <w:rPr/>
        <w:t>银行借款及应付债券偿还期分析如下：</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3421"/>
        <w:gridCol w:w="1560"/>
        <w:gridCol w:w="1559"/>
        <w:gridCol w:w="1559"/>
        <w:gridCol w:w="1559"/>
      </w:tblGrid>
      <w:tr>
        <w:trPr>
          <w:trHeight w:val="336" w:hRule="exact"/>
        </w:trPr>
        <w:tc>
          <w:tcPr>
            <w:tcW w:w="3421" w:type="dxa"/>
            <w:vMerge w:val="restart"/>
            <w:tcBorders>
              <w:top w:val="single" w:sz="6" w:space="0" w:color="000000"/>
              <w:left w:val="single" w:sz="6" w:space="0" w:color="000000"/>
              <w:right w:val="single" w:sz="6" w:space="0" w:color="000000"/>
            </w:tcBorders>
            <w:shd w:val="clear" w:color="auto" w:fill="CCCCCC"/>
          </w:tcPr>
          <w:p>
            <w:pP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118"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52" w:hRule="exact"/>
        </w:trPr>
        <w:tc>
          <w:tcPr>
            <w:tcW w:w="3421" w:type="dxa"/>
            <w:vMerge/>
            <w:tcBorders>
              <w:left w:val="single" w:sz="6" w:space="0" w:color="000000"/>
              <w:bottom w:val="single" w:sz="6" w:space="0" w:color="000000"/>
              <w:right w:val="single" w:sz="6" w:space="0" w:color="000000"/>
            </w:tcBorders>
            <w:shd w:val="clear" w:color="auto" w:fill="CCCCCC"/>
          </w:tcPr>
          <w:p>
            <w:pPr/>
          </w:p>
        </w:tc>
        <w:tc>
          <w:tcPr>
            <w:tcW w:w="15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1"/>
              <w:ind w:left="41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应付债券</w:t>
            </w:r>
          </w:p>
        </w:tc>
      </w:tr>
      <w:tr>
        <w:trPr>
          <w:trHeight w:val="347"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最后一期还款日在五年之内的借款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24,781,201,102.17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16" w:right="0"/>
              <w:jc w:val="left"/>
              <w:rPr>
                <w:rFonts w:ascii="Times New Roman" w:hAnsi="Times New Roman" w:cs="Times New Roman" w:eastAsia="Times New Roman" w:hint="default"/>
                <w:sz w:val="18"/>
                <w:szCs w:val="18"/>
              </w:rPr>
            </w:pPr>
            <w:r>
              <w:rPr>
                <w:rFonts w:ascii="Times New Roman"/>
                <w:sz w:val="18"/>
              </w:rPr>
              <w:t>840,000,000.00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12,710,845,637.85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12,700,000,000.00</w:t>
            </w:r>
          </w:p>
        </w:tc>
      </w:tr>
      <w:tr>
        <w:trPr>
          <w:trHeight w:val="347"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最后一期还款日为五年之后的借款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1,167,354,635.94</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1,621,020,907.90</w:t>
            </w: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2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25,948,555,738.11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16" w:right="0"/>
              <w:jc w:val="left"/>
              <w:rPr>
                <w:rFonts w:ascii="Times New Roman" w:hAnsi="Times New Roman" w:cs="Times New Roman" w:eastAsia="Times New Roman" w:hint="default"/>
                <w:sz w:val="18"/>
                <w:szCs w:val="18"/>
              </w:rPr>
            </w:pPr>
            <w:r>
              <w:rPr>
                <w:rFonts w:ascii="Times New Roman"/>
                <w:sz w:val="18"/>
              </w:rPr>
              <w:t>840,000,000.00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14,331,866,545.75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12,700,000,000.00</w:t>
            </w:r>
          </w:p>
        </w:tc>
      </w:tr>
    </w:tbl>
    <w:p>
      <w:pPr>
        <w:spacing w:line="300" w:lineRule="auto" w:before="10"/>
        <w:ind w:left="513" w:right="5491"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、金融资产转移</w:t>
      </w:r>
      <w:r>
        <w:rPr>
          <w:rFonts w:ascii="宋体" w:hAnsi="宋体" w:cs="宋体" w:eastAsia="宋体" w:hint="default"/>
          <w:b/>
          <w:bCs/>
          <w:w w:val="99"/>
          <w:sz w:val="18"/>
          <w:szCs w:val="18"/>
        </w:rPr>
        <w:t> </w:t>
      </w:r>
      <w:r>
        <w:rPr>
          <w:rFonts w:ascii="宋体" w:hAnsi="宋体" w:cs="宋体" w:eastAsia="宋体" w:hint="default"/>
          <w:sz w:val="18"/>
          <w:szCs w:val="18"/>
        </w:rPr>
        <w:t>已整体终止确认但转出方继续涉入已转移金融资产</w:t>
      </w:r>
    </w:p>
    <w:p>
      <w:pPr>
        <w:pStyle w:val="BodyText"/>
        <w:spacing w:line="309" w:lineRule="auto" w:before="31"/>
        <w:ind w:left="153" w:right="184" w:firstLine="360"/>
        <w:jc w:val="both"/>
      </w:pPr>
      <w:r>
        <w:rPr>
          <w:spacing w:val="-2"/>
        </w:rPr>
        <w:t>本年度，本公司向银行贴现银行承兑汇票人民币</w:t>
      </w:r>
      <w:r>
        <w:rPr>
          <w:rFonts w:ascii="Times New Roman" w:hAnsi="Times New Roman" w:cs="Times New Roman" w:eastAsia="Times New Roman" w:hint="default"/>
          <w:spacing w:val="-2"/>
        </w:rPr>
        <w:t>3,440,773,115.05</w:t>
      </w:r>
      <w:r>
        <w:rPr>
          <w:spacing w:val="-2"/>
        </w:rPr>
        <w:t>元（上年度：人民币</w:t>
      </w:r>
      <w:r>
        <w:rPr>
          <w:rFonts w:ascii="Times New Roman" w:hAnsi="Times New Roman" w:cs="Times New Roman" w:eastAsia="Times New Roman" w:hint="default"/>
          <w:spacing w:val="-2"/>
        </w:rPr>
        <w:t>2,854,060,411.22</w:t>
      </w:r>
      <w:r>
        <w:rPr>
          <w:spacing w:val="-2"/>
        </w:rPr>
        <w:t>元）。由于与这些</w:t>
      </w:r>
      <w:r>
        <w:rPr/>
        <w:t> </w:t>
      </w:r>
      <w:r>
        <w:rPr>
          <w:spacing w:val="-2"/>
        </w:rPr>
        <w:t>银行承兑汇票相关的利率风险等主要风险与报酬已转移给了银行，因此，本公司终止确认已贴现未到期的银行承兑汇票。根</w:t>
      </w:r>
      <w:r>
        <w:rPr>
          <w:spacing w:val="-66"/>
        </w:rPr>
        <w:t> </w:t>
      </w:r>
      <w:r>
        <w:rPr>
          <w:spacing w:val="-66"/>
        </w:rPr>
      </w:r>
      <w:r>
        <w:rPr>
          <w:spacing w:val="-2"/>
        </w:rPr>
        <w:t>据贴现协议，如该银行承兑汇票到期未能承兑，银行有权要求本公司付清未结算的余额。因此本公司继续涉入了已贴现的银</w:t>
      </w:r>
      <w:r>
        <w:rPr>
          <w:spacing w:val="-66"/>
        </w:rPr>
        <w:t> </w:t>
      </w:r>
      <w:r>
        <w:rPr>
          <w:spacing w:val="-66"/>
        </w:rPr>
      </w:r>
      <w:r>
        <w:rPr>
          <w:spacing w:val="3"/>
        </w:rPr>
        <w:t>行承兑汇票，于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日，已贴现未到期的银行承兑汇票为人民币</w:t>
      </w:r>
      <w:r>
        <w:rPr>
          <w:rFonts w:ascii="Times New Roman" w:hAnsi="Times New Roman" w:cs="Times New Roman" w:eastAsia="Times New Roman" w:hint="default"/>
          <w:spacing w:val="3"/>
        </w:rPr>
        <w:t>1,320,918,334.62</w:t>
      </w:r>
      <w:r>
        <w:rPr>
          <w:spacing w:val="3"/>
        </w:rPr>
        <w:t>元（</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日：人民币</w:t>
      </w:r>
      <w:r>
        <w:rPr>
          <w:spacing w:val="-28"/>
        </w:rPr>
        <w:t> </w:t>
      </w:r>
      <w:r>
        <w:rPr>
          <w:spacing w:val="-28"/>
        </w:rPr>
      </w:r>
      <w:r>
        <w:rPr>
          <w:rFonts w:ascii="Times New Roman" w:hAnsi="Times New Roman" w:cs="Times New Roman" w:eastAsia="Times New Roman" w:hint="default"/>
        </w:rPr>
        <w:t>727,693,046.61</w:t>
      </w:r>
      <w:r>
        <w:rPr/>
        <w:t>元）。</w:t>
      </w:r>
    </w:p>
    <w:p>
      <w:pPr>
        <w:spacing w:line="240" w:lineRule="auto" w:before="9"/>
        <w:rPr>
          <w:rFonts w:ascii="宋体" w:hAnsi="宋体" w:cs="宋体" w:eastAsia="宋体" w:hint="default"/>
          <w:sz w:val="19"/>
          <w:szCs w:val="19"/>
        </w:rPr>
      </w:pPr>
    </w:p>
    <w:p>
      <w:pPr>
        <w:pStyle w:val="Heading2"/>
        <w:spacing w:line="240" w:lineRule="auto"/>
        <w:ind w:right="182"/>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2"/>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9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641"/>
        <w:gridCol w:w="1891"/>
        <w:gridCol w:w="1902"/>
        <w:gridCol w:w="1902"/>
        <w:gridCol w:w="1347"/>
      </w:tblGrid>
      <w:tr>
        <w:trPr>
          <w:trHeight w:val="201" w:hRule="exact"/>
        </w:trPr>
        <w:tc>
          <w:tcPr>
            <w:tcW w:w="2641" w:type="dxa"/>
            <w:tcBorders>
              <w:top w:val="single" w:sz="4" w:space="0" w:color="000000"/>
              <w:left w:val="single" w:sz="4" w:space="0" w:color="000000"/>
              <w:bottom w:val="nil" w:sz="6" w:space="0" w:color="auto"/>
              <w:right w:val="single" w:sz="4" w:space="0" w:color="000000"/>
            </w:tcBorders>
            <w:shd w:val="clear" w:color="auto" w:fill="D3D3D3"/>
          </w:tcPr>
          <w:p>
            <w:pPr/>
          </w:p>
        </w:tc>
        <w:tc>
          <w:tcPr>
            <w:tcW w:w="7042"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200" w:hRule="exact"/>
        </w:trPr>
        <w:tc>
          <w:tcPr>
            <w:tcW w:w="264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42" w:type="dxa"/>
            <w:gridSpan w:val="4"/>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2641" w:type="dxa"/>
            <w:vMerge/>
            <w:tcBorders>
              <w:left w:val="single" w:sz="4" w:space="0" w:color="000000"/>
              <w:bottom w:val="nil" w:sz="6" w:space="0" w:color="auto"/>
              <w:right w:val="single" w:sz="4" w:space="0" w:color="000000"/>
            </w:tcBorders>
            <w:shd w:val="clear" w:color="auto" w:fill="D3D3D3"/>
          </w:tcPr>
          <w:p>
            <w:pPr/>
          </w:p>
        </w:tc>
        <w:tc>
          <w:tcPr>
            <w:tcW w:w="18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6"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3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13" w:hRule="exact"/>
        </w:trPr>
        <w:tc>
          <w:tcPr>
            <w:tcW w:w="2641" w:type="dxa"/>
            <w:tcBorders>
              <w:top w:val="nil" w:sz="6" w:space="0" w:color="auto"/>
              <w:left w:val="single" w:sz="4" w:space="0" w:color="000000"/>
              <w:bottom w:val="single" w:sz="4" w:space="0" w:color="000000"/>
              <w:right w:val="single" w:sz="4" w:space="0" w:color="000000"/>
            </w:tcBorders>
            <w:shd w:val="clear" w:color="auto" w:fill="D3D3D3"/>
          </w:tcPr>
          <w:p>
            <w:pPr/>
          </w:p>
        </w:tc>
        <w:tc>
          <w:tcPr>
            <w:tcW w:w="1891" w:type="dxa"/>
            <w:vMerge/>
            <w:tcBorders>
              <w:left w:val="single" w:sz="4" w:space="0" w:color="000000"/>
              <w:bottom w:val="single" w:sz="4" w:space="0" w:color="000000"/>
              <w:right w:val="single" w:sz="4" w:space="0" w:color="000000"/>
            </w:tcBorders>
            <w:shd w:val="clear" w:color="auto" w:fill="D3D3D3"/>
          </w:tcPr>
          <w:p>
            <w:pPr/>
          </w:p>
        </w:tc>
        <w:tc>
          <w:tcPr>
            <w:tcW w:w="1902" w:type="dxa"/>
            <w:vMerge/>
            <w:tcBorders>
              <w:left w:val="single" w:sz="4" w:space="0" w:color="000000"/>
              <w:bottom w:val="single" w:sz="4" w:space="0" w:color="000000"/>
              <w:right w:val="single" w:sz="4" w:space="0" w:color="000000"/>
            </w:tcBorders>
            <w:shd w:val="clear" w:color="auto" w:fill="D3D3D3"/>
          </w:tcPr>
          <w:p>
            <w:pPr/>
          </w:p>
        </w:tc>
        <w:tc>
          <w:tcPr>
            <w:tcW w:w="1902" w:type="dxa"/>
            <w:vMerge/>
            <w:tcBorders>
              <w:left w:val="single" w:sz="4" w:space="0" w:color="000000"/>
              <w:bottom w:val="single" w:sz="4" w:space="0" w:color="000000"/>
              <w:right w:val="single" w:sz="4" w:space="0" w:color="000000"/>
            </w:tcBorders>
            <w:shd w:val="clear" w:color="auto" w:fill="D3D3D3"/>
          </w:tcPr>
          <w:p>
            <w:pPr/>
          </w:p>
        </w:tc>
        <w:tc>
          <w:tcPr>
            <w:tcW w:w="1347"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1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消耗性生物资产</w:t>
            </w:r>
          </w:p>
        </w:tc>
        <w:tc>
          <w:tcPr>
            <w:tcW w:w="1891" w:type="dxa"/>
            <w:tcBorders>
              <w:top w:val="single" w:sz="5" w:space="0" w:color="000000"/>
              <w:left w:val="single" w:sz="10" w:space="0" w:color="D3D3D3"/>
              <w:bottom w:val="single" w:sz="4" w:space="0" w:color="000000"/>
              <w:right w:val="single" w:sz="4" w:space="0" w:color="000000"/>
            </w:tcBorders>
          </w:tcPr>
          <w:p>
            <w:pPr/>
          </w:p>
        </w:tc>
        <w:tc>
          <w:tcPr>
            <w:tcW w:w="1902" w:type="dxa"/>
            <w:tcBorders>
              <w:top w:val="single" w:sz="5" w:space="0" w:color="000000"/>
              <w:left w:val="single" w:sz="4" w:space="0" w:color="000000"/>
              <w:bottom w:val="single" w:sz="4" w:space="0" w:color="000000"/>
              <w:right w:val="single" w:sz="4" w:space="0" w:color="000000"/>
            </w:tcBorders>
          </w:tcPr>
          <w:p>
            <w:pPr/>
          </w:p>
        </w:tc>
        <w:tc>
          <w:tcPr>
            <w:tcW w:w="190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1,407,588,299.46</w:t>
            </w:r>
          </w:p>
        </w:tc>
        <w:tc>
          <w:tcPr>
            <w:tcW w:w="134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1,407,588,299.46</w:t>
            </w:r>
          </w:p>
        </w:tc>
      </w:tr>
      <w:tr>
        <w:trPr>
          <w:trHeight w:val="402" w:hRule="exact"/>
        </w:trPr>
        <w:tc>
          <w:tcPr>
            <w:tcW w:w="2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891" w:type="dxa"/>
            <w:tcBorders>
              <w:top w:val="single" w:sz="4" w:space="0" w:color="000000"/>
              <w:left w:val="single" w:sz="13" w:space="0" w:color="D3D3D3"/>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1,407,588,299.46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1,407,588,299.46</w:t>
            </w:r>
          </w:p>
        </w:tc>
      </w:tr>
    </w:tbl>
    <w:p>
      <w:pPr>
        <w:spacing w:line="240" w:lineRule="auto" w:before="2"/>
        <w:rPr>
          <w:rFonts w:ascii="宋体" w:hAnsi="宋体" w:cs="宋体" w:eastAsia="宋体" w:hint="default"/>
          <w:sz w:val="19"/>
          <w:szCs w:val="19"/>
        </w:rPr>
      </w:pPr>
    </w:p>
    <w:p>
      <w:pPr>
        <w:pStyle w:val="Heading4"/>
        <w:spacing w:line="240" w:lineRule="auto" w:before="35"/>
        <w:ind w:right="182"/>
        <w:jc w:val="left"/>
        <w:rPr>
          <w:b w:val="0"/>
          <w:bCs w:val="0"/>
        </w:rPr>
      </w:pPr>
      <w:r>
        <w:rPr>
          <w:rFonts w:ascii="Times New Roman" w:hAnsi="Times New Roman" w:cs="Times New Roman" w:eastAsia="Times New Roman" w:hint="default"/>
        </w:rPr>
        <w:t>2</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1" w:firstLine="383"/>
        <w:jc w:val="left"/>
      </w:pPr>
      <w:r>
        <w:rPr/>
        <w:t>本公司采用了收益法进行评估确定消耗性生物资产的公允价值。收益法是通过估算被评估森林资源资产在未来的预期 </w:t>
      </w:r>
      <w:r>
        <w:rPr>
          <w:spacing w:val="-4"/>
        </w:rPr>
        <w:t>收益，并采用适宜的折现率（一般采用林业行业投资收益率）折算成现值，然后累加求和，得出被评估资产价值的评估方法。</w:t>
      </w:r>
    </w:p>
    <w:p>
      <w:pPr>
        <w:pStyle w:val="BodyText"/>
        <w:spacing w:line="307" w:lineRule="auto" w:before="18"/>
        <w:ind w:left="538" w:right="5664"/>
        <w:jc w:val="left"/>
      </w:pPr>
      <w:r>
        <w:rPr/>
        <w:t>收益法涉及的主要参数，预期年收益、折现率。 预期年收益</w:t>
      </w:r>
      <w:r>
        <w:rPr>
          <w:rFonts w:ascii="Times New Roman" w:hAnsi="Times New Roman" w:cs="Times New Roman" w:eastAsia="Times New Roman" w:hint="default"/>
        </w:rPr>
        <w:t>=</w:t>
      </w:r>
      <w:r>
        <w:rPr/>
        <w:t>预期年收入</w:t>
      </w:r>
      <w:r>
        <w:rPr>
          <w:rFonts w:ascii="Times New Roman" w:hAnsi="Times New Roman" w:cs="Times New Roman" w:eastAsia="Times New Roman" w:hint="default"/>
        </w:rPr>
        <w:t>-</w:t>
      </w:r>
      <w:r>
        <w:rPr/>
        <w:t>预期总投入 预期年收入</w:t>
      </w:r>
      <w:r>
        <w:rPr>
          <w:rFonts w:ascii="Times New Roman" w:hAnsi="Times New Roman" w:cs="Times New Roman" w:eastAsia="Times New Roman" w:hint="default"/>
        </w:rPr>
        <w:t>=</w:t>
      </w:r>
      <w:r>
        <w:rPr/>
        <w:t>预期产出量</w:t>
      </w:r>
      <w:r>
        <w:rPr>
          <w:rFonts w:ascii="Times New Roman" w:hAnsi="Times New Roman" w:cs="Times New Roman" w:eastAsia="Times New Roman" w:hint="default"/>
        </w:rPr>
        <w:t>×</w:t>
      </w:r>
      <w:r>
        <w:rPr/>
        <w:t>预期售价 预期产出量</w:t>
      </w:r>
      <w:r>
        <w:rPr>
          <w:rFonts w:ascii="Times New Roman" w:hAnsi="Times New Roman" w:cs="Times New Roman" w:eastAsia="Times New Roman" w:hint="default"/>
        </w:rPr>
        <w:t>=</w:t>
      </w:r>
      <w:r>
        <w:rPr/>
        <w:t>根据本公司采伐林木的正常产出量</w:t>
      </w:r>
    </w:p>
    <w:p>
      <w:pPr>
        <w:spacing w:after="0" w:line="307"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09" w:lineRule="auto" w:before="44"/>
        <w:ind w:left="538" w:right="4206"/>
        <w:jc w:val="left"/>
      </w:pPr>
      <w:r>
        <w:rPr/>
        <w:t>预期售价</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2014</w:t>
      </w:r>
      <w:r>
        <w:rPr/>
        <w:t>年度正常售价 预期总投入根据本公司的经验数值，至采伐时的林木种植总投入。 折现率根据行业的投资收益率，为</w:t>
      </w:r>
      <w:r>
        <w:rPr>
          <w:rFonts w:ascii="Times New Roman" w:hAnsi="Times New Roman" w:cs="Times New Roman" w:eastAsia="Times New Roman" w:hint="default"/>
        </w:rPr>
        <w:t>10.47%</w:t>
      </w:r>
      <w:r>
        <w:rPr/>
        <w:t>。</w:t>
      </w:r>
    </w:p>
    <w:p>
      <w:pPr>
        <w:spacing w:line="240" w:lineRule="auto" w:before="6"/>
        <w:rPr>
          <w:rFonts w:ascii="宋体" w:hAnsi="宋体" w:cs="宋体" w:eastAsia="宋体" w:hint="default"/>
          <w:sz w:val="21"/>
          <w:szCs w:val="21"/>
        </w:rPr>
      </w:pPr>
    </w:p>
    <w:p>
      <w:pPr>
        <w:pStyle w:val="Heading4"/>
        <w:spacing w:line="240" w:lineRule="auto"/>
        <w:ind w:right="182"/>
        <w:jc w:val="left"/>
        <w:rPr>
          <w:b w:val="0"/>
          <w:bCs w:val="0"/>
        </w:rPr>
      </w:pPr>
      <w:r>
        <w:rPr>
          <w:rFonts w:ascii="Times New Roman" w:hAnsi="Times New Roman" w:cs="Times New Roman" w:eastAsia="Times New Roman" w:hint="default"/>
        </w:rPr>
        <w:t>3</w:t>
      </w:r>
      <w:r>
        <w:rPr/>
        <w:t>、持续的第三层次公允价值计量项目，期初与期末账面价值间的调节信息及不可观察参数敏感性分析</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3811"/>
        <w:gridCol w:w="5846"/>
      </w:tblGrid>
      <w:tr>
        <w:trPr>
          <w:trHeight w:val="347" w:hRule="exact"/>
        </w:trPr>
        <w:tc>
          <w:tcPr>
            <w:tcW w:w="3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5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1,317,141,123.77</w:t>
            </w:r>
          </w:p>
        </w:tc>
      </w:tr>
      <w:tr>
        <w:trPr>
          <w:trHeight w:val="347" w:hRule="exact"/>
        </w:trPr>
        <w:tc>
          <w:tcPr>
            <w:tcW w:w="3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本年培育增加</w:t>
            </w:r>
          </w:p>
        </w:tc>
        <w:tc>
          <w:tcPr>
            <w:tcW w:w="5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165,058,534.84</w:t>
            </w:r>
          </w:p>
        </w:tc>
      </w:tr>
      <w:tr>
        <w:trPr>
          <w:trHeight w:val="348" w:hRule="exact"/>
        </w:trPr>
        <w:tc>
          <w:tcPr>
            <w:tcW w:w="3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本年出售减少</w:t>
            </w:r>
          </w:p>
        </w:tc>
        <w:tc>
          <w:tcPr>
            <w:tcW w:w="5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81,468,244.47</w:t>
            </w:r>
          </w:p>
        </w:tc>
      </w:tr>
      <w:tr>
        <w:trPr>
          <w:trHeight w:val="347" w:hRule="exact"/>
        </w:trPr>
        <w:tc>
          <w:tcPr>
            <w:tcW w:w="3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本年公允价值变动进入损益的金额</w:t>
            </w:r>
          </w:p>
        </w:tc>
        <w:tc>
          <w:tcPr>
            <w:tcW w:w="5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6,856,815.32</w:t>
            </w:r>
          </w:p>
        </w:tc>
      </w:tr>
      <w:tr>
        <w:trPr>
          <w:trHeight w:val="347" w:hRule="exact"/>
        </w:trPr>
        <w:tc>
          <w:tcPr>
            <w:tcW w:w="3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5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1,407,588,229.46</w:t>
            </w:r>
          </w:p>
        </w:tc>
      </w:tr>
    </w:tbl>
    <w:p>
      <w:pPr>
        <w:pStyle w:val="BodyText"/>
        <w:spacing w:line="316" w:lineRule="auto" w:before="10"/>
        <w:ind w:right="190" w:firstLine="383"/>
        <w:jc w:val="both"/>
      </w:pPr>
      <w:r>
        <w:rPr/>
        <w:t>本公司采用敏感性分析技术分析风险变量的合理、可能变化对当期损益和股东权益可能产生的影响。由于任何风险变 </w:t>
      </w:r>
      <w:r>
        <w:rPr>
          <w:spacing w:val="-2"/>
        </w:rPr>
        <w:t>量很少孤立地发生变化，而变量之间存在的相关性对某一风险变量的变化的最终影响金额将产生重大作用，因此下述内容是</w:t>
      </w:r>
      <w:r>
        <w:rPr>
          <w:spacing w:val="-64"/>
        </w:rPr>
        <w:t> </w:t>
      </w:r>
      <w:r>
        <w:rPr>
          <w:spacing w:val="-64"/>
        </w:rPr>
      </w:r>
      <w:r>
        <w:rPr/>
        <w:t>在假设每一变量的变化是在独立的情况下进行的。</w:t>
      </w:r>
    </w:p>
    <w:tbl>
      <w:tblPr>
        <w:tblW w:w="0" w:type="auto"/>
        <w:jc w:val="left"/>
        <w:tblInd w:w="137" w:type="dxa"/>
        <w:tblLayout w:type="fixed"/>
        <w:tblCellMar>
          <w:top w:w="0" w:type="dxa"/>
          <w:left w:w="0" w:type="dxa"/>
          <w:bottom w:w="0" w:type="dxa"/>
          <w:right w:w="0" w:type="dxa"/>
        </w:tblCellMar>
        <w:tblLook w:val="01E0"/>
      </w:tblPr>
      <w:tblGrid>
        <w:gridCol w:w="1514"/>
        <w:gridCol w:w="2047"/>
        <w:gridCol w:w="1319"/>
        <w:gridCol w:w="1729"/>
        <w:gridCol w:w="1319"/>
        <w:gridCol w:w="1729"/>
      </w:tblGrid>
      <w:tr>
        <w:trPr>
          <w:trHeight w:val="348" w:hRule="exact"/>
        </w:trPr>
        <w:tc>
          <w:tcPr>
            <w:tcW w:w="1514"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7"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折现率变动</w:t>
            </w:r>
          </w:p>
        </w:tc>
        <w:tc>
          <w:tcPr>
            <w:tcW w:w="3048"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048"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658" w:hRule="exact"/>
        </w:trPr>
        <w:tc>
          <w:tcPr>
            <w:tcW w:w="1514" w:type="dxa"/>
            <w:vMerge/>
            <w:tcBorders>
              <w:left w:val="single" w:sz="6" w:space="0" w:color="000000"/>
              <w:bottom w:val="single" w:sz="6" w:space="0" w:color="000000"/>
              <w:right w:val="single" w:sz="6" w:space="0" w:color="000000"/>
            </w:tcBorders>
            <w:shd w:val="clear" w:color="auto" w:fill="CCCCCC"/>
          </w:tcPr>
          <w:p>
            <w:pPr/>
          </w:p>
        </w:tc>
        <w:tc>
          <w:tcPr>
            <w:tcW w:w="2047" w:type="dxa"/>
            <w:vMerge/>
            <w:tcBorders>
              <w:left w:val="single" w:sz="6" w:space="0" w:color="000000"/>
              <w:bottom w:val="single" w:sz="6" w:space="0" w:color="000000"/>
              <w:right w:val="single" w:sz="6" w:space="0" w:color="000000"/>
            </w:tcBorders>
            <w:shd w:val="clear" w:color="auto" w:fill="CCCCCC"/>
          </w:tcPr>
          <w:p>
            <w:pPr/>
          </w:p>
        </w:tc>
        <w:tc>
          <w:tcPr>
            <w:tcW w:w="13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172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c>
          <w:tcPr>
            <w:tcW w:w="13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6" w:lineRule="auto" w:before="21"/>
              <w:ind w:left="471" w:right="290" w:hanging="180"/>
              <w:jc w:val="left"/>
              <w:rPr>
                <w:rFonts w:ascii="宋体" w:hAnsi="宋体" w:cs="宋体" w:eastAsia="宋体" w:hint="default"/>
                <w:sz w:val="18"/>
                <w:szCs w:val="18"/>
              </w:rPr>
            </w:pPr>
            <w:r>
              <w:rPr>
                <w:rFonts w:ascii="宋体" w:hAnsi="宋体" w:cs="宋体" w:eastAsia="宋体" w:hint="default"/>
                <w:sz w:val="18"/>
                <w:szCs w:val="18"/>
              </w:rPr>
              <w:t>对利润的 影响</w:t>
            </w:r>
          </w:p>
        </w:tc>
        <w:tc>
          <w:tcPr>
            <w:tcW w:w="172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48"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2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折现率增加</w:t>
            </w:r>
            <w:r>
              <w:rPr>
                <w:rFonts w:ascii="Times New Roman" w:hAnsi="Times New Roman" w:cs="Times New Roman" w:eastAsia="Times New Roman" w:hint="default"/>
                <w:sz w:val="18"/>
                <w:szCs w:val="18"/>
              </w:rPr>
              <w:t>1</w:t>
            </w:r>
            <w:r>
              <w:rPr>
                <w:rFonts w:ascii="宋体" w:hAnsi="宋体" w:cs="宋体" w:eastAsia="宋体" w:hint="default"/>
                <w:sz w:val="18"/>
                <w:szCs w:val="18"/>
              </w:rPr>
              <w:t>个百分点</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-35,404,804.28</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-35,404,804.28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-44,667,040.70</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-44,667,040.70</w:t>
            </w:r>
          </w:p>
        </w:tc>
      </w:tr>
      <w:tr>
        <w:trPr>
          <w:trHeight w:val="347"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2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折现率下降</w:t>
            </w:r>
            <w:r>
              <w:rPr>
                <w:rFonts w:ascii="Times New Roman" w:hAnsi="Times New Roman" w:cs="Times New Roman" w:eastAsia="Times New Roman" w:hint="default"/>
                <w:sz w:val="18"/>
                <w:szCs w:val="18"/>
              </w:rPr>
              <w:t>1</w:t>
            </w:r>
            <w:r>
              <w:rPr>
                <w:rFonts w:ascii="宋体" w:hAnsi="宋体" w:cs="宋体" w:eastAsia="宋体" w:hint="default"/>
                <w:sz w:val="18"/>
                <w:szCs w:val="18"/>
              </w:rPr>
              <w:t>个百分点</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37,847,549.58</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37,847,549.58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47,587,094.29</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47,587,094.29</w:t>
            </w:r>
          </w:p>
        </w:tc>
      </w:tr>
      <w:tr>
        <w:trPr>
          <w:trHeight w:val="347"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2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售价上升</w:t>
            </w:r>
            <w:r>
              <w:rPr>
                <w:rFonts w:ascii="Times New Roman" w:hAnsi="Times New Roman" w:cs="Times New Roman" w:eastAsia="Times New Roman" w:hint="default"/>
                <w:sz w:val="18"/>
                <w:szCs w:val="18"/>
              </w:rPr>
              <w:t>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17,339,274.36</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17,339,274.36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15,331,683.62</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15,331,683.62</w:t>
            </w:r>
          </w:p>
        </w:tc>
      </w:tr>
      <w:tr>
        <w:trPr>
          <w:trHeight w:val="348"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2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售价下降</w:t>
            </w:r>
            <w:r>
              <w:rPr>
                <w:rFonts w:ascii="Times New Roman" w:hAnsi="Times New Roman" w:cs="Times New Roman" w:eastAsia="Times New Roman" w:hint="default"/>
                <w:sz w:val="18"/>
                <w:szCs w:val="18"/>
              </w:rPr>
              <w:t>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-17,981,223.60</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-17,981,223.60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-15,615,583.84</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-15,615,583.84</w:t>
            </w:r>
          </w:p>
        </w:tc>
      </w:tr>
    </w:tbl>
    <w:p>
      <w:pPr>
        <w:spacing w:line="240" w:lineRule="auto" w:before="11"/>
        <w:rPr>
          <w:rFonts w:ascii="宋体" w:hAnsi="宋体" w:cs="宋体" w:eastAsia="宋体" w:hint="default"/>
          <w:sz w:val="19"/>
          <w:szCs w:val="19"/>
        </w:rPr>
      </w:pPr>
    </w:p>
    <w:p>
      <w:pPr>
        <w:pStyle w:val="Heading4"/>
        <w:spacing w:line="240" w:lineRule="auto" w:before="35"/>
        <w:ind w:right="182"/>
        <w:jc w:val="left"/>
        <w:rPr>
          <w:b w:val="0"/>
          <w:bCs w:val="0"/>
        </w:rPr>
      </w:pPr>
      <w:r>
        <w:rPr>
          <w:rFonts w:ascii="Times New Roman" w:hAnsi="Times New Roman" w:cs="Times New Roman" w:eastAsia="Times New Roman" w:hint="default"/>
        </w:rPr>
        <w:t>4</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90"/>
        <w:jc w:val="left"/>
      </w:pPr>
      <w:r>
        <w:rPr/>
        <w:t>①不以公允价值计量的金融工具 不以公允价值计量的金融资产和负债主要包括：应收款项、短期借款、应付款项、长期借款、应付债券和长期应付款。 除下述金融负债外，其他不以公允价值计量的金融资产和负债的账面价值与公允价值相差很小。</w:t>
      </w:r>
    </w:p>
    <w:tbl>
      <w:tblPr>
        <w:tblW w:w="0" w:type="auto"/>
        <w:jc w:val="left"/>
        <w:tblInd w:w="137" w:type="dxa"/>
        <w:tblLayout w:type="fixed"/>
        <w:tblCellMar>
          <w:top w:w="0" w:type="dxa"/>
          <w:left w:w="0" w:type="dxa"/>
          <w:bottom w:w="0" w:type="dxa"/>
          <w:right w:w="0" w:type="dxa"/>
        </w:tblCellMar>
        <w:tblLook w:val="01E0"/>
      </w:tblPr>
      <w:tblGrid>
        <w:gridCol w:w="3037"/>
        <w:gridCol w:w="1688"/>
        <w:gridCol w:w="1565"/>
        <w:gridCol w:w="1783"/>
        <w:gridCol w:w="1584"/>
      </w:tblGrid>
      <w:tr>
        <w:trPr>
          <w:trHeight w:val="347" w:hRule="exact"/>
        </w:trPr>
        <w:tc>
          <w:tcPr>
            <w:tcW w:w="3037" w:type="dxa"/>
            <w:vMerge w:val="restart"/>
            <w:tcBorders>
              <w:top w:val="single" w:sz="6" w:space="0" w:color="000000"/>
              <w:left w:val="single" w:sz="6" w:space="0" w:color="000000"/>
              <w:right w:val="single" w:sz="6" w:space="0" w:color="000000"/>
            </w:tcBorders>
            <w:shd w:val="clear" w:color="auto" w:fill="CCCCCC"/>
          </w:tcPr>
          <w:p>
            <w:pPr/>
          </w:p>
        </w:tc>
        <w:tc>
          <w:tcPr>
            <w:tcW w:w="3253"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367"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3037" w:type="dxa"/>
            <w:vMerge/>
            <w:tcBorders>
              <w:left w:val="single" w:sz="6" w:space="0" w:color="000000"/>
              <w:bottom w:val="single" w:sz="6" w:space="0" w:color="000000"/>
              <w:right w:val="single" w:sz="6" w:space="0" w:color="000000"/>
            </w:tcBorders>
            <w:shd w:val="clear" w:color="auto" w:fill="CCCCCC"/>
          </w:tcPr>
          <w:p>
            <w:pPr/>
          </w:p>
        </w:tc>
        <w:tc>
          <w:tcPr>
            <w:tcW w:w="16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7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15"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78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52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23" w:right="0"/>
              <w:jc w:val="left"/>
              <w:rPr>
                <w:rFonts w:ascii="宋体" w:hAnsi="宋体" w:cs="宋体" w:eastAsia="宋体" w:hint="default"/>
                <w:sz w:val="18"/>
                <w:szCs w:val="18"/>
              </w:rPr>
            </w:pPr>
            <w:r>
              <w:rPr>
                <w:rFonts w:ascii="宋体" w:hAnsi="宋体" w:cs="宋体" w:eastAsia="宋体" w:hint="default"/>
                <w:sz w:val="18"/>
                <w:szCs w:val="18"/>
              </w:rPr>
              <w:t>公允价值</w:t>
            </w:r>
          </w:p>
        </w:tc>
      </w:tr>
      <w:tr>
        <w:trPr>
          <w:trHeight w:val="347" w:hRule="exact"/>
        </w:trPr>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金融负债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应付债券</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11" w:right="0"/>
              <w:jc w:val="left"/>
              <w:rPr>
                <w:rFonts w:ascii="Times New Roman" w:hAnsi="Times New Roman" w:cs="Times New Roman" w:eastAsia="Times New Roman" w:hint="default"/>
                <w:sz w:val="18"/>
                <w:szCs w:val="18"/>
              </w:rPr>
            </w:pPr>
            <w:r>
              <w:rPr>
                <w:rFonts w:ascii="Times New Roman"/>
                <w:sz w:val="18"/>
              </w:rPr>
              <w:t>8,361,899,667.65</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7" w:right="0"/>
              <w:jc w:val="left"/>
              <w:rPr>
                <w:rFonts w:ascii="Times New Roman" w:hAnsi="Times New Roman" w:cs="Times New Roman" w:eastAsia="Times New Roman" w:hint="default"/>
                <w:sz w:val="18"/>
                <w:szCs w:val="18"/>
              </w:rPr>
            </w:pPr>
            <w:r>
              <w:rPr>
                <w:rFonts w:ascii="Times New Roman"/>
                <w:sz w:val="18"/>
              </w:rPr>
              <w:t>8,400,000,000.00</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16" w:right="0"/>
              <w:jc w:val="left"/>
              <w:rPr>
                <w:rFonts w:ascii="Times New Roman" w:hAnsi="Times New Roman" w:cs="Times New Roman" w:eastAsia="Times New Roman" w:hint="default"/>
                <w:sz w:val="18"/>
                <w:szCs w:val="18"/>
              </w:rPr>
            </w:pPr>
            <w:r>
              <w:rPr>
                <w:rFonts w:ascii="Times New Roman"/>
                <w:sz w:val="18"/>
              </w:rPr>
              <w:t>12,697,760,032.33</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6" w:right="0"/>
              <w:jc w:val="left"/>
              <w:rPr>
                <w:rFonts w:ascii="Times New Roman" w:hAnsi="Times New Roman" w:cs="Times New Roman" w:eastAsia="Times New Roman" w:hint="default"/>
                <w:sz w:val="18"/>
                <w:szCs w:val="18"/>
              </w:rPr>
            </w:pPr>
            <w:r>
              <w:rPr>
                <w:rFonts w:ascii="Times New Roman"/>
                <w:sz w:val="18"/>
              </w:rPr>
              <w:t>12,700,000,000.00</w:t>
            </w:r>
          </w:p>
        </w:tc>
      </w:tr>
      <w:tr>
        <w:trPr>
          <w:trHeight w:val="348" w:hRule="exact"/>
        </w:trPr>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公允价值所属层次</w:t>
            </w:r>
          </w:p>
        </w:tc>
        <w:tc>
          <w:tcPr>
            <w:tcW w:w="1688"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5" w:right="0"/>
              <w:jc w:val="left"/>
              <w:rPr>
                <w:rFonts w:ascii="宋体" w:hAnsi="宋体" w:cs="宋体" w:eastAsia="宋体" w:hint="default"/>
                <w:sz w:val="18"/>
                <w:szCs w:val="18"/>
              </w:rPr>
            </w:pPr>
            <w:r>
              <w:rPr>
                <w:rFonts w:ascii="宋体" w:hAnsi="宋体" w:cs="宋体" w:eastAsia="宋体" w:hint="default"/>
                <w:sz w:val="18"/>
                <w:szCs w:val="18"/>
              </w:rPr>
              <w:t>第一层次</w:t>
            </w:r>
          </w:p>
        </w:tc>
        <w:tc>
          <w:tcPr>
            <w:tcW w:w="1783"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3" w:right="0"/>
              <w:jc w:val="left"/>
              <w:rPr>
                <w:rFonts w:ascii="宋体" w:hAnsi="宋体" w:cs="宋体" w:eastAsia="宋体" w:hint="default"/>
                <w:sz w:val="18"/>
                <w:szCs w:val="18"/>
              </w:rPr>
            </w:pPr>
            <w:r>
              <w:rPr>
                <w:rFonts w:ascii="宋体" w:hAnsi="宋体" w:cs="宋体" w:eastAsia="宋体" w:hint="default"/>
                <w:sz w:val="18"/>
                <w:szCs w:val="18"/>
              </w:rPr>
              <w:t>第一层次</w:t>
            </w:r>
          </w:p>
        </w:tc>
      </w:tr>
    </w:tbl>
    <w:p>
      <w:pPr>
        <w:pStyle w:val="BodyText"/>
        <w:spacing w:line="316" w:lineRule="auto" w:before="19"/>
        <w:ind w:right="182" w:firstLine="360"/>
        <w:jc w:val="left"/>
      </w:pPr>
      <w:r>
        <w:rPr>
          <w:spacing w:val="-2"/>
        </w:rPr>
        <w:t>长期借款、长期应付款以及应付债券，以合同规定的未来现金流量按照市场上具有可比信用等级并在相同条件下提供几</w:t>
      </w:r>
      <w:r>
        <w:rPr/>
        <w:t> 乎相同现金流量的利率进行折现后的现值确定其公允价值。</w:t>
      </w:r>
    </w:p>
    <w:p>
      <w:pPr>
        <w:pStyle w:val="BodyText"/>
        <w:spacing w:line="240" w:lineRule="auto" w:before="18"/>
        <w:ind w:left="514" w:right="182"/>
        <w:jc w:val="left"/>
      </w:pPr>
      <w:r>
        <w:rPr/>
        <w:t>②于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日，本集团无以公允价值计量的金融工具</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rFonts w:ascii="Times New Roman" w:hAnsi="Times New Roman" w:cs="Times New Roman" w:eastAsia="Times New Roman" w:hint="default"/>
          <w:spacing w:val="18"/>
        </w:rPr>
        <w:t> </w:t>
      </w:r>
      <w:r>
        <w:rPr/>
        <w:t>日：无</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4"/>
          <w:szCs w:val="24"/>
        </w:rPr>
      </w:pPr>
    </w:p>
    <w:p>
      <w:pPr>
        <w:pStyle w:val="Heading2"/>
        <w:spacing w:line="240" w:lineRule="auto"/>
        <w:ind w:right="182"/>
        <w:jc w:val="left"/>
        <w:rPr>
          <w:b w:val="0"/>
          <w:bCs w:val="0"/>
        </w:rPr>
      </w:pP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2"/>
        <w:jc w:val="left"/>
        <w:rPr>
          <w:b w:val="0"/>
          <w:bCs w:val="0"/>
        </w:rPr>
      </w:pPr>
      <w:r>
        <w:rPr/>
        <w:pict>
          <v:group style="position:absolute;margin-left:296.100006pt;margin-top:67.014069pt;width:78.1pt;height:20.7pt;mso-position-horizontal-relative:page;mso-position-vertical-relative:paragraph;z-index:-1128832" coordorigin="5922,1340" coordsize="1562,414">
            <v:group style="position:absolute;left:5933;top:1352;width:2;height:392" coordorigin="5933,1352" coordsize="2,392">
              <v:shape style="position:absolute;left:5933;top:1352;width:2;height:392" coordorigin="5933,1352" coordsize="0,392" path="m5933,1352l5933,1743e" filled="false" stroked="true" strokeweight="1.140pt" strokecolor="#ffffff">
                <v:path arrowok="t"/>
              </v:shape>
            </v:group>
            <v:group style="position:absolute;left:5945;top:1350;width:1539;height:393" coordorigin="5945,1350" coordsize="1539,393">
              <v:shape style="position:absolute;left:5945;top:1350;width:1539;height:393" coordorigin="5945,1350" coordsize="1539,393" path="m5945,1743l7483,1743,7483,1350,5945,1350,5945,1743xe" filled="true" fillcolor="#ffffff" stroked="false">
                <v:path arrowok="t"/>
                <v:fill type="solid"/>
              </v:shape>
            </v:group>
            <w10:wrap type="none"/>
          </v:group>
        </w:pict>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7"/>
              <w:jc w:val="center"/>
              <w:rPr>
                <w:rFonts w:ascii="宋体" w:hAnsi="宋体" w:cs="宋体" w:eastAsia="宋体" w:hint="default"/>
                <w:sz w:val="18"/>
                <w:szCs w:val="18"/>
              </w:rPr>
            </w:pPr>
            <w:r>
              <w:rPr>
                <w:rFonts w:ascii="宋体" w:hAnsi="宋体" w:cs="宋体" w:eastAsia="宋体" w:hint="default"/>
                <w:sz w:val="18"/>
                <w:szCs w:val="18"/>
              </w:rPr>
              <w:t>寿光晨鸣控股有限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寿光市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33"/>
              <w:jc w:val="center"/>
              <w:rPr>
                <w:rFonts w:ascii="宋体" w:hAnsi="宋体" w:cs="宋体" w:eastAsia="宋体" w:hint="default"/>
                <w:sz w:val="18"/>
                <w:szCs w:val="18"/>
              </w:rPr>
            </w:pPr>
            <w:r>
              <w:rPr>
                <w:rFonts w:ascii="宋体" w:hAnsi="宋体" w:cs="宋体" w:eastAsia="宋体" w:hint="default"/>
                <w:sz w:val="18"/>
                <w:szCs w:val="18"/>
              </w:rPr>
              <w:t>对造纸</w:t>
            </w:r>
            <w:r>
              <w:rPr>
                <w:rFonts w:ascii="宋体" w:hAnsi="宋体" w:cs="宋体" w:eastAsia="宋体" w:hint="default"/>
                <w:spacing w:val="-87"/>
                <w:sz w:val="18"/>
                <w:szCs w:val="18"/>
              </w:rPr>
              <w:t>，</w:t>
            </w:r>
            <w:r>
              <w:rPr>
                <w:rFonts w:ascii="宋体" w:hAnsi="宋体" w:cs="宋体" w:eastAsia="宋体" w:hint="default"/>
                <w:sz w:val="18"/>
                <w:szCs w:val="18"/>
              </w:rPr>
              <w:t>电力</w:t>
            </w:r>
            <w:r>
              <w:rPr>
                <w:rFonts w:ascii="宋体" w:hAnsi="宋体" w:cs="宋体" w:eastAsia="宋体" w:hint="default"/>
                <w:spacing w:val="-86"/>
                <w:sz w:val="18"/>
                <w:szCs w:val="18"/>
              </w:rPr>
              <w:t>，</w:t>
            </w:r>
            <w:r>
              <w:rPr>
                <w:rFonts w:ascii="宋体" w:hAnsi="宋体" w:cs="宋体" w:eastAsia="宋体" w:hint="default"/>
                <w:sz w:val="18"/>
                <w:szCs w:val="18"/>
              </w:rPr>
              <w:t>热力</w:t>
            </w:r>
            <w:r>
              <w:rPr>
                <w:rFonts w:ascii="宋体" w:hAnsi="宋体" w:cs="宋体" w:eastAsia="宋体" w:hint="default"/>
                <w:spacing w:val="-35"/>
                <w:sz w:val="18"/>
                <w:szCs w:val="18"/>
              </w:rPr>
              <w:t>，</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168,542.00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15.13%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5" w:right="0"/>
              <w:jc w:val="left"/>
              <w:rPr>
                <w:rFonts w:ascii="Times New Roman" w:hAnsi="Times New Roman" w:cs="Times New Roman" w:eastAsia="Times New Roman" w:hint="default"/>
                <w:sz w:val="18"/>
                <w:szCs w:val="18"/>
              </w:rPr>
            </w:pPr>
            <w:r>
              <w:rPr>
                <w:rFonts w:ascii="Times New Roman"/>
                <w:sz w:val="18"/>
              </w:rPr>
              <w:t>15.13%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4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林业项目投资</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514" w:right="147"/>
        <w:jc w:val="left"/>
      </w:pPr>
      <w:r>
        <w:rPr/>
        <w:t>注：本企业最终控制方是寿光市国有资产监督管理办公室。</w:t>
      </w:r>
    </w:p>
    <w:p>
      <w:pPr>
        <w:spacing w:line="240" w:lineRule="auto" w:before="11"/>
        <w:rPr>
          <w:rFonts w:ascii="宋体" w:hAnsi="宋体" w:cs="宋体" w:eastAsia="宋体" w:hint="default"/>
          <w:sz w:val="26"/>
          <w:szCs w:val="26"/>
        </w:rPr>
      </w:pPr>
    </w:p>
    <w:p>
      <w:pPr>
        <w:pStyle w:val="Heading4"/>
        <w:spacing w:line="240" w:lineRule="auto"/>
        <w:ind w:right="147"/>
        <w:jc w:val="left"/>
        <w:rPr>
          <w:b w:val="0"/>
          <w:bCs w:val="0"/>
        </w:rPr>
      </w:pPr>
      <w:r>
        <w:rPr>
          <w:rFonts w:ascii="Times New Roman" w:hAnsi="Times New Roman" w:cs="Times New Roman" w:eastAsia="Times New Roman" w:hint="default"/>
        </w:rPr>
        <w:t>2</w:t>
      </w:r>
      <w:r>
        <w:rPr/>
        <w:t>、本公司的子公司情况</w:t>
      </w:r>
      <w:r>
        <w:rPr>
          <w:b w:val="0"/>
          <w:bCs w:val="0"/>
        </w:rPr>
      </w:r>
    </w:p>
    <w:p>
      <w:pPr>
        <w:spacing w:line="240" w:lineRule="auto" w:before="9"/>
        <w:rPr>
          <w:rFonts w:ascii="宋体" w:hAnsi="宋体" w:cs="宋体" w:eastAsia="宋体" w:hint="default"/>
          <w:b/>
          <w:bCs/>
          <w:sz w:val="26"/>
          <w:szCs w:val="26"/>
        </w:rPr>
      </w:pPr>
    </w:p>
    <w:tbl>
      <w:tblPr>
        <w:tblW w:w="0" w:type="auto"/>
        <w:jc w:val="left"/>
        <w:tblInd w:w="137" w:type="dxa"/>
        <w:tblLayout w:type="fixed"/>
        <w:tblCellMar>
          <w:top w:w="0" w:type="dxa"/>
          <w:left w:w="0" w:type="dxa"/>
          <w:bottom w:w="0" w:type="dxa"/>
          <w:right w:w="0" w:type="dxa"/>
        </w:tblCellMar>
        <w:tblLook w:val="01E0"/>
      </w:tblPr>
      <w:tblGrid>
        <w:gridCol w:w="3840"/>
        <w:gridCol w:w="2909"/>
        <w:gridCol w:w="2909"/>
      </w:tblGrid>
      <w:tr>
        <w:trPr>
          <w:trHeight w:val="335" w:hRule="exact"/>
        </w:trPr>
        <w:tc>
          <w:tcPr>
            <w:tcW w:w="384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1101" w:right="0"/>
              <w:jc w:val="left"/>
              <w:rPr>
                <w:rFonts w:ascii="宋体" w:hAnsi="宋体" w:cs="宋体" w:eastAsia="宋体" w:hint="default"/>
                <w:sz w:val="18"/>
                <w:szCs w:val="18"/>
              </w:rPr>
            </w:pPr>
            <w:r>
              <w:rPr>
                <w:rFonts w:ascii="宋体" w:hAnsi="宋体" w:cs="宋体" w:eastAsia="宋体" w:hint="default"/>
                <w:sz w:val="18"/>
                <w:szCs w:val="18"/>
              </w:rPr>
              <w:t>对子公司投资的情况</w:t>
            </w:r>
          </w:p>
        </w:tc>
        <w:tc>
          <w:tcPr>
            <w:tcW w:w="290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90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非上市股份，按成本计量</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12,363,272,557.45</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8,775,732,395.17</w:t>
            </w:r>
          </w:p>
        </w:tc>
      </w:tr>
      <w:tr>
        <w:trPr>
          <w:trHeight w:val="347"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12,363,272,557.45</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8,775,732,395.17</w:t>
            </w:r>
          </w:p>
        </w:tc>
      </w:tr>
      <w:tr>
        <w:trPr>
          <w:trHeight w:val="347"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减：减值</w:t>
            </w:r>
          </w:p>
        </w:tc>
        <w:tc>
          <w:tcPr>
            <w:tcW w:w="2909" w:type="dxa"/>
            <w:tcBorders>
              <w:top w:val="single" w:sz="6" w:space="0" w:color="000000"/>
              <w:left w:val="single" w:sz="6" w:space="0" w:color="000000"/>
              <w:bottom w:val="single" w:sz="6" w:space="0" w:color="000000"/>
              <w:right w:val="single" w:sz="6" w:space="0" w:color="000000"/>
            </w:tcBorders>
          </w:tcPr>
          <w:p>
            <w:pPr/>
          </w:p>
        </w:tc>
        <w:tc>
          <w:tcPr>
            <w:tcW w:w="290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减值后合计</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12,363,272,557.45</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8,775,732,395.17</w:t>
            </w:r>
          </w:p>
        </w:tc>
      </w:tr>
      <w:tr>
        <w:trPr>
          <w:trHeight w:val="348"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上市股份的市值</w:t>
            </w:r>
          </w:p>
        </w:tc>
        <w:tc>
          <w:tcPr>
            <w:tcW w:w="2909" w:type="dxa"/>
            <w:tcBorders>
              <w:top w:val="single" w:sz="6" w:space="0" w:color="000000"/>
              <w:left w:val="single" w:sz="6" w:space="0" w:color="000000"/>
              <w:bottom w:val="single" w:sz="6" w:space="0" w:color="000000"/>
              <w:right w:val="single" w:sz="6" w:space="0" w:color="000000"/>
            </w:tcBorders>
          </w:tcPr>
          <w:p>
            <w:pPr/>
          </w:p>
        </w:tc>
        <w:tc>
          <w:tcPr>
            <w:tcW w:w="290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10"/>
        <w:ind w:right="131" w:firstLine="359"/>
        <w:jc w:val="both"/>
      </w:pPr>
      <w:r>
        <w:rPr>
          <w:spacing w:val="18"/>
        </w:rPr>
        <w:t>本公司流动资产和流动负债中的应收和应付子公司金额分别为人民币</w:t>
      </w:r>
      <w:r>
        <w:rPr>
          <w:spacing w:val="28"/>
        </w:rPr>
        <w:t> </w:t>
      </w:r>
      <w:r>
        <w:rPr>
          <w:rFonts w:ascii="Times New Roman" w:hAnsi="Times New Roman" w:cs="Times New Roman" w:eastAsia="Times New Roman" w:hint="default"/>
        </w:rPr>
        <w:t>12,338,483,627.78</w:t>
      </w:r>
      <w:r>
        <w:rPr>
          <w:rFonts w:ascii="Times New Roman" w:hAnsi="Times New Roman" w:cs="Times New Roman" w:eastAsia="Times New Roman" w:hint="default"/>
          <w:spacing w:val="7"/>
        </w:rPr>
        <w:t> </w:t>
      </w:r>
      <w:r>
        <w:rPr>
          <w:spacing w:val="9"/>
        </w:rPr>
        <w:t>元（</w:t>
      </w:r>
      <w:r>
        <w:rPr>
          <w:spacing w:val="-7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5"/>
        </w:rPr>
        <w:t> </w:t>
      </w:r>
      <w:r>
        <w:rPr>
          <w:spacing w:val="15"/>
        </w:rPr>
        <w:t>年：人民币</w:t>
      </w:r>
      <w:r>
        <w:rPr>
          <w:spacing w:val="-71"/>
        </w:rPr>
        <w:t> </w:t>
      </w:r>
      <w:r>
        <w:rPr>
          <w:rFonts w:ascii="Times New Roman" w:hAnsi="Times New Roman" w:cs="Times New Roman" w:eastAsia="Times New Roman" w:hint="default"/>
        </w:rPr>
        <w:t>14,203,898,558.39</w:t>
      </w:r>
      <w:r>
        <w:rPr/>
        <w:t>元）和人民币</w:t>
      </w:r>
      <w:r>
        <w:rPr>
          <w:rFonts w:ascii="Times New Roman" w:hAnsi="Times New Roman" w:cs="Times New Roman" w:eastAsia="Times New Roman" w:hint="default"/>
        </w:rPr>
        <w:t>3,749,941,955.50 </w:t>
      </w:r>
      <w:r>
        <w:rPr/>
        <w:t>元（</w:t>
      </w:r>
      <w:r>
        <w:rPr>
          <w:rFonts w:ascii="Times New Roman" w:hAnsi="Times New Roman" w:cs="Times New Roman" w:eastAsia="Times New Roman" w:hint="default"/>
        </w:rPr>
        <w:t>2013</w:t>
      </w:r>
      <w:r>
        <w:rPr/>
        <w:t>年：人民币</w:t>
      </w:r>
      <w:r>
        <w:rPr>
          <w:rFonts w:ascii="Times New Roman" w:hAnsi="Times New Roman" w:cs="Times New Roman" w:eastAsia="Times New Roman" w:hint="default"/>
        </w:rPr>
        <w:t>326,540,175.68</w:t>
      </w:r>
      <w:r>
        <w:rPr/>
        <w:t>元），此类款项均无担保，不带息，并</w:t>
      </w:r>
      <w:r>
        <w:rPr>
          <w:spacing w:val="-54"/>
        </w:rPr>
        <w:t> </w:t>
      </w:r>
      <w:r>
        <w:rPr>
          <w:spacing w:val="-54"/>
        </w:rPr>
      </w:r>
      <w:r>
        <w:rPr/>
        <w:t>且随时须偿付或一年内到期。</w:t>
      </w:r>
    </w:p>
    <w:p>
      <w:pPr>
        <w:pStyle w:val="BodyText"/>
        <w:spacing w:line="240" w:lineRule="auto" w:before="31"/>
        <w:ind w:left="514" w:right="147"/>
        <w:jc w:val="left"/>
      </w:pPr>
      <w:r>
        <w:rPr/>
        <w:t>详见附注九、</w:t>
      </w:r>
      <w:r>
        <w:rPr>
          <w:rFonts w:ascii="Times New Roman" w:hAnsi="Times New Roman" w:cs="Times New Roman" w:eastAsia="Times New Roman" w:hint="default"/>
        </w:rPr>
        <w:t>1</w:t>
      </w:r>
      <w:r>
        <w:rPr/>
        <w:t>、在子公司中的权益。</w:t>
      </w:r>
    </w:p>
    <w:p>
      <w:pPr>
        <w:spacing w:line="240" w:lineRule="auto" w:before="12"/>
        <w:rPr>
          <w:rFonts w:ascii="宋体" w:hAnsi="宋体" w:cs="宋体" w:eastAsia="宋体" w:hint="default"/>
          <w:sz w:val="25"/>
          <w:szCs w:val="25"/>
        </w:rPr>
      </w:pPr>
    </w:p>
    <w:p>
      <w:pPr>
        <w:pStyle w:val="Heading4"/>
        <w:spacing w:line="240" w:lineRule="auto"/>
        <w:ind w:right="147"/>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10"/>
        <w:jc w:val="left"/>
      </w:pPr>
      <w:r>
        <w:rPr/>
        <w:t>本企业重要的合营或联营企业详见附注九、</w:t>
      </w:r>
      <w:r>
        <w:rPr>
          <w:rFonts w:ascii="Times New Roman" w:hAnsi="Times New Roman" w:cs="Times New Roman" w:eastAsia="Times New Roman" w:hint="default"/>
        </w:rPr>
        <w:t>3</w:t>
      </w:r>
      <w:r>
        <w:rPr/>
        <w:t>、在合营安排或联营企业中的权益。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安徽时代物资股份有限公司</w:t>
            </w:r>
          </w:p>
        </w:tc>
        <w:tc>
          <w:tcPr>
            <w:tcW w:w="478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9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本公司之联营企业</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寿光市恒泰企业投资限公司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公司高级管理人员投资之公司</w:t>
            </w:r>
          </w:p>
        </w:tc>
      </w:tr>
    </w:tbl>
    <w:p>
      <w:pPr>
        <w:pStyle w:val="BodyText"/>
        <w:spacing w:line="300" w:lineRule="auto" w:before="10"/>
        <w:ind w:left="153" w:right="150" w:firstLine="360"/>
        <w:jc w:val="both"/>
      </w:pPr>
      <w:r>
        <w:rPr>
          <w:spacing w:val="-2"/>
        </w:rPr>
        <w:t>寿光市恒泰企业投资限公司（以下简称</w:t>
      </w:r>
      <w:r>
        <w:rPr>
          <w:rFonts w:ascii="Times New Roman" w:hAnsi="Times New Roman" w:cs="Times New Roman" w:eastAsia="Times New Roman" w:hint="default"/>
          <w:spacing w:val="-2"/>
        </w:rPr>
        <w:t>“</w:t>
      </w:r>
      <w:r>
        <w:rPr>
          <w:spacing w:val="-2"/>
        </w:rPr>
        <w:t>恒泰企业</w:t>
      </w:r>
      <w:r>
        <w:rPr>
          <w:rFonts w:ascii="Times New Roman" w:hAnsi="Times New Roman" w:cs="Times New Roman" w:eastAsia="Times New Roman" w:hint="default"/>
          <w:spacing w:val="-2"/>
        </w:rPr>
        <w:t>”</w:t>
      </w:r>
      <w:r>
        <w:rPr>
          <w:spacing w:val="-2"/>
        </w:rPr>
        <w:t>）为公司部分董事、监事及高管共同控制的公司，公司董事长兼总经</w:t>
      </w:r>
      <w:r>
        <w:rPr/>
        <w:t> 理陈洪国先生持有恒泰企业</w:t>
      </w:r>
      <w:r>
        <w:rPr>
          <w:rFonts w:ascii="Times New Roman" w:hAnsi="Times New Roman" w:cs="Times New Roman" w:eastAsia="Times New Roman" w:hint="default"/>
        </w:rPr>
        <w:t>58.27%</w:t>
      </w:r>
      <w:r>
        <w:rPr/>
        <w:t>的股权，副董事长尹同远先生、监事会主席高俊杰先生、副总经理李雪芹女士等公司董</w:t>
      </w:r>
      <w:r>
        <w:rPr>
          <w:spacing w:val="-25"/>
        </w:rPr>
        <w:t> </w:t>
      </w:r>
      <w:r>
        <w:rPr>
          <w:spacing w:val="-25"/>
        </w:rPr>
      </w:r>
      <w:r>
        <w:rPr/>
        <w:t>事、监事及高管合计持有恒泰企业</w:t>
      </w:r>
      <w:r>
        <w:rPr>
          <w:rFonts w:ascii="Times New Roman" w:hAnsi="Times New Roman" w:cs="Times New Roman" w:eastAsia="Times New Roman" w:hint="default"/>
        </w:rPr>
        <w:t>37.15%</w:t>
      </w:r>
      <w:r>
        <w:rPr/>
        <w:t>的股权。</w:t>
      </w:r>
    </w:p>
    <w:p>
      <w:pPr>
        <w:spacing w:line="240" w:lineRule="auto" w:before="1"/>
        <w:rPr>
          <w:rFonts w:ascii="宋体" w:hAnsi="宋体" w:cs="宋体" w:eastAsia="宋体" w:hint="default"/>
          <w:sz w:val="22"/>
          <w:szCs w:val="22"/>
        </w:rPr>
      </w:pPr>
    </w:p>
    <w:p>
      <w:pPr>
        <w:pStyle w:val="Heading4"/>
        <w:spacing w:line="240" w:lineRule="auto"/>
        <w:ind w:right="147"/>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7"/>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安徽时代物资股份有限公司</w:t>
            </w:r>
          </w:p>
        </w:tc>
        <w:tc>
          <w:tcPr>
            <w:tcW w:w="225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销售纸张</w:t>
            </w:r>
          </w:p>
        </w:tc>
        <w:tc>
          <w:tcPr>
            <w:tcW w:w="226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left="1101" w:right="0"/>
              <w:jc w:val="left"/>
              <w:rPr>
                <w:rFonts w:ascii="Times New Roman" w:hAnsi="Times New Roman" w:cs="Times New Roman" w:eastAsia="Times New Roman" w:hint="default"/>
                <w:sz w:val="18"/>
                <w:szCs w:val="18"/>
              </w:rPr>
            </w:pPr>
            <w:r>
              <w:rPr>
                <w:rFonts w:ascii="Times New Roman"/>
                <w:sz w:val="18"/>
              </w:rPr>
              <w:t>291,246,150.87</w:t>
            </w:r>
          </w:p>
        </w:tc>
        <w:tc>
          <w:tcPr>
            <w:tcW w:w="265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left="1583" w:right="0"/>
              <w:jc w:val="left"/>
              <w:rPr>
                <w:rFonts w:ascii="Times New Roman" w:hAnsi="Times New Roman" w:cs="Times New Roman" w:eastAsia="Times New Roman" w:hint="default"/>
                <w:sz w:val="18"/>
                <w:szCs w:val="18"/>
              </w:rPr>
            </w:pPr>
            <w:r>
              <w:rPr>
                <w:rFonts w:ascii="Times New Roman"/>
                <w:sz w:val="18"/>
              </w:rPr>
              <w:t>21,522,365.71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7"/>
        <w:jc w:val="left"/>
      </w:pPr>
      <w:r>
        <w:rPr/>
        <w:t>本公司作为担保方</w:t>
      </w:r>
    </w:p>
    <w:p>
      <w:pPr>
        <w:pStyle w:val="BodyText"/>
        <w:spacing w:line="240" w:lineRule="auto" w:before="116"/>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729"/>
        <w:gridCol w:w="1919"/>
        <w:gridCol w:w="1919"/>
        <w:gridCol w:w="1921"/>
        <w:gridCol w:w="1206"/>
      </w:tblGrid>
      <w:tr>
        <w:trPr>
          <w:trHeight w:val="714" w:hRule="exact"/>
        </w:trPr>
        <w:tc>
          <w:tcPr>
            <w:tcW w:w="2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7" w:right="56" w:hanging="180"/>
              <w:jc w:val="left"/>
              <w:rPr>
                <w:rFonts w:ascii="宋体" w:hAnsi="宋体" w:cs="宋体" w:eastAsia="宋体" w:hint="default"/>
                <w:sz w:val="18"/>
                <w:szCs w:val="18"/>
              </w:rPr>
            </w:pPr>
            <w:r>
              <w:rPr>
                <w:rFonts w:ascii="宋体" w:hAnsi="宋体" w:cs="宋体" w:eastAsia="宋体" w:hint="default"/>
                <w:sz w:val="18"/>
                <w:szCs w:val="18"/>
              </w:rPr>
              <w:t>担保是否已经 履行完毕</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98,933,492.53</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77,666,655.26</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73,428,000.00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61,190,000.00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183,570,000.00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30,595,000.00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122,380,000.00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30,278,617.11</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2729"/>
        <w:gridCol w:w="1919"/>
        <w:gridCol w:w="1919"/>
        <w:gridCol w:w="1921"/>
        <w:gridCol w:w="1206"/>
      </w:tblGrid>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170,103,892.31</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299,969,833.28</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452,835,657.90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499,996,395.80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500,253,680.46</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77,099,400.00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451,582,200.00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38,063,085.91</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61,190,000.00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122,380,000.00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50,298,180.00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47,314,422.94</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46,932,423.68</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47,483,440.00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184,732,610.00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77,772,490.00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219,978,050.00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98,709,414.81</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201,927,000.00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185,956,410.00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212,941,200.00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186,629,500.00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91,785,000.00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183,570,000.00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2729"/>
        <w:gridCol w:w="1919"/>
        <w:gridCol w:w="1919"/>
        <w:gridCol w:w="1921"/>
        <w:gridCol w:w="1206"/>
      </w:tblGrid>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77,099,400.00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142,450,320.00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283,126,130.00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275,355,000.00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182,835,720.00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111,365,800.00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124,093,320.00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189,383,050.00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146,856,000.00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184,100,309.25</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339,604,500.00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广东慧锐投资有限公司</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3</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546"/>
        <w:gridCol w:w="1441"/>
        <w:gridCol w:w="1801"/>
        <w:gridCol w:w="1799"/>
        <w:gridCol w:w="2106"/>
      </w:tblGrid>
      <w:tr>
        <w:trPr>
          <w:trHeight w:val="402" w:hRule="exact"/>
        </w:trPr>
        <w:tc>
          <w:tcPr>
            <w:tcW w:w="2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2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7" w:hRule="exact"/>
        </w:trPr>
        <w:tc>
          <w:tcPr>
            <w:tcW w:w="96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7" w:hRule="exact"/>
        </w:trPr>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714" w:hRule="exact"/>
        </w:trPr>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按约定本公司应承担的房 地产开发款项</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4</w:t>
      </w:r>
      <w:r>
        <w:rPr/>
        <w:t>）关键管理人员报酬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47"/>
        <w:jc w:val="left"/>
      </w:pPr>
      <w:r>
        <w:rPr/>
        <w:t>①关键管理人员报酬分布区间</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4777"/>
        <w:gridCol w:w="2447"/>
        <w:gridCol w:w="2434"/>
      </w:tblGrid>
      <w:tr>
        <w:trPr>
          <w:trHeight w:val="330" w:hRule="exact"/>
        </w:trPr>
        <w:tc>
          <w:tcPr>
            <w:tcW w:w="47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年度报酬区间</w:t>
            </w:r>
          </w:p>
        </w:tc>
        <w:tc>
          <w:tcPr>
            <w:tcW w:w="244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4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63"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6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2,283.78</w:t>
            </w:r>
            <w:r>
              <w:rPr>
                <w:rFonts w:ascii="宋体" w:hAnsi="宋体" w:cs="宋体" w:eastAsia="宋体" w:hint="default"/>
                <w:sz w:val="18"/>
                <w:szCs w:val="18"/>
              </w:rPr>
              <w:t>万元</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2,555.00</w:t>
            </w:r>
            <w:r>
              <w:rPr>
                <w:rFonts w:ascii="宋体" w:hAnsi="宋体" w:cs="宋体" w:eastAsia="宋体" w:hint="default"/>
                <w:sz w:val="18"/>
                <w:szCs w:val="18"/>
              </w:rPr>
              <w:t>万元</w:t>
            </w:r>
          </w:p>
        </w:tc>
      </w:tr>
      <w:tr>
        <w:trPr>
          <w:trHeight w:val="348"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其中：（各金额区间人数）</w:t>
            </w:r>
          </w:p>
        </w:tc>
        <w:tc>
          <w:tcPr>
            <w:tcW w:w="2447"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w:t>
            </w:r>
            <w:r>
              <w:rPr>
                <w:rFonts w:ascii="宋体" w:hAnsi="宋体" w:cs="宋体" w:eastAsia="宋体" w:hint="default"/>
                <w:sz w:val="18"/>
                <w:szCs w:val="18"/>
              </w:rPr>
              <w:t>～</w:t>
            </w:r>
            <w:r>
              <w:rPr>
                <w:rFonts w:ascii="Times New Roman" w:hAnsi="Times New Roman" w:cs="Times New Roman" w:eastAsia="Times New Roman" w:hint="default"/>
                <w:sz w:val="18"/>
                <w:szCs w:val="18"/>
              </w:rPr>
              <w:t>520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w:t>
            </w:r>
            <w:r>
              <w:rPr>
                <w:rFonts w:ascii="Times New Roman" w:hAnsi="Times New Roman" w:cs="Times New Roman" w:eastAsia="Times New Roman" w:hint="default"/>
                <w:sz w:val="18"/>
                <w:szCs w:val="18"/>
              </w:rPr>
              <w:t>400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w:t>
            </w:r>
            <w:r>
              <w:rPr>
                <w:rFonts w:ascii="宋体" w:hAnsi="宋体" w:cs="宋体" w:eastAsia="宋体" w:hint="default"/>
                <w:sz w:val="18"/>
                <w:szCs w:val="18"/>
              </w:rPr>
              <w:t>～</w:t>
            </w:r>
            <w:r>
              <w:rPr>
                <w:rFonts w:ascii="Times New Roman" w:hAnsi="Times New Roman" w:cs="Times New Roman" w:eastAsia="Times New Roman" w:hint="default"/>
                <w:sz w:val="18"/>
                <w:szCs w:val="18"/>
              </w:rPr>
              <w:t>320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w:t>
            </w:r>
            <w:r>
              <w:rPr>
                <w:rFonts w:ascii="Times New Roman" w:hAnsi="Times New Roman" w:cs="Times New Roman" w:eastAsia="Times New Roman" w:hint="default"/>
                <w:sz w:val="18"/>
                <w:szCs w:val="18"/>
              </w:rPr>
              <w:t>280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r>
      <w:tr>
        <w:trPr>
          <w:trHeight w:val="348"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w:t>
            </w:r>
            <w:r>
              <w:rPr>
                <w:rFonts w:ascii="Times New Roman" w:hAnsi="Times New Roman" w:cs="Times New Roman" w:eastAsia="Times New Roman" w:hint="default"/>
                <w:sz w:val="18"/>
                <w:szCs w:val="18"/>
              </w:rPr>
              <w:t>240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宋体" w:hAnsi="宋体" w:cs="宋体" w:eastAsia="宋体" w:hint="default"/>
                <w:sz w:val="18"/>
                <w:szCs w:val="18"/>
              </w:rPr>
              <w:t>～</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160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120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r>
      <w:tr>
        <w:trPr>
          <w:trHeight w:val="348"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万元以下</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603" w:right="147"/>
        <w:jc w:val="left"/>
      </w:pPr>
      <w:r>
        <w:rPr/>
        <w:t>②关键管理人员报酬明细</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3721"/>
        <w:gridCol w:w="1451"/>
        <w:gridCol w:w="1334"/>
        <w:gridCol w:w="1878"/>
        <w:gridCol w:w="1273"/>
      </w:tblGrid>
      <w:tr>
        <w:trPr>
          <w:trHeight w:val="347" w:hRule="exact"/>
        </w:trPr>
        <w:tc>
          <w:tcPr>
            <w:tcW w:w="3721"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关键管理人员</w:t>
            </w:r>
          </w:p>
        </w:tc>
        <w:tc>
          <w:tcPr>
            <w:tcW w:w="4663" w:type="dxa"/>
            <w:gridSpan w:val="3"/>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273"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3721" w:type="dxa"/>
            <w:vMerge/>
            <w:tcBorders>
              <w:left w:val="single" w:sz="6" w:space="0" w:color="000000"/>
              <w:bottom w:val="single" w:sz="6" w:space="0" w:color="000000"/>
              <w:right w:val="single" w:sz="6" w:space="0" w:color="000000"/>
            </w:tcBorders>
            <w:shd w:val="clear" w:color="auto" w:fill="CCCCCC"/>
          </w:tcPr>
          <w:p>
            <w:pPr/>
          </w:p>
        </w:tc>
        <w:tc>
          <w:tcPr>
            <w:tcW w:w="145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99" w:right="0"/>
              <w:jc w:val="left"/>
              <w:rPr>
                <w:rFonts w:ascii="宋体" w:hAnsi="宋体" w:cs="宋体" w:eastAsia="宋体" w:hint="default"/>
                <w:sz w:val="18"/>
                <w:szCs w:val="18"/>
              </w:rPr>
            </w:pPr>
            <w:r>
              <w:rPr>
                <w:rFonts w:ascii="宋体" w:hAnsi="宋体" w:cs="宋体" w:eastAsia="宋体" w:hint="default"/>
                <w:sz w:val="18"/>
                <w:szCs w:val="18"/>
              </w:rPr>
              <w:t>年薪</w:t>
            </w:r>
          </w:p>
        </w:tc>
        <w:tc>
          <w:tcPr>
            <w:tcW w:w="13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00"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18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273" w:type="dxa"/>
            <w:vMerge/>
            <w:tcBorders>
              <w:left w:val="single" w:sz="6" w:space="0" w:color="000000"/>
              <w:bottom w:val="single" w:sz="6" w:space="0" w:color="000000"/>
              <w:right w:val="single" w:sz="6" w:space="0" w:color="000000"/>
            </w:tcBorders>
            <w:shd w:val="clear" w:color="auto" w:fill="CCCCCC"/>
          </w:tcPr>
          <w:p>
            <w:pPr/>
          </w:p>
        </w:tc>
      </w:tr>
      <w:tr>
        <w:trPr>
          <w:trHeight w:val="348"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张志远</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独立非执行董事小计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20.00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崔友平</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1.67</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1.67</w:t>
            </w:r>
          </w:p>
        </w:tc>
      </w:tr>
      <w:tr>
        <w:trPr>
          <w:trHeight w:val="348"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3.33</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3.33</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非执行董事小计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494.57</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3.82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1.61</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294.57</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3.82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1.61</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300.00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李峰</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112.31</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3.82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1.61</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117.74</w:t>
            </w:r>
          </w:p>
        </w:tc>
      </w:tr>
      <w:tr>
        <w:trPr>
          <w:trHeight w:val="348"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133.58</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3.82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1.61</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139.01</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48.89</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3.82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1.61</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54.32</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105.99</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109.25</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执行董事小计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1,189.91</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20.72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9.69</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1,220.32</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32.41</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3.82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1.61</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37.84</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王菊</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4.99</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1.09</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8.66</w:t>
            </w:r>
          </w:p>
        </w:tc>
      </w:tr>
      <w:tr>
        <w:trPr>
          <w:trHeight w:val="348"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15.42</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1.02</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18.86</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尹启祥</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郭光耀</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监事合计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57.82</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8.82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3.72</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70.36</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其他高级管理人员小计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942.31</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14.62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6.17</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963.10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2,220.04</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44.16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19.58</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2,283.78</w:t>
            </w:r>
          </w:p>
        </w:tc>
      </w:tr>
      <w:tr>
        <w:trPr>
          <w:trHeight w:val="348" w:hRule="exact"/>
        </w:trPr>
        <w:tc>
          <w:tcPr>
            <w:tcW w:w="965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（续）</w:t>
            </w:r>
          </w:p>
        </w:tc>
      </w:tr>
      <w:tr>
        <w:trPr>
          <w:trHeight w:val="347" w:hRule="exact"/>
        </w:trPr>
        <w:tc>
          <w:tcPr>
            <w:tcW w:w="3721"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关键管理人员</w:t>
            </w:r>
          </w:p>
        </w:tc>
        <w:tc>
          <w:tcPr>
            <w:tcW w:w="4663" w:type="dxa"/>
            <w:gridSpan w:val="3"/>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上年数</w:t>
            </w:r>
          </w:p>
        </w:tc>
        <w:tc>
          <w:tcPr>
            <w:tcW w:w="1273"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3721" w:type="dxa"/>
            <w:vMerge/>
            <w:tcBorders>
              <w:left w:val="single" w:sz="6" w:space="0" w:color="000000"/>
              <w:bottom w:val="single" w:sz="6" w:space="0" w:color="000000"/>
              <w:right w:val="single" w:sz="6" w:space="0" w:color="000000"/>
            </w:tcBorders>
            <w:shd w:val="clear" w:color="auto" w:fill="CCCCCC"/>
          </w:tcPr>
          <w:p>
            <w:pPr/>
          </w:p>
        </w:tc>
        <w:tc>
          <w:tcPr>
            <w:tcW w:w="145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537" w:right="0"/>
              <w:jc w:val="left"/>
              <w:rPr>
                <w:rFonts w:ascii="宋体" w:hAnsi="宋体" w:cs="宋体" w:eastAsia="宋体" w:hint="default"/>
                <w:sz w:val="18"/>
                <w:szCs w:val="18"/>
              </w:rPr>
            </w:pPr>
            <w:r>
              <w:rPr>
                <w:rFonts w:ascii="宋体" w:hAnsi="宋体" w:cs="宋体" w:eastAsia="宋体" w:hint="default"/>
                <w:sz w:val="18"/>
                <w:szCs w:val="18"/>
              </w:rPr>
              <w:t>年薪</w:t>
            </w:r>
          </w:p>
        </w:tc>
        <w:tc>
          <w:tcPr>
            <w:tcW w:w="13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00"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18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273" w:type="dxa"/>
            <w:vMerge/>
            <w:tcBorders>
              <w:left w:val="single" w:sz="6" w:space="0" w:color="000000"/>
              <w:bottom w:val="single" w:sz="6" w:space="0" w:color="000000"/>
              <w:right w:val="single" w:sz="6" w:space="0" w:color="000000"/>
            </w:tcBorders>
            <w:shd w:val="clear" w:color="auto" w:fill="CCCCCC"/>
          </w:tcPr>
          <w:p>
            <w:pP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张志远</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8"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王玉玫</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2.08</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2.08</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王翔飞</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5.21</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5.21</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独立非执行董事小计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27.29</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27.29</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崔友平</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8"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王凤荣</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2.08</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3721"/>
        <w:gridCol w:w="1451"/>
        <w:gridCol w:w="1334"/>
        <w:gridCol w:w="1878"/>
        <w:gridCol w:w="1273"/>
      </w:tblGrid>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非执行董事小计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12.08</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12.08</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495.21</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500.00</w:t>
            </w:r>
          </w:p>
        </w:tc>
      </w:tr>
      <w:tr>
        <w:trPr>
          <w:trHeight w:val="348"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295.21</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300.00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李峰</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81.47</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86.26</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274.85</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279.64</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98.78</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103.57</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104.16</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4.29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1.38</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109.83</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谭道诚</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15.42</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20.21</w:t>
            </w:r>
          </w:p>
        </w:tc>
      </w:tr>
      <w:tr>
        <w:trPr>
          <w:trHeight w:val="348"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执行董事小计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1,365.10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24.39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10.02</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1,399.51</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34.49</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39.28</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王菊</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14.84</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2.69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1.15</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18.68</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14.19</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1.03</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17.62</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尹启祥</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郭光耀</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w:t>
            </w:r>
          </w:p>
        </w:tc>
      </w:tr>
      <w:tr>
        <w:trPr>
          <w:trHeight w:val="348"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监事合计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68.52</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8.44</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3.62</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80.58</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其他高级管理人员小计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1,006.80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8.64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1,035.54</w:t>
            </w:r>
          </w:p>
        </w:tc>
      </w:tr>
      <w:tr>
        <w:trPr>
          <w:trHeight w:val="342" w:hRule="exact"/>
        </w:trPr>
        <w:tc>
          <w:tcPr>
            <w:tcW w:w="372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2,479.79</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52.93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22.28</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2,555.00</w:t>
            </w:r>
          </w:p>
        </w:tc>
      </w:tr>
    </w:tbl>
    <w:p>
      <w:pPr>
        <w:pStyle w:val="BodyText"/>
        <w:spacing w:line="240" w:lineRule="auto" w:before="75"/>
        <w:ind w:left="514" w:right="147"/>
        <w:jc w:val="left"/>
      </w:pPr>
      <w:r>
        <w:rPr>
          <w:spacing w:val="4"/>
        </w:rPr>
        <w:t>③本集团年内前</w:t>
      </w:r>
      <w:r>
        <w:rPr>
          <w:rFonts w:ascii="Times New Roman" w:hAnsi="Times New Roman" w:cs="Times New Roman" w:eastAsia="Times New Roman" w:hint="default"/>
          <w:spacing w:val="4"/>
        </w:rPr>
        <w:t>5</w:t>
      </w:r>
      <w:r>
        <w:rPr>
          <w:spacing w:val="4"/>
        </w:rPr>
        <w:t>名最高薪酬委员包括本公司董事</w:t>
      </w:r>
      <w:r>
        <w:rPr>
          <w:rFonts w:ascii="Times New Roman" w:hAnsi="Times New Roman" w:cs="Times New Roman" w:eastAsia="Times New Roman" w:hint="default"/>
          <w:spacing w:val="4"/>
        </w:rPr>
        <w:t>2</w:t>
      </w:r>
      <w:r>
        <w:rPr>
          <w:spacing w:val="4"/>
        </w:rPr>
        <w:t>名和其他高级管理人员</w:t>
      </w:r>
      <w:r>
        <w:rPr>
          <w:rFonts w:ascii="Times New Roman" w:hAnsi="Times New Roman" w:cs="Times New Roman" w:eastAsia="Times New Roman" w:hint="default"/>
          <w:spacing w:val="4"/>
        </w:rPr>
        <w:t>3</w:t>
      </w:r>
      <w:r>
        <w:rPr>
          <w:spacing w:val="4"/>
        </w:rPr>
        <w:t>名，</w:t>
      </w:r>
      <w:r>
        <w:rPr>
          <w:rFonts w:ascii="Times New Roman" w:hAnsi="Times New Roman" w:cs="Times New Roman" w:eastAsia="Times New Roman" w:hint="default"/>
          <w:spacing w:val="4"/>
        </w:rPr>
        <w:t>3</w:t>
      </w:r>
      <w:r>
        <w:rPr>
          <w:spacing w:val="4"/>
        </w:rPr>
        <w:t>名高级管理人员的薪酬区间分别为</w:t>
      </w:r>
    </w:p>
    <w:p>
      <w:pPr>
        <w:pStyle w:val="BodyText"/>
        <w:spacing w:line="300" w:lineRule="auto" w:before="62"/>
        <w:ind w:left="514" w:right="5990" w:hanging="360"/>
        <w:jc w:val="left"/>
      </w:pPr>
      <w:r>
        <w:rPr>
          <w:rFonts w:ascii="Times New Roman" w:hAnsi="Times New Roman" w:cs="Times New Roman" w:eastAsia="Times New Roman" w:hint="default"/>
        </w:rPr>
        <w:t>320</w:t>
      </w:r>
      <w:r>
        <w:rPr/>
        <w:t>～</w:t>
      </w:r>
      <w:r>
        <w:rPr>
          <w:rFonts w:ascii="Times New Roman" w:hAnsi="Times New Roman" w:cs="Times New Roman" w:eastAsia="Times New Roman" w:hint="default"/>
        </w:rPr>
        <w:t>360</w:t>
      </w:r>
      <w:r>
        <w:rPr/>
        <w:t>万元，</w:t>
      </w:r>
      <w:r>
        <w:rPr>
          <w:rFonts w:ascii="Times New Roman" w:hAnsi="Times New Roman" w:cs="Times New Roman" w:eastAsia="Times New Roman" w:hint="default"/>
        </w:rPr>
        <w:t>160</w:t>
      </w:r>
      <w:r>
        <w:rPr/>
        <w:t>～</w:t>
      </w:r>
      <w:r>
        <w:rPr>
          <w:rFonts w:ascii="Times New Roman" w:hAnsi="Times New Roman" w:cs="Times New Roman" w:eastAsia="Times New Roman" w:hint="default"/>
        </w:rPr>
        <w:t>200</w:t>
      </w:r>
      <w:r>
        <w:rPr/>
        <w:t>万元和</w:t>
      </w:r>
      <w:r>
        <w:rPr>
          <w:rFonts w:ascii="Times New Roman" w:hAnsi="Times New Roman" w:cs="Times New Roman" w:eastAsia="Times New Roman" w:hint="default"/>
        </w:rPr>
        <w:t>120</w:t>
      </w:r>
      <w:r>
        <w:rPr/>
        <w:t>～</w:t>
      </w:r>
      <w:r>
        <w:rPr>
          <w:rFonts w:ascii="Times New Roman" w:hAnsi="Times New Roman" w:cs="Times New Roman" w:eastAsia="Times New Roman" w:hint="default"/>
        </w:rPr>
        <w:t>160</w:t>
      </w:r>
      <w:r>
        <w:rPr/>
        <w:t>万元。 </w:t>
      </w:r>
      <w:r>
        <w:rPr>
          <w:rFonts w:ascii="Times New Roman" w:hAnsi="Times New Roman" w:cs="Times New Roman" w:eastAsia="Times New Roman" w:hint="default"/>
        </w:rPr>
        <w:t>A.</w:t>
      </w:r>
      <w:r>
        <w:rPr/>
        <w:t>前</w:t>
      </w:r>
      <w:r>
        <w:rPr>
          <w:rFonts w:ascii="Times New Roman" w:hAnsi="Times New Roman" w:cs="Times New Roman" w:eastAsia="Times New Roman" w:hint="default"/>
        </w:rPr>
        <w:t>5</w:t>
      </w:r>
      <w:r>
        <w:rPr/>
        <w:t>名管理人员报酬</w:t>
      </w:r>
    </w:p>
    <w:tbl>
      <w:tblPr>
        <w:tblW w:w="0" w:type="auto"/>
        <w:jc w:val="left"/>
        <w:tblInd w:w="137" w:type="dxa"/>
        <w:tblLayout w:type="fixed"/>
        <w:tblCellMar>
          <w:top w:w="0" w:type="dxa"/>
          <w:left w:w="0" w:type="dxa"/>
          <w:bottom w:w="0" w:type="dxa"/>
          <w:right w:w="0" w:type="dxa"/>
        </w:tblCellMar>
        <w:tblLook w:val="01E0"/>
      </w:tblPr>
      <w:tblGrid>
        <w:gridCol w:w="4777"/>
        <w:gridCol w:w="2447"/>
        <w:gridCol w:w="2434"/>
      </w:tblGrid>
      <w:tr>
        <w:trPr>
          <w:trHeight w:val="348" w:hRule="exact"/>
        </w:trPr>
        <w:tc>
          <w:tcPr>
            <w:tcW w:w="47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4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7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本年数</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4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上年数</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年薪</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1,442.83</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1,581.36</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4.83</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4.32</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11.46</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10.05</w:t>
            </w:r>
          </w:p>
        </w:tc>
      </w:tr>
      <w:tr>
        <w:trPr>
          <w:trHeight w:val="343" w:hRule="exact"/>
        </w:trPr>
        <w:tc>
          <w:tcPr>
            <w:tcW w:w="47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1,459.12</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1,595.73</w:t>
            </w:r>
          </w:p>
        </w:tc>
      </w:tr>
    </w:tbl>
    <w:p>
      <w:pPr>
        <w:pStyle w:val="BodyText"/>
        <w:spacing w:line="240" w:lineRule="auto" w:before="18"/>
        <w:ind w:left="514" w:right="147"/>
        <w:jc w:val="left"/>
      </w:pPr>
      <w:r>
        <w:rPr>
          <w:rFonts w:ascii="Times New Roman" w:hAnsi="Times New Roman" w:cs="Times New Roman" w:eastAsia="Times New Roman" w:hint="default"/>
        </w:rPr>
        <w:t>B.</w:t>
      </w:r>
      <w:r>
        <w:rPr/>
        <w:t>前</w:t>
      </w:r>
      <w:r>
        <w:rPr>
          <w:rFonts w:ascii="Times New Roman" w:hAnsi="Times New Roman" w:cs="Times New Roman" w:eastAsia="Times New Roman" w:hint="default"/>
        </w:rPr>
        <w:t>5</w:t>
      </w:r>
      <w:r>
        <w:rPr/>
        <w:t>名管理人员报酬分布区间</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4777"/>
        <w:gridCol w:w="2447"/>
        <w:gridCol w:w="2434"/>
      </w:tblGrid>
      <w:tr>
        <w:trPr>
          <w:trHeight w:val="330" w:hRule="exact"/>
        </w:trPr>
        <w:tc>
          <w:tcPr>
            <w:tcW w:w="47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年度报酬区间</w:t>
            </w:r>
          </w:p>
        </w:tc>
        <w:tc>
          <w:tcPr>
            <w:tcW w:w="244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7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本年数</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c>
          <w:tcPr>
            <w:tcW w:w="24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7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上年数</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r>
      <w:tr>
        <w:trPr>
          <w:trHeight w:val="363"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w:t>
            </w:r>
            <w:r>
              <w:rPr>
                <w:rFonts w:ascii="宋体" w:hAnsi="宋体" w:cs="宋体" w:eastAsia="宋体" w:hint="default"/>
                <w:sz w:val="18"/>
                <w:szCs w:val="18"/>
              </w:rPr>
              <w:t>～</w:t>
            </w:r>
            <w:r>
              <w:rPr>
                <w:rFonts w:ascii="Times New Roman" w:hAnsi="Times New Roman" w:cs="Times New Roman" w:eastAsia="Times New Roman" w:hint="default"/>
                <w:sz w:val="18"/>
                <w:szCs w:val="18"/>
              </w:rPr>
              <w:t>520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w:t>
            </w:r>
            <w:r>
              <w:rPr>
                <w:rFonts w:ascii="宋体" w:hAnsi="宋体" w:cs="宋体" w:eastAsia="宋体" w:hint="default"/>
                <w:sz w:val="18"/>
                <w:szCs w:val="18"/>
              </w:rPr>
              <w:t>～</w:t>
            </w:r>
            <w:r>
              <w:rPr>
                <w:rFonts w:ascii="Times New Roman" w:hAnsi="Times New Roman" w:cs="Times New Roman" w:eastAsia="Times New Roman" w:hint="default"/>
                <w:sz w:val="18"/>
                <w:szCs w:val="18"/>
              </w:rPr>
              <w:t>320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w:t>
            </w:r>
            <w:r>
              <w:rPr>
                <w:rFonts w:ascii="Times New Roman" w:hAnsi="Times New Roman" w:cs="Times New Roman" w:eastAsia="Times New Roman" w:hint="default"/>
                <w:sz w:val="18"/>
                <w:szCs w:val="18"/>
              </w:rPr>
              <w:t>280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w:t>
            </w:r>
          </w:p>
        </w:tc>
      </w:tr>
      <w:tr>
        <w:trPr>
          <w:trHeight w:val="348"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w:t>
            </w:r>
            <w:r>
              <w:rPr>
                <w:rFonts w:ascii="Times New Roman" w:hAnsi="Times New Roman" w:cs="Times New Roman" w:eastAsia="Times New Roman" w:hint="default"/>
                <w:sz w:val="18"/>
                <w:szCs w:val="18"/>
              </w:rPr>
              <w:t>240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宋体" w:hAnsi="宋体" w:cs="宋体" w:eastAsia="宋体" w:hint="default"/>
                <w:sz w:val="18"/>
                <w:szCs w:val="18"/>
              </w:rPr>
              <w:t>～</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160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70"/>
        <w:ind w:right="147" w:firstLine="450"/>
        <w:jc w:val="left"/>
      </w:pPr>
      <w:r>
        <w:rPr>
          <w:spacing w:val="-2"/>
        </w:rPr>
        <w:t>④年内，本集团并无向本公司董事及前</w:t>
      </w:r>
      <w:r>
        <w:rPr>
          <w:rFonts w:ascii="Times New Roman" w:hAnsi="Times New Roman" w:cs="Times New Roman" w:eastAsia="Times New Roman" w:hint="default"/>
          <w:spacing w:val="-2"/>
        </w:rPr>
        <w:t>5</w:t>
      </w:r>
      <w:r>
        <w:rPr>
          <w:spacing w:val="-2"/>
        </w:rPr>
        <w:t>名最高薪酬个人支付其他任何吸引他们加入本集团之薪金，又或在他们加入本</w:t>
      </w:r>
      <w:r>
        <w:rPr/>
        <w:t> 集团后支付薪金作为激励，亦无因失去职位支付他们补偿金，年内无董事放弃任何薪金。</w:t>
      </w:r>
    </w:p>
    <w:p>
      <w:pPr>
        <w:spacing w:after="0" w:line="30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47"/>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168"/>
        <w:gridCol w:w="3364"/>
        <w:gridCol w:w="1442"/>
        <w:gridCol w:w="1222"/>
        <w:gridCol w:w="1441"/>
        <w:gridCol w:w="1057"/>
      </w:tblGrid>
      <w:tr>
        <w:trPr>
          <w:trHeight w:val="402" w:hRule="exact"/>
        </w:trPr>
        <w:tc>
          <w:tcPr>
            <w:tcW w:w="11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3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168" w:type="dxa"/>
            <w:vMerge/>
            <w:tcBorders>
              <w:left w:val="single" w:sz="4" w:space="0" w:color="000000"/>
              <w:bottom w:val="single" w:sz="4" w:space="0" w:color="000000"/>
              <w:right w:val="single" w:sz="4" w:space="0" w:color="000000"/>
            </w:tcBorders>
            <w:shd w:val="clear" w:color="auto" w:fill="D3D3D3"/>
          </w:tcPr>
          <w:p>
            <w:pPr/>
          </w:p>
        </w:tc>
        <w:tc>
          <w:tcPr>
            <w:tcW w:w="3364" w:type="dxa"/>
            <w:vMerge/>
            <w:tcBorders>
              <w:left w:val="single" w:sz="4" w:space="0" w:color="000000"/>
              <w:bottom w:val="single" w:sz="4" w:space="0" w:color="000000"/>
              <w:right w:val="single" w:sz="4" w:space="0" w:color="000000"/>
            </w:tcBorders>
            <w:shd w:val="clear" w:color="auto" w:fill="D3D3D3"/>
          </w:tcPr>
          <w:p>
            <w:pPr/>
          </w:p>
        </w:tc>
        <w:tc>
          <w:tcPr>
            <w:tcW w:w="1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安徽时代物资股份有限公司</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53,968,115.20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2,698,405.76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16,580,021.04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829,001.05</w:t>
            </w:r>
          </w:p>
        </w:tc>
      </w:tr>
      <w:tr>
        <w:trPr>
          <w:trHeight w:val="402" w:hRule="exact"/>
        </w:trPr>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1,290,901.12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1,290,901.12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1,290,901.12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1,290,901.12</w:t>
            </w:r>
          </w:p>
        </w:tc>
      </w:tr>
      <w:tr>
        <w:trPr>
          <w:trHeight w:val="403" w:hRule="exact"/>
        </w:trPr>
        <w:tc>
          <w:tcPr>
            <w:tcW w:w="1168" w:type="dxa"/>
            <w:vMerge/>
            <w:tcBorders>
              <w:left w:val="single" w:sz="4" w:space="0" w:color="000000"/>
              <w:bottom w:val="single" w:sz="4" w:space="0" w:color="000000"/>
              <w:right w:val="single" w:sz="4" w:space="0" w:color="000000"/>
            </w:tcBorders>
          </w:tcPr>
          <w:p>
            <w:pPr/>
          </w:p>
        </w:tc>
        <w:tc>
          <w:tcPr>
            <w:tcW w:w="3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959,825,877.41</w:t>
            </w:r>
          </w:p>
        </w:tc>
        <w:tc>
          <w:tcPr>
            <w:tcW w:w="122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551,964,609.01</w:t>
            </w:r>
          </w:p>
        </w:tc>
        <w:tc>
          <w:tcPr>
            <w:tcW w:w="10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633"/>
        <w:gridCol w:w="4098"/>
        <w:gridCol w:w="2020"/>
        <w:gridCol w:w="1943"/>
      </w:tblGrid>
      <w:tr>
        <w:trPr>
          <w:trHeight w:val="402"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63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寿光市恒泰企业投资有限公司</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23,572,279.17</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4" w:right="0"/>
              <w:jc w:val="left"/>
              <w:rPr>
                <w:rFonts w:ascii="Times New Roman" w:hAnsi="Times New Roman" w:cs="Times New Roman" w:eastAsia="Times New Roman" w:hint="default"/>
                <w:sz w:val="18"/>
                <w:szCs w:val="18"/>
              </w:rPr>
            </w:pPr>
            <w:r>
              <w:rPr>
                <w:rFonts w:ascii="Times New Roman"/>
                <w:sz w:val="18"/>
              </w:rPr>
              <w:t>18,668,679.17</w:t>
            </w:r>
          </w:p>
        </w:tc>
      </w:tr>
      <w:tr>
        <w:trPr>
          <w:trHeight w:val="403" w:hRule="exact"/>
        </w:trPr>
        <w:tc>
          <w:tcPr>
            <w:tcW w:w="1633" w:type="dxa"/>
            <w:vMerge/>
            <w:tcBorders>
              <w:left w:val="single" w:sz="4" w:space="0" w:color="000000"/>
              <w:bottom w:val="single" w:sz="4" w:space="0" w:color="000000"/>
              <w:right w:val="single" w:sz="4" w:space="0" w:color="000000"/>
            </w:tcBorders>
          </w:tcPr>
          <w:p>
            <w:pPr/>
          </w:p>
        </w:tc>
        <w:tc>
          <w:tcPr>
            <w:tcW w:w="4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209,980,923.16</w:t>
            </w:r>
          </w:p>
        </w:tc>
        <w:tc>
          <w:tcPr>
            <w:tcW w:w="194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147"/>
        <w:jc w:val="left"/>
        <w:rPr>
          <w:b w:val="0"/>
          <w:bCs w:val="0"/>
        </w:rPr>
      </w:pPr>
      <w:r>
        <w:rPr/>
        <w:t>十三、承诺及或有事项</w:t>
      </w:r>
      <w:r>
        <w:rPr>
          <w:b w:val="0"/>
          <w:bCs w:val="0"/>
        </w:rPr>
      </w:r>
    </w:p>
    <w:p>
      <w:pPr>
        <w:spacing w:line="240" w:lineRule="auto" w:before="6"/>
        <w:rPr>
          <w:rFonts w:ascii="宋体" w:hAnsi="宋体" w:cs="宋体" w:eastAsia="宋体" w:hint="default"/>
          <w:b/>
          <w:bCs/>
          <w:sz w:val="26"/>
          <w:szCs w:val="26"/>
        </w:rPr>
      </w:pPr>
    </w:p>
    <w:p>
      <w:pPr>
        <w:pStyle w:val="Heading5"/>
        <w:spacing w:line="240" w:lineRule="auto"/>
        <w:ind w:left="636" w:right="147"/>
        <w:jc w:val="left"/>
        <w:rPr>
          <w:b w:val="0"/>
          <w:bCs w:val="0"/>
        </w:rPr>
      </w:pPr>
      <w:r>
        <w:rPr>
          <w:rFonts w:ascii="Times New Roman" w:hAnsi="Times New Roman" w:cs="Times New Roman" w:eastAsia="Times New Roman" w:hint="default"/>
        </w:rPr>
        <w:t>1</w:t>
      </w:r>
      <w:r>
        <w:rPr/>
        <w:t>、资本承诺</w:t>
      </w:r>
      <w:r>
        <w:rPr>
          <w:b w:val="0"/>
          <w:bCs w:val="0"/>
        </w:rPr>
      </w:r>
    </w:p>
    <w:p>
      <w:pPr>
        <w:spacing w:line="240" w:lineRule="auto" w:before="13"/>
        <w:rPr>
          <w:rFonts w:ascii="宋体" w:hAnsi="宋体" w:cs="宋体" w:eastAsia="宋体" w:hint="default"/>
          <w:b/>
          <w:bCs/>
          <w:sz w:val="3"/>
          <w:szCs w:val="3"/>
        </w:rPr>
      </w:pPr>
    </w:p>
    <w:tbl>
      <w:tblPr>
        <w:tblW w:w="0" w:type="auto"/>
        <w:jc w:val="left"/>
        <w:tblInd w:w="137" w:type="dxa"/>
        <w:tblLayout w:type="fixed"/>
        <w:tblCellMar>
          <w:top w:w="0" w:type="dxa"/>
          <w:left w:w="0" w:type="dxa"/>
          <w:bottom w:w="0" w:type="dxa"/>
          <w:right w:w="0" w:type="dxa"/>
        </w:tblCellMar>
        <w:tblLook w:val="01E0"/>
      </w:tblPr>
      <w:tblGrid>
        <w:gridCol w:w="4477"/>
        <w:gridCol w:w="2488"/>
        <w:gridCol w:w="2693"/>
      </w:tblGrid>
      <w:tr>
        <w:trPr>
          <w:trHeight w:val="347" w:hRule="exact"/>
        </w:trPr>
        <w:tc>
          <w:tcPr>
            <w:tcW w:w="44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69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已签约但尚未于财务报表中确认的项目</w:t>
            </w:r>
          </w:p>
        </w:tc>
        <w:tc>
          <w:tcPr>
            <w:tcW w:w="248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购建长期资产承诺</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1,862,762,913.64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2,437,963,978.39</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慧锐</w:t>
            </w:r>
            <w:r>
              <w:rPr>
                <w:rFonts w:ascii="Times New Roman" w:hAnsi="Times New Roman" w:cs="Times New Roman" w:eastAsia="Times New Roman" w:hint="default"/>
                <w:sz w:val="18"/>
                <w:szCs w:val="18"/>
              </w:rPr>
              <w:t>BT</w:t>
            </w:r>
            <w:r>
              <w:rPr>
                <w:rFonts w:ascii="宋体" w:hAnsi="宋体" w:cs="宋体" w:eastAsia="宋体" w:hint="default"/>
                <w:sz w:val="18"/>
                <w:szCs w:val="18"/>
              </w:rPr>
              <w:t>项目</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3,000,000,000.00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3,637,017,103.35</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对外投资承诺</w:t>
            </w:r>
          </w:p>
        </w:tc>
        <w:tc>
          <w:tcPr>
            <w:tcW w:w="248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6,028,000.00</w:t>
            </w:r>
          </w:p>
        </w:tc>
      </w:tr>
      <w:tr>
        <w:trPr>
          <w:trHeight w:val="348" w:hRule="exact"/>
        </w:trPr>
        <w:tc>
          <w:tcPr>
            <w:tcW w:w="44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4,862,762,913.64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6,081,009,081.74</w:t>
            </w:r>
          </w:p>
        </w:tc>
      </w:tr>
    </w:tbl>
    <w:p>
      <w:pPr>
        <w:spacing w:line="300" w:lineRule="auto" w:before="10"/>
        <w:ind w:left="513" w:right="3471" w:firstLine="12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、经营租赁承诺</w:t>
      </w:r>
      <w:r>
        <w:rPr>
          <w:rFonts w:ascii="宋体" w:hAnsi="宋体" w:cs="宋体" w:eastAsia="宋体" w:hint="default"/>
          <w:b/>
          <w:bCs/>
          <w:w w:val="99"/>
          <w:sz w:val="18"/>
          <w:szCs w:val="18"/>
        </w:rPr>
        <w:t> </w:t>
      </w:r>
      <w:r>
        <w:rPr>
          <w:rFonts w:ascii="宋体" w:hAnsi="宋体" w:cs="宋体" w:eastAsia="宋体" w:hint="default"/>
          <w:sz w:val="18"/>
          <w:szCs w:val="18"/>
        </w:rPr>
        <w:t>至资产负债表日止，本公司对外签订的不可撤销的经营租赁合约情况如下：</w:t>
      </w:r>
    </w:p>
    <w:p>
      <w:pPr>
        <w:spacing w:line="240" w:lineRule="auto" w:before="2"/>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4477"/>
        <w:gridCol w:w="2488"/>
        <w:gridCol w:w="2693"/>
      </w:tblGrid>
      <w:tr>
        <w:trPr>
          <w:trHeight w:val="324" w:hRule="exact"/>
        </w:trPr>
        <w:tc>
          <w:tcPr>
            <w:tcW w:w="44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69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63" w:hRule="exact"/>
        </w:trPr>
        <w:tc>
          <w:tcPr>
            <w:tcW w:w="4477"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488" w:type="dxa"/>
            <w:tcBorders>
              <w:top w:val="single" w:sz="9" w:space="0" w:color="000000"/>
              <w:left w:val="single" w:sz="6" w:space="0" w:color="000000"/>
              <w:bottom w:val="single" w:sz="6" w:space="0" w:color="000000"/>
              <w:right w:val="single" w:sz="6" w:space="0" w:color="000000"/>
            </w:tcBorders>
          </w:tcPr>
          <w:p>
            <w:pPr/>
          </w:p>
        </w:tc>
        <w:tc>
          <w:tcPr>
            <w:tcW w:w="2693" w:type="dxa"/>
            <w:tcBorders>
              <w:top w:val="single" w:sz="9" w:space="0" w:color="000000"/>
              <w:left w:val="single" w:sz="6" w:space="0" w:color="000000"/>
              <w:bottom w:val="single" w:sz="6" w:space="0" w:color="000000"/>
              <w:right w:val="single" w:sz="6" w:space="0" w:color="000000"/>
            </w:tcBorders>
          </w:tcPr>
          <w:p>
            <w:pPr/>
          </w:p>
        </w:tc>
      </w:tr>
      <w:tr>
        <w:trPr>
          <w:trHeight w:val="348" w:hRule="exact"/>
        </w:trPr>
        <w:tc>
          <w:tcPr>
            <w:tcW w:w="4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16,835,729.16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21,250,728.73</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14,161,003.48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13,786,011.70</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14,443,483.94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13,814,410.50</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560,010,105.37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572,915,704.51</w:t>
            </w:r>
          </w:p>
        </w:tc>
      </w:tr>
      <w:tr>
        <w:trPr>
          <w:trHeight w:val="343" w:hRule="exact"/>
        </w:trPr>
        <w:tc>
          <w:tcPr>
            <w:tcW w:w="44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605,450,321.95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621,766,855.44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147"/>
        <w:jc w:val="left"/>
        <w:rPr>
          <w:b w:val="0"/>
          <w:bCs w:val="0"/>
        </w:rPr>
      </w:pP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利润分配情况</w:t>
      </w:r>
      <w:r>
        <w:rPr>
          <w:b w:val="0"/>
          <w:bCs w:val="0"/>
        </w:rPr>
      </w:r>
    </w:p>
    <w:p>
      <w:pPr>
        <w:spacing w:line="240" w:lineRule="auto" w:before="9"/>
        <w:rPr>
          <w:rFonts w:ascii="宋体" w:hAnsi="宋体" w:cs="宋体" w:eastAsia="宋体" w:hint="default"/>
          <w:b/>
          <w:bCs/>
          <w:sz w:val="27"/>
          <w:szCs w:val="27"/>
        </w:rPr>
      </w:pPr>
    </w:p>
    <w:p>
      <w:pPr>
        <w:pStyle w:val="BodyText"/>
        <w:spacing w:line="300" w:lineRule="auto"/>
        <w:ind w:right="147" w:firstLine="359"/>
        <w:jc w:val="left"/>
      </w:pP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日，本公司召开第七届董事会第八次会议，审议利润分配预案，每股分配现金股利人民币</w:t>
      </w:r>
      <w:r>
        <w:rPr>
          <w:rFonts w:ascii="Times New Roman" w:hAnsi="Times New Roman" w:cs="Times New Roman" w:eastAsia="Times New Roman" w:hint="default"/>
        </w:rPr>
        <w:t>0.14</w:t>
      </w:r>
      <w:r>
        <w:rPr/>
        <w:t>元。根据 公司章程规定，尚需股东大会批准。</w:t>
      </w:r>
    </w:p>
    <w:p>
      <w:pPr>
        <w:spacing w:line="240" w:lineRule="auto" w:before="9"/>
        <w:rPr>
          <w:rFonts w:ascii="宋体" w:hAnsi="宋体" w:cs="宋体" w:eastAsia="宋体" w:hint="default"/>
          <w:sz w:val="21"/>
          <w:szCs w:val="21"/>
        </w:rPr>
      </w:pPr>
    </w:p>
    <w:p>
      <w:pPr>
        <w:pStyle w:val="Heading2"/>
        <w:spacing w:line="240" w:lineRule="auto"/>
        <w:ind w:right="147"/>
        <w:jc w:val="left"/>
        <w:rPr>
          <w:b w:val="0"/>
          <w:bCs w:val="0"/>
        </w:rPr>
      </w:pP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rFonts w:ascii="Times New Roman" w:hAnsi="Times New Roman" w:cs="Times New Roman" w:eastAsia="Times New Roman" w:hint="default"/>
        </w:rPr>
        <w:t>1</w:t>
      </w:r>
      <w:r>
        <w:rPr/>
        <w:t>、终止经营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366"/>
        <w:gridCol w:w="1152"/>
        <w:gridCol w:w="1152"/>
        <w:gridCol w:w="1152"/>
        <w:gridCol w:w="1152"/>
        <w:gridCol w:w="1152"/>
        <w:gridCol w:w="1567"/>
      </w:tblGrid>
      <w:tr>
        <w:trPr>
          <w:trHeight w:val="714"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 w:right="56"/>
              <w:jc w:val="left"/>
              <w:rPr>
                <w:rFonts w:ascii="宋体" w:hAnsi="宋体" w:cs="宋体" w:eastAsia="宋体" w:hint="default"/>
                <w:sz w:val="18"/>
                <w:szCs w:val="18"/>
              </w:rPr>
            </w:pPr>
            <w:r>
              <w:rPr>
                <w:rFonts w:ascii="宋体" w:hAnsi="宋体" w:cs="宋体" w:eastAsia="宋体" w:hint="default"/>
                <w:sz w:val="18"/>
                <w:szCs w:val="18"/>
              </w:rPr>
              <w:t>归属于母公司所有 者的终止经营利润</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山东晨鸣新力热电有限公司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41,527,370.18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30,165,750.48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11,361,619.70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2,835,889.32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8,545,730.38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4,358,322.49</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寿光晨鸣天园林业有限公司</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3,043,996.51</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3,043,996.51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2,069,917.63</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寿光恒丰仓储有限公司</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8,819.29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-8,888.79</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-8,888.79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-8,888.79</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2</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48" w:firstLine="360"/>
        <w:jc w:val="both"/>
      </w:pPr>
      <w:r>
        <w:rPr/>
        <w:t>本公司</w:t>
      </w:r>
      <w:r>
        <w:rPr>
          <w:rFonts w:ascii="Times New Roman" w:hAnsi="Times New Roman" w:cs="Times New Roman" w:eastAsia="Times New Roman" w:hint="default"/>
        </w:rPr>
        <w:t>2014</w:t>
      </w:r>
      <w:r>
        <w:rPr/>
        <w:t>年按《企业会计准则解释第</w:t>
      </w:r>
      <w:r>
        <w:rPr>
          <w:rFonts w:ascii="Times New Roman" w:hAnsi="Times New Roman" w:cs="Times New Roman" w:eastAsia="Times New Roman" w:hint="default"/>
        </w:rPr>
        <w:t>3</w:t>
      </w:r>
      <w:r>
        <w:rPr/>
        <w:t>号》的规定确定报告分部并披露分部信息，不再执行《企业会计准则第</w:t>
      </w:r>
      <w:r>
        <w:rPr>
          <w:rFonts w:ascii="Times New Roman" w:hAnsi="Times New Roman" w:cs="Times New Roman" w:eastAsia="Times New Roman" w:hint="default"/>
        </w:rPr>
        <w:t>35</w:t>
      </w:r>
      <w:r>
        <w:rPr/>
        <w:t>号</w:t>
      </w:r>
      <w:r>
        <w:rPr>
          <w:rFonts w:ascii="Times New Roman" w:hAnsi="Times New Roman" w:cs="Times New Roman" w:eastAsia="Times New Roman" w:hint="default"/>
        </w:rPr>
        <w:t>- </w:t>
      </w:r>
      <w:r>
        <w:rPr/>
        <w:t>分部报告》关于确定地区分部和业务分部以及按照主要报告形式、次要报告形式披露分部信息的规定。</w:t>
      </w:r>
    </w:p>
    <w:p>
      <w:pPr>
        <w:pStyle w:val="BodyText"/>
        <w:spacing w:line="309" w:lineRule="auto" w:before="31"/>
        <w:ind w:left="153" w:right="148" w:firstLine="360"/>
        <w:jc w:val="both"/>
      </w:pPr>
      <w:r>
        <w:rPr/>
        <w:t>根据本公司的内部组织结构、管理要求及内部报告制度，本公司的经营业务划分为</w:t>
      </w:r>
      <w:r>
        <w:rPr>
          <w:rFonts w:ascii="Times New Roman" w:hAnsi="Times New Roman" w:cs="Times New Roman" w:eastAsia="Times New Roman" w:hint="default"/>
        </w:rPr>
        <w:t>4</w:t>
      </w:r>
      <w:r>
        <w:rPr/>
        <w:t>个报告分部，这些报告分部是以主 </w:t>
      </w:r>
      <w:r>
        <w:rPr>
          <w:spacing w:val="-2"/>
        </w:rPr>
        <w:t>要产品类型为基础确定的。集团的管理层定期评价这些报告分部的经营成果，以决定向其分配资源及评价其业绩。本公司各</w:t>
      </w:r>
      <w:r>
        <w:rPr>
          <w:spacing w:val="-66"/>
        </w:rPr>
        <w:t> </w:t>
      </w:r>
      <w:r>
        <w:rPr>
          <w:spacing w:val="-66"/>
        </w:rPr>
      </w:r>
      <w:r>
        <w:rPr/>
        <w:t>个报告分部提供的主要产品及劳务分别为机制纸、建筑材料、金融服务及其他。</w:t>
      </w:r>
    </w:p>
    <w:p>
      <w:pPr>
        <w:pStyle w:val="BodyText"/>
        <w:spacing w:line="316" w:lineRule="auto" w:before="24"/>
        <w:ind w:left="153" w:right="149" w:firstLine="360"/>
        <w:jc w:val="both"/>
      </w:pPr>
      <w:r>
        <w:rPr>
          <w:spacing w:val="-2"/>
        </w:rPr>
        <w:t>分部报告信息根据各分部向管理层报告时采用的会计政策及计量标准披露，这些计量基础与编制财务报表时的会计与计</w:t>
      </w:r>
      <w:r>
        <w:rPr/>
        <w:t> 量基础保持一致。</w:t>
      </w:r>
    </w:p>
    <w:p>
      <w:pPr>
        <w:spacing w:line="240" w:lineRule="auto" w:before="7"/>
        <w:rPr>
          <w:rFonts w:ascii="宋体" w:hAnsi="宋体" w:cs="宋体" w:eastAsia="宋体" w:hint="default"/>
          <w:sz w:val="22"/>
          <w:szCs w:val="22"/>
        </w:rPr>
      </w:pPr>
    </w:p>
    <w:p>
      <w:pPr>
        <w:pStyle w:val="Heading4"/>
        <w:spacing w:line="240" w:lineRule="auto"/>
        <w:ind w:right="147"/>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514" w:right="147"/>
        <w:jc w:val="left"/>
      </w:pPr>
      <w:r>
        <w:rPr/>
        <w:t>（</w:t>
      </w:r>
      <w:r>
        <w:rPr>
          <w:rFonts w:ascii="Times New Roman" w:hAnsi="Times New Roman" w:cs="Times New Roman" w:eastAsia="Times New Roman" w:hint="default"/>
        </w:rPr>
        <w:t>1</w:t>
      </w:r>
      <w:r>
        <w:rPr/>
        <w:t>）分部收益</w:t>
      </w:r>
    </w:p>
    <w:p>
      <w:pPr>
        <w:pStyle w:val="BodyText"/>
        <w:spacing w:line="240" w:lineRule="auto" w:before="62"/>
        <w:ind w:left="0" w:right="2037"/>
        <w:jc w:val="right"/>
      </w:pPr>
      <w:r>
        <w:rPr/>
        <w:t>金额单位：万元</w:t>
      </w:r>
    </w:p>
    <w:p>
      <w:pPr>
        <w:spacing w:line="240" w:lineRule="auto" w:before="1"/>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996"/>
        <w:gridCol w:w="1288"/>
        <w:gridCol w:w="1286"/>
        <w:gridCol w:w="1145"/>
        <w:gridCol w:w="1145"/>
        <w:gridCol w:w="1146"/>
        <w:gridCol w:w="1652"/>
      </w:tblGrid>
      <w:tr>
        <w:trPr>
          <w:trHeight w:val="347" w:hRule="exact"/>
        </w:trPr>
        <w:tc>
          <w:tcPr>
            <w:tcW w:w="1996"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74"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机制纸</w:t>
            </w:r>
          </w:p>
        </w:tc>
        <w:tc>
          <w:tcPr>
            <w:tcW w:w="2290"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建筑材料</w:t>
            </w:r>
          </w:p>
        </w:tc>
        <w:tc>
          <w:tcPr>
            <w:tcW w:w="2798"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金融服务</w:t>
            </w:r>
          </w:p>
        </w:tc>
      </w:tr>
      <w:tr>
        <w:trPr>
          <w:trHeight w:val="347" w:hRule="exact"/>
        </w:trPr>
        <w:tc>
          <w:tcPr>
            <w:tcW w:w="1996" w:type="dxa"/>
            <w:vMerge/>
            <w:tcBorders>
              <w:left w:val="single" w:sz="6" w:space="0" w:color="000000"/>
              <w:bottom w:val="single" w:sz="6" w:space="0" w:color="000000"/>
              <w:right w:val="single" w:sz="6" w:space="0" w:color="000000"/>
            </w:tcBorders>
            <w:shd w:val="clear" w:color="auto" w:fill="CCCCCC"/>
          </w:tcPr>
          <w:p>
            <w:pPr/>
          </w:p>
        </w:tc>
        <w:tc>
          <w:tcPr>
            <w:tcW w:w="12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本年</w:t>
            </w:r>
          </w:p>
        </w:tc>
        <w:tc>
          <w:tcPr>
            <w:tcW w:w="12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w:t>
            </w:r>
          </w:p>
        </w:tc>
        <w:tc>
          <w:tcPr>
            <w:tcW w:w="114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14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上年</w:t>
            </w:r>
          </w:p>
        </w:tc>
        <w:tc>
          <w:tcPr>
            <w:tcW w:w="114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6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348"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1,848,890.51</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1,976,331.08</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22,532.24</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24,134.32</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15,872.50</w:t>
            </w: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288"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2,525.66</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6,851.53</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5,860.77</w:t>
            </w: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分部营业收入合计</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1,848,890.51</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1,976,331.08</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25,057.90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30,985.85</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21,733.27</w:t>
            </w: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1,630,008.13</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1,723,137.57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22,056.91</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28,058.28</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10,115.44</w:t>
            </w: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分部营业利润</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218,882.38</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253,193.51</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3,000.99</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2,927.57</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11,617.83</w:t>
            </w:r>
          </w:p>
        </w:tc>
        <w:tc>
          <w:tcPr>
            <w:tcW w:w="165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0"/>
        <w:ind w:left="514" w:right="147"/>
        <w:jc w:val="left"/>
      </w:pPr>
      <w:r>
        <w:rPr/>
        <w:t>续</w:t>
      </w:r>
    </w:p>
    <w:p>
      <w:pPr>
        <w:pStyle w:val="BodyText"/>
        <w:spacing w:line="240" w:lineRule="auto" w:before="76"/>
        <w:ind w:left="5593" w:right="147"/>
        <w:jc w:val="left"/>
      </w:pPr>
      <w:r>
        <w:rPr/>
        <w:t>金额单位：万元</w:t>
      </w:r>
    </w:p>
    <w:p>
      <w:pPr>
        <w:spacing w:after="0" w:line="240" w:lineRule="auto"/>
        <w:jc w:val="lef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2167"/>
        <w:gridCol w:w="1231"/>
        <w:gridCol w:w="1124"/>
        <w:gridCol w:w="1219"/>
        <w:gridCol w:w="1123"/>
        <w:gridCol w:w="1398"/>
        <w:gridCol w:w="1394"/>
      </w:tblGrid>
      <w:tr>
        <w:trPr>
          <w:trHeight w:val="347" w:hRule="exact"/>
        </w:trPr>
        <w:tc>
          <w:tcPr>
            <w:tcW w:w="2167"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6"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2342"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533" w:right="0"/>
              <w:jc w:val="left"/>
              <w:rPr>
                <w:rFonts w:ascii="宋体" w:hAnsi="宋体" w:cs="宋体" w:eastAsia="宋体" w:hint="default"/>
                <w:sz w:val="18"/>
                <w:szCs w:val="18"/>
              </w:rPr>
            </w:pPr>
            <w:r>
              <w:rPr>
                <w:rFonts w:ascii="宋体" w:hAnsi="宋体" w:cs="宋体" w:eastAsia="宋体" w:hint="default"/>
                <w:sz w:val="18"/>
                <w:szCs w:val="18"/>
              </w:rPr>
              <w:t>分部间相互抵减</w:t>
            </w:r>
          </w:p>
        </w:tc>
        <w:tc>
          <w:tcPr>
            <w:tcW w:w="2792"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2167" w:type="dxa"/>
            <w:vMerge/>
            <w:tcBorders>
              <w:left w:val="single" w:sz="6" w:space="0" w:color="000000"/>
              <w:bottom w:val="single" w:sz="6" w:space="0" w:color="000000"/>
              <w:right w:val="single" w:sz="6" w:space="0" w:color="000000"/>
            </w:tcBorders>
            <w:shd w:val="clear" w:color="auto" w:fill="CCCCCC"/>
          </w:tcPr>
          <w:p>
            <w:pPr/>
          </w:p>
        </w:tc>
        <w:tc>
          <w:tcPr>
            <w:tcW w:w="123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12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上年</w:t>
            </w:r>
          </w:p>
        </w:tc>
        <w:tc>
          <w:tcPr>
            <w:tcW w:w="12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21"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112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上年</w:t>
            </w:r>
          </w:p>
        </w:tc>
        <w:tc>
          <w:tcPr>
            <w:tcW w:w="139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39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348" w:hRule="exact"/>
        </w:trPr>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22,872.46</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38,423.61</w:t>
            </w:r>
          </w:p>
        </w:tc>
        <w:tc>
          <w:tcPr>
            <w:tcW w:w="1219"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1,910,167.71</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2,038,889.01</w:t>
            </w:r>
          </w:p>
        </w:tc>
      </w:tr>
      <w:tr>
        <w:trPr>
          <w:trHeight w:val="347" w:hRule="exact"/>
        </w:trPr>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105,465.77</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45,848.09</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9" w:right="0"/>
              <w:jc w:val="left"/>
              <w:rPr>
                <w:rFonts w:ascii="Times New Roman" w:hAnsi="Times New Roman" w:cs="Times New Roman" w:eastAsia="Times New Roman" w:hint="default"/>
                <w:sz w:val="18"/>
                <w:szCs w:val="18"/>
              </w:rPr>
            </w:pPr>
            <w:r>
              <w:rPr>
                <w:rFonts w:ascii="Times New Roman"/>
                <w:sz w:val="18"/>
              </w:rPr>
              <w:t>113,852.20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5" w:right="0"/>
              <w:jc w:val="left"/>
              <w:rPr>
                <w:rFonts w:ascii="Times New Roman" w:hAnsi="Times New Roman" w:cs="Times New Roman" w:eastAsia="Times New Roman" w:hint="default"/>
                <w:sz w:val="18"/>
                <w:szCs w:val="18"/>
              </w:rPr>
            </w:pPr>
            <w:r>
              <w:rPr>
                <w:rFonts w:ascii="Times New Roman"/>
                <w:sz w:val="18"/>
              </w:rPr>
              <w:t>52,699.62</w:t>
            </w:r>
          </w:p>
        </w:tc>
        <w:tc>
          <w:tcPr>
            <w:tcW w:w="139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分部营业收入合计</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128,338.23</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84,271.70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9" w:right="0"/>
              <w:jc w:val="left"/>
              <w:rPr>
                <w:rFonts w:ascii="Times New Roman" w:hAnsi="Times New Roman" w:cs="Times New Roman" w:eastAsia="Times New Roman" w:hint="default"/>
                <w:sz w:val="18"/>
                <w:szCs w:val="18"/>
              </w:rPr>
            </w:pPr>
            <w:r>
              <w:rPr>
                <w:rFonts w:ascii="Times New Roman"/>
                <w:sz w:val="18"/>
              </w:rPr>
              <w:t>113,852.20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4" w:right="0"/>
              <w:jc w:val="left"/>
              <w:rPr>
                <w:rFonts w:ascii="Times New Roman" w:hAnsi="Times New Roman" w:cs="Times New Roman" w:eastAsia="Times New Roman" w:hint="default"/>
                <w:sz w:val="18"/>
                <w:szCs w:val="18"/>
              </w:rPr>
            </w:pPr>
            <w:r>
              <w:rPr>
                <w:rFonts w:ascii="Times New Roman"/>
                <w:sz w:val="18"/>
              </w:rPr>
              <w:t>52,699.62</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1,910,167.71</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2,038,889.01</w:t>
            </w:r>
          </w:p>
        </w:tc>
      </w:tr>
      <w:tr>
        <w:trPr>
          <w:trHeight w:val="347" w:hRule="exact"/>
        </w:trPr>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124,780.31</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74,596.36</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9" w:right="0"/>
              <w:jc w:val="left"/>
              <w:rPr>
                <w:rFonts w:ascii="Times New Roman" w:hAnsi="Times New Roman" w:cs="Times New Roman" w:eastAsia="Times New Roman" w:hint="default"/>
                <w:sz w:val="18"/>
                <w:szCs w:val="18"/>
              </w:rPr>
            </w:pPr>
            <w:r>
              <w:rPr>
                <w:rFonts w:ascii="Times New Roman"/>
                <w:sz w:val="18"/>
              </w:rPr>
              <w:t>113,852.20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4" w:right="0"/>
              <w:jc w:val="left"/>
              <w:rPr>
                <w:rFonts w:ascii="Times New Roman" w:hAnsi="Times New Roman" w:cs="Times New Roman" w:eastAsia="Times New Roman" w:hint="default"/>
                <w:sz w:val="18"/>
                <w:szCs w:val="18"/>
              </w:rPr>
            </w:pPr>
            <w:r>
              <w:rPr>
                <w:rFonts w:ascii="Times New Roman"/>
                <w:sz w:val="18"/>
              </w:rPr>
              <w:t>52,699.62</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1,673,108.59</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1,773,092.59</w:t>
            </w:r>
          </w:p>
        </w:tc>
      </w:tr>
      <w:tr>
        <w:trPr>
          <w:trHeight w:val="347" w:hRule="exact"/>
        </w:trPr>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分部营业利润</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3,557.92</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9,675.34</w:t>
            </w:r>
          </w:p>
        </w:tc>
        <w:tc>
          <w:tcPr>
            <w:tcW w:w="1219"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237,059.12</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265,796.42</w:t>
            </w:r>
          </w:p>
        </w:tc>
      </w:tr>
      <w:tr>
        <w:trPr>
          <w:trHeight w:val="347" w:hRule="exact"/>
        </w:trPr>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调节项目</w:t>
            </w:r>
          </w:p>
        </w:tc>
        <w:tc>
          <w:tcPr>
            <w:tcW w:w="1231"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31"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53,053.87</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58,440.97</w:t>
            </w:r>
          </w:p>
        </w:tc>
      </w:tr>
      <w:tr>
        <w:trPr>
          <w:trHeight w:val="347" w:hRule="exact"/>
        </w:trPr>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31"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135,493.66</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124,219.06</w:t>
            </w:r>
          </w:p>
        </w:tc>
      </w:tr>
      <w:tr>
        <w:trPr>
          <w:trHeight w:val="347" w:hRule="exact"/>
        </w:trPr>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231"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-685.68</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-1,122.18</w:t>
            </w:r>
          </w:p>
        </w:tc>
      </w:tr>
      <w:tr>
        <w:trPr>
          <w:trHeight w:val="347" w:hRule="exact"/>
        </w:trPr>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31"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-6,903.56</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-2,370.60</w:t>
            </w:r>
          </w:p>
        </w:tc>
      </w:tr>
      <w:tr>
        <w:trPr>
          <w:trHeight w:val="347" w:hRule="exact"/>
        </w:trPr>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231"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56,100.83</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86,629.17</w:t>
            </w:r>
          </w:p>
        </w:tc>
      </w:tr>
      <w:tr>
        <w:trPr>
          <w:trHeight w:val="347" w:hRule="exact"/>
        </w:trPr>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231"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10,769.94</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17,593.85</w:t>
            </w:r>
          </w:p>
        </w:tc>
      </w:tr>
      <w:tr>
        <w:trPr>
          <w:trHeight w:val="348" w:hRule="exact"/>
        </w:trPr>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31"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45,330.89</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69,035.32</w:t>
            </w:r>
          </w:p>
        </w:tc>
      </w:tr>
    </w:tbl>
    <w:p>
      <w:pPr>
        <w:pStyle w:val="BodyText"/>
        <w:spacing w:line="240" w:lineRule="auto" w:before="10"/>
        <w:ind w:left="514" w:right="182"/>
        <w:jc w:val="left"/>
      </w:pPr>
      <w:r>
        <w:rPr/>
        <w:t>（2）分部资产与负债</w:t>
      </w:r>
    </w:p>
    <w:p>
      <w:pPr>
        <w:pStyle w:val="BodyText"/>
        <w:spacing w:line="240" w:lineRule="auto" w:before="76"/>
        <w:ind w:left="7767" w:right="189"/>
        <w:jc w:val="right"/>
      </w:pPr>
      <w:r>
        <w:rPr>
          <w:spacing w:val="-1"/>
        </w:rPr>
        <w:t>金额单位：万元</w:t>
      </w:r>
    </w:p>
    <w:p>
      <w:pPr>
        <w:spacing w:line="240" w:lineRule="auto" w:before="1"/>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486"/>
        <w:gridCol w:w="1338"/>
        <w:gridCol w:w="1339"/>
        <w:gridCol w:w="1188"/>
        <w:gridCol w:w="1337"/>
        <w:gridCol w:w="1486"/>
        <w:gridCol w:w="1484"/>
      </w:tblGrid>
      <w:tr>
        <w:trPr>
          <w:trHeight w:val="347" w:hRule="exact"/>
        </w:trPr>
        <w:tc>
          <w:tcPr>
            <w:tcW w:w="1486"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77"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机制纸</w:t>
            </w:r>
          </w:p>
        </w:tc>
        <w:tc>
          <w:tcPr>
            <w:tcW w:w="2525"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建筑材料</w:t>
            </w:r>
          </w:p>
        </w:tc>
        <w:tc>
          <w:tcPr>
            <w:tcW w:w="2970"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金融服务</w:t>
            </w:r>
          </w:p>
        </w:tc>
      </w:tr>
      <w:tr>
        <w:trPr>
          <w:trHeight w:val="347" w:hRule="exact"/>
        </w:trPr>
        <w:tc>
          <w:tcPr>
            <w:tcW w:w="1486" w:type="dxa"/>
            <w:vMerge/>
            <w:tcBorders>
              <w:left w:val="single" w:sz="6" w:space="0" w:color="000000"/>
              <w:bottom w:val="single" w:sz="6" w:space="0" w:color="000000"/>
              <w:right w:val="single" w:sz="6" w:space="0" w:color="000000"/>
            </w:tcBorders>
            <w:shd w:val="clear" w:color="auto" w:fill="CCCCCC"/>
          </w:tcPr>
          <w:p>
            <w:pPr/>
          </w:p>
        </w:tc>
        <w:tc>
          <w:tcPr>
            <w:tcW w:w="133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本年</w:t>
            </w:r>
          </w:p>
        </w:tc>
        <w:tc>
          <w:tcPr>
            <w:tcW w:w="133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w:t>
            </w:r>
          </w:p>
        </w:tc>
        <w:tc>
          <w:tcPr>
            <w:tcW w:w="11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05"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133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w:t>
            </w:r>
          </w:p>
        </w:tc>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48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348" w:hRule="exact"/>
        </w:trPr>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分部资产</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5,347,923.04</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4,709,563.58</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32,786.34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18,639.91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697,897.44</w:t>
            </w:r>
          </w:p>
        </w:tc>
        <w:tc>
          <w:tcPr>
            <w:tcW w:w="148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分部负债</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4,401,098.35</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3,280,682.77</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14,567.35</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9,459.70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318,817.73</w:t>
            </w:r>
          </w:p>
        </w:tc>
        <w:tc>
          <w:tcPr>
            <w:tcW w:w="14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0"/>
        <w:ind w:left="227" w:right="182"/>
        <w:jc w:val="left"/>
      </w:pPr>
      <w:r>
        <w:rPr/>
        <w:t>续</w:t>
      </w:r>
    </w:p>
    <w:p>
      <w:pPr>
        <w:pStyle w:val="BodyText"/>
        <w:spacing w:line="240" w:lineRule="auto" w:before="76"/>
        <w:ind w:left="7767" w:right="189"/>
        <w:jc w:val="right"/>
      </w:pPr>
      <w:r>
        <w:rPr>
          <w:spacing w:val="-1"/>
        </w:rPr>
        <w:t>金额单位：万元</w:t>
      </w:r>
    </w:p>
    <w:p>
      <w:pPr>
        <w:spacing w:line="240" w:lineRule="auto" w:before="1"/>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483"/>
        <w:gridCol w:w="1336"/>
        <w:gridCol w:w="1188"/>
        <w:gridCol w:w="1202"/>
        <w:gridCol w:w="1336"/>
        <w:gridCol w:w="1483"/>
        <w:gridCol w:w="1630"/>
      </w:tblGrid>
      <w:tr>
        <w:trPr>
          <w:trHeight w:val="347" w:hRule="exact"/>
        </w:trPr>
        <w:tc>
          <w:tcPr>
            <w:tcW w:w="1483"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538"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31" w:right="0"/>
              <w:jc w:val="left"/>
              <w:rPr>
                <w:rFonts w:ascii="宋体" w:hAnsi="宋体" w:cs="宋体" w:eastAsia="宋体" w:hint="default"/>
                <w:sz w:val="18"/>
                <w:szCs w:val="18"/>
              </w:rPr>
            </w:pPr>
            <w:r>
              <w:rPr>
                <w:rFonts w:ascii="宋体" w:hAnsi="宋体" w:cs="宋体" w:eastAsia="宋体" w:hint="default"/>
                <w:sz w:val="18"/>
                <w:szCs w:val="18"/>
              </w:rPr>
              <w:t>分部间相互抵减</w:t>
            </w:r>
          </w:p>
        </w:tc>
        <w:tc>
          <w:tcPr>
            <w:tcW w:w="3113"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1483" w:type="dxa"/>
            <w:vMerge/>
            <w:tcBorders>
              <w:left w:val="single" w:sz="6" w:space="0" w:color="000000"/>
              <w:bottom w:val="single" w:sz="6" w:space="0" w:color="000000"/>
              <w:right w:val="single" w:sz="6" w:space="0" w:color="000000"/>
            </w:tcBorders>
            <w:shd w:val="clear" w:color="auto" w:fill="CCCCCC"/>
          </w:tcPr>
          <w:p>
            <w:pPr/>
          </w:p>
        </w:tc>
        <w:tc>
          <w:tcPr>
            <w:tcW w:w="133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81"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11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05" w:right="0"/>
              <w:jc w:val="left"/>
              <w:rPr>
                <w:rFonts w:ascii="宋体" w:hAnsi="宋体" w:cs="宋体" w:eastAsia="宋体" w:hint="default"/>
                <w:sz w:val="18"/>
                <w:szCs w:val="18"/>
              </w:rPr>
            </w:pPr>
            <w:r>
              <w:rPr>
                <w:rFonts w:ascii="宋体" w:hAnsi="宋体" w:cs="宋体" w:eastAsia="宋体" w:hint="default"/>
                <w:sz w:val="18"/>
                <w:szCs w:val="18"/>
              </w:rPr>
              <w:t>上年</w:t>
            </w:r>
          </w:p>
        </w:tc>
        <w:tc>
          <w:tcPr>
            <w:tcW w:w="120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13"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133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上年</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553"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16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27" w:right="0"/>
              <w:jc w:val="left"/>
              <w:rPr>
                <w:rFonts w:ascii="宋体" w:hAnsi="宋体" w:cs="宋体" w:eastAsia="宋体" w:hint="default"/>
                <w:sz w:val="18"/>
                <w:szCs w:val="18"/>
              </w:rPr>
            </w:pPr>
            <w:r>
              <w:rPr>
                <w:rFonts w:ascii="宋体" w:hAnsi="宋体" w:cs="宋体" w:eastAsia="宋体" w:hint="default"/>
                <w:sz w:val="18"/>
                <w:szCs w:val="18"/>
              </w:rPr>
              <w:t>上年</w:t>
            </w:r>
          </w:p>
        </w:tc>
      </w:tr>
      <w:tr>
        <w:trPr>
          <w:trHeight w:val="348"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分部资产</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07" w:right="0"/>
              <w:jc w:val="left"/>
              <w:rPr>
                <w:rFonts w:ascii="Times New Roman" w:hAnsi="Times New Roman" w:cs="Times New Roman" w:eastAsia="Times New Roman" w:hint="default"/>
                <w:sz w:val="18"/>
                <w:szCs w:val="18"/>
              </w:rPr>
            </w:pPr>
            <w:r>
              <w:rPr>
                <w:rFonts w:ascii="Times New Roman"/>
                <w:sz w:val="18"/>
              </w:rPr>
              <w:t>403,957.60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8" w:right="0"/>
              <w:jc w:val="left"/>
              <w:rPr>
                <w:rFonts w:ascii="Times New Roman" w:hAnsi="Times New Roman" w:cs="Times New Roman" w:eastAsia="Times New Roman" w:hint="default"/>
                <w:sz w:val="18"/>
                <w:szCs w:val="18"/>
              </w:rPr>
            </w:pPr>
            <w:r>
              <w:rPr>
                <w:rFonts w:ascii="Times New Roman"/>
                <w:sz w:val="18"/>
              </w:rPr>
              <w:t>95,985.48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3" w:right="0"/>
              <w:jc w:val="left"/>
              <w:rPr>
                <w:rFonts w:ascii="Times New Roman" w:hAnsi="Times New Roman" w:cs="Times New Roman" w:eastAsia="Times New Roman" w:hint="default"/>
                <w:sz w:val="18"/>
                <w:szCs w:val="18"/>
              </w:rPr>
            </w:pPr>
            <w:r>
              <w:rPr>
                <w:rFonts w:ascii="Times New Roman"/>
                <w:sz w:val="18"/>
              </w:rPr>
              <w:t>800,361.76</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72,000.61</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19" w:right="0"/>
              <w:jc w:val="left"/>
              <w:rPr>
                <w:rFonts w:ascii="Times New Roman" w:hAnsi="Times New Roman" w:cs="Times New Roman" w:eastAsia="Times New Roman" w:hint="default"/>
                <w:sz w:val="18"/>
                <w:szCs w:val="18"/>
              </w:rPr>
            </w:pPr>
            <w:r>
              <w:rPr>
                <w:rFonts w:ascii="Times New Roman"/>
                <w:sz w:val="18"/>
              </w:rPr>
              <w:t>5,682,202.65</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66" w:right="0"/>
              <w:jc w:val="left"/>
              <w:rPr>
                <w:rFonts w:ascii="Times New Roman" w:hAnsi="Times New Roman" w:cs="Times New Roman" w:eastAsia="Times New Roman" w:hint="default"/>
                <w:sz w:val="18"/>
                <w:szCs w:val="18"/>
              </w:rPr>
            </w:pPr>
            <w:r>
              <w:rPr>
                <w:rFonts w:ascii="Times New Roman"/>
                <w:sz w:val="18"/>
              </w:rPr>
              <w:t>4,752,188.36</w:t>
            </w:r>
          </w:p>
        </w:tc>
      </w:tr>
      <w:tr>
        <w:trPr>
          <w:trHeight w:val="347"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分部负债</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07" w:right="0"/>
              <w:jc w:val="left"/>
              <w:rPr>
                <w:rFonts w:ascii="Times New Roman" w:hAnsi="Times New Roman" w:cs="Times New Roman" w:eastAsia="Times New Roman" w:hint="default"/>
                <w:sz w:val="18"/>
                <w:szCs w:val="18"/>
              </w:rPr>
            </w:pPr>
            <w:r>
              <w:rPr>
                <w:rFonts w:ascii="Times New Roman"/>
                <w:sz w:val="18"/>
              </w:rPr>
              <w:t>313,274.16</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8" w:right="0"/>
              <w:jc w:val="left"/>
              <w:rPr>
                <w:rFonts w:ascii="Times New Roman" w:hAnsi="Times New Roman" w:cs="Times New Roman" w:eastAsia="Times New Roman" w:hint="default"/>
                <w:sz w:val="18"/>
                <w:szCs w:val="18"/>
              </w:rPr>
            </w:pPr>
            <w:r>
              <w:rPr>
                <w:rFonts w:ascii="Times New Roman"/>
                <w:sz w:val="18"/>
              </w:rPr>
              <w:t>70,211.15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73" w:right="0"/>
              <w:jc w:val="left"/>
              <w:rPr>
                <w:rFonts w:ascii="Times New Roman" w:hAnsi="Times New Roman" w:cs="Times New Roman" w:eastAsia="Times New Roman" w:hint="default"/>
                <w:sz w:val="18"/>
                <w:szCs w:val="18"/>
              </w:rPr>
            </w:pPr>
            <w:r>
              <w:rPr>
                <w:rFonts w:ascii="Times New Roman"/>
                <w:sz w:val="18"/>
              </w:rPr>
              <w:t>800,361.76</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72,000.61</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19" w:right="0"/>
              <w:jc w:val="left"/>
              <w:rPr>
                <w:rFonts w:ascii="Times New Roman" w:hAnsi="Times New Roman" w:cs="Times New Roman" w:eastAsia="Times New Roman" w:hint="default"/>
                <w:sz w:val="18"/>
                <w:szCs w:val="18"/>
              </w:rPr>
            </w:pPr>
            <w:r>
              <w:rPr>
                <w:rFonts w:ascii="Times New Roman"/>
                <w:sz w:val="18"/>
              </w:rPr>
              <w:t>4,247,395.83</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6" w:right="0"/>
              <w:jc w:val="left"/>
              <w:rPr>
                <w:rFonts w:ascii="Times New Roman" w:hAnsi="Times New Roman" w:cs="Times New Roman" w:eastAsia="Times New Roman" w:hint="default"/>
                <w:sz w:val="18"/>
                <w:szCs w:val="18"/>
              </w:rPr>
            </w:pPr>
            <w:r>
              <w:rPr>
                <w:rFonts w:ascii="Times New Roman"/>
                <w:sz w:val="18"/>
              </w:rPr>
              <w:t>3,288,353.00</w:t>
            </w:r>
          </w:p>
        </w:tc>
      </w:tr>
    </w:tbl>
    <w:p>
      <w:pPr>
        <w:spacing w:line="240" w:lineRule="auto" w:before="6"/>
        <w:rPr>
          <w:rFonts w:ascii="宋体" w:hAnsi="宋体" w:cs="宋体" w:eastAsia="宋体" w:hint="default"/>
          <w:sz w:val="20"/>
          <w:szCs w:val="20"/>
        </w:rPr>
      </w:pPr>
    </w:p>
    <w:p>
      <w:pPr>
        <w:pStyle w:val="BodyText"/>
        <w:spacing w:line="240" w:lineRule="auto" w:before="44"/>
        <w:ind w:right="91"/>
        <w:jc w:val="left"/>
      </w:pPr>
      <w:r>
        <w:rPr>
          <w:rFonts w:ascii="Times New Roman" w:hAnsi="Times New Roman" w:cs="Times New Roman" w:eastAsia="Times New Roman" w:hint="default"/>
        </w:rPr>
        <w:t>3</w:t>
      </w:r>
      <w:r>
        <w:rPr/>
        <w:t>、于</w:t>
      </w:r>
      <w:r>
        <w:rPr>
          <w:spacing w:val="-45"/>
        </w:rPr>
        <w:t> </w:t>
      </w:r>
      <w:r>
        <w:rPr>
          <w:rFonts w:ascii="Times New Roman" w:hAnsi="Times New Roman" w:cs="Times New Roman" w:eastAsia="Times New Roman" w:hint="default"/>
        </w:rPr>
        <w:t>2015 </w:t>
      </w:r>
      <w:r>
        <w:rPr/>
        <w:t>年</w:t>
      </w:r>
      <w:r>
        <w:rPr>
          <w:spacing w:val="-46"/>
        </w:rPr>
        <w:t> </w:t>
      </w:r>
      <w:r>
        <w:rPr>
          <w:rFonts w:ascii="Times New Roman" w:hAnsi="Times New Roman" w:cs="Times New Roman" w:eastAsia="Times New Roman" w:hint="default"/>
        </w:rPr>
        <w:t>3 </w:t>
      </w:r>
      <w:r>
        <w:rPr/>
        <w:t>月</w:t>
      </w:r>
      <w:r>
        <w:rPr>
          <w:spacing w:val="-45"/>
        </w:rPr>
        <w:t> </w:t>
      </w:r>
      <w:r>
        <w:rPr>
          <w:rFonts w:ascii="Times New Roman" w:hAnsi="Times New Roman" w:cs="Times New Roman" w:eastAsia="Times New Roman" w:hint="default"/>
        </w:rPr>
        <w:t>26 </w:t>
      </w:r>
      <w:r>
        <w:rPr/>
        <w:t>日，本公司召开第七届董事会第八次会议，本公司全资子公司晨鸣（香港）有限公司拟对山东晨鸣融</w:t>
      </w:r>
    </w:p>
    <w:p>
      <w:pPr>
        <w:pStyle w:val="BodyText"/>
        <w:spacing w:line="240" w:lineRule="auto" w:before="64"/>
        <w:ind w:left="153" w:right="0"/>
        <w:jc w:val="left"/>
      </w:pPr>
      <w:r>
        <w:rPr/>
        <w:t>资租赁有限公司分批增资人民币</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亿元</w:t>
      </w:r>
      <w:r>
        <w:rPr>
          <w:spacing w:val="-86"/>
        </w:rPr>
        <w:t>，</w:t>
      </w:r>
      <w:r>
        <w:rPr/>
        <w:t>增资完成后</w:t>
      </w:r>
      <w:r>
        <w:rPr>
          <w:spacing w:val="-87"/>
        </w:rPr>
        <w:t>，</w:t>
      </w:r>
      <w:r>
        <w:rPr/>
        <w:t>山东晨鸣融资租赁有限公司注册资本由</w:t>
      </w:r>
      <w:r>
        <w:rPr>
          <w:spacing w:val="-46"/>
        </w:rPr>
        <w:t> </w:t>
      </w:r>
      <w:r>
        <w:rPr>
          <w:rFonts w:ascii="Times New Roman" w:hAnsi="Times New Roman" w:cs="Times New Roman" w:eastAsia="Times New Roman" w:hint="default"/>
        </w:rPr>
        <w:t>40.72</w:t>
      </w:r>
      <w:r>
        <w:rPr>
          <w:rFonts w:ascii="Times New Roman" w:hAnsi="Times New Roman" w:cs="Times New Roman" w:eastAsia="Times New Roman" w:hint="default"/>
          <w:spacing w:val="-1"/>
        </w:rPr>
        <w:t> </w:t>
      </w:r>
      <w:r>
        <w:rPr/>
        <w:t>亿元变更为</w:t>
      </w:r>
      <w:r>
        <w:rPr>
          <w:spacing w:val="-46"/>
        </w:rPr>
        <w:t> </w:t>
      </w:r>
      <w:r>
        <w:rPr>
          <w:rFonts w:ascii="Times New Roman" w:hAnsi="Times New Roman" w:cs="Times New Roman" w:eastAsia="Times New Roman" w:hint="default"/>
        </w:rPr>
        <w:t>90.72</w:t>
      </w:r>
      <w:r>
        <w:rPr>
          <w:rFonts w:ascii="Times New Roman" w:hAnsi="Times New Roman" w:cs="Times New Roman" w:eastAsia="Times New Roman" w:hint="default"/>
          <w:spacing w:val="-1"/>
        </w:rPr>
        <w:t> </w:t>
      </w:r>
      <w:r>
        <w:rPr/>
        <w:t>亿</w:t>
      </w:r>
      <w:r>
        <w:rPr>
          <w:spacing w:val="1"/>
        </w:rPr>
        <w:t>元</w:t>
      </w:r>
      <w:r>
        <w:rPr/>
        <w:t>。</w:t>
      </w:r>
    </w:p>
    <w:p>
      <w:pPr>
        <w:spacing w:line="240" w:lineRule="auto" w:before="3"/>
        <w:rPr>
          <w:rFonts w:ascii="宋体" w:hAnsi="宋体" w:cs="宋体" w:eastAsia="宋体" w:hint="default"/>
          <w:sz w:val="24"/>
          <w:szCs w:val="24"/>
        </w:rPr>
      </w:pPr>
    </w:p>
    <w:p>
      <w:pPr>
        <w:pStyle w:val="Heading2"/>
        <w:spacing w:line="240" w:lineRule="auto"/>
        <w:ind w:right="182"/>
        <w:jc w:val="left"/>
        <w:rPr>
          <w:b w:val="0"/>
          <w:bCs w:val="0"/>
        </w:rPr>
      </w:pP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2"/>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2"/>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2"/>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85"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3,507,79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9,132.77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3,979,95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9.83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0.11%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3,503,819</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,172.94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3,819,2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02,177.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4,547,645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3,814,654,5</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32.05</w:t>
            </w: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3,507,79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9,132.77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3,979,95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9.83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0.11%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3,503,819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,172.94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3,819,2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02,177.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4,547,645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0.12%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3,814,654,5</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32.05</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1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vMerge/>
            <w:tcBorders>
              <w:left w:val="single" w:sz="10"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）应收账款按账龄列示</w:t>
      </w:r>
      <w:r>
        <w:rPr>
          <w:b w:val="0"/>
          <w:bCs w:val="0"/>
        </w:rPr>
      </w:r>
    </w:p>
    <w:p>
      <w:pPr>
        <w:spacing w:line="240" w:lineRule="auto" w:before="3"/>
        <w:rPr>
          <w:rFonts w:ascii="宋体" w:hAnsi="宋体" w:cs="宋体" w:eastAsia="宋体" w:hint="default"/>
          <w:b/>
          <w:bCs/>
          <w:sz w:val="26"/>
          <w:szCs w:val="26"/>
        </w:rPr>
      </w:pPr>
    </w:p>
    <w:tbl>
      <w:tblPr>
        <w:tblW w:w="0" w:type="auto"/>
        <w:jc w:val="left"/>
        <w:tblInd w:w="119" w:type="dxa"/>
        <w:tblLayout w:type="fixed"/>
        <w:tblCellMar>
          <w:top w:w="0" w:type="dxa"/>
          <w:left w:w="0" w:type="dxa"/>
          <w:bottom w:w="0" w:type="dxa"/>
          <w:right w:w="0" w:type="dxa"/>
        </w:tblCellMar>
        <w:tblLook w:val="01E0"/>
      </w:tblPr>
      <w:tblGrid>
        <w:gridCol w:w="1434"/>
        <w:gridCol w:w="2412"/>
        <w:gridCol w:w="1885"/>
        <w:gridCol w:w="2164"/>
        <w:gridCol w:w="1799"/>
      </w:tblGrid>
      <w:tr>
        <w:trPr>
          <w:trHeight w:val="488" w:hRule="exact"/>
        </w:trPr>
        <w:tc>
          <w:tcPr>
            <w:tcW w:w="1434"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297"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62"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94" w:hRule="exact"/>
        </w:trPr>
        <w:tc>
          <w:tcPr>
            <w:tcW w:w="1434" w:type="dxa"/>
            <w:vMerge/>
            <w:tcBorders>
              <w:left w:val="single" w:sz="6" w:space="0" w:color="000000"/>
              <w:bottom w:val="single" w:sz="6" w:space="0" w:color="000000"/>
              <w:right w:val="single" w:sz="6" w:space="0" w:color="000000"/>
            </w:tcBorders>
            <w:shd w:val="clear" w:color="auto" w:fill="CCCCCC"/>
          </w:tcPr>
          <w:p>
            <w:pPr/>
          </w:p>
        </w:tc>
        <w:tc>
          <w:tcPr>
            <w:tcW w:w="241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21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9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96"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3,495,979,313.49</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99.66%</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3,814,870,507.13</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99.89%</w:t>
            </w:r>
          </w:p>
        </w:tc>
      </w:tr>
      <w:tr>
        <w:trPr>
          <w:trHeight w:val="494"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7,904,239.12</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0.23 %</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6,969.03</w:t>
            </w: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496"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2"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
        </w:tc>
        <w:tc>
          <w:tcPr>
            <w:tcW w:w="2164"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494"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3,915,580.16</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0.11 %</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4,324,701.54</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0.11%</w:t>
            </w:r>
          </w:p>
        </w:tc>
      </w:tr>
      <w:tr>
        <w:trPr>
          <w:trHeight w:val="494" w:hRule="exact"/>
        </w:trPr>
        <w:tc>
          <w:tcPr>
            <w:tcW w:w="14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2"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3,507,799,132.77</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r>
              <w:rPr>
                <w:rFonts w:ascii="Times New Roman"/>
                <w:spacing w:val="1"/>
                <w:sz w:val="18"/>
              </w:rPr>
              <w:t> </w:t>
            </w:r>
            <w:r>
              <w:rPr>
                <w:rFonts w:ascii="Times New Roman"/>
                <w:sz w:val="18"/>
              </w:rPr>
              <w:t>%</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3,819,202,177.70</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240" w:lineRule="auto" w:before="52"/>
        <w:ind w:right="-20"/>
        <w:jc w:val="left"/>
      </w:pPr>
      <w:r>
        <w:rPr/>
        <w:t>期末单项金额重大并单项计提坏账准备的应收账款：</w:t>
      </w:r>
    </w:p>
    <w:p>
      <w:pPr>
        <w:pStyle w:val="BodyText"/>
        <w:spacing w:line="338" w:lineRule="auto" w:before="117"/>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522"/>
        <w:gridCol w:w="2326"/>
        <w:gridCol w:w="2422"/>
        <w:gridCol w:w="2424"/>
      </w:tblGrid>
      <w:tr>
        <w:trPr>
          <w:trHeight w:val="402" w:hRule="exact"/>
        </w:trPr>
        <w:tc>
          <w:tcPr>
            <w:tcW w:w="25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22" w:type="dxa"/>
            <w:vMerge/>
            <w:tcBorders>
              <w:left w:val="single" w:sz="4" w:space="0" w:color="000000"/>
              <w:bottom w:val="single" w:sz="4" w:space="0" w:color="000000"/>
              <w:right w:val="single" w:sz="4" w:space="0" w:color="000000"/>
            </w:tcBorders>
            <w:shd w:val="clear" w:color="auto" w:fill="D3D3D3"/>
          </w:tcPr>
          <w:p>
            <w:pPr/>
          </w:p>
        </w:tc>
        <w:tc>
          <w:tcPr>
            <w:tcW w:w="2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6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1,283,796.09</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64,189.81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1,283,796.09</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64,189.81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1,898.63</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189.86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3,915,580.16</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3,915,580.16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5,201,274.88</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3,979,959.83</w:t>
            </w:r>
          </w:p>
        </w:tc>
        <w:tc>
          <w:tcPr>
            <w:tcW w:w="242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5450"/>
        <w:jc w:val="left"/>
      </w:pPr>
      <w:r>
        <w:rPr/>
        <w:t>确定该组合依据的说明： 组合中，采用余额百分比法计提坏账准备的应收账款：</w:t>
      </w:r>
    </w:p>
    <w:p>
      <w:pPr>
        <w:pStyle w:val="BodyText"/>
        <w:spacing w:line="340" w:lineRule="auto" w:before="26"/>
        <w:ind w:right="581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3"/>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3090"/>
        <w:gridCol w:w="3283"/>
        <w:gridCol w:w="3284"/>
      </w:tblGrid>
      <w:tr>
        <w:trPr>
          <w:trHeight w:val="427" w:hRule="exact"/>
        </w:trPr>
        <w:tc>
          <w:tcPr>
            <w:tcW w:w="309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8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8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3090"/>
        <w:gridCol w:w="3283"/>
        <w:gridCol w:w="3284"/>
      </w:tblGrid>
      <w:tr>
        <w:trPr>
          <w:trHeight w:val="427" w:hRule="exact"/>
        </w:trPr>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3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3,502,597,857.89</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r>
      <w:tr>
        <w:trPr>
          <w:trHeight w:val="427" w:hRule="exact"/>
        </w:trPr>
        <w:tc>
          <w:tcPr>
            <w:tcW w:w="309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3,502,597,857.89</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7"/>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228,564.44</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right="147"/>
        <w:jc w:val="left"/>
        <w:rPr>
          <w:b w:val="0"/>
          <w:bCs w:val="0"/>
        </w:rPr>
      </w:pPr>
      <w:r>
        <w:rPr/>
        <w:t>（</w:t>
      </w:r>
      <w:r>
        <w:rPr>
          <w:rFonts w:ascii="Times New Roman" w:hAnsi="Times New Roman" w:cs="Times New Roman" w:eastAsia="Times New Roman" w:hint="default"/>
        </w:rPr>
        <w:t>4</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2"/>
        <w:gridCol w:w="4584"/>
      </w:tblGrid>
      <w:tr>
        <w:trPr>
          <w:trHeight w:val="401" w:hRule="exact"/>
        </w:trPr>
        <w:tc>
          <w:tcPr>
            <w:tcW w:w="4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7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339,121.38</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5</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4003"/>
        <w:gridCol w:w="1529"/>
        <w:gridCol w:w="1681"/>
        <w:gridCol w:w="1224"/>
        <w:gridCol w:w="1220"/>
      </w:tblGrid>
      <w:tr>
        <w:trPr>
          <w:trHeight w:val="330" w:hRule="exact"/>
        </w:trPr>
        <w:tc>
          <w:tcPr>
            <w:tcW w:w="400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2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68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72"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22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2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4"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8"/>
                <w:szCs w:val="18"/>
              </w:rPr>
            </w:pPr>
            <w:r>
              <w:rPr>
                <w:rFonts w:ascii="Times New Roman"/>
                <w:spacing w:val="-1"/>
                <w:sz w:val="18"/>
              </w:rPr>
              <w:t>2,647,144,044.67</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8"/>
                <w:szCs w:val="18"/>
              </w:rPr>
            </w:pPr>
            <w:r>
              <w:rPr>
                <w:rFonts w:ascii="Times New Roman"/>
                <w:sz w:val="18"/>
              </w:rPr>
              <w:t>75.46%</w:t>
            </w:r>
          </w:p>
        </w:tc>
        <w:tc>
          <w:tcPr>
            <w:tcW w:w="122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343,752,269.14</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9.80%</w:t>
            </w:r>
          </w:p>
        </w:tc>
        <w:tc>
          <w:tcPr>
            <w:tcW w:w="122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山东晨鸣纸业集团（富裕）销售有限公司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272,783,898.06</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7.78%</w:t>
            </w:r>
          </w:p>
        </w:tc>
        <w:tc>
          <w:tcPr>
            <w:tcW w:w="122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寿光晨鸣美术纸有限公司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182,949,195.59</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5.22%</w:t>
            </w:r>
          </w:p>
        </w:tc>
        <w:tc>
          <w:tcPr>
            <w:tcW w:w="122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48,032,199.94</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1.37%</w:t>
            </w:r>
          </w:p>
        </w:tc>
        <w:tc>
          <w:tcPr>
            <w:tcW w:w="122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00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3,494,661,607.40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99.63%</w:t>
            </w:r>
          </w:p>
        </w:tc>
        <w:tc>
          <w:tcPr>
            <w:tcW w:w="122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0"/>
        <w:ind w:left="514" w:right="147"/>
        <w:jc w:val="left"/>
      </w:pPr>
      <w:r>
        <w:rPr/>
        <w:t>注</w:t>
      </w:r>
      <w:r>
        <w:rPr>
          <w:rFonts w:ascii="宋体" w:hAnsi="宋体" w:cs="宋体" w:eastAsia="宋体" w:hint="default"/>
          <w:b/>
          <w:bCs/>
        </w:rPr>
        <w:t>：</w:t>
      </w:r>
      <w:r>
        <w:rPr/>
        <w:t>本公司本年按欠款方归集的年末余额前五名应收账单位全部为合并范围内关联方。</w:t>
      </w:r>
    </w:p>
    <w:p>
      <w:pPr>
        <w:spacing w:line="240" w:lineRule="auto" w:before="12"/>
        <w:rPr>
          <w:rFonts w:ascii="宋体" w:hAnsi="宋体" w:cs="宋体" w:eastAsia="宋体" w:hint="default"/>
          <w:sz w:val="26"/>
          <w:szCs w:val="26"/>
        </w:rPr>
      </w:pPr>
    </w:p>
    <w:p>
      <w:pPr>
        <w:pStyle w:val="Heading4"/>
        <w:spacing w:line="240" w:lineRule="auto"/>
        <w:ind w:right="147"/>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2"/>
        <w:gridCol w:w="932"/>
        <w:gridCol w:w="932"/>
      </w:tblGrid>
      <w:tr>
        <w:trPr>
          <w:trHeight w:val="402" w:hRule="exact"/>
        </w:trPr>
        <w:tc>
          <w:tcPr>
            <w:tcW w:w="1611"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611" w:type="dxa"/>
            <w:vMerge/>
            <w:tcBorders>
              <w:left w:val="single" w:sz="4" w:space="0" w:color="000000"/>
              <w:bottom w:val="nil" w:sz="6" w:space="0" w:color="auto"/>
              <w:right w:val="single" w:sz="4" w:space="0" w:color="000000"/>
            </w:tcBorders>
            <w:shd w:val="clear" w:color="auto" w:fill="D3D3D3"/>
          </w:tcPr>
          <w:p>
            <w:pP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7" w:hRule="exact"/>
        </w:trPr>
        <w:tc>
          <w:tcPr>
            <w:tcW w:w="161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6" w:hRule="exact"/>
        </w:trPr>
        <w:tc>
          <w:tcPr>
            <w:tcW w:w="1611" w:type="dxa"/>
            <w:vMerge/>
            <w:tcBorders>
              <w:left w:val="single" w:sz="4" w:space="0" w:color="000000"/>
              <w:bottom w:val="single" w:sz="6" w:space="0" w:color="FFFFFF"/>
              <w:right w:val="single" w:sz="4" w:space="0" w:color="000000"/>
            </w:tcBorders>
            <w:shd w:val="clear" w:color="auto" w:fill="D3D3D3"/>
          </w:tcPr>
          <w:p>
            <w:pPr/>
          </w:p>
        </w:tc>
        <w:tc>
          <w:tcPr>
            <w:tcW w:w="775"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11" w:type="dxa"/>
            <w:vMerge w:val="restart"/>
            <w:tcBorders>
              <w:top w:val="single" w:sz="6" w:space="0" w:color="FFFFFF"/>
              <w:left w:val="single" w:sz="4" w:space="0" w:color="000000"/>
              <w:right w:val="single" w:sz="4" w:space="0" w:color="000000"/>
            </w:tcBorders>
            <w:shd w:val="clear" w:color="auto" w:fill="D3D3D3"/>
          </w:tcPr>
          <w:p>
            <w:pPr/>
          </w:p>
        </w:tc>
        <w:tc>
          <w:tcPr>
            <w:tcW w:w="775"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6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8" w:hRule="exact"/>
        </w:trPr>
        <w:tc>
          <w:tcPr>
            <w:tcW w:w="1611" w:type="dxa"/>
            <w:vMerge/>
            <w:tcBorders>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65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1611"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8,755,05</w:t>
            </w:r>
          </w:p>
          <w:p>
            <w:pPr>
              <w:pStyle w:val="TableParagraph"/>
              <w:spacing w:line="240" w:lineRule="auto" w:before="106"/>
              <w:ind w:left="414" w:right="0"/>
              <w:jc w:val="left"/>
              <w:rPr>
                <w:rFonts w:ascii="Times New Roman" w:hAnsi="Times New Roman" w:cs="Times New Roman" w:eastAsia="Times New Roman" w:hint="default"/>
                <w:sz w:val="18"/>
                <w:szCs w:val="18"/>
              </w:rPr>
            </w:pPr>
            <w:r>
              <w:rPr>
                <w:rFonts w:ascii="Times New Roman"/>
                <w:sz w:val="18"/>
              </w:rPr>
              <w:t>3.51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8,755,05</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3.51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8,918,4</w:t>
            </w: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24.06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8,918,424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9,344,90</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1,892.47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31,920,6</w:t>
            </w:r>
          </w:p>
          <w:p>
            <w:pPr>
              <w:pStyle w:val="TableParagraph"/>
              <w:spacing w:line="240" w:lineRule="auto" w:before="106"/>
              <w:ind w:left="322" w:right="0"/>
              <w:jc w:val="left"/>
              <w:rPr>
                <w:rFonts w:ascii="Times New Roman" w:hAnsi="Times New Roman" w:cs="Times New Roman" w:eastAsia="Times New Roman" w:hint="default"/>
                <w:sz w:val="18"/>
                <w:szCs w:val="18"/>
              </w:rPr>
            </w:pPr>
            <w:r>
              <w:rPr>
                <w:rFonts w:ascii="Times New Roman"/>
                <w:sz w:val="18"/>
              </w:rPr>
              <w:t>19.31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9,312,981</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,273.16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11,080,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086,699</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99.80%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28,464,52</w:t>
            </w:r>
          </w:p>
          <w:p>
            <w:pPr>
              <w:pStyle w:val="TableParagraph"/>
              <w:spacing w:line="240" w:lineRule="auto" w:before="106"/>
              <w:ind w:left="464" w:right="0"/>
              <w:jc w:val="left"/>
              <w:rPr>
                <w:rFonts w:ascii="Times New Roman" w:hAnsi="Times New Roman" w:cs="Times New Roman" w:eastAsia="Times New Roman" w:hint="default"/>
                <w:sz w:val="18"/>
                <w:szCs w:val="18"/>
              </w:rPr>
            </w:pPr>
            <w:r>
              <w:rPr>
                <w:rFonts w:ascii="Times New Roman"/>
                <w:sz w:val="18"/>
              </w:rPr>
              <w:t>1.53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11,051,622,</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177.96</w:t>
            </w:r>
          </w:p>
        </w:tc>
      </w:tr>
      <w:tr>
        <w:trPr>
          <w:trHeight w:val="403"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1"/>
              <w:ind w:left="99" w:right="0"/>
              <w:jc w:val="left"/>
              <w:rPr>
                <w:rFonts w:ascii="Times New Roman" w:hAnsi="Times New Roman" w:cs="Times New Roman" w:eastAsia="Times New Roman" w:hint="default"/>
                <w:sz w:val="18"/>
                <w:szCs w:val="18"/>
              </w:rPr>
            </w:pPr>
            <w:r>
              <w:rPr>
                <w:rFonts w:ascii="Times New Roman"/>
                <w:sz w:val="18"/>
              </w:rPr>
              <w:t>12,150,0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12,150,0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13,717,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13,717,50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3" w:right="0"/>
              <w:jc w:val="left"/>
              <w:rPr>
                <w:rFonts w:ascii="Times New Roman" w:hAnsi="Times New Roman" w:cs="Times New Roman" w:eastAsia="Times New Roman" w:hint="default"/>
                <w:sz w:val="18"/>
                <w:szCs w:val="18"/>
              </w:rPr>
            </w:pPr>
            <w:r>
              <w:rPr>
                <w:rFonts w:ascii="Times New Roman"/>
                <w:sz w:val="18"/>
              </w:rPr>
              <w:t>98.81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2" w:right="0"/>
              <w:jc w:val="left"/>
              <w:rPr>
                <w:rFonts w:ascii="Times New Roman" w:hAnsi="Times New Roman" w:cs="Times New Roman" w:eastAsia="Times New Roman" w:hint="default"/>
                <w:sz w:val="18"/>
                <w:szCs w:val="18"/>
              </w:rPr>
            </w:pPr>
            <w:r>
              <w:rPr>
                <w:rFonts w:ascii="Times New Roman"/>
                <w:sz w:val="18"/>
              </w:rPr>
              <w:t>98.81</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509.43</w:t>
            </w: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4" w:right="0"/>
              <w:jc w:val="left"/>
              <w:rPr>
                <w:rFonts w:ascii="Times New Roman" w:hAnsi="Times New Roman" w:cs="Times New Roman" w:eastAsia="Times New Roman" w:hint="default"/>
                <w:sz w:val="18"/>
                <w:szCs w:val="18"/>
              </w:rPr>
            </w:pPr>
            <w:r>
              <w:rPr>
                <w:rFonts w:ascii="Times New Roman"/>
                <w:sz w:val="18"/>
              </w:rPr>
              <w:t>9.43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9,365,80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7,044.79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52,825,7</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71.63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0.56%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9,312,981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,273.16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11,102,</w:t>
            </w:r>
          </w:p>
          <w:p>
            <w:pPr>
              <w:pStyle w:val="TableParagraph"/>
              <w:spacing w:line="240" w:lineRule="auto" w:before="104"/>
              <w:ind w:left="35" w:right="0"/>
              <w:jc w:val="left"/>
              <w:rPr>
                <w:rFonts w:ascii="Times New Roman" w:hAnsi="Times New Roman" w:cs="Times New Roman" w:eastAsia="Times New Roman" w:hint="default"/>
                <w:sz w:val="18"/>
                <w:szCs w:val="18"/>
              </w:rPr>
            </w:pPr>
            <w:r>
              <w:rPr>
                <w:rFonts w:ascii="Times New Roman"/>
                <w:sz w:val="18"/>
              </w:rPr>
              <w:t>722,632</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51,100,45</w:t>
            </w:r>
          </w:p>
          <w:p>
            <w:pPr>
              <w:pStyle w:val="TableParagraph"/>
              <w:spacing w:line="240" w:lineRule="auto" w:before="105"/>
              <w:ind w:left="464" w:right="0"/>
              <w:jc w:val="left"/>
              <w:rPr>
                <w:rFonts w:ascii="Times New Roman" w:hAnsi="Times New Roman" w:cs="Times New Roman" w:eastAsia="Times New Roman" w:hint="default"/>
                <w:sz w:val="18"/>
                <w:szCs w:val="18"/>
              </w:rPr>
            </w:pPr>
            <w:r>
              <w:rPr>
                <w:rFonts w:ascii="Times New Roman"/>
                <w:sz w:val="18"/>
              </w:rPr>
              <w:t>5.02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11,051,622,</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177.96</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）其他应收款按账龄列示</w:t>
      </w:r>
      <w:r>
        <w:rPr>
          <w:b w:val="0"/>
          <w:bCs w:val="0"/>
        </w:rPr>
      </w:r>
    </w:p>
    <w:p>
      <w:pPr>
        <w:spacing w:line="240" w:lineRule="auto" w:before="3"/>
        <w:rPr>
          <w:rFonts w:ascii="宋体" w:hAnsi="宋体" w:cs="宋体" w:eastAsia="宋体" w:hint="default"/>
          <w:b/>
          <w:bCs/>
          <w:sz w:val="26"/>
          <w:szCs w:val="26"/>
        </w:rPr>
      </w:pPr>
    </w:p>
    <w:tbl>
      <w:tblPr>
        <w:tblW w:w="0" w:type="auto"/>
        <w:jc w:val="left"/>
        <w:tblInd w:w="119" w:type="dxa"/>
        <w:tblLayout w:type="fixed"/>
        <w:tblCellMar>
          <w:top w:w="0" w:type="dxa"/>
          <w:left w:w="0" w:type="dxa"/>
          <w:bottom w:w="0" w:type="dxa"/>
          <w:right w:w="0" w:type="dxa"/>
        </w:tblCellMar>
        <w:tblLook w:val="01E0"/>
      </w:tblPr>
      <w:tblGrid>
        <w:gridCol w:w="1434"/>
        <w:gridCol w:w="2412"/>
        <w:gridCol w:w="1885"/>
        <w:gridCol w:w="2164"/>
        <w:gridCol w:w="1799"/>
      </w:tblGrid>
      <w:tr>
        <w:trPr>
          <w:trHeight w:val="488" w:hRule="exact"/>
        </w:trPr>
        <w:tc>
          <w:tcPr>
            <w:tcW w:w="1434"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297"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962"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94" w:hRule="exact"/>
        </w:trPr>
        <w:tc>
          <w:tcPr>
            <w:tcW w:w="1434" w:type="dxa"/>
            <w:vMerge/>
            <w:tcBorders>
              <w:left w:val="single" w:sz="6" w:space="0" w:color="000000"/>
              <w:bottom w:val="single" w:sz="6" w:space="0" w:color="000000"/>
              <w:right w:val="single" w:sz="6" w:space="0" w:color="000000"/>
            </w:tcBorders>
            <w:shd w:val="clear" w:color="auto" w:fill="CCCCCC"/>
          </w:tcPr>
          <w:p>
            <w:pPr/>
          </w:p>
        </w:tc>
        <w:tc>
          <w:tcPr>
            <w:tcW w:w="241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21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9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96"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8,869,930,319.01</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94.71%</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10,479,494,850.60</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94.39%</w:t>
            </w:r>
          </w:p>
        </w:tc>
      </w:tr>
      <w:tr>
        <w:trPr>
          <w:trHeight w:val="494"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441,932,482.93</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542,640,693.82</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w:t>
            </w:r>
          </w:p>
        </w:tc>
      </w:tr>
      <w:tr>
        <w:trPr>
          <w:trHeight w:val="496"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4,383,728.11</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0.04%</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38,955,846.94</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0.35%</w:t>
            </w:r>
          </w:p>
        </w:tc>
      </w:tr>
      <w:tr>
        <w:trPr>
          <w:trHeight w:val="494" w:hRule="exact"/>
        </w:trPr>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49,560,514.74</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0.53%</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41,631,241.62</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0.37%</w:t>
            </w:r>
          </w:p>
        </w:tc>
      </w:tr>
      <w:tr>
        <w:trPr>
          <w:trHeight w:val="494" w:hRule="exact"/>
        </w:trPr>
        <w:tc>
          <w:tcPr>
            <w:tcW w:w="14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2" w:type="dxa"/>
            <w:tcBorders>
              <w:top w:val="single" w:sz="6" w:space="0" w:color="000000"/>
              <w:left w:val="single" w:sz="14" w:space="0" w:color="CCCCCC"/>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9,365,807,044.79</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11,102,722,632.98</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240" w:lineRule="auto" w:before="52"/>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078"/>
        <w:gridCol w:w="1123"/>
        <w:gridCol w:w="1123"/>
        <w:gridCol w:w="871"/>
        <w:gridCol w:w="4486"/>
      </w:tblGrid>
      <w:tr>
        <w:trPr>
          <w:trHeight w:val="402" w:hRule="exact"/>
        </w:trPr>
        <w:tc>
          <w:tcPr>
            <w:tcW w:w="20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0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078" w:type="dxa"/>
            <w:vMerge/>
            <w:tcBorders>
              <w:left w:val="single" w:sz="4" w:space="0" w:color="000000"/>
              <w:bottom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1"/>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4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8,755,053.51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8,755,053.51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4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主要是账龄三年以上的往来款，预计收回可能性小</w:t>
            </w:r>
          </w:p>
        </w:tc>
      </w:tr>
      <w:tr>
        <w:trPr>
          <w:trHeight w:val="403" w:hRule="exact"/>
        </w:trPr>
        <w:tc>
          <w:tcPr>
            <w:tcW w:w="2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8,755,053.51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8,755,053.51</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51"/>
        <w:ind w:right="-20"/>
        <w:jc w:val="left"/>
      </w:pPr>
      <w:r>
        <w:rPr/>
        <w:t>组合中，按账龄分析法计提坏账准备的其他应收款：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525"/>
        <w:gridCol w:w="2324"/>
        <w:gridCol w:w="2423"/>
        <w:gridCol w:w="2422"/>
      </w:tblGrid>
      <w:tr>
        <w:trPr>
          <w:trHeight w:val="402" w:hRule="exact"/>
        </w:trPr>
        <w:tc>
          <w:tcPr>
            <w:tcW w:w="25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25" w:type="dxa"/>
            <w:vMerge/>
            <w:tcBorders>
              <w:left w:val="single" w:sz="4" w:space="0" w:color="000000"/>
              <w:bottom w:val="single" w:sz="4" w:space="0" w:color="000000"/>
              <w:right w:val="single" w:sz="4" w:space="0" w:color="000000"/>
            </w:tcBorders>
            <w:shd w:val="clear" w:color="auto" w:fill="D3D3D3"/>
          </w:tcPr>
          <w:p>
            <w:pPr/>
          </w:p>
        </w:tc>
        <w:tc>
          <w:tcPr>
            <w:tcW w:w="2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6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34,243,650.75</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1,712,182.54</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34,243,650.75</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1,712,182.54</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6,763,287.32</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676,328.73</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4,383,728.11</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876,745.62</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28,655,362.42</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28,655,362.42</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74,046,028.60</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31,920,619.31</w:t>
            </w:r>
          </w:p>
        </w:tc>
        <w:tc>
          <w:tcPr>
            <w:tcW w:w="242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47"/>
        <w:jc w:val="left"/>
      </w:pPr>
      <w:r>
        <w:rPr/>
        <w:t>确定该组合依据的说明：</w:t>
      </w:r>
    </w:p>
    <w:p>
      <w:pPr>
        <w:spacing w:after="0" w:line="240" w:lineRule="auto"/>
        <w:jc w:val="left"/>
        <w:sectPr>
          <w:type w:val="continuous"/>
          <w:pgSz w:w="11910" w:h="16840"/>
          <w:pgMar w:top="106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147"/>
        <w:jc w:val="left"/>
      </w:pPr>
      <w:r>
        <w:rPr/>
        <w:t>组合中，采用余额百分比法计提坏账准备的其他应收款：</w:t>
      </w:r>
    </w:p>
    <w:p>
      <w:pPr>
        <w:pStyle w:val="BodyText"/>
        <w:spacing w:line="340" w:lineRule="auto" w:before="116"/>
        <w:ind w:right="563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3090"/>
        <w:gridCol w:w="3283"/>
        <w:gridCol w:w="3284"/>
      </w:tblGrid>
      <w:tr>
        <w:trPr>
          <w:trHeight w:val="399" w:hRule="exact"/>
        </w:trPr>
        <w:tc>
          <w:tcPr>
            <w:tcW w:w="309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8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8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43" w:hRule="exact"/>
        </w:trPr>
        <w:tc>
          <w:tcPr>
            <w:tcW w:w="3090" w:type="dxa"/>
            <w:tcBorders>
              <w:top w:val="single" w:sz="9" w:space="0" w:color="000000"/>
              <w:left w:val="single" w:sz="6" w:space="0" w:color="000000"/>
              <w:bottom w:val="single" w:sz="10" w:space="0" w:color="000000"/>
              <w:right w:val="single" w:sz="6" w:space="0" w:color="000000"/>
            </w:tcBorders>
          </w:tcPr>
          <w:p>
            <w:pPr>
              <w:pStyle w:val="TableParagraph"/>
              <w:spacing w:line="240" w:lineRule="auto" w:before="73"/>
              <w:ind w:left="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3283"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113"/>
              <w:ind w:right="0"/>
              <w:jc w:val="right"/>
              <w:rPr>
                <w:rFonts w:ascii="Times New Roman" w:hAnsi="Times New Roman" w:cs="Times New Roman" w:eastAsia="Times New Roman" w:hint="default"/>
                <w:sz w:val="18"/>
                <w:szCs w:val="18"/>
              </w:rPr>
            </w:pPr>
            <w:r>
              <w:rPr>
                <w:rFonts w:ascii="Times New Roman"/>
                <w:spacing w:val="-1"/>
                <w:sz w:val="18"/>
              </w:rPr>
              <w:t>9,270,855,863.87</w:t>
            </w:r>
          </w:p>
        </w:tc>
        <w:tc>
          <w:tcPr>
            <w:tcW w:w="3284"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113"/>
              <w:ind w:right="0"/>
              <w:jc w:val="right"/>
              <w:rPr>
                <w:rFonts w:ascii="Times New Roman" w:hAnsi="Times New Roman" w:cs="Times New Roman" w:eastAsia="Times New Roman" w:hint="default"/>
                <w:sz w:val="18"/>
                <w:szCs w:val="18"/>
              </w:rPr>
            </w:pPr>
            <w:r>
              <w:rPr>
                <w:rFonts w:ascii="Times New Roman"/>
                <w:sz w:val="18"/>
              </w:rPr>
              <w:t>0.00</w:t>
            </w:r>
          </w:p>
        </w:tc>
      </w:tr>
      <w:tr>
        <w:trPr>
          <w:trHeight w:val="427" w:hRule="exact"/>
        </w:trPr>
        <w:tc>
          <w:tcPr>
            <w:tcW w:w="309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9,270,855,863.87</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BodyText"/>
        <w:spacing w:line="340" w:lineRule="auto" w:before="44"/>
        <w:ind w:right="-13" w:hanging="1"/>
        <w:jc w:val="left"/>
      </w:pPr>
      <w:r>
        <w:rPr/>
        <w:t>本期计提坏账准备金额</w:t>
      </w:r>
      <w:r>
        <w:rPr>
          <w:spacing w:val="-47"/>
        </w:rPr>
        <w:t> </w:t>
      </w:r>
      <w:r>
        <w:rPr>
          <w:rFonts w:ascii="Times New Roman" w:hAnsi="Times New Roman" w:cs="Times New Roman" w:eastAsia="Times New Roman" w:hint="default"/>
        </w:rPr>
        <w:t>3,456,097.78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1,730,781.17</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7083" w:space="1745"/>
            <w:col w:w="1122"/>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412"/>
        <w:gridCol w:w="3142"/>
        <w:gridCol w:w="3140"/>
      </w:tblGrid>
      <w:tr>
        <w:trPr>
          <w:trHeight w:val="402" w:hRule="exact"/>
        </w:trPr>
        <w:tc>
          <w:tcPr>
            <w:tcW w:w="3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3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武汉捷能燃烧工程科技有限公司</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493,200.00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收回欠款</w:t>
            </w:r>
          </w:p>
        </w:tc>
      </w:tr>
      <w:tr>
        <w:trPr>
          <w:trHeight w:val="40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山东省司法鉴定中心</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550,000.00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转入费用</w:t>
            </w:r>
          </w:p>
        </w:tc>
      </w:tr>
      <w:tr>
        <w:trPr>
          <w:trHeight w:val="403" w:hRule="exact"/>
        </w:trPr>
        <w:tc>
          <w:tcPr>
            <w:tcW w:w="3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4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1,043,200.00</w:t>
            </w:r>
          </w:p>
        </w:tc>
        <w:tc>
          <w:tcPr>
            <w:tcW w:w="3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4</w:t>
      </w:r>
      <w:r>
        <w:rPr/>
        <w:t>）报告期内无核销或转销的其他应收款。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548"/>
        <w:gridCol w:w="1260"/>
        <w:gridCol w:w="1441"/>
        <w:gridCol w:w="1260"/>
        <w:gridCol w:w="1632"/>
        <w:gridCol w:w="1553"/>
      </w:tblGrid>
      <w:tr>
        <w:trPr>
          <w:trHeight w:val="714" w:hRule="exact"/>
        </w:trPr>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0" w:right="9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5,347,229,480.82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57.09%</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湛江美伦浆纸有限公司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1,007,015,000.00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10.75%</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582,648,454.13</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6.22%</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山东江河纸业有限责任公司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433,827,316.21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4.63%</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寿光晨鸣美术纸有限公司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376,371,289.84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4.02%</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7,747,091,541.00</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82.71%</w:t>
            </w:r>
          </w:p>
        </w:tc>
        <w:tc>
          <w:tcPr>
            <w:tcW w:w="15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033"/>
        <w:gridCol w:w="1527"/>
        <w:gridCol w:w="850"/>
        <w:gridCol w:w="1540"/>
        <w:gridCol w:w="1442"/>
        <w:gridCol w:w="848"/>
        <w:gridCol w:w="1430"/>
      </w:tblGrid>
      <w:tr>
        <w:trPr>
          <w:trHeight w:val="200" w:hRule="exact"/>
        </w:trPr>
        <w:tc>
          <w:tcPr>
            <w:tcW w:w="2033" w:type="dxa"/>
            <w:tcBorders>
              <w:top w:val="single" w:sz="4" w:space="0" w:color="000000"/>
              <w:left w:val="single" w:sz="4" w:space="0" w:color="000000"/>
              <w:bottom w:val="nil" w:sz="6" w:space="0" w:color="auto"/>
              <w:right w:val="single" w:sz="4" w:space="0" w:color="000000"/>
            </w:tcBorders>
            <w:shd w:val="clear" w:color="auto" w:fill="D3D3D3"/>
          </w:tcPr>
          <w:p>
            <w:pPr/>
          </w:p>
        </w:tc>
        <w:tc>
          <w:tcPr>
            <w:tcW w:w="391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203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3917" w:type="dxa"/>
            <w:gridSpan w:val="3"/>
            <w:vMerge/>
            <w:tcBorders>
              <w:left w:val="single" w:sz="4" w:space="0" w:color="000000"/>
              <w:bottom w:val="single" w:sz="4" w:space="0" w:color="000000"/>
              <w:right w:val="single" w:sz="4" w:space="0" w:color="000000"/>
            </w:tcBorders>
            <w:shd w:val="clear" w:color="auto" w:fill="D3D3D3"/>
          </w:tcPr>
          <w:p>
            <w:pPr/>
          </w:p>
        </w:tc>
        <w:tc>
          <w:tcPr>
            <w:tcW w:w="3721" w:type="dxa"/>
            <w:gridSpan w:val="3"/>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2033" w:type="dxa"/>
            <w:vMerge/>
            <w:tcBorders>
              <w:left w:val="single" w:sz="4" w:space="0" w:color="000000"/>
              <w:bottom w:val="nil" w:sz="6" w:space="0" w:color="auto"/>
              <w:right w:val="single" w:sz="4" w:space="0" w:color="000000"/>
            </w:tcBorders>
            <w:shd w:val="clear" w:color="auto" w:fill="D3D3D3"/>
          </w:tcPr>
          <w:p>
            <w:pPr/>
          </w:p>
        </w:tc>
        <w:tc>
          <w:tcPr>
            <w:tcW w:w="1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2" w:hRule="exact"/>
        </w:trPr>
        <w:tc>
          <w:tcPr>
            <w:tcW w:w="20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7"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1540" w:type="dxa"/>
            <w:vMerge/>
            <w:tcBorders>
              <w:left w:val="single" w:sz="4" w:space="0" w:color="000000"/>
              <w:bottom w:val="single" w:sz="4" w:space="0" w:color="000000"/>
              <w:right w:val="single" w:sz="4" w:space="0" w:color="000000"/>
            </w:tcBorders>
            <w:shd w:val="clear" w:color="auto" w:fill="D3D3D3"/>
          </w:tcPr>
          <w:p>
            <w:pPr/>
          </w:p>
        </w:tc>
        <w:tc>
          <w:tcPr>
            <w:tcW w:w="1442" w:type="dxa"/>
            <w:vMerge/>
            <w:tcBorders>
              <w:left w:val="single" w:sz="4" w:space="0" w:color="000000"/>
              <w:bottom w:val="single" w:sz="4" w:space="0" w:color="000000"/>
              <w:right w:val="single" w:sz="4" w:space="0" w:color="000000"/>
            </w:tcBorders>
            <w:shd w:val="clear" w:color="auto" w:fill="D3D3D3"/>
          </w:tcPr>
          <w:p>
            <w:pPr/>
          </w:p>
        </w:tc>
        <w:tc>
          <w:tcPr>
            <w:tcW w:w="848" w:type="dxa"/>
            <w:vMerge/>
            <w:tcBorders>
              <w:left w:val="single" w:sz="4" w:space="0" w:color="000000"/>
              <w:bottom w:val="single" w:sz="4" w:space="0" w:color="000000"/>
              <w:right w:val="single" w:sz="4" w:space="0" w:color="000000"/>
            </w:tcBorders>
            <w:shd w:val="clear" w:color="auto" w:fill="D3D3D3"/>
          </w:tcPr>
          <w:p>
            <w:pPr/>
          </w:p>
        </w:tc>
        <w:tc>
          <w:tcPr>
            <w:tcW w:w="143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5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12,363,272,557.45</w:t>
            </w:r>
          </w:p>
        </w:tc>
        <w:tc>
          <w:tcPr>
            <w:tcW w:w="85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12,363,272,557.45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8,775,732,395.17</w:t>
            </w:r>
          </w:p>
        </w:tc>
        <w:tc>
          <w:tcPr>
            <w:tcW w:w="84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8,775,732,395.17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021"/>
        <w:gridCol w:w="1550"/>
        <w:gridCol w:w="850"/>
        <w:gridCol w:w="1541"/>
        <w:gridCol w:w="1441"/>
        <w:gridCol w:w="848"/>
        <w:gridCol w:w="1442"/>
      </w:tblGrid>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55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7,662,574.57</w:t>
            </w:r>
          </w:p>
        </w:tc>
        <w:tc>
          <w:tcPr>
            <w:tcW w:w="85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7,662,574.57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4,745,182.75</w:t>
            </w:r>
          </w:p>
        </w:tc>
        <w:tc>
          <w:tcPr>
            <w:tcW w:w="84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4,745,182.75</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12,370,935,132.02</w:t>
            </w:r>
          </w:p>
        </w:tc>
        <w:tc>
          <w:tcPr>
            <w:tcW w:w="85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12,370,935,132.02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8,780,477,577.92</w:t>
            </w:r>
          </w:p>
        </w:tc>
        <w:tc>
          <w:tcPr>
            <w:tcW w:w="84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8,780,477,577.92</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00"/>
        <w:gridCol w:w="1384"/>
        <w:gridCol w:w="1316"/>
        <w:gridCol w:w="1080"/>
        <w:gridCol w:w="1440"/>
        <w:gridCol w:w="900"/>
        <w:gridCol w:w="846"/>
      </w:tblGrid>
      <w:tr>
        <w:trPr>
          <w:trHeight w:val="714"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9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7" w:right="56"/>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山东晨鸣热电股份有限公司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157,810,117.43</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157,810,117.43</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202,824,716.34</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202,824,716.34</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海拉尔晨鸣纸业有限责任公司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寿光晨鸣天园林业有限公司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7,199,000.00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7,199,000.00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822,867,646.40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822,867,646.40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山东御景大酒店有限公司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1,501,350,000.00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1,501,350,000.00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62,583,310.00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120,889,592.00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183,472,902.00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寿光晨鸣现代物流有限公司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寿光晨鸣美术纸有限公司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113,616,063.80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113,616,063.80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黄岗晨鸣浆纸有限公司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2,446,349,570.28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4,646,349,570.28</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晨鸣国际有限公司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19,861,955.00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19,861,955.00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寿光顺达报关有限责任公司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寿光恒丰仓储有限公司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寿光晨鸣进出口贸易有限公司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寿光晨鸣佳泰物业管理有限公司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寿光晨鸣造纸机械有限公司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寿光晨鸣工业物流有限公司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寿光晨鸣宏欣包装有限公司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晨鸣纸业日本株式会社</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9,306,351.20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9,306,351.20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GmbH</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4,083,235.00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4,083,235.00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700"/>
        <w:gridCol w:w="1384"/>
        <w:gridCol w:w="1316"/>
        <w:gridCol w:w="1080"/>
        <w:gridCol w:w="1440"/>
        <w:gridCol w:w="900"/>
        <w:gridCol w:w="846"/>
      </w:tblGrid>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寿光鸿翔印刷包装有限责任公司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山东晨鸣纸业（富裕）销售有限公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山东晨鸣集团财务有限公司</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晨鸣林业有限公司</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青岛晨鸣国际物流有限公司</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8,775,732,395.17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3,595,239,162.28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7,699,000.00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12,363,272,557.45</w:t>
            </w:r>
          </w:p>
        </w:tc>
        <w:tc>
          <w:tcPr>
            <w:tcW w:w="90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731"/>
        <w:gridCol w:w="1001"/>
        <w:gridCol w:w="1001"/>
        <w:gridCol w:w="732"/>
        <w:gridCol w:w="836"/>
        <w:gridCol w:w="732"/>
        <w:gridCol w:w="732"/>
        <w:gridCol w:w="732"/>
        <w:gridCol w:w="732"/>
        <w:gridCol w:w="732"/>
        <w:gridCol w:w="1001"/>
        <w:gridCol w:w="732"/>
      </w:tblGrid>
      <w:tr>
        <w:trPr>
          <w:trHeight w:val="402" w:hRule="exact"/>
        </w:trPr>
        <w:tc>
          <w:tcPr>
            <w:tcW w:w="7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70" w:right="89"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10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229"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89" w:right="9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31"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4" w:space="0" w:color="000000"/>
              <w:bottom w:val="single" w:sz="4" w:space="0" w:color="000000"/>
              <w:right w:val="single" w:sz="4" w:space="0" w:color="000000"/>
            </w:tcBorders>
            <w:shd w:val="clear" w:color="auto" w:fill="D3D3D3"/>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1" w:right="89"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3" w:right="50"/>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0" w:right="9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9" w:right="9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0" w:right="90"/>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9" w:right="9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01" w:type="dxa"/>
            <w:vMerge/>
            <w:tcBorders>
              <w:left w:val="single" w:sz="4" w:space="0" w:color="000000"/>
              <w:bottom w:val="single" w:sz="4" w:space="0" w:color="000000"/>
              <w:right w:val="single" w:sz="4" w:space="0" w:color="000000"/>
            </w:tcBorders>
            <w:shd w:val="clear" w:color="auto" w:fill="D3D3D3"/>
          </w:tcPr>
          <w:p>
            <w:pPr/>
          </w:p>
        </w:tc>
        <w:tc>
          <w:tcPr>
            <w:tcW w:w="73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69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650" w:hRule="exact"/>
        </w:trPr>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寿光晨 鸣汇森 新型建 材有限 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3,000,000.00</w:t>
            </w:r>
          </w:p>
        </w:tc>
        <w:tc>
          <w:tcPr>
            <w:tcW w:w="732"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-212.02</w:t>
            </w: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2,999,787.98</w:t>
            </w: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01" w:type="dxa"/>
            <w:tcBorders>
              <w:top w:val="single" w:sz="4" w:space="0" w:color="000000"/>
              <w:left w:val="single" w:sz="13" w:space="0" w:color="D3D3D3"/>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3,000,000.00</w:t>
            </w:r>
          </w:p>
        </w:tc>
        <w:tc>
          <w:tcPr>
            <w:tcW w:w="732"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-212.02</w:t>
            </w: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2,999,787.98</w:t>
            </w: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69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1" w:hRule="exact"/>
        </w:trPr>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6"/>
              <w:jc w:val="both"/>
              <w:rPr>
                <w:rFonts w:ascii="宋体" w:hAnsi="宋体" w:cs="宋体" w:eastAsia="宋体" w:hint="default"/>
                <w:sz w:val="18"/>
                <w:szCs w:val="18"/>
              </w:rPr>
            </w:pPr>
            <w:r>
              <w:rPr>
                <w:rFonts w:ascii="宋体" w:hAnsi="宋体" w:cs="宋体" w:eastAsia="宋体" w:hint="default"/>
                <w:sz w:val="18"/>
                <w:szCs w:val="18"/>
              </w:rPr>
              <w:t>阿尔诺 维根斯 晨鸣特 种纸有 限公司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江西江 报传媒 彩印有 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4,745,182.75</w:t>
            </w:r>
          </w:p>
        </w:tc>
        <w:tc>
          <w:tcPr>
            <w:tcW w:w="100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-82,396.16</w:t>
            </w: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4,662,786.59</w:t>
            </w: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4,745,182.75</w:t>
            </w:r>
          </w:p>
        </w:tc>
        <w:tc>
          <w:tcPr>
            <w:tcW w:w="100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-82,396.16</w:t>
            </w: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4,662,786.59</w:t>
            </w: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4,745,182.75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3,000,000.00</w:t>
            </w:r>
          </w:p>
        </w:tc>
        <w:tc>
          <w:tcPr>
            <w:tcW w:w="732"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-82,608.18</w:t>
            </w: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7,662,574.57</w:t>
            </w:r>
          </w:p>
        </w:tc>
        <w:tc>
          <w:tcPr>
            <w:tcW w:w="7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020"/>
        <w:gridCol w:w="1861"/>
        <w:gridCol w:w="1936"/>
        <w:gridCol w:w="1937"/>
        <w:gridCol w:w="1939"/>
      </w:tblGrid>
      <w:tr>
        <w:trPr>
          <w:trHeight w:val="201"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379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7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1" w:hRule="exact"/>
        </w:trPr>
        <w:tc>
          <w:tcPr>
            <w:tcW w:w="20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97" w:type="dxa"/>
            <w:gridSpan w:val="2"/>
            <w:vMerge/>
            <w:tcBorders>
              <w:left w:val="single" w:sz="4" w:space="0" w:color="000000"/>
              <w:bottom w:val="single" w:sz="4" w:space="0" w:color="000000"/>
              <w:right w:val="single" w:sz="4" w:space="0" w:color="000000"/>
            </w:tcBorders>
            <w:shd w:val="clear" w:color="auto" w:fill="D3D3D3"/>
          </w:tcPr>
          <w:p>
            <w:pPr/>
          </w:p>
        </w:tc>
        <w:tc>
          <w:tcPr>
            <w:tcW w:w="3877"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020" w:type="dxa"/>
            <w:vMerge/>
            <w:tcBorders>
              <w:left w:val="single" w:sz="4" w:space="0" w:color="000000"/>
              <w:bottom w:val="nil" w:sz="6" w:space="0" w:color="auto"/>
              <w:right w:val="single" w:sz="4" w:space="0" w:color="000000"/>
            </w:tcBorders>
            <w:shd w:val="clear" w:color="auto" w:fill="D3D3D3"/>
          </w:tcPr>
          <w:p>
            <w:pPr/>
          </w:p>
        </w:tc>
        <w:tc>
          <w:tcPr>
            <w:tcW w:w="18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861" w:type="dxa"/>
            <w:vMerge/>
            <w:tcBorders>
              <w:left w:val="single" w:sz="4" w:space="0" w:color="000000"/>
              <w:bottom w:val="single" w:sz="4" w:space="0" w:color="000000"/>
              <w:right w:val="single" w:sz="4" w:space="0" w:color="000000"/>
            </w:tcBorders>
            <w:shd w:val="clear" w:color="auto" w:fill="D3D3D3"/>
          </w:tcPr>
          <w:p>
            <w:pPr/>
          </w:p>
        </w:tc>
        <w:tc>
          <w:tcPr>
            <w:tcW w:w="1936" w:type="dxa"/>
            <w:vMerge/>
            <w:tcBorders>
              <w:left w:val="single" w:sz="4" w:space="0" w:color="000000"/>
              <w:bottom w:val="single" w:sz="4" w:space="0" w:color="000000"/>
              <w:right w:val="single" w:sz="4" w:space="0" w:color="000000"/>
            </w:tcBorders>
            <w:shd w:val="clear" w:color="auto" w:fill="D3D3D3"/>
          </w:tcPr>
          <w:p>
            <w:pPr/>
          </w:p>
        </w:tc>
        <w:tc>
          <w:tcPr>
            <w:tcW w:w="1937" w:type="dxa"/>
            <w:vMerge/>
            <w:tcBorders>
              <w:left w:val="single" w:sz="4" w:space="0" w:color="000000"/>
              <w:bottom w:val="single" w:sz="4" w:space="0" w:color="000000"/>
              <w:right w:val="single" w:sz="4" w:space="0" w:color="000000"/>
            </w:tcBorders>
            <w:shd w:val="clear" w:color="auto" w:fill="D3D3D3"/>
          </w:tcPr>
          <w:p>
            <w:pPr/>
          </w:p>
        </w:tc>
        <w:tc>
          <w:tcPr>
            <w:tcW w:w="193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6,988,901,803.37</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5,462,982,348.69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8,581,184,184.97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6,670,788,412.36</w:t>
            </w:r>
          </w:p>
        </w:tc>
      </w:tr>
      <w:tr>
        <w:trPr>
          <w:trHeight w:val="402"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1,594,066,256.29</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1,549,506,687.75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1,208,914,521.45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1,160,755,434.14</w:t>
            </w:r>
          </w:p>
        </w:tc>
      </w:tr>
      <w:tr>
        <w:trPr>
          <w:trHeight w:val="402"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8,582,968,059.66</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7,012,489,036.44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9,790,098,706.42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7,831,543,846.50</w:t>
            </w:r>
          </w:p>
        </w:tc>
      </w:tr>
    </w:tbl>
    <w:p>
      <w:pPr>
        <w:pStyle w:val="BodyText"/>
        <w:spacing w:line="240" w:lineRule="auto" w:before="10"/>
        <w:ind w:left="694" w:right="147"/>
        <w:jc w:val="left"/>
      </w:pPr>
      <w:r>
        <w:rPr/>
        <w:t>主营业务（分行业）</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873"/>
        <w:gridCol w:w="2119"/>
        <w:gridCol w:w="1726"/>
        <w:gridCol w:w="2057"/>
        <w:gridCol w:w="1883"/>
      </w:tblGrid>
      <w:tr>
        <w:trPr>
          <w:trHeight w:val="347" w:hRule="exact"/>
        </w:trPr>
        <w:tc>
          <w:tcPr>
            <w:tcW w:w="1873"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940"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8" w:hRule="exact"/>
        </w:trPr>
        <w:tc>
          <w:tcPr>
            <w:tcW w:w="1873" w:type="dxa"/>
            <w:vMerge/>
            <w:tcBorders>
              <w:left w:val="single" w:sz="6" w:space="0" w:color="000000"/>
              <w:bottom w:val="single" w:sz="6" w:space="0" w:color="000000"/>
              <w:right w:val="single" w:sz="6" w:space="0" w:color="000000"/>
            </w:tcBorders>
            <w:shd w:val="clear" w:color="auto" w:fill="CCCCCC"/>
          </w:tcPr>
          <w:p>
            <w:pPr/>
          </w:p>
        </w:tc>
        <w:tc>
          <w:tcPr>
            <w:tcW w:w="21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9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5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57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机制纸</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6,035,746,457.60</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4,827,440,373.01</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6,381,206,521.11</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05" w:right="0"/>
              <w:jc w:val="left"/>
              <w:rPr>
                <w:rFonts w:ascii="Times New Roman" w:hAnsi="Times New Roman" w:cs="Times New Roman" w:eastAsia="Times New Roman" w:hint="default"/>
                <w:sz w:val="18"/>
                <w:szCs w:val="18"/>
              </w:rPr>
            </w:pPr>
            <w:r>
              <w:rPr>
                <w:rFonts w:ascii="Times New Roman"/>
                <w:sz w:val="18"/>
              </w:rPr>
              <w:t>5,004,862,835.94</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电及汽</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953,155,345.77</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635,541,975.68</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2,199,977,663.86</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06" w:right="0"/>
              <w:jc w:val="left"/>
              <w:rPr>
                <w:rFonts w:ascii="Times New Roman" w:hAnsi="Times New Roman" w:cs="Times New Roman" w:eastAsia="Times New Roman" w:hint="default"/>
                <w:sz w:val="18"/>
                <w:szCs w:val="18"/>
              </w:rPr>
            </w:pPr>
            <w:r>
              <w:rPr>
                <w:rFonts w:ascii="Times New Roman"/>
                <w:sz w:val="18"/>
              </w:rPr>
              <w:t>1,665,925,576.42</w:t>
            </w:r>
          </w:p>
        </w:tc>
      </w:tr>
      <w:tr>
        <w:trPr>
          <w:trHeight w:val="348" w:hRule="exact"/>
        </w:trPr>
        <w:tc>
          <w:tcPr>
            <w:tcW w:w="187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6,988,901,803.37</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5,462,982,348.69</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8,581,184,184.97</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05" w:right="0"/>
              <w:jc w:val="left"/>
              <w:rPr>
                <w:rFonts w:ascii="Times New Roman" w:hAnsi="Times New Roman" w:cs="Times New Roman" w:eastAsia="Times New Roman" w:hint="default"/>
                <w:sz w:val="18"/>
                <w:szCs w:val="18"/>
              </w:rPr>
            </w:pPr>
            <w:r>
              <w:rPr>
                <w:rFonts w:ascii="Times New Roman"/>
                <w:sz w:val="18"/>
              </w:rPr>
              <w:t>6,670,788,412.36</w:t>
            </w:r>
          </w:p>
        </w:tc>
      </w:tr>
    </w:tbl>
    <w:p>
      <w:pPr>
        <w:pStyle w:val="BodyText"/>
        <w:spacing w:line="240" w:lineRule="auto" w:before="10"/>
        <w:ind w:left="514" w:right="147"/>
        <w:jc w:val="left"/>
      </w:pPr>
      <w:r>
        <w:rPr/>
        <w:t>主营业务（机制纸分地区）</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873"/>
        <w:gridCol w:w="2119"/>
        <w:gridCol w:w="1726"/>
        <w:gridCol w:w="2057"/>
        <w:gridCol w:w="1883"/>
      </w:tblGrid>
      <w:tr>
        <w:trPr>
          <w:trHeight w:val="347" w:hRule="exact"/>
        </w:trPr>
        <w:tc>
          <w:tcPr>
            <w:tcW w:w="1873"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940"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7" w:hRule="exact"/>
        </w:trPr>
        <w:tc>
          <w:tcPr>
            <w:tcW w:w="1873" w:type="dxa"/>
            <w:vMerge/>
            <w:tcBorders>
              <w:left w:val="single" w:sz="6" w:space="0" w:color="000000"/>
              <w:bottom w:val="single" w:sz="6" w:space="0" w:color="000000"/>
              <w:right w:val="single" w:sz="6" w:space="0" w:color="000000"/>
            </w:tcBorders>
            <w:shd w:val="clear" w:color="auto" w:fill="CCCCCC"/>
          </w:tcPr>
          <w:p>
            <w:pPr/>
          </w:p>
        </w:tc>
        <w:tc>
          <w:tcPr>
            <w:tcW w:w="211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9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5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57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中国大陆</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5,634,561,396.87</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4,504,466,944.37</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6,009,047,757.35</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4,693,569,735.36</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其他国家和地区</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401,185,060.73</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322,973,428.64</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372,158,763.76</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311,293,100.58</w:t>
            </w:r>
          </w:p>
        </w:tc>
      </w:tr>
      <w:tr>
        <w:trPr>
          <w:trHeight w:val="348" w:hRule="exact"/>
        </w:trPr>
        <w:tc>
          <w:tcPr>
            <w:tcW w:w="187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6,035,746,457.60</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4,827,440,373.01</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6,381,206,521.11</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5,004,862,835.94</w:t>
            </w:r>
          </w:p>
        </w:tc>
      </w:tr>
    </w:tbl>
    <w:p>
      <w:pPr>
        <w:pStyle w:val="BodyText"/>
        <w:spacing w:line="240" w:lineRule="auto" w:before="10"/>
        <w:ind w:left="694" w:right="147"/>
        <w:jc w:val="left"/>
      </w:pPr>
      <w:r>
        <w:rPr/>
        <w:t>公司前五名客户的营业收入情况</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3673"/>
        <w:gridCol w:w="2888"/>
        <w:gridCol w:w="3096"/>
      </w:tblGrid>
      <w:tr>
        <w:trPr>
          <w:trHeight w:val="331" w:hRule="exact"/>
        </w:trPr>
        <w:tc>
          <w:tcPr>
            <w:tcW w:w="367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2" w:right="0"/>
              <w:jc w:val="center"/>
              <w:rPr>
                <w:rFonts w:ascii="宋体" w:hAnsi="宋体" w:cs="宋体" w:eastAsia="宋体" w:hint="default"/>
                <w:sz w:val="18"/>
                <w:szCs w:val="18"/>
              </w:rPr>
            </w:pPr>
            <w:r>
              <w:rPr>
                <w:rFonts w:ascii="宋体" w:hAnsi="宋体" w:cs="宋体" w:eastAsia="宋体" w:hint="default"/>
                <w:sz w:val="18"/>
                <w:szCs w:val="18"/>
              </w:rPr>
              <w:t>期间</w:t>
            </w:r>
          </w:p>
        </w:tc>
        <w:tc>
          <w:tcPr>
            <w:tcW w:w="28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47" w:right="0"/>
              <w:jc w:val="left"/>
              <w:rPr>
                <w:rFonts w:ascii="宋体" w:hAnsi="宋体" w:cs="宋体" w:eastAsia="宋体" w:hint="default"/>
                <w:sz w:val="18"/>
                <w:szCs w:val="18"/>
              </w:rPr>
            </w:pPr>
            <w:r>
              <w:rPr>
                <w:rFonts w:ascii="宋体" w:hAnsi="宋体" w:cs="宋体" w:eastAsia="宋体" w:hint="default"/>
                <w:sz w:val="18"/>
                <w:szCs w:val="18"/>
              </w:rPr>
              <w:t>前五名客户营业收入合计</w:t>
            </w:r>
          </w:p>
        </w:tc>
        <w:tc>
          <w:tcPr>
            <w:tcW w:w="309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占同期营业收入的比例</w:t>
            </w:r>
          </w:p>
        </w:tc>
      </w:tr>
      <w:tr>
        <w:trPr>
          <w:trHeight w:val="363" w:hRule="exact"/>
        </w:trPr>
        <w:tc>
          <w:tcPr>
            <w:tcW w:w="3673"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888"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pacing w:val="-1"/>
                <w:sz w:val="18"/>
              </w:rPr>
              <w:t>6,029,194,239.19</w:t>
            </w:r>
          </w:p>
        </w:tc>
        <w:tc>
          <w:tcPr>
            <w:tcW w:w="3096"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70.25%</w:t>
            </w:r>
          </w:p>
        </w:tc>
      </w:tr>
      <w:tr>
        <w:trPr>
          <w:trHeight w:val="348" w:hRule="exact"/>
        </w:trPr>
        <w:tc>
          <w:tcPr>
            <w:tcW w:w="3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6,373,240,074.26</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65.10%</w:t>
            </w:r>
          </w:p>
        </w:tc>
      </w:tr>
    </w:tbl>
    <w:p>
      <w:pPr>
        <w:spacing w:line="240" w:lineRule="auto" w:before="2"/>
        <w:rPr>
          <w:rFonts w:ascii="宋体" w:hAnsi="宋体" w:cs="宋体" w:eastAsia="宋体" w:hint="default"/>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344"/>
        <w:gridCol w:w="3110"/>
        <w:gridCol w:w="3228"/>
      </w:tblGrid>
      <w:tr>
        <w:trPr>
          <w:trHeight w:val="402" w:hRule="exact"/>
        </w:trPr>
        <w:tc>
          <w:tcPr>
            <w:tcW w:w="3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1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1,073,924,052.21</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327,327,560.06</w:t>
            </w:r>
          </w:p>
        </w:tc>
      </w:tr>
      <w:tr>
        <w:trPr>
          <w:trHeight w:val="402" w:hRule="exact"/>
        </w:trPr>
        <w:tc>
          <w:tcPr>
            <w:tcW w:w="3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-82,608.18</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-47,492.37</w:t>
            </w:r>
          </w:p>
        </w:tc>
      </w:tr>
      <w:tr>
        <w:trPr>
          <w:trHeight w:val="402" w:hRule="exact"/>
        </w:trPr>
        <w:tc>
          <w:tcPr>
            <w:tcW w:w="3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-7,242,462.00</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14,190,483.70</w:t>
            </w:r>
          </w:p>
        </w:tc>
      </w:tr>
      <w:tr>
        <w:trPr>
          <w:trHeight w:val="402" w:hRule="exact"/>
        </w:trPr>
        <w:tc>
          <w:tcPr>
            <w:tcW w:w="3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-124,070.12</w:t>
            </w:r>
          </w:p>
        </w:tc>
        <w:tc>
          <w:tcPr>
            <w:tcW w:w="32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委托贷款利息收入</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87,937,914.84</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12,211,717.01</w:t>
            </w:r>
          </w:p>
        </w:tc>
      </w:tr>
      <w:tr>
        <w:trPr>
          <w:trHeight w:val="403" w:hRule="exact"/>
        </w:trPr>
        <w:tc>
          <w:tcPr>
            <w:tcW w:w="3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1,154,412,826.75</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353,682,268.40</w:t>
            </w:r>
          </w:p>
        </w:tc>
      </w:tr>
    </w:tbl>
    <w:p>
      <w:pPr>
        <w:spacing w:line="240" w:lineRule="auto" w:before="2"/>
        <w:rPr>
          <w:rFonts w:ascii="宋体" w:hAnsi="宋体" w:cs="宋体" w:eastAsia="宋体" w:hint="default"/>
          <w:sz w:val="18"/>
          <w:szCs w:val="18"/>
        </w:rPr>
      </w:pPr>
    </w:p>
    <w:p>
      <w:pPr>
        <w:pStyle w:val="Heading2"/>
        <w:spacing w:line="240" w:lineRule="auto" w:before="26"/>
        <w:ind w:right="147"/>
        <w:jc w:val="left"/>
        <w:rPr>
          <w:b w:val="0"/>
          <w:bCs w:val="0"/>
        </w:rPr>
      </w:pPr>
      <w:r>
        <w:rPr/>
        <w:t>十七、补充资料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7"/>
        <w:jc w:val="left"/>
      </w:pPr>
      <w:r>
        <w:rPr/>
        <w:t>√ 适用 □ 不适用</w:t>
      </w:r>
    </w:p>
    <w:p>
      <w:pPr>
        <w:pStyle w:val="BodyText"/>
        <w:spacing w:line="240" w:lineRule="auto" w:before="116"/>
        <w:ind w:left="0" w:right="149"/>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6457"/>
        <w:gridCol w:w="1632"/>
        <w:gridCol w:w="1469"/>
      </w:tblGrid>
      <w:tr>
        <w:trPr>
          <w:trHeight w:val="402" w:hRule="exact"/>
        </w:trPr>
        <w:tc>
          <w:tcPr>
            <w:tcW w:w="6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6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65,276,190.37</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计入当期损益的政府补助（与企业业务密切相关，按照国家统一标准定额或定量享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受的政府补助除外）</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260,000,612.10</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82,833,581.81</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1,725,797.17</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49,781,358.66</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采用公允价值模式进行后续计量的消耗性生物资产公允价值变动产生的损益</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6,856,815.32</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81,221,136.75</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10,494,478.78</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374,758,739.90</w:t>
            </w:r>
          </w:p>
        </w:tc>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514" w:right="0"/>
        <w:jc w:val="left"/>
      </w:pPr>
      <w:r>
        <w:rPr/>
        <w:t>对公司根据《公开发行证券的公司信息披露解释性公告第</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号——非经常性损益》定义界定的非经常性损益项目，以及</w:t>
      </w:r>
    </w:p>
    <w:p>
      <w:pPr>
        <w:pStyle w:val="BodyText"/>
        <w:spacing w:line="302" w:lineRule="auto" w:before="62"/>
        <w:ind w:right="136"/>
        <w:jc w:val="left"/>
      </w:pPr>
      <w:r>
        <w:rPr>
          <w:spacing w:val="-2"/>
        </w:rPr>
        <w:t>把《公开发行证券的公司信息披露解释性公告第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2"/>
        </w:rPr>
        <w:t>号——非经常性损益》中列举的非经常性损益项目界定为经常性损益的项</w:t>
      </w:r>
      <w:r>
        <w:rPr>
          <w:spacing w:val="-88"/>
        </w:rPr>
        <w:t> </w:t>
      </w:r>
      <w:r>
        <w:rPr>
          <w:spacing w:val="-88"/>
        </w:rPr>
      </w:r>
      <w:r>
        <w:rPr/>
        <w:t>目，应说明原因。</w:t>
      </w:r>
    </w:p>
    <w:p>
      <w:pPr>
        <w:pStyle w:val="BodyText"/>
        <w:spacing w:line="240" w:lineRule="auto" w:before="69"/>
        <w:ind w:right="147"/>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147"/>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4322"/>
        <w:gridCol w:w="1609"/>
        <w:gridCol w:w="1877"/>
        <w:gridCol w:w="1874"/>
      </w:tblGrid>
      <w:tr>
        <w:trPr>
          <w:trHeight w:val="200" w:hRule="exact"/>
        </w:trPr>
        <w:tc>
          <w:tcPr>
            <w:tcW w:w="4322" w:type="dxa"/>
            <w:tcBorders>
              <w:top w:val="single" w:sz="4" w:space="0" w:color="000000"/>
              <w:left w:val="single" w:sz="4" w:space="0" w:color="000000"/>
              <w:bottom w:val="nil" w:sz="6" w:space="0" w:color="auto"/>
              <w:right w:val="single" w:sz="4" w:space="0" w:color="000000"/>
            </w:tcBorders>
            <w:shd w:val="clear" w:color="auto" w:fill="D3D3D3"/>
          </w:tcPr>
          <w:p>
            <w:pPr/>
          </w:p>
        </w:tc>
        <w:tc>
          <w:tcPr>
            <w:tcW w:w="160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619" w:right="77" w:hanging="540"/>
              <w:jc w:val="left"/>
              <w:rPr>
                <w:rFonts w:ascii="宋体" w:hAnsi="宋体" w:cs="宋体" w:eastAsia="宋体" w:hint="default"/>
                <w:sz w:val="18"/>
                <w:szCs w:val="18"/>
              </w:rPr>
            </w:pPr>
            <w:r>
              <w:rPr>
                <w:rFonts w:ascii="宋体" w:hAnsi="宋体" w:cs="宋体" w:eastAsia="宋体" w:hint="default"/>
                <w:sz w:val="18"/>
                <w:szCs w:val="18"/>
              </w:rPr>
              <w:t>加权平均净资产收 益率</w:t>
            </w:r>
          </w:p>
        </w:tc>
        <w:tc>
          <w:tcPr>
            <w:tcW w:w="37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02" w:hRule="exact"/>
        </w:trPr>
        <w:tc>
          <w:tcPr>
            <w:tcW w:w="43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609" w:type="dxa"/>
            <w:vMerge/>
            <w:tcBorders>
              <w:left w:val="single" w:sz="4" w:space="0" w:color="000000"/>
              <w:right w:val="single" w:sz="4" w:space="0" w:color="000000"/>
            </w:tcBorders>
            <w:shd w:val="clear" w:color="auto" w:fill="D3D3D3"/>
          </w:tcPr>
          <w:p>
            <w:pPr/>
          </w:p>
        </w:tc>
        <w:tc>
          <w:tcPr>
            <w:tcW w:w="3752"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4322" w:type="dxa"/>
            <w:vMerge/>
            <w:tcBorders>
              <w:left w:val="single" w:sz="4" w:space="0" w:color="000000"/>
              <w:bottom w:val="nil" w:sz="6" w:space="0" w:color="auto"/>
              <w:right w:val="single" w:sz="4" w:space="0" w:color="000000"/>
            </w:tcBorders>
            <w:shd w:val="clear" w:color="auto" w:fill="D3D3D3"/>
          </w:tcPr>
          <w:p>
            <w:pPr/>
          </w:p>
        </w:tc>
        <w:tc>
          <w:tcPr>
            <w:tcW w:w="1609" w:type="dxa"/>
            <w:vMerge/>
            <w:tcBorders>
              <w:left w:val="single" w:sz="4" w:space="0" w:color="000000"/>
              <w:right w:val="single" w:sz="4" w:space="0" w:color="000000"/>
            </w:tcBorders>
            <w:shd w:val="clear" w:color="auto" w:fill="D3D3D3"/>
          </w:tcPr>
          <w:p>
            <w:pPr/>
          </w:p>
        </w:tc>
        <w:tc>
          <w:tcPr>
            <w:tcW w:w="18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 w:right="-7"/>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8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2" w:hRule="exact"/>
        </w:trPr>
        <w:tc>
          <w:tcPr>
            <w:tcW w:w="4322" w:type="dxa"/>
            <w:tcBorders>
              <w:top w:val="nil" w:sz="6" w:space="0" w:color="auto"/>
              <w:left w:val="single" w:sz="4" w:space="0" w:color="000000"/>
              <w:bottom w:val="single" w:sz="4" w:space="0" w:color="000000"/>
              <w:right w:val="single" w:sz="4" w:space="0" w:color="000000"/>
            </w:tcBorders>
            <w:shd w:val="clear" w:color="auto" w:fill="D3D3D3"/>
          </w:tcPr>
          <w:p>
            <w:pPr/>
          </w:p>
        </w:tc>
        <w:tc>
          <w:tcPr>
            <w:tcW w:w="1609" w:type="dxa"/>
            <w:vMerge/>
            <w:tcBorders>
              <w:left w:val="single" w:sz="4" w:space="0" w:color="000000"/>
              <w:bottom w:val="single" w:sz="4" w:space="0" w:color="000000"/>
              <w:right w:val="single" w:sz="4" w:space="0" w:color="000000"/>
            </w:tcBorders>
            <w:shd w:val="clear" w:color="auto" w:fill="D3D3D3"/>
          </w:tcPr>
          <w:p>
            <w:pPr/>
          </w:p>
        </w:tc>
        <w:tc>
          <w:tcPr>
            <w:tcW w:w="1877" w:type="dxa"/>
            <w:vMerge/>
            <w:tcBorders>
              <w:left w:val="single" w:sz="4" w:space="0" w:color="000000"/>
              <w:bottom w:val="single" w:sz="4" w:space="0" w:color="000000"/>
              <w:right w:val="single" w:sz="4" w:space="0" w:color="000000"/>
            </w:tcBorders>
            <w:shd w:val="clear" w:color="auto" w:fill="D3D3D3"/>
          </w:tcPr>
          <w:p>
            <w:pPr/>
          </w:p>
        </w:tc>
        <w:tc>
          <w:tcPr>
            <w:tcW w:w="187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4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09" w:type="dxa"/>
            <w:tcBorders>
              <w:top w:val="single" w:sz="21" w:space="0" w:color="D3D3D3"/>
              <w:left w:val="single" w:sz="13" w:space="0" w:color="D3D3D3"/>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3.62%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4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6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r>
    </w:tbl>
    <w:p>
      <w:pPr>
        <w:spacing w:line="240" w:lineRule="auto" w:before="2"/>
        <w:rPr>
          <w:rFonts w:ascii="宋体" w:hAnsi="宋体" w:cs="宋体" w:eastAsia="宋体" w:hint="default"/>
          <w:b/>
          <w:bCs/>
          <w:sz w:val="19"/>
          <w:szCs w:val="19"/>
        </w:rPr>
      </w:pPr>
    </w:p>
    <w:p>
      <w:pPr>
        <w:pStyle w:val="Heading4"/>
        <w:spacing w:line="240" w:lineRule="auto" w:before="35"/>
        <w:ind w:right="147"/>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7"/>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147"/>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147"/>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7"/>
        <w:jc w:val="left"/>
      </w:pPr>
      <w:r>
        <w:rPr/>
        <w:t>√ 适用 □ 不适用</w:t>
      </w:r>
    </w:p>
    <w:p>
      <w:pPr>
        <w:pStyle w:val="BodyText"/>
        <w:spacing w:line="240" w:lineRule="auto" w:before="115"/>
        <w:ind w:left="514"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号——长期股权投资》等八项会计准则变更了相关会计政策并对比</w:t>
      </w:r>
    </w:p>
    <w:p>
      <w:pPr>
        <w:pStyle w:val="BodyText"/>
        <w:spacing w:line="240" w:lineRule="auto" w:before="64"/>
        <w:ind w:right="147"/>
        <w:jc w:val="left"/>
      </w:pPr>
      <w:r>
        <w:rPr/>
        <w:t>较财务报表进行了追溯重述，重述后的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2"/>
        <w:ind w:left="0" w:right="149"/>
        <w:jc w:val="right"/>
      </w:pPr>
      <w:r>
        <w:rPr/>
        <w:t>单位：元</w:t>
      </w:r>
    </w:p>
    <w:p>
      <w:pPr>
        <w:spacing w:after="0" w:line="240" w:lineRule="auto"/>
        <w:jc w:val="right"/>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519"/>
        <w:gridCol w:w="2399"/>
        <w:gridCol w:w="2383"/>
        <w:gridCol w:w="2381"/>
      </w:tblGrid>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3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4,456,217,362.86</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2,547,729,794.24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5,475,658,186.10</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1,852,478,364.46</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2,870,443,681.49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3,047,541,556.15</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3,602,955,051.18</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3,102,643,083.54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3,489,409,369.20</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1,636,233,924.64</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1,589,021,331.24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1,838,017,454.90</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1,284,655,342.63</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1,331,900,749.84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1,776,467,886.07</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5,581,817,754.83</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5,042,951,001.02</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5,420,740,468.60</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399" w:type="dxa"/>
            <w:tcBorders>
              <w:top w:val="single" w:sz="4" w:space="0" w:color="000000"/>
              <w:left w:val="single" w:sz="9" w:space="0" w:color="D3D3D3"/>
              <w:bottom w:val="single" w:sz="4" w:space="0" w:color="000000"/>
              <w:right w:val="single" w:sz="4" w:space="0" w:color="000000"/>
            </w:tcBorders>
          </w:tcPr>
          <w:p>
            <w:pPr/>
          </w:p>
        </w:tc>
        <w:tc>
          <w:tcPr>
            <w:tcW w:w="2383"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865,738,333.65</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1,803,256,307.61</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1,740,520,586.37</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1,656,602,232.09</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20,217,614,108.21</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18,225,210,227.74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23,570,175,486.76</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83,260,425.53</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83,260,425.53</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99" w:type="dxa"/>
            <w:tcBorders>
              <w:top w:val="single" w:sz="4" w:space="0" w:color="000000"/>
              <w:left w:val="single" w:sz="9" w:space="0" w:color="D3D3D3"/>
              <w:bottom w:val="single" w:sz="4" w:space="0" w:color="000000"/>
              <w:right w:val="single" w:sz="4" w:space="0" w:color="000000"/>
            </w:tcBorders>
          </w:tcPr>
          <w:p>
            <w:pPr/>
          </w:p>
        </w:tc>
        <w:tc>
          <w:tcPr>
            <w:tcW w:w="2383"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1,420,598,667.99</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273,536,352.25</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32,216,789.33</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36,087,848.12</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21,211,699.99</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19,473,443.95</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17,735,187.91</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19,751,339,991.06</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21,181,647,488.39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24,744,731,705.04</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5,017,604,821.59</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5,266,031,817.60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3,709,270,828.53</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75,054,992.09</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63,968,067.62</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22,955,982.38</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287,309,818.03</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588,181,647.53</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1,416,497,159.22</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1,365,418,002.26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1,319,104,425.04</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20,283,787.17</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20,283,787.17</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20,283,787.17</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184,770,685.65</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168,538,483.68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173,690,747.83</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376,938,086.60</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507,653,388.38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620,267,636.44</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399" w:type="dxa"/>
            <w:tcBorders>
              <w:top w:val="single" w:sz="4" w:space="0" w:color="000000"/>
              <w:left w:val="single" w:sz="9" w:space="0" w:color="D3D3D3"/>
              <w:bottom w:val="single" w:sz="4" w:space="0" w:color="000000"/>
              <w:right w:val="single" w:sz="4" w:space="0" w:color="000000"/>
            </w:tcBorders>
          </w:tcPr>
          <w:p>
            <w:pPr/>
          </w:p>
        </w:tc>
        <w:tc>
          <w:tcPr>
            <w:tcW w:w="2383"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1,094,124,242.00</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27,507,807,819.18</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29,296,673,341.44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33,251,851,058.45</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47,725,421,927.39</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47,521,883,569.18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56,822,026,545.21</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12,876,398,495.16</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9,818,885,237.85</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20,470,296,592.92</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1,285,627,762.07</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290,403,790.59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1,598,110,792.85</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3,239,781,724.81</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2,695,169,927.14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3,408,366,113.93</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347,835,800.87</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442,432,261.58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270,056,726.88</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177,847,769.71</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130,271,812.18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153,926,042.30</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106,816,413.87</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130,192,936.87</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161,100,088.94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519"/>
        <w:gridCol w:w="2399"/>
        <w:gridCol w:w="2383"/>
        <w:gridCol w:w="2381"/>
      </w:tblGrid>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133,046,123.31</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153,189,860.42</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150,047,305.50</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435,772,288.98</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486,836,595.89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783,790,884.61</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1,368,108,800.00</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1,287,804,452.66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1,099,968,900.00</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99" w:type="dxa"/>
            <w:tcBorders>
              <w:top w:val="single" w:sz="4" w:space="0" w:color="000000"/>
              <w:left w:val="single" w:sz="9" w:space="0" w:color="D3D3D3"/>
              <w:bottom w:val="single" w:sz="4" w:space="0" w:color="000000"/>
              <w:right w:val="single" w:sz="4" w:space="0" w:color="000000"/>
            </w:tcBorders>
          </w:tcPr>
          <w:p>
            <w:pP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3,853,488,888.90</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19,971,235,178.78</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19,288,675,764.08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28,095,663,447.93</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3,933,167,835.94</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3,723,865,807.90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4,378,290,245.19</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6,256,263,237.00</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5,768,418,612.73</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5,777,131,308.01</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9" w:type="dxa"/>
            <w:tcBorders>
              <w:top w:val="single" w:sz="4" w:space="0" w:color="000000"/>
              <w:left w:val="single" w:sz="9" w:space="0" w:color="D3D3D3"/>
              <w:bottom w:val="single" w:sz="4" w:space="0" w:color="000000"/>
              <w:right w:val="single" w:sz="4" w:space="0" w:color="000000"/>
            </w:tcBorders>
          </w:tcPr>
          <w:p>
            <w:pP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641,526,872.70</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971,805,561.39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161,983,516.66</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393,540,763.12</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493,600,712.15</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1,476,121,434.78</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2,184,270,106.80</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2,577,163,578.04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2,672,841,201.43</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13,408,768,815.56</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13,594,854,272.21</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14,378,294,864.28</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33,380,003,994.34</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32,883,530,036.29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42,473,958,312.21</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3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2,062,045,941.00</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1,975,471,967.00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1,936,405,467.00</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6,383,471,238.54</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6,204,682,028.94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6,149,136,873.41</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99" w:type="dxa"/>
            <w:tcBorders>
              <w:top w:val="single" w:sz="4" w:space="0" w:color="000000"/>
              <w:left w:val="single" w:sz="9" w:space="0" w:color="D3D3D3"/>
              <w:bottom w:val="single" w:sz="4" w:space="0" w:color="000000"/>
              <w:right w:val="single" w:sz="4" w:space="0" w:color="000000"/>
            </w:tcBorders>
          </w:tcPr>
          <w:p>
            <w:pP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30,954,891.40</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32,350,966.03</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16,934,073.59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33,763,168.13</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1,132,116,106.40</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1,132,116,106.40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1,132,116,106.40</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4,149,511,927.88</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4,741,638,941.58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4,665,921,686.21</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13,759,496,179.85</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14,039,888,226.11</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13,917,343,301.15</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585,921,753.20</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598,465,306.78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430,724,931.85</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14,345,417,933.05</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14,638,353,532.89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14,348,068,233.00</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3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47,725,421,927.39</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47,521,883,569.18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56,822,026,545.21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left="3286" w:right="92"/>
        <w:jc w:val="left"/>
        <w:rPr>
          <w:b w:val="0"/>
          <w:bCs w:val="0"/>
        </w:rPr>
      </w:pPr>
      <w:bookmarkStart w:name="_bookmark12" w:id="13"/>
      <w:bookmarkEnd w:id="13"/>
      <w:r>
        <w:rPr>
          <w:b w:val="0"/>
          <w:bCs w:val="0"/>
        </w:rPr>
      </w:r>
      <w:r>
        <w:rPr/>
        <w:t>第十三节</w:t>
      </w:r>
      <w:r>
        <w:rPr>
          <w:spacing w:val="-9"/>
        </w:rPr>
        <w:t> </w:t>
      </w:r>
      <w:r>
        <w:rPr/>
        <w:t>备查文件目录</w:t>
      </w:r>
      <w:r>
        <w:rPr>
          <w:b w:val="0"/>
          <w:bCs w:val="0"/>
        </w:rPr>
      </w:r>
    </w:p>
    <w:p>
      <w:pPr>
        <w:spacing w:line="240" w:lineRule="auto" w:before="10"/>
        <w:rPr>
          <w:rFonts w:ascii="宋体" w:hAnsi="宋体" w:cs="宋体" w:eastAsia="宋体" w:hint="default"/>
          <w:b/>
          <w:bCs/>
          <w:sz w:val="38"/>
          <w:szCs w:val="38"/>
        </w:rPr>
      </w:pPr>
    </w:p>
    <w:p>
      <w:pPr>
        <w:pStyle w:val="Heading3"/>
        <w:spacing w:line="537" w:lineRule="auto"/>
        <w:ind w:right="92"/>
        <w:jc w:val="left"/>
      </w:pPr>
      <w:r>
        <w:rPr/>
        <w:t>一、载有公司负责人、主管会计工作负责人、会计机构负责人签名并盖章的财务报表； 二、载有会计师事务所盖章、注册会计师签名并盖章的审计报告原件； </w:t>
      </w:r>
      <w:r>
        <w:rPr>
          <w:spacing w:val="-2"/>
        </w:rPr>
        <w:t>三、报告期内在中国证监会指定报纸及网站上公开披露过的所有公司文件的正本及公告原稿；</w:t>
      </w:r>
      <w:r>
        <w:rPr/>
        <w:t> 四、在香港联合交易所有限公司披露的年度报告文本；</w:t>
      </w:r>
    </w:p>
    <w:p>
      <w:pPr>
        <w:pStyle w:val="Heading3"/>
        <w:spacing w:line="240" w:lineRule="auto" w:before="92"/>
        <w:ind w:right="92"/>
        <w:jc w:val="left"/>
      </w:pPr>
      <w:r>
        <w:rPr/>
        <w:t>五、其他有关资料。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6"/>
          <w:szCs w:val="26"/>
        </w:rPr>
      </w:pPr>
    </w:p>
    <w:p>
      <w:pPr>
        <w:pStyle w:val="Heading3"/>
        <w:spacing w:line="537" w:lineRule="auto"/>
        <w:ind w:left="6214" w:right="719" w:hanging="289"/>
        <w:jc w:val="left"/>
      </w:pPr>
      <w:r>
        <w:rPr/>
        <w:t>山东晨鸣纸业集团股份有限公司 二〇一五年三月二十六日</w:t>
      </w:r>
    </w:p>
    <w:sectPr>
      <w:pgSz w:w="11910" w:h="16840"/>
      <w:pgMar w:header="877" w:footer="982" w:top="1100" w:bottom="11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1296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29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29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29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29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29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4653pt;width:13.05pt;height:11.05pt;mso-position-horizontal-relative:page;mso-position-vertical-relative:page;z-index:-1129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29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129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29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1294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1294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9995pt;margin-top:36.325325pt;width:213.55pt;height:11.5pt;mso-position-horizontal-relative:page;mso-position-vertical-relative:page;z-index:-1129720" type="#_x0000_t202" filled="false" stroked="false">
          <v:textbox inset="0,0,0,0">
            <w:txbxContent>
              <w:p>
                <w:pPr>
                  <w:pStyle w:val="BodyText"/>
                  <w:spacing w:line="214" w:lineRule="exact"/>
                  <w:ind w:left="20" w:right="0"/>
                  <w:jc w:val="left"/>
                </w:pPr>
                <w:r>
                  <w:rPr/>
                  <w:t>山东晨鸣纸业集团股份有限公司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10522pt;margin-top:42.865623pt;width:213.55pt;height:11.5pt;mso-position-horizontal-relative:page;mso-position-vertical-relative:page;z-index:-1129600" type="#_x0000_t202" filled="false" stroked="false">
          <v:textbox inset="0,0,0,0">
            <w:txbxContent>
              <w:p>
                <w:pPr>
                  <w:pStyle w:val="BodyText"/>
                  <w:spacing w:line="214" w:lineRule="exact"/>
                  <w:ind w:left="20" w:right="0"/>
                  <w:jc w:val="left"/>
                </w:pPr>
                <w:r>
                  <w:rPr/>
                  <w:t>山东晨鸣纸业集团股份有限公司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99pt;width:484.95pt;height:.1pt;mso-position-horizontal-relative:page;mso-position-vertical-relative:page;z-index:-1129552" coordorigin="1104,1112" coordsize="9699,2">
          <v:shape style="position:absolute;left:1104;top:1112;width:9699;height:2" coordorigin="1104,1112" coordsize="9699,0" path="m1104,1112l10802,1112e" filled="false" stroked="true" strokeweight=".72pt" strokecolor="#000000">
            <v:path arrowok="t"/>
          </v:shape>
          <w10:wrap type="none"/>
        </v:group>
      </w:pict>
    </w:r>
    <w:r>
      <w:rPr/>
      <w:pict>
        <v:shape style="position:absolute;margin-left:326.119995pt;margin-top:42.865326pt;width:213.55pt;height:11.5pt;mso-position-horizontal-relative:page;mso-position-vertical-relative:page;z-index:-1129528" type="#_x0000_t202" filled="false" stroked="false">
          <v:textbox inset="0,0,0,0">
            <w:txbxContent>
              <w:p>
                <w:pPr>
                  <w:pStyle w:val="BodyText"/>
                  <w:spacing w:line="214" w:lineRule="exact"/>
                  <w:ind w:left="20" w:right="0"/>
                  <w:jc w:val="left"/>
                </w:pPr>
                <w:r>
                  <w:rPr/>
                  <w:t>山东晨鸣纸业集团股份有限公司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4"/>
    </w:pPr>
    <w:rPr>
      <w:rFonts w:ascii="宋体" w:hAnsi="宋体" w:eastAsia="宋体"/>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359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ind w:left="51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henmingpaper.com/" TargetMode="External"/><Relationship Id="rId10" Type="http://schemas.openxmlformats.org/officeDocument/2006/relationships/hyperlink" Target="mailto:chenmmingpaper@163.com" TargetMode="External"/><Relationship Id="rId11" Type="http://schemas.openxmlformats.org/officeDocument/2006/relationships/hyperlink" Target="mailto:kentpoon_1009@yahoo.com.hk" TargetMode="External"/><Relationship Id="rId12" Type="http://schemas.openxmlformats.org/officeDocument/2006/relationships/hyperlink" Target="http://www.cninfo.com.cn/" TargetMode="External"/><Relationship Id="rId13" Type="http://schemas.openxmlformats.org/officeDocument/2006/relationships/hyperlink" Target="http://www.hkex.com.hk/" TargetMode="External"/><Relationship Id="rId14" Type="http://schemas.openxmlformats.org/officeDocument/2006/relationships/hyperlink" Target="http://w/" TargetMode="Externa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www/" TargetMode="External"/><Relationship Id="rId19" Type="http://schemas.openxmlformats.org/officeDocument/2006/relationships/header" Target="header2.xml"/><Relationship Id="rId20" Type="http://schemas.openxmlformats.org/officeDocument/2006/relationships/footer" Target="footer4.xml"/><Relationship Id="rId21" Type="http://schemas.openxmlformats.org/officeDocument/2006/relationships/image" Target="media/image4.jpeg"/><Relationship Id="rId22" Type="http://schemas.openxmlformats.org/officeDocument/2006/relationships/footer" Target="footer5.xml"/><Relationship Id="rId23" Type="http://schemas.openxmlformats.org/officeDocument/2006/relationships/header" Target="header3.xml"/><Relationship Id="rId24" Type="http://schemas.openxmlformats.org/officeDocument/2006/relationships/footer" Target="footer6.xml"/><Relationship Id="rId25" Type="http://schemas.openxmlformats.org/officeDocument/2006/relationships/header" Target="header4.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山东晨鸣纸业集团股份有限公司</dc:creator>
  <dc:title>山东晨鸣纸业集团股份有限公司2014年年度报告全文</dc:title>
  <dcterms:created xsi:type="dcterms:W3CDTF">2020-05-06T13:26:28Z</dcterms:created>
  <dcterms:modified xsi:type="dcterms:W3CDTF">2020-05-06T13:26:28Z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2015-03-26T00:00:00Z</vt:filetime>
  </property>
  <property fmtid="{D5CDD505-2E9C-101B-9397-08002B2CF9AE}" pid="3" name="Creator">
    <vt:lpwstr>Acrobat PDFMaker 9.0 Word 版</vt:lpwstr>
  </property>
  <property fmtid="{D5CDD505-2E9C-101B-9397-08002B2CF9AE}" pid="4" name="LastSaved">
    <vt:filetime>2020-05-06T00:00:00Z</vt:filetime>
  </property>
</Properties>
</file>