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Default Extension="jpeg" ContentType="image/jpeg"/>
  <Override PartName="/word/header1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Default Extension="png" ContentType="image/png"/>
  <Override PartName="/word/header1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3.xml" ContentType="application/vnd.openxmlformats-officedocument.wordprocessingml.header+xml"/>
  <Override PartName="/word/footer27.xml" ContentType="application/vnd.openxmlformats-officedocument.wordprocessingml.footer+xml"/>
  <Override PartName="/word/header14.xml" ContentType="application/vnd.openxmlformats-officedocument.wordprocessingml.header+xml"/>
  <Override PartName="/word/footer28.xml" ContentType="application/vnd.openxmlformats-officedocument.wordprocessingml.footer+xml"/>
  <Override PartName="/word/header15.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16.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7.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18.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19.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2422" w:right="2424" w:firstLine="0"/>
        <w:jc w:val="center"/>
        <w:rPr>
          <w:rFonts w:ascii="宋体" w:hAnsi="宋体" w:cs="宋体" w:eastAsia="宋体" w:hint="default"/>
          <w:sz w:val="36"/>
          <w:szCs w:val="36"/>
        </w:rPr>
      </w:pPr>
      <w:r>
        <w:rPr/>
        <w:pict>
          <v:group style="position:absolute;margin-left:55.223999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神州数码信息服务股份有限公司</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25"/>
          <w:szCs w:val="25"/>
        </w:rPr>
      </w:pPr>
    </w:p>
    <w:p>
      <w:pPr>
        <w:spacing w:before="0"/>
        <w:ind w:left="2422" w:right="242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422" w:right="24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227" w:top="1060" w:bottom="1420" w:left="980" w:right="980"/>
        </w:sectPr>
      </w:pPr>
    </w:p>
    <w:p>
      <w:pPr>
        <w:spacing w:line="240" w:lineRule="auto" w:before="11"/>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40"/>
        <w:jc w:val="left"/>
        <w:rPr>
          <w:b w:val="0"/>
          <w:bCs w:val="0"/>
        </w:rPr>
      </w:pPr>
      <w:bookmarkStart w:name="_TOC_250011" w:id="1"/>
      <w:r>
        <w:rPr/>
        <w:t>第一节重要提示、目录和释义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3" w:right="156"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5" w:lineRule="auto" w:before="162"/>
        <w:ind w:left="714" w:right="14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公司经本次董事会审议通过的利润分配预案为：以未来实施</w:t>
      </w:r>
      <w:r>
        <w:rPr>
          <w:rFonts w:ascii="宋体" w:hAnsi="宋体" w:cs="宋体" w:eastAsia="宋体" w:hint="default"/>
          <w:b/>
          <w:bCs/>
          <w:spacing w:val="-101"/>
          <w:sz w:val="28"/>
          <w:szCs w:val="28"/>
        </w:rPr>
        <w:t> </w:t>
      </w:r>
      <w:r>
        <w:rPr>
          <w:rFonts w:ascii="Times New Roman" w:hAnsi="Times New Roman" w:cs="Times New Roman" w:eastAsia="Times New Roman" w:hint="default"/>
          <w:b/>
          <w:bCs/>
          <w:sz w:val="28"/>
          <w:szCs w:val="28"/>
        </w:rPr>
        <w:t>2014</w:t>
      </w:r>
      <w:r>
        <w:rPr>
          <w:rFonts w:ascii="Times New Roman" w:hAnsi="Times New Roman" w:cs="Times New Roman" w:eastAsia="Times New Roman" w:hint="default"/>
          <w:b/>
          <w:bCs/>
          <w:spacing w:val="-31"/>
          <w:sz w:val="28"/>
          <w:szCs w:val="28"/>
        </w:rPr>
        <w:t> </w:t>
      </w:r>
      <w:r>
        <w:rPr>
          <w:rFonts w:ascii="宋体" w:hAnsi="宋体" w:cs="宋体" w:eastAsia="宋体" w:hint="default"/>
          <w:b/>
          <w:bCs/>
          <w:sz w:val="28"/>
          <w:szCs w:val="28"/>
        </w:rPr>
        <w:t>年度权益</w:t>
      </w:r>
      <w:r>
        <w:rPr>
          <w:rFonts w:ascii="宋体" w:hAnsi="宋体" w:cs="宋体" w:eastAsia="宋体" w:hint="default"/>
          <w:sz w:val="28"/>
          <w:szCs w:val="28"/>
        </w:rPr>
      </w:r>
    </w:p>
    <w:p>
      <w:pPr>
        <w:spacing w:line="320" w:lineRule="exact" w:before="0"/>
        <w:ind w:left="153" w:right="0" w:firstLine="0"/>
        <w:jc w:val="left"/>
        <w:rPr>
          <w:rFonts w:ascii="Times New Roman" w:hAnsi="Times New Roman" w:cs="Times New Roman" w:eastAsia="Times New Roman" w:hint="default"/>
          <w:sz w:val="28"/>
          <w:szCs w:val="28"/>
        </w:rPr>
      </w:pPr>
      <w:r>
        <w:rPr>
          <w:rFonts w:ascii="宋体" w:hAnsi="宋体" w:cs="宋体" w:eastAsia="宋体" w:hint="default"/>
          <w:b/>
          <w:bCs/>
          <w:spacing w:val="-3"/>
          <w:sz w:val="28"/>
          <w:szCs w:val="28"/>
        </w:rPr>
        <w:t>分配方案时股权登记日的总股本为基数，向全体股东每</w:t>
      </w:r>
      <w:r>
        <w:rPr>
          <w:rFonts w:ascii="宋体" w:hAnsi="宋体" w:cs="宋体" w:eastAsia="宋体" w:hint="default"/>
          <w:b/>
          <w:bCs/>
          <w:spacing w:val="-66"/>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0.60</w:t>
      </w:r>
      <w:r>
        <w:rPr>
          <w:rFonts w:ascii="Times New Roman" w:hAnsi="Times New Roman" w:cs="Times New Roman" w:eastAsia="Times New Roman" w:hint="default"/>
          <w:sz w:val="28"/>
          <w:szCs w:val="28"/>
        </w:rPr>
      </w:r>
    </w:p>
    <w:p>
      <w:pPr>
        <w:spacing w:line="446" w:lineRule="auto" w:before="236"/>
        <w:ind w:left="714" w:right="140" w:hanging="562"/>
        <w:jc w:val="left"/>
        <w:rPr>
          <w:rFonts w:ascii="宋体" w:hAnsi="宋体" w:cs="宋体" w:eastAsia="宋体" w:hint="default"/>
          <w:sz w:val="28"/>
          <w:szCs w:val="28"/>
        </w:rPr>
      </w:pPr>
      <w:r>
        <w:rPr>
          <w:rFonts w:ascii="宋体" w:hAnsi="宋体" w:cs="宋体" w:eastAsia="宋体" w:hint="default"/>
          <w:b/>
          <w:bCs/>
          <w:spacing w:val="-16"/>
          <w:w w:val="99"/>
          <w:sz w:val="28"/>
          <w:szCs w:val="28"/>
        </w:rPr>
        <w:t>元（含税），送红股</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w w:val="100"/>
          <w:sz w:val="28"/>
          <w:szCs w:val="28"/>
        </w:rPr>
        <w:t> </w:t>
      </w:r>
      <w:r>
        <w:rPr>
          <w:rFonts w:ascii="宋体" w:hAnsi="宋体" w:cs="宋体" w:eastAsia="宋体" w:hint="default"/>
          <w:b/>
          <w:bCs/>
          <w:spacing w:val="-9"/>
          <w:w w:val="99"/>
          <w:sz w:val="28"/>
          <w:szCs w:val="28"/>
        </w:rPr>
        <w:t>股（含税），不以公积金转增股本。</w:t>
      </w:r>
      <w:r>
        <w:rPr>
          <w:rFonts w:ascii="宋体" w:hAnsi="宋体" w:cs="宋体" w:eastAsia="宋体" w:hint="default"/>
          <w:b/>
          <w:bCs/>
          <w:spacing w:val="-132"/>
          <w:w w:val="99"/>
          <w:sz w:val="28"/>
          <w:szCs w:val="28"/>
        </w:rPr>
        <w:t> </w:t>
      </w:r>
      <w:r>
        <w:rPr>
          <w:rFonts w:ascii="宋体" w:hAnsi="宋体" w:cs="宋体" w:eastAsia="宋体" w:hint="default"/>
          <w:b/>
          <w:bCs/>
          <w:spacing w:val="-132"/>
          <w:w w:val="99"/>
          <w:sz w:val="28"/>
          <w:szCs w:val="28"/>
        </w:rPr>
      </w:r>
      <w:r>
        <w:rPr>
          <w:rFonts w:ascii="宋体" w:hAnsi="宋体" w:cs="宋体" w:eastAsia="宋体" w:hint="default"/>
          <w:b/>
          <w:bCs/>
          <w:w w:val="95"/>
          <w:sz w:val="28"/>
          <w:szCs w:val="28"/>
        </w:rPr>
        <w:t>公司负责人郭为、主管会计工作负责人辛昕及会计机构负责人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sz w:val="28"/>
          <w:szCs w:val="28"/>
        </w:rPr>
      </w:r>
    </w:p>
    <w:p>
      <w:pPr>
        <w:spacing w:line="357" w:lineRule="exact" w:before="0"/>
        <w:ind w:left="153" w:right="140" w:firstLine="0"/>
        <w:jc w:val="left"/>
        <w:rPr>
          <w:rFonts w:ascii="宋体" w:hAnsi="宋体" w:cs="宋体" w:eastAsia="宋体" w:hint="default"/>
          <w:sz w:val="28"/>
          <w:szCs w:val="28"/>
        </w:rPr>
      </w:pP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任军声明：保证年度报告中财务报告的真实、准确、完整。</w:t>
      </w:r>
      <w:r>
        <w:rPr>
          <w:rFonts w:ascii="宋体" w:hAnsi="宋体" w:cs="宋体" w:eastAsia="宋体" w:hint="default"/>
          <w:sz w:val="28"/>
          <w:szCs w:val="28"/>
        </w:rPr>
      </w:r>
    </w:p>
    <w:p>
      <w:pPr>
        <w:spacing w:line="240" w:lineRule="auto" w:before="10"/>
        <w:rPr>
          <w:rFonts w:ascii="宋体" w:hAnsi="宋体" w:cs="宋体" w:eastAsia="宋体" w:hint="default"/>
          <w:b/>
          <w:bCs/>
          <w:sz w:val="25"/>
          <w:szCs w:val="25"/>
        </w:rPr>
      </w:pPr>
    </w:p>
    <w:p>
      <w:pPr>
        <w:spacing w:line="408" w:lineRule="auto" w:before="0"/>
        <w:ind w:left="153" w:right="156" w:firstLine="561"/>
        <w:jc w:val="both"/>
        <w:rPr>
          <w:rFonts w:ascii="宋体" w:hAnsi="宋体" w:cs="宋体" w:eastAsia="宋体" w:hint="default"/>
          <w:sz w:val="28"/>
          <w:szCs w:val="28"/>
        </w:rPr>
      </w:pPr>
      <w:r>
        <w:rPr>
          <w:rFonts w:ascii="宋体" w:hAnsi="宋体" w:cs="宋体" w:eastAsia="宋体" w:hint="default"/>
          <w:b/>
          <w:bCs/>
          <w:spacing w:val="2"/>
          <w:sz w:val="28"/>
          <w:szCs w:val="28"/>
        </w:rPr>
        <w:t>信永中和会计师事务所（特殊普通合伙）为本公司出具了标准无保留意见</w:t>
      </w:r>
      <w:r>
        <w:rPr>
          <w:rFonts w:ascii="宋体" w:hAnsi="宋体" w:cs="宋体" w:eastAsia="宋体" w:hint="default"/>
          <w:b/>
          <w:bCs/>
          <w:w w:val="99"/>
          <w:sz w:val="28"/>
          <w:szCs w:val="28"/>
        </w:rPr>
        <w:t> </w:t>
      </w:r>
      <w:r>
        <w:rPr>
          <w:rFonts w:ascii="宋体" w:hAnsi="宋体" w:cs="宋体" w:eastAsia="宋体" w:hint="default"/>
          <w:b/>
          <w:bCs/>
          <w:spacing w:val="2"/>
          <w:sz w:val="28"/>
          <w:szCs w:val="28"/>
        </w:rPr>
        <w:t>的审计报告。本年度报告涉及未来计划等前瞻性陈述，不构成公司对投资者的</w:t>
      </w:r>
      <w:r>
        <w:rPr>
          <w:rFonts w:ascii="宋体" w:hAnsi="宋体" w:cs="宋体" w:eastAsia="宋体" w:hint="default"/>
          <w:b/>
          <w:bCs/>
          <w:w w:val="99"/>
          <w:sz w:val="28"/>
          <w:szCs w:val="28"/>
        </w:rPr>
        <w:t> </w:t>
      </w:r>
      <w:r>
        <w:rPr>
          <w:rFonts w:ascii="宋体" w:hAnsi="宋体" w:cs="宋体" w:eastAsia="宋体" w:hint="default"/>
          <w:b/>
          <w:bCs/>
          <w:sz w:val="28"/>
          <w:szCs w:val="28"/>
        </w:rPr>
        <w:t>实质承诺，请投资者注意投资风险。</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7"/>
          <w:pgSz w:w="11910" w:h="16840"/>
          <w:pgMar w:footer="1227" w:header="745" w:top="1060" w:bottom="1420" w:left="980" w:right="980"/>
          <w:pgNumType w:start="2"/>
        </w:sectPr>
      </w:pPr>
    </w:p>
    <w:p>
      <w:pPr>
        <w:spacing w:line="240" w:lineRule="auto" w:before="11"/>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422" w:right="242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第一节重要提示、目录和释义</w:t>
            </w:r>
            <w:r>
              <w:rPr>
                <w:rFonts w:ascii="Times New Roman" w:hAnsi="Times New Roman" w:cs="Times New Roman" w:eastAsia="Times New Roman" w:hint="default"/>
              </w:rPr>
              <w:tab/>
              <w:t>2</w:t>
            </w:r>
          </w:hyperlink>
        </w:p>
        <w:p>
          <w:pPr>
            <w:pStyle w:val="TOC1"/>
            <w:tabs>
              <w:tab w:pos="9785" w:val="right" w:leader="dot"/>
            </w:tabs>
            <w:spacing w:line="240" w:lineRule="auto" w:before="278"/>
            <w:ind w:right="0"/>
            <w:jc w:val="left"/>
            <w:rPr>
              <w:rFonts w:ascii="Times New Roman" w:hAnsi="Times New Roman" w:cs="Times New Roman" w:eastAsia="Times New Roman" w:hint="default"/>
            </w:rPr>
          </w:pPr>
          <w:hyperlink w:history="true" w:anchor="_TOC_250010">
            <w:r>
              <w:rPr/>
              <w:t>第二节公司简介</w:t>
            </w:r>
            <w:r>
              <w:rPr>
                <w:rFonts w:ascii="Times New Roman" w:hAnsi="Times New Roman" w:cs="Times New Roman" w:eastAsia="Times New Roman" w:hint="default"/>
              </w:rPr>
              <w:tab/>
              <w:t>6</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TOC_250009">
            <w:r>
              <w:rPr/>
              <w:t>第三节会计数据和财务指标摘要</w:t>
            </w:r>
            <w:r>
              <w:rPr>
                <w:rFonts w:ascii="Times New Roman" w:hAnsi="Times New Roman" w:cs="Times New Roman" w:eastAsia="Times New Roman" w:hint="default"/>
              </w:rPr>
              <w:tab/>
              <w:t>9</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TOC_250008">
            <w:r>
              <w:rPr/>
              <w:t>第四节董事会报告</w:t>
            </w:r>
            <w:r>
              <w:rPr>
                <w:rFonts w:ascii="Times New Roman" w:hAnsi="Times New Roman" w:cs="Times New Roman" w:eastAsia="Times New Roman" w:hint="default"/>
              </w:rPr>
              <w:tab/>
              <w:t>12</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TOC_250007">
            <w:r>
              <w:rPr/>
              <w:t>第五节重要事项</w:t>
            </w:r>
            <w:r>
              <w:rPr>
                <w:rFonts w:ascii="Times New Roman" w:hAnsi="Times New Roman" w:cs="Times New Roman" w:eastAsia="Times New Roman" w:hint="default"/>
              </w:rPr>
              <w:tab/>
              <w:t>42</w:t>
            </w:r>
          </w:hyperlink>
        </w:p>
        <w:p>
          <w:pPr>
            <w:pStyle w:val="TOC1"/>
            <w:tabs>
              <w:tab w:pos="9786" w:val="right" w:leader="dot"/>
            </w:tabs>
            <w:spacing w:line="240" w:lineRule="auto" w:before="275"/>
            <w:ind w:right="0"/>
            <w:jc w:val="left"/>
            <w:rPr>
              <w:rFonts w:ascii="Times New Roman" w:hAnsi="Times New Roman" w:cs="Times New Roman" w:eastAsia="Times New Roman" w:hint="default"/>
            </w:rPr>
          </w:pPr>
          <w:hyperlink w:history="true" w:anchor="_TOC_250006">
            <w:r>
              <w:rPr/>
              <w:t>第六节股份变动及股东情况</w:t>
            </w:r>
            <w:r>
              <w:rPr>
                <w:rFonts w:ascii="Times New Roman" w:hAnsi="Times New Roman" w:cs="Times New Roman" w:eastAsia="Times New Roman" w:hint="default"/>
              </w:rPr>
              <w:tab/>
              <w:t>61</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TOC_250005">
            <w:r>
              <w:rPr/>
              <w:t>第七节优先股相关情况</w:t>
            </w:r>
            <w:r>
              <w:rPr>
                <w:rFonts w:ascii="Times New Roman" w:hAnsi="Times New Roman" w:cs="Times New Roman" w:eastAsia="Times New Roman" w:hint="default"/>
              </w:rPr>
              <w:tab/>
              <w:t>71</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TOC_250004">
            <w:r>
              <w:rPr/>
              <w:t>第八节董事、监事、高级管理人员和员工情况</w:t>
            </w:r>
            <w:r>
              <w:rPr>
                <w:rFonts w:ascii="Times New Roman" w:hAnsi="Times New Roman" w:cs="Times New Roman" w:eastAsia="Times New Roman" w:hint="default"/>
              </w:rPr>
              <w:tab/>
              <w:t>72</w:t>
            </w:r>
          </w:hyperlink>
        </w:p>
        <w:p>
          <w:pPr>
            <w:pStyle w:val="TOC1"/>
            <w:tabs>
              <w:tab w:pos="9786" w:val="right" w:leader="dot"/>
            </w:tabs>
            <w:spacing w:line="240" w:lineRule="auto" w:before="275"/>
            <w:ind w:right="0"/>
            <w:jc w:val="left"/>
            <w:rPr>
              <w:rFonts w:ascii="Times New Roman" w:hAnsi="Times New Roman" w:cs="Times New Roman" w:eastAsia="Times New Roman" w:hint="default"/>
            </w:rPr>
          </w:pPr>
          <w:hyperlink w:history="true" w:anchor="_TOC_250003">
            <w:r>
              <w:rPr/>
              <w:t>第九节公司治理</w:t>
            </w:r>
            <w:r>
              <w:rPr>
                <w:rFonts w:ascii="Times New Roman" w:hAnsi="Times New Roman" w:cs="Times New Roman" w:eastAsia="Times New Roman" w:hint="default"/>
              </w:rPr>
              <w:tab/>
              <w:t>82</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TOC_250002">
            <w:r>
              <w:rPr/>
              <w:t>第十节内部控制</w:t>
            </w:r>
            <w:r>
              <w:rPr>
                <w:rFonts w:ascii="Times New Roman" w:hAnsi="Times New Roman" w:cs="Times New Roman" w:eastAsia="Times New Roman" w:hint="default"/>
              </w:rPr>
              <w:tab/>
              <w:t>91</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TOC_250001">
            <w:r>
              <w:rPr/>
              <w:t>第十一节财务报告</w:t>
            </w:r>
            <w:r>
              <w:rPr>
                <w:rFonts w:ascii="Times New Roman" w:hAnsi="Times New Roman" w:cs="Times New Roman" w:eastAsia="Times New Roman" w:hint="default"/>
              </w:rPr>
              <w:tab/>
              <w:t>94</w:t>
            </w:r>
          </w:hyperlink>
        </w:p>
        <w:p>
          <w:pPr>
            <w:pStyle w:val="TOC1"/>
            <w:tabs>
              <w:tab w:pos="9784" w:val="right" w:leader="dot"/>
            </w:tabs>
            <w:spacing w:line="240" w:lineRule="auto" w:before="275"/>
            <w:ind w:right="0"/>
            <w:jc w:val="left"/>
            <w:rPr>
              <w:rFonts w:ascii="Times New Roman" w:hAnsi="Times New Roman" w:cs="Times New Roman" w:eastAsia="Times New Roman" w:hint="default"/>
            </w:rPr>
          </w:pPr>
          <w:hyperlink w:history="true" w:anchor="_TOC_250000">
            <w:r>
              <w:rPr/>
              <w:t>第十二节备查文件目录</w:t>
            </w:r>
            <w:r>
              <w:rPr>
                <w:rFonts w:ascii="Times New Roman" w:hAnsi="Times New Roman" w:cs="Times New Roman" w:eastAsia="Times New Roman" w:hint="default"/>
              </w:rPr>
              <w:tab/>
              <w:t>215</w:t>
            </w:r>
          </w:hyperlink>
        </w:p>
        <w:p>
          <w:pPr/>
          <w:r>
            <w:fldChar w:fldCharType="end"/>
          </w:r>
        </w:p>
      </w:sdtContent>
    </w:sdt>
    <w:p>
      <w:pPr>
        <w:spacing w:after="0"/>
        <w:sectPr>
          <w:pgSz w:w="11910" w:h="16840"/>
          <w:pgMar w:header="745" w:footer="1227" w:top="1060" w:bottom="1420" w:left="980" w:right="980"/>
        </w:sectPr>
      </w:pPr>
    </w:p>
    <w:p>
      <w:pPr>
        <w:spacing w:before="945"/>
        <w:ind w:left="2422" w:right="242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55"/>
        <w:gridCol w:w="716"/>
        <w:gridCol w:w="5299"/>
      </w:tblGrid>
      <w:tr>
        <w:trPr>
          <w:trHeight w:val="412" w:hRule="exact"/>
        </w:trPr>
        <w:tc>
          <w:tcPr>
            <w:tcW w:w="355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1" w:right="3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7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2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本公司、公司、神州信息</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p>
        </w:tc>
      </w:tr>
      <w:tr>
        <w:trPr>
          <w:trHeight w:val="401"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太光电信、</w:t>
            </w:r>
            <w:r>
              <w:rPr>
                <w:rFonts w:ascii="Times New Roman" w:hAnsi="Times New Roman" w:cs="Times New Roman" w:eastAsia="Times New Roman" w:hint="default"/>
                <w:sz w:val="18"/>
                <w:szCs w:val="18"/>
              </w:rPr>
              <w:t>*ST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太光</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深圳市太光电信股份有限公司</w:t>
            </w:r>
          </w:p>
        </w:tc>
      </w:tr>
      <w:tr>
        <w:trPr>
          <w:trHeight w:val="403"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神州数码</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r>
      <w:tr>
        <w:trPr>
          <w:trHeight w:val="401"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r>
      <w:tr>
        <w:trPr>
          <w:trHeight w:val="403"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天津信锐</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天津信锐投资合伙企业（有限合伙）</w:t>
            </w:r>
          </w:p>
        </w:tc>
      </w:tr>
      <w:tr>
        <w:trPr>
          <w:trHeight w:val="401"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中新创投</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中新苏州工业园区创业投资有限公司</w:t>
            </w:r>
          </w:p>
        </w:tc>
      </w:tr>
      <w:tr>
        <w:trPr>
          <w:trHeight w:val="403"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华亿投资</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Infinity I-China Investments (Israel),</w:t>
            </w:r>
            <w:r>
              <w:rPr>
                <w:rFonts w:ascii="Times New Roman"/>
                <w:spacing w:val="-6"/>
                <w:sz w:val="18"/>
              </w:rPr>
              <w:t> L.P.</w:t>
            </w:r>
          </w:p>
        </w:tc>
      </w:tr>
      <w:tr>
        <w:trPr>
          <w:trHeight w:val="401"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南京汇庆</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南京汇庆天下科技有限公司</w:t>
            </w:r>
          </w:p>
        </w:tc>
      </w:tr>
      <w:tr>
        <w:trPr>
          <w:trHeight w:val="403"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申昌科技</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昆山市申昌科技有限公司</w:t>
            </w:r>
          </w:p>
        </w:tc>
      </w:tr>
      <w:tr>
        <w:trPr>
          <w:trHeight w:val="401"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重组事项</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指公司关于向特定对象发行股份购买资产并募集配套资金事项</w:t>
            </w:r>
          </w:p>
        </w:tc>
      </w:tr>
      <w:tr>
        <w:trPr>
          <w:trHeight w:val="403"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中农信达</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北京中农信达信息技术有限公司</w:t>
            </w:r>
          </w:p>
        </w:tc>
      </w:tr>
      <w:tr>
        <w:trPr>
          <w:trHeight w:val="401"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4"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91"/>
              <w:ind w:left="14" w:right="0"/>
              <w:jc w:val="left"/>
              <w:rPr>
                <w:rFonts w:ascii="Times New Roman" w:hAnsi="Times New Roman" w:cs="Times New Roman" w:eastAsia="Times New Roman" w:hint="default"/>
                <w:sz w:val="18"/>
                <w:szCs w:val="18"/>
              </w:rPr>
            </w:pPr>
            <w:r>
              <w:rPr>
                <w:rFonts w:ascii="Times New Roman"/>
                <w:sz w:val="18"/>
              </w:rPr>
              <w:t>DCSL</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Digital China Software</w:t>
            </w:r>
            <w:r>
              <w:rPr>
                <w:rFonts w:ascii="Times New Roman"/>
                <w:spacing w:val="-16"/>
                <w:sz w:val="18"/>
              </w:rPr>
              <w:t> </w:t>
            </w:r>
            <w:r>
              <w:rPr>
                <w:rFonts w:ascii="Times New Roman"/>
                <w:sz w:val="18"/>
              </w:rPr>
              <w:t>Limited</w:t>
            </w:r>
          </w:p>
        </w:tc>
      </w:tr>
      <w:tr>
        <w:trPr>
          <w:trHeight w:val="401"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91"/>
              <w:ind w:left="14" w:right="0"/>
              <w:jc w:val="left"/>
              <w:rPr>
                <w:rFonts w:ascii="Times New Roman" w:hAnsi="Times New Roman" w:cs="Times New Roman" w:eastAsia="Times New Roman" w:hint="default"/>
                <w:sz w:val="18"/>
                <w:szCs w:val="18"/>
              </w:rPr>
            </w:pPr>
            <w:r>
              <w:rPr>
                <w:rFonts w:ascii="Times New Roman"/>
                <w:sz w:val="18"/>
              </w:rPr>
              <w:t>SJI</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株式会社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SJI</w:t>
            </w:r>
          </w:p>
        </w:tc>
      </w:tr>
      <w:tr>
        <w:trPr>
          <w:trHeight w:val="403"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鼎捷软件</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r>
      <w:tr>
        <w:trPr>
          <w:trHeight w:val="401"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中国证券监督管理委员会深圳监管局</w:t>
            </w:r>
          </w:p>
        </w:tc>
      </w:tr>
      <w:tr>
        <w:trPr>
          <w:trHeight w:val="401"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《深圳证券交易所股票上市规则》</w:t>
            </w:r>
          </w:p>
        </w:tc>
      </w:tr>
      <w:tr>
        <w:trPr>
          <w:trHeight w:val="403"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神州数码信息服务股份有限公司章程</w:t>
            </w:r>
          </w:p>
        </w:tc>
      </w:tr>
      <w:tr>
        <w:trPr>
          <w:trHeight w:val="401"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神州数码信息服务股份有限公司股东大会</w:t>
            </w:r>
          </w:p>
        </w:tc>
      </w:tr>
      <w:tr>
        <w:trPr>
          <w:trHeight w:val="403"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神州数码信息服务股份有限公司董事会</w:t>
            </w:r>
          </w:p>
        </w:tc>
      </w:tr>
      <w:tr>
        <w:trPr>
          <w:trHeight w:val="401"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神州数码信息服务股份有限公司监事会</w:t>
            </w:r>
          </w:p>
        </w:tc>
      </w:tr>
      <w:tr>
        <w:trPr>
          <w:trHeight w:val="403" w:hRule="exact"/>
        </w:trPr>
        <w:tc>
          <w:tcPr>
            <w:tcW w:w="3555" w:type="dxa"/>
            <w:tcBorders>
              <w:top w:val="single" w:sz="4" w:space="0" w:color="000000"/>
              <w:left w:val="single" w:sz="12" w:space="0" w:color="000000"/>
              <w:bottom w:val="single" w:sz="4"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410" w:hRule="exact"/>
        </w:trPr>
        <w:tc>
          <w:tcPr>
            <w:tcW w:w="3555" w:type="dxa"/>
            <w:tcBorders>
              <w:top w:val="single" w:sz="4" w:space="0" w:color="000000"/>
              <w:left w:val="single" w:sz="12" w:space="0" w:color="000000"/>
              <w:bottom w:val="single" w:sz="12" w:space="0" w:color="000000"/>
              <w:right w:val="single" w:sz="10"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716"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指</w:t>
            </w:r>
          </w:p>
        </w:tc>
        <w:tc>
          <w:tcPr>
            <w:tcW w:w="5299" w:type="dxa"/>
            <w:tcBorders>
              <w:top w:val="single" w:sz="4" w:space="0" w:color="000000"/>
              <w:left w:val="single" w:sz="10" w:space="0" w:color="D2D2D2"/>
              <w:bottom w:val="single" w:sz="12"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1227" w:top="1060" w:bottom="142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4008" w:right="140" w:firstLine="0"/>
        <w:jc w:val="left"/>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408" w:lineRule="auto" w:before="225"/>
        <w:ind w:left="153" w:right="156"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公司已在本报告中披露可能对公司未来发展望战略和经营目标的实现产生</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不利影响的重大风险因素，敬请查阅第四节董事会报告中关于公司未来发展的</w:t>
      </w:r>
      <w:r>
        <w:rPr>
          <w:rFonts w:ascii="宋体" w:hAnsi="宋体" w:cs="宋体" w:eastAsia="宋体" w:hint="default"/>
          <w:b/>
          <w:bCs/>
          <w:w w:val="99"/>
          <w:sz w:val="28"/>
          <w:szCs w:val="28"/>
        </w:rPr>
        <w:t> </w:t>
      </w:r>
      <w:r>
        <w:rPr>
          <w:rFonts w:ascii="宋体" w:hAnsi="宋体" w:cs="宋体" w:eastAsia="宋体" w:hint="default"/>
          <w:b/>
          <w:bCs/>
          <w:sz w:val="28"/>
          <w:szCs w:val="28"/>
        </w:rPr>
        <w:t>展望中可能存在的风险因素。</w:t>
      </w:r>
      <w:r>
        <w:rPr>
          <w:rFonts w:ascii="宋体" w:hAnsi="宋体" w:cs="宋体" w:eastAsia="宋体" w:hint="default"/>
          <w:sz w:val="28"/>
          <w:szCs w:val="28"/>
        </w:rPr>
      </w:r>
    </w:p>
    <w:p>
      <w:pPr>
        <w:spacing w:line="398" w:lineRule="auto" w:before="163"/>
        <w:ind w:left="153" w:right="153" w:firstLine="561"/>
        <w:jc w:val="both"/>
        <w:rPr>
          <w:rFonts w:ascii="宋体" w:hAnsi="宋体" w:cs="宋体" w:eastAsia="宋体" w:hint="default"/>
          <w:sz w:val="28"/>
          <w:szCs w:val="28"/>
        </w:rPr>
      </w:pPr>
      <w:r>
        <w:rPr>
          <w:rFonts w:ascii="宋体" w:hAnsi="宋体" w:cs="宋体" w:eastAsia="宋体" w:hint="default"/>
          <w:b/>
          <w:bCs/>
          <w:sz w:val="28"/>
          <w:szCs w:val="28"/>
        </w:rPr>
        <w:t>《证券时报》和巨潮资讯网（</w:t>
      </w:r>
      <w:hyperlink r:id="rId8">
        <w:r>
          <w:rPr>
            <w:rFonts w:ascii="Times New Roman" w:hAnsi="Times New Roman" w:cs="Times New Roman" w:eastAsia="Times New Roman" w:hint="default"/>
            <w:b/>
            <w:bCs/>
            <w:sz w:val="28"/>
            <w:szCs w:val="28"/>
          </w:rPr>
          <w:t>http://www.cninfo.com.cn</w:t>
        </w:r>
      </w:hyperlink>
      <w:r>
        <w:rPr>
          <w:rFonts w:ascii="宋体" w:hAnsi="宋体" w:cs="宋体" w:eastAsia="宋体" w:hint="default"/>
          <w:b/>
          <w:bCs/>
          <w:sz w:val="28"/>
          <w:szCs w:val="28"/>
        </w:rPr>
        <w:t>）为本公司指定的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信息披露媒体，本公司所有信息均以在上述指定媒体刊登的信息为准，敬请投</w:t>
      </w:r>
      <w:r>
        <w:rPr>
          <w:rFonts w:ascii="宋体" w:hAnsi="宋体" w:cs="宋体" w:eastAsia="宋体" w:hint="default"/>
          <w:b/>
          <w:bCs/>
          <w:w w:val="99"/>
          <w:sz w:val="28"/>
          <w:szCs w:val="28"/>
        </w:rPr>
        <w:t> </w:t>
      </w:r>
      <w:r>
        <w:rPr>
          <w:rFonts w:ascii="宋体" w:hAnsi="宋体" w:cs="宋体" w:eastAsia="宋体" w:hint="default"/>
          <w:b/>
          <w:bCs/>
          <w:sz w:val="28"/>
          <w:szCs w:val="28"/>
        </w:rPr>
        <w:t>资者注意投资风险。</w:t>
      </w:r>
      <w:r>
        <w:rPr>
          <w:rFonts w:ascii="宋体" w:hAnsi="宋体" w:cs="宋体" w:eastAsia="宋体" w:hint="default"/>
          <w:sz w:val="28"/>
          <w:szCs w:val="28"/>
        </w:rPr>
      </w:r>
    </w:p>
    <w:p>
      <w:pPr>
        <w:spacing w:after="0" w:line="398" w:lineRule="auto"/>
        <w:jc w:val="both"/>
        <w:rPr>
          <w:rFonts w:ascii="宋体" w:hAnsi="宋体" w:cs="宋体" w:eastAsia="宋体" w:hint="default"/>
          <w:sz w:val="28"/>
          <w:szCs w:val="28"/>
        </w:rPr>
        <w:sectPr>
          <w:pgSz w:w="11910" w:h="16840"/>
          <w:pgMar w:header="745" w:footer="1227" w:top="1060" w:bottom="142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2422"/>
        <w:jc w:val="center"/>
        <w:rPr>
          <w:b w:val="0"/>
          <w:bCs w:val="0"/>
        </w:rPr>
      </w:pPr>
      <w:bookmarkStart w:name="_TOC_250010" w:id="2"/>
      <w:r>
        <w:rPr/>
        <w:t>第二节公司简介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14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40" w:type="dxa"/>
        <w:tblLayout w:type="fixed"/>
        <w:tblCellMar>
          <w:top w:w="0" w:type="dxa"/>
          <w:left w:w="0" w:type="dxa"/>
          <w:bottom w:w="0" w:type="dxa"/>
          <w:right w:w="0" w:type="dxa"/>
        </w:tblCellMar>
        <w:tblLook w:val="01E0"/>
      </w:tblPr>
      <w:tblGrid>
        <w:gridCol w:w="2682"/>
        <w:gridCol w:w="2566"/>
        <w:gridCol w:w="2133"/>
        <w:gridCol w:w="2188"/>
      </w:tblGrid>
      <w:tr>
        <w:trPr>
          <w:trHeight w:val="421" w:hRule="exact"/>
        </w:trPr>
        <w:tc>
          <w:tcPr>
            <w:tcW w:w="268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566" w:type="dxa"/>
            <w:tcBorders>
              <w:top w:val="single" w:sz="12" w:space="0" w:color="000000"/>
              <w:left w:val="single" w:sz="13" w:space="0" w:color="D2D2D2"/>
              <w:bottom w:val="single" w:sz="5"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神州信息</w:t>
            </w:r>
          </w:p>
        </w:tc>
        <w:tc>
          <w:tcPr>
            <w:tcW w:w="213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12" w:space="0" w:color="000000"/>
              <w:left w:val="single" w:sz="10" w:space="0" w:color="D2D2D2"/>
              <w:bottom w:val="single" w:sz="5" w:space="0" w:color="000000"/>
              <w:right w:val="single" w:sz="12" w:space="0" w:color="000000"/>
            </w:tcBorders>
          </w:tcPr>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000555</w:t>
            </w:r>
          </w:p>
        </w:tc>
      </w:tr>
      <w:tr>
        <w:trPr>
          <w:trHeight w:val="401" w:hRule="exact"/>
        </w:trPr>
        <w:tc>
          <w:tcPr>
            <w:tcW w:w="268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5"/>
              <w:ind w:left="13"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887" w:type="dxa"/>
            <w:gridSpan w:val="3"/>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5"/>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7" w:hRule="exact"/>
        </w:trPr>
        <w:tc>
          <w:tcPr>
            <w:tcW w:w="268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887" w:type="dxa"/>
            <w:gridSpan w:val="3"/>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p>
        </w:tc>
      </w:tr>
      <w:tr>
        <w:trPr>
          <w:trHeight w:val="408" w:hRule="exact"/>
        </w:trPr>
        <w:tc>
          <w:tcPr>
            <w:tcW w:w="268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887" w:type="dxa"/>
            <w:gridSpan w:val="3"/>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神州信息</w:t>
            </w:r>
          </w:p>
        </w:tc>
      </w:tr>
      <w:tr>
        <w:trPr>
          <w:trHeight w:val="406" w:hRule="exact"/>
        </w:trPr>
        <w:tc>
          <w:tcPr>
            <w:tcW w:w="268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887" w:type="dxa"/>
            <w:gridSpan w:val="3"/>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Digital China Information Service Company</w:t>
            </w:r>
            <w:r>
              <w:rPr>
                <w:rFonts w:ascii="Times New Roman"/>
                <w:spacing w:val="-17"/>
                <w:sz w:val="18"/>
              </w:rPr>
              <w:t> </w:t>
            </w:r>
            <w:r>
              <w:rPr>
                <w:rFonts w:ascii="Times New Roman"/>
                <w:sz w:val="18"/>
              </w:rPr>
              <w:t>Ltd.</w:t>
            </w:r>
          </w:p>
        </w:tc>
      </w:tr>
      <w:tr>
        <w:trPr>
          <w:trHeight w:val="408" w:hRule="exact"/>
        </w:trPr>
        <w:tc>
          <w:tcPr>
            <w:tcW w:w="268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887" w:type="dxa"/>
            <w:gridSpan w:val="3"/>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DCITS</w:t>
            </w:r>
          </w:p>
        </w:tc>
      </w:tr>
      <w:tr>
        <w:trPr>
          <w:trHeight w:val="408" w:hRule="exact"/>
        </w:trPr>
        <w:tc>
          <w:tcPr>
            <w:tcW w:w="268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887" w:type="dxa"/>
            <w:gridSpan w:val="3"/>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r>
      <w:tr>
        <w:trPr>
          <w:trHeight w:val="406" w:hRule="exact"/>
        </w:trPr>
        <w:tc>
          <w:tcPr>
            <w:tcW w:w="268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887" w:type="dxa"/>
            <w:gridSpan w:val="3"/>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深圳市南山区科发路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号金融服务技术创新基地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3C5 </w:t>
            </w:r>
            <w:r>
              <w:rPr>
                <w:rFonts w:ascii="宋体" w:hAnsi="宋体" w:cs="宋体" w:eastAsia="宋体" w:hint="default"/>
                <w:spacing w:val="-3"/>
                <w:sz w:val="18"/>
                <w:szCs w:val="18"/>
              </w:rPr>
              <w:t>单元</w:t>
            </w:r>
            <w:r>
              <w:rPr>
                <w:rFonts w:ascii="宋体" w:hAnsi="宋体" w:cs="宋体" w:eastAsia="宋体" w:hint="default"/>
                <w:sz w:val="18"/>
                <w:szCs w:val="18"/>
              </w:rPr>
            </w:r>
          </w:p>
        </w:tc>
      </w:tr>
      <w:tr>
        <w:trPr>
          <w:trHeight w:val="408" w:hRule="exact"/>
        </w:trPr>
        <w:tc>
          <w:tcPr>
            <w:tcW w:w="268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887" w:type="dxa"/>
            <w:gridSpan w:val="3"/>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518057</w:t>
            </w:r>
          </w:p>
        </w:tc>
      </w:tr>
      <w:tr>
        <w:trPr>
          <w:trHeight w:val="406" w:hRule="exact"/>
        </w:trPr>
        <w:tc>
          <w:tcPr>
            <w:tcW w:w="268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887" w:type="dxa"/>
            <w:gridSpan w:val="3"/>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北京市海淀区苏州街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号神州数码大厦五层</w:t>
            </w:r>
          </w:p>
        </w:tc>
      </w:tr>
      <w:tr>
        <w:trPr>
          <w:trHeight w:val="408" w:hRule="exact"/>
        </w:trPr>
        <w:tc>
          <w:tcPr>
            <w:tcW w:w="268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887" w:type="dxa"/>
            <w:gridSpan w:val="3"/>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100080</w:t>
            </w:r>
          </w:p>
        </w:tc>
      </w:tr>
      <w:tr>
        <w:trPr>
          <w:trHeight w:val="406" w:hRule="exact"/>
        </w:trPr>
        <w:tc>
          <w:tcPr>
            <w:tcW w:w="268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6887" w:type="dxa"/>
            <w:gridSpan w:val="3"/>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9">
              <w:r>
                <w:rPr>
                  <w:rFonts w:ascii="Times New Roman"/>
                  <w:sz w:val="18"/>
                </w:rPr>
                <w:t>http://www.dcits.com</w:t>
              </w:r>
            </w:hyperlink>
          </w:p>
        </w:tc>
      </w:tr>
      <w:tr>
        <w:trPr>
          <w:trHeight w:val="418" w:hRule="exact"/>
        </w:trPr>
        <w:tc>
          <w:tcPr>
            <w:tcW w:w="268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887" w:type="dxa"/>
            <w:gridSpan w:val="3"/>
            <w:tcBorders>
              <w:top w:val="single" w:sz="4" w:space="0" w:color="000000"/>
              <w:left w:val="single" w:sz="13" w:space="0" w:color="D2D2D2"/>
              <w:bottom w:val="single" w:sz="12" w:space="0" w:color="000000"/>
              <w:right w:val="single" w:sz="12"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hyperlink r:id="rId10">
              <w:r>
                <w:rPr>
                  <w:rFonts w:ascii="Times New Roman"/>
                  <w:sz w:val="18"/>
                </w:rPr>
                <w:t>dcits-ir@dcits.com</w:t>
              </w:r>
            </w:hyperlink>
          </w:p>
        </w:tc>
      </w:tr>
    </w:tbl>
    <w:p>
      <w:pPr>
        <w:spacing w:line="240" w:lineRule="auto" w:before="3"/>
        <w:rPr>
          <w:rFonts w:ascii="宋体" w:hAnsi="宋体" w:cs="宋体" w:eastAsia="宋体" w:hint="default"/>
          <w:b/>
          <w:bCs/>
          <w:sz w:val="18"/>
          <w:szCs w:val="18"/>
        </w:rPr>
      </w:pPr>
    </w:p>
    <w:p>
      <w:pPr>
        <w:pStyle w:val="Heading2"/>
        <w:spacing w:line="240" w:lineRule="auto"/>
        <w:ind w:right="140"/>
        <w:jc w:val="left"/>
        <w:rPr>
          <w:b w:val="0"/>
          <w:bCs w:val="0"/>
        </w:rPr>
      </w:pPr>
      <w:r>
        <w:rPr/>
        <w:t>二、联系人和联系方式</w:t>
      </w:r>
      <w:r>
        <w:rPr>
          <w:b w:val="0"/>
          <w:bCs w:val="0"/>
        </w:rPr>
      </w:r>
    </w:p>
    <w:p>
      <w:pPr>
        <w:spacing w:line="240" w:lineRule="auto" w:before="12"/>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2701"/>
        <w:gridCol w:w="3680"/>
        <w:gridCol w:w="3191"/>
      </w:tblGrid>
      <w:tr>
        <w:trPr>
          <w:trHeight w:val="438" w:hRule="exact"/>
        </w:trPr>
        <w:tc>
          <w:tcPr>
            <w:tcW w:w="2701"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368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5"/>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84" w:hRule="exact"/>
        </w:trPr>
        <w:tc>
          <w:tcPr>
            <w:tcW w:w="270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0"/>
              <w:ind w:left="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680" w:type="dxa"/>
            <w:tcBorders>
              <w:top w:val="single" w:sz="16" w:space="0" w:color="D2D2D2"/>
              <w:left w:val="single" w:sz="9" w:space="0" w:color="D2D2D2"/>
              <w:bottom w:val="single" w:sz="4" w:space="0" w:color="000000"/>
              <w:right w:val="single" w:sz="4" w:space="0" w:color="000000"/>
            </w:tcBorders>
          </w:tcPr>
          <w:p>
            <w:pPr>
              <w:pStyle w:val="TableParagraph"/>
              <w:spacing w:line="240" w:lineRule="auto" w:before="85"/>
              <w:ind w:left="17"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3191" w:type="dxa"/>
            <w:tcBorders>
              <w:top w:val="single" w:sz="16" w:space="0" w:color="D2D2D2"/>
              <w:left w:val="single" w:sz="4" w:space="0" w:color="000000"/>
              <w:bottom w:val="single" w:sz="4" w:space="0" w:color="000000"/>
              <w:right w:val="single" w:sz="12" w:space="0" w:color="000000"/>
            </w:tcBorders>
          </w:tcPr>
          <w:p>
            <w:pPr/>
          </w:p>
        </w:tc>
      </w:tr>
      <w:tr>
        <w:trPr>
          <w:trHeight w:val="463" w:hRule="exact"/>
        </w:trPr>
        <w:tc>
          <w:tcPr>
            <w:tcW w:w="270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北京市海淀区苏州街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号神州数码大厦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p>
        </w:tc>
        <w:tc>
          <w:tcPr>
            <w:tcW w:w="3191"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270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3" w:right="0"/>
              <w:jc w:val="left"/>
              <w:rPr>
                <w:rFonts w:ascii="Times New Roman" w:hAnsi="Times New Roman" w:cs="Times New Roman" w:eastAsia="Times New Roman" w:hint="default"/>
                <w:sz w:val="18"/>
                <w:szCs w:val="18"/>
              </w:rPr>
            </w:pPr>
            <w:r>
              <w:rPr>
                <w:rFonts w:ascii="Times New Roman"/>
                <w:sz w:val="18"/>
              </w:rPr>
              <w:t>010-61853676</w:t>
            </w:r>
          </w:p>
        </w:tc>
        <w:tc>
          <w:tcPr>
            <w:tcW w:w="3191"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70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sz w:val="18"/>
              </w:rPr>
              <w:t>010-62694810</w:t>
            </w:r>
          </w:p>
        </w:tc>
        <w:tc>
          <w:tcPr>
            <w:tcW w:w="3191" w:type="dxa"/>
            <w:tcBorders>
              <w:top w:val="single" w:sz="4" w:space="0" w:color="000000"/>
              <w:left w:val="single" w:sz="4" w:space="0" w:color="000000"/>
              <w:bottom w:val="single" w:sz="4" w:space="0" w:color="000000"/>
              <w:right w:val="single" w:sz="12" w:space="0" w:color="000000"/>
            </w:tcBorders>
          </w:tcPr>
          <w:p>
            <w:pPr/>
          </w:p>
        </w:tc>
      </w:tr>
      <w:tr>
        <w:trPr>
          <w:trHeight w:val="473" w:hRule="exact"/>
        </w:trPr>
        <w:tc>
          <w:tcPr>
            <w:tcW w:w="270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6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left="23" w:right="0"/>
              <w:jc w:val="left"/>
              <w:rPr>
                <w:rFonts w:ascii="Times New Roman" w:hAnsi="Times New Roman" w:cs="Times New Roman" w:eastAsia="Times New Roman" w:hint="default"/>
                <w:sz w:val="18"/>
                <w:szCs w:val="18"/>
              </w:rPr>
            </w:pPr>
            <w:hyperlink r:id="rId10">
              <w:r>
                <w:rPr>
                  <w:rFonts w:ascii="Times New Roman"/>
                  <w:sz w:val="18"/>
                </w:rPr>
                <w:t>dcits-ir@dcits.com</w:t>
              </w:r>
            </w:hyperlink>
          </w:p>
        </w:tc>
        <w:tc>
          <w:tcPr>
            <w:tcW w:w="3191"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b/>
          <w:bCs/>
          <w:sz w:val="18"/>
          <w:szCs w:val="18"/>
        </w:rPr>
      </w:pPr>
    </w:p>
    <w:p>
      <w:pPr>
        <w:pStyle w:val="Heading2"/>
        <w:spacing w:line="240" w:lineRule="auto"/>
        <w:ind w:right="14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0" w:type="dxa"/>
        <w:tblLayout w:type="fixed"/>
        <w:tblCellMar>
          <w:top w:w="0" w:type="dxa"/>
          <w:left w:w="0" w:type="dxa"/>
          <w:bottom w:w="0" w:type="dxa"/>
          <w:right w:w="0" w:type="dxa"/>
        </w:tblCellMar>
        <w:tblLook w:val="01E0"/>
      </w:tblPr>
      <w:tblGrid>
        <w:gridCol w:w="3511"/>
        <w:gridCol w:w="6059"/>
      </w:tblGrid>
      <w:tr>
        <w:trPr>
          <w:trHeight w:val="475" w:hRule="exact"/>
        </w:trPr>
        <w:tc>
          <w:tcPr>
            <w:tcW w:w="351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605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63" w:hRule="exact"/>
        </w:trPr>
        <w:tc>
          <w:tcPr>
            <w:tcW w:w="35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60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23" w:right="0"/>
              <w:jc w:val="left"/>
              <w:rPr>
                <w:rFonts w:ascii="Times New Roman" w:hAnsi="Times New Roman" w:cs="Times New Roman" w:eastAsia="Times New Roman" w:hint="default"/>
                <w:sz w:val="18"/>
                <w:szCs w:val="18"/>
              </w:rPr>
            </w:pPr>
            <w:hyperlink r:id="rId8">
              <w:r>
                <w:rPr>
                  <w:rFonts w:ascii="Times New Roman"/>
                  <w:sz w:val="18"/>
                </w:rPr>
                <w:t>http://www.cninfo.com.cn</w:t>
              </w:r>
            </w:hyperlink>
          </w:p>
        </w:tc>
      </w:tr>
      <w:tr>
        <w:trPr>
          <w:trHeight w:val="473" w:hRule="exact"/>
        </w:trPr>
        <w:tc>
          <w:tcPr>
            <w:tcW w:w="351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605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北京市海淀区苏州街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号神州数码大厦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层资本证券部</w:t>
            </w:r>
          </w:p>
        </w:tc>
      </w:tr>
    </w:tbl>
    <w:p>
      <w:pPr>
        <w:spacing w:after="0" w:line="240" w:lineRule="auto"/>
        <w:jc w:val="left"/>
        <w:rPr>
          <w:rFonts w:ascii="宋体" w:hAnsi="宋体" w:cs="宋体" w:eastAsia="宋体" w:hint="default"/>
          <w:sz w:val="18"/>
          <w:szCs w:val="18"/>
        </w:rPr>
        <w:sectPr>
          <w:pgSz w:w="11910" w:h="16840"/>
          <w:pgMar w:header="745" w:footer="1227" w:top="1060" w:bottom="1420" w:left="980" w:right="980"/>
        </w:sectPr>
      </w:pPr>
    </w:p>
    <w:p>
      <w:pPr>
        <w:spacing w:line="240" w:lineRule="auto" w:before="8"/>
        <w:rPr>
          <w:rFonts w:ascii="宋体" w:hAnsi="宋体" w:cs="宋体" w:eastAsia="宋体" w:hint="default"/>
          <w:b/>
          <w:bCs/>
          <w:sz w:val="23"/>
          <w:szCs w:val="23"/>
        </w:rPr>
      </w:pPr>
      <w:r>
        <w:rPr/>
        <w:pict>
          <v:shape style="position:absolute;margin-left:55.944pt;margin-top:102.739983pt;width:483.85pt;height:655.3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1"/>
                    <w:gridCol w:w="1621"/>
                    <w:gridCol w:w="2172"/>
                    <w:gridCol w:w="1700"/>
                    <w:gridCol w:w="1702"/>
                    <w:gridCol w:w="1268"/>
                  </w:tblGrid>
                  <w:tr>
                    <w:trPr>
                      <w:trHeight w:val="170" w:hRule="exact"/>
                    </w:trPr>
                    <w:tc>
                      <w:tcPr>
                        <w:tcW w:w="1171" w:type="dxa"/>
                        <w:tcBorders>
                          <w:top w:val="single" w:sz="12" w:space="0" w:color="000000"/>
                          <w:left w:val="single" w:sz="12" w:space="0" w:color="000000"/>
                          <w:bottom w:val="nil" w:sz="6" w:space="0" w:color="auto"/>
                          <w:right w:val="single" w:sz="4" w:space="0" w:color="000000"/>
                        </w:tcBorders>
                        <w:shd w:val="clear" w:color="auto" w:fill="D2D2D2"/>
                      </w:tcPr>
                      <w:p>
                        <w:pPr/>
                      </w:p>
                    </w:tc>
                    <w:tc>
                      <w:tcPr>
                        <w:tcW w:w="1621" w:type="dxa"/>
                        <w:tcBorders>
                          <w:top w:val="single" w:sz="12" w:space="0" w:color="000000"/>
                          <w:left w:val="single" w:sz="4" w:space="0" w:color="000000"/>
                          <w:bottom w:val="nil" w:sz="6" w:space="0" w:color="auto"/>
                          <w:right w:val="single" w:sz="4" w:space="0" w:color="000000"/>
                        </w:tcBorders>
                        <w:shd w:val="clear" w:color="auto" w:fill="D2D2D2"/>
                      </w:tcPr>
                      <w:p>
                        <w:pPr/>
                      </w:p>
                    </w:tc>
                    <w:tc>
                      <w:tcPr>
                        <w:tcW w:w="2172" w:type="dxa"/>
                        <w:tcBorders>
                          <w:top w:val="single" w:sz="12" w:space="0" w:color="000000"/>
                          <w:left w:val="single" w:sz="4" w:space="0" w:color="000000"/>
                          <w:bottom w:val="nil" w:sz="6" w:space="0" w:color="auto"/>
                          <w:right w:val="single" w:sz="4" w:space="0" w:color="000000"/>
                        </w:tcBorders>
                        <w:shd w:val="clear" w:color="auto" w:fill="D2D2D2"/>
                      </w:tcPr>
                      <w:p>
                        <w:pPr/>
                      </w:p>
                    </w:tc>
                    <w:tc>
                      <w:tcPr>
                        <w:tcW w:w="1700" w:type="dxa"/>
                        <w:vMerge w:val="restart"/>
                        <w:tcBorders>
                          <w:top w:val="single" w:sz="12" w:space="0" w:color="000000"/>
                          <w:left w:val="single" w:sz="4" w:space="0" w:color="000000"/>
                          <w:right w:val="single" w:sz="4" w:space="0" w:color="000000"/>
                        </w:tcBorders>
                        <w:shd w:val="clear" w:color="auto" w:fill="D2D2D2"/>
                      </w:tcPr>
                      <w:p>
                        <w:pPr>
                          <w:pStyle w:val="TableParagraph"/>
                          <w:spacing w:line="316" w:lineRule="auto" w:before="49"/>
                          <w:ind w:left="664" w:right="32" w:hanging="629"/>
                          <w:jc w:val="left"/>
                          <w:rPr>
                            <w:rFonts w:ascii="宋体" w:hAnsi="宋体" w:cs="宋体" w:eastAsia="宋体" w:hint="default"/>
                            <w:sz w:val="18"/>
                            <w:szCs w:val="18"/>
                          </w:rPr>
                        </w:pPr>
                        <w:r>
                          <w:rPr>
                            <w:rFonts w:ascii="宋体" w:hAnsi="宋体" w:cs="宋体" w:eastAsia="宋体" w:hint="default"/>
                            <w:sz w:val="18"/>
                            <w:szCs w:val="18"/>
                          </w:rPr>
                          <w:t>企业法人营业执照注 册号</w:t>
                        </w:r>
                      </w:p>
                    </w:tc>
                    <w:tc>
                      <w:tcPr>
                        <w:tcW w:w="1702" w:type="dxa"/>
                        <w:tcBorders>
                          <w:top w:val="single" w:sz="12" w:space="0" w:color="000000"/>
                          <w:left w:val="single" w:sz="4" w:space="0" w:color="000000"/>
                          <w:bottom w:val="nil" w:sz="6" w:space="0" w:color="auto"/>
                          <w:right w:val="single" w:sz="4" w:space="0" w:color="000000"/>
                        </w:tcBorders>
                        <w:shd w:val="clear" w:color="auto" w:fill="D2D2D2"/>
                      </w:tcPr>
                      <w:p>
                        <w:pPr/>
                      </w:p>
                    </w:tc>
                    <w:tc>
                      <w:tcPr>
                        <w:tcW w:w="1268"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391" w:hRule="exact"/>
                    </w:trPr>
                    <w:tc>
                      <w:tcPr>
                        <w:tcW w:w="1171" w:type="dxa"/>
                        <w:tcBorders>
                          <w:top w:val="nil" w:sz="6" w:space="0" w:color="auto"/>
                          <w:left w:val="single" w:sz="12" w:space="0" w:color="000000"/>
                          <w:bottom w:val="nil" w:sz="6" w:space="0" w:color="auto"/>
                          <w:right w:val="single" w:sz="4" w:space="0" w:color="000000"/>
                        </w:tcBorders>
                        <w:shd w:val="clear" w:color="auto" w:fill="D2D2D2"/>
                      </w:tcPr>
                      <w:p>
                        <w:pPr/>
                      </w:p>
                    </w:tc>
                    <w:tc>
                      <w:tcPr>
                        <w:tcW w:w="1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21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700" w:type="dxa"/>
                        <w:vMerge/>
                        <w:tcBorders>
                          <w:left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05"/>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268" w:type="dxa"/>
                        <w:tcBorders>
                          <w:top w:val="nil" w:sz="6" w:space="0" w:color="auto"/>
                          <w:left w:val="single" w:sz="4" w:space="0" w:color="000000"/>
                          <w:bottom w:val="nil" w:sz="6" w:space="0" w:color="auto"/>
                          <w:right w:val="single" w:sz="12"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171" w:type="dxa"/>
                        <w:tcBorders>
                          <w:top w:val="nil" w:sz="6" w:space="0" w:color="auto"/>
                          <w:left w:val="single" w:sz="12" w:space="0" w:color="000000"/>
                          <w:bottom w:val="single" w:sz="4" w:space="0" w:color="000000"/>
                          <w:right w:val="single" w:sz="4" w:space="0" w:color="000000"/>
                        </w:tcBorders>
                        <w:shd w:val="clear" w:color="auto" w:fill="D2D2D2"/>
                      </w:tcPr>
                      <w:p>
                        <w:pPr/>
                      </w:p>
                    </w:tc>
                    <w:tc>
                      <w:tcPr>
                        <w:tcW w:w="1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8"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03" w:hRule="exact"/>
                    </w:trPr>
                    <w:tc>
                      <w:tcPr>
                        <w:tcW w:w="117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贵州省凯里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21443093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14"/>
                          <w:jc w:val="right"/>
                          <w:rPr>
                            <w:rFonts w:ascii="Times New Roman" w:hAnsi="Times New Roman" w:cs="Times New Roman" w:eastAsia="Times New Roman" w:hint="default"/>
                            <w:sz w:val="18"/>
                            <w:szCs w:val="18"/>
                          </w:rPr>
                        </w:pPr>
                        <w:r>
                          <w:rPr>
                            <w:rFonts w:ascii="Times New Roman"/>
                            <w:spacing w:val="-1"/>
                            <w:sz w:val="18"/>
                          </w:rPr>
                          <w:t>522600520100012</w:t>
                        </w:r>
                      </w:p>
                    </w:tc>
                    <w:tc>
                      <w:tcPr>
                        <w:tcW w:w="126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72619812-4</w:t>
                        </w:r>
                      </w:p>
                    </w:tc>
                  </w:tr>
                  <w:tr>
                    <w:trPr>
                      <w:trHeight w:val="401" w:hRule="exact"/>
                    </w:trPr>
                    <w:tc>
                      <w:tcPr>
                        <w:tcW w:w="117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深圳市市场监督管理局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440301103593790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4"/>
                          <w:jc w:val="right"/>
                          <w:rPr>
                            <w:rFonts w:ascii="Times New Roman" w:hAnsi="Times New Roman" w:cs="Times New Roman" w:eastAsia="Times New Roman" w:hint="default"/>
                            <w:sz w:val="18"/>
                            <w:szCs w:val="18"/>
                          </w:rPr>
                        </w:pPr>
                        <w:r>
                          <w:rPr>
                            <w:rFonts w:ascii="Times New Roman"/>
                            <w:spacing w:val="-1"/>
                            <w:sz w:val="18"/>
                          </w:rPr>
                          <w:t>440301726198124</w:t>
                        </w:r>
                      </w:p>
                    </w:tc>
                    <w:tc>
                      <w:tcPr>
                        <w:tcW w:w="126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72619812-4</w:t>
                        </w:r>
                      </w:p>
                    </w:tc>
                  </w:tr>
                  <w:tr>
                    <w:trPr>
                      <w:trHeight w:val="3579" w:hRule="exact"/>
                    </w:trPr>
                    <w:tc>
                      <w:tcPr>
                        <w:tcW w:w="2792" w:type="dxa"/>
                        <w:gridSpan w:val="2"/>
                        <w:tcBorders>
                          <w:top w:val="single" w:sz="4" w:space="0" w:color="000000"/>
                          <w:left w:val="single" w:sz="12" w:space="0" w:color="000000"/>
                          <w:bottom w:val="nil" w:sz="6" w:space="0" w:color="auto"/>
                          <w:right w:val="single" w:sz="4" w:space="0" w:color="000000"/>
                        </w:tcBorders>
                        <w:shd w:val="clear" w:color="auto" w:fill="D2D2D2"/>
                      </w:tcPr>
                      <w:p>
                        <w:pPr/>
                      </w:p>
                    </w:tc>
                    <w:tc>
                      <w:tcPr>
                        <w:tcW w:w="6841" w:type="dxa"/>
                        <w:gridSpan w:val="4"/>
                        <w:vMerge w:val="restart"/>
                        <w:tcBorders>
                          <w:top w:val="single" w:sz="4" w:space="0" w:color="000000"/>
                          <w:left w:val="single" w:sz="10" w:space="0" w:color="D2D2D2"/>
                          <w:right w:val="single" w:sz="12"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、公司上市以来经营范围为：涤纶化纤、织物印染、化纤原料。主要产品为涤纶长丝</w:t>
                        </w:r>
                      </w:p>
                      <w:p>
                        <w:pPr>
                          <w:pStyle w:val="TableParagraph"/>
                          <w:spacing w:line="300" w:lineRule="auto" w:before="101"/>
                          <w:ind w:left="16"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日，公司经营范围变更为：涤纶化纤、织物印染、化纤原料；生产 销售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TEC5200 </w:t>
                        </w:r>
                        <w:r>
                          <w:rPr>
                            <w:rFonts w:ascii="宋体" w:hAnsi="宋体" w:cs="宋体" w:eastAsia="宋体" w:hint="default"/>
                            <w:sz w:val="18"/>
                            <w:szCs w:val="18"/>
                          </w:rPr>
                          <w:t>综合业务接入网等通信设备；国内商业、物资供销业</w:t>
                        </w:r>
                        <w:r>
                          <w:rPr>
                            <w:rFonts w:ascii="Times New Roman" w:hAnsi="Times New Roman" w:cs="Times New Roman" w:eastAsia="Times New Roman" w:hint="default"/>
                            <w:sz w:val="18"/>
                            <w:szCs w:val="18"/>
                          </w:rPr>
                          <w:t>(</w:t>
                        </w:r>
                        <w:r>
                          <w:rPr>
                            <w:rFonts w:ascii="宋体" w:hAnsi="宋体" w:cs="宋体" w:eastAsia="宋体" w:hint="default"/>
                            <w:sz w:val="18"/>
                            <w:szCs w:val="18"/>
                          </w:rPr>
                          <w:t>不含专营、专控、 专卖商品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00" w:lineRule="auto" w:before="53"/>
                          <w:ind w:left="16"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日，公司的经营范围变更为：涤纶化纤、织物印染、化纤原料；生 产、销售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TEC5200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综合业务接入网等通信设备；国内商业、物资供销业</w:t>
                        </w:r>
                        <w:r>
                          <w:rPr>
                            <w:rFonts w:ascii="Times New Roman" w:hAnsi="Times New Roman" w:cs="Times New Roman" w:eastAsia="Times New Roman" w:hint="default"/>
                            <w:sz w:val="18"/>
                            <w:szCs w:val="18"/>
                          </w:rPr>
                          <w:t>(</w:t>
                        </w:r>
                        <w:r>
                          <w:rPr>
                            <w:rFonts w:ascii="宋体" w:hAnsi="宋体" w:cs="宋体" w:eastAsia="宋体" w:hint="default"/>
                            <w:sz w:val="18"/>
                            <w:szCs w:val="18"/>
                          </w:rPr>
                          <w:t>不含专营、专 控、专卖商品</w:t>
                        </w:r>
                        <w:r>
                          <w:rPr>
                            <w:rFonts w:ascii="Times New Roman" w:hAnsi="Times New Roman" w:cs="Times New Roman" w:eastAsia="Times New Roman" w:hint="default"/>
                            <w:sz w:val="18"/>
                            <w:szCs w:val="18"/>
                          </w:rPr>
                          <w:t>)</w:t>
                        </w:r>
                        <w:r>
                          <w:rPr>
                            <w:rFonts w:ascii="宋体" w:hAnsi="宋体" w:cs="宋体" w:eastAsia="宋体" w:hint="default"/>
                            <w:sz w:val="18"/>
                            <w:szCs w:val="18"/>
                          </w:rPr>
                          <w:t>。经营进出口业务。</w:t>
                        </w:r>
                      </w:p>
                      <w:p>
                        <w:pPr>
                          <w:pStyle w:val="TableParagraph"/>
                          <w:spacing w:line="300" w:lineRule="auto" w:before="51"/>
                          <w:ind w:left="16"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2001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日，公司经营范围变更为：生产、销售 </w:t>
                        </w:r>
                        <w:r>
                          <w:rPr>
                            <w:rFonts w:ascii="Times New Roman" w:hAnsi="Times New Roman" w:cs="Times New Roman" w:eastAsia="Times New Roman" w:hint="default"/>
                            <w:sz w:val="18"/>
                            <w:szCs w:val="18"/>
                          </w:rPr>
                          <w:t>TEC5200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综合业务接入网 等通信设备；国内商业、物资供销业</w:t>
                        </w:r>
                        <w:r>
                          <w:rPr>
                            <w:rFonts w:ascii="Times New Roman" w:hAnsi="Times New Roman" w:cs="Times New Roman" w:eastAsia="Times New Roman" w:hint="default"/>
                            <w:sz w:val="18"/>
                            <w:szCs w:val="18"/>
                          </w:rPr>
                          <w:t>(</w:t>
                        </w:r>
                        <w:r>
                          <w:rPr>
                            <w:rFonts w:ascii="宋体" w:hAnsi="宋体" w:cs="宋体" w:eastAsia="宋体" w:hint="default"/>
                            <w:sz w:val="18"/>
                            <w:szCs w:val="18"/>
                          </w:rPr>
                          <w:t>不含专营、专控、专卖商品</w:t>
                        </w:r>
                        <w:r>
                          <w:rPr>
                            <w:rFonts w:ascii="Times New Roman" w:hAnsi="Times New Roman" w:cs="Times New Roman" w:eastAsia="Times New Roman" w:hint="default"/>
                            <w:sz w:val="18"/>
                            <w:szCs w:val="18"/>
                          </w:rPr>
                          <w:t>)</w:t>
                        </w:r>
                        <w:r>
                          <w:rPr>
                            <w:rFonts w:ascii="宋体" w:hAnsi="宋体" w:cs="宋体" w:eastAsia="宋体" w:hint="default"/>
                            <w:sz w:val="18"/>
                            <w:szCs w:val="18"/>
                          </w:rPr>
                          <w:t>。经营进出口业务。</w:t>
                        </w:r>
                      </w:p>
                      <w:p>
                        <w:pPr>
                          <w:pStyle w:val="TableParagraph"/>
                          <w:spacing w:line="300" w:lineRule="auto" w:before="53"/>
                          <w:ind w:left="16"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日，公司经营范围变更为：销售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TEC5200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综合业务接入网等通信设 备；国内商业、物资供销业</w:t>
                        </w:r>
                        <w:r>
                          <w:rPr>
                            <w:rFonts w:ascii="Times New Roman" w:hAnsi="Times New Roman" w:cs="Times New Roman" w:eastAsia="Times New Roman" w:hint="default"/>
                            <w:sz w:val="18"/>
                            <w:szCs w:val="18"/>
                          </w:rPr>
                          <w:t>(</w:t>
                        </w:r>
                        <w:r>
                          <w:rPr>
                            <w:rFonts w:ascii="宋体" w:hAnsi="宋体" w:cs="宋体" w:eastAsia="宋体" w:hint="default"/>
                            <w:sz w:val="18"/>
                            <w:szCs w:val="18"/>
                          </w:rPr>
                          <w:t>不含专营、专控、专卖商品</w:t>
                        </w:r>
                        <w:r>
                          <w:rPr>
                            <w:rFonts w:ascii="Times New Roman" w:hAnsi="Times New Roman" w:cs="Times New Roman" w:eastAsia="Times New Roman" w:hint="default"/>
                            <w:sz w:val="18"/>
                            <w:szCs w:val="18"/>
                          </w:rPr>
                          <w:t>)</w:t>
                        </w:r>
                        <w:r>
                          <w:rPr>
                            <w:rFonts w:ascii="宋体" w:hAnsi="宋体" w:cs="宋体" w:eastAsia="宋体" w:hint="default"/>
                            <w:sz w:val="18"/>
                            <w:szCs w:val="18"/>
                          </w:rPr>
                          <w:t>；经营进出口业务。</w:t>
                        </w:r>
                      </w:p>
                      <w:p>
                        <w:pPr>
                          <w:pStyle w:val="TableParagraph"/>
                          <w:spacing w:line="309" w:lineRule="auto" w:before="53"/>
                          <w:ind w:left="16" w:right="13"/>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日，公司经营范围变更为：销售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TEC5200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综合业务接入网等通信设 </w:t>
                        </w:r>
                        <w:r>
                          <w:rPr>
                            <w:rFonts w:ascii="宋体" w:hAnsi="宋体" w:cs="宋体" w:eastAsia="宋体" w:hint="default"/>
                            <w:spacing w:val="-2"/>
                            <w:sz w:val="18"/>
                            <w:szCs w:val="18"/>
                          </w:rPr>
                          <w:t>备；经营进出口业务；电子产品的销售；房地产开发与投资；物业管理（法律、行政法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规、国务院决定禁止的项目除外，限制的项目须取得许可后方可经营）。</w:t>
                        </w:r>
                      </w:p>
                      <w:p>
                        <w:pPr>
                          <w:pStyle w:val="TableParagraph"/>
                          <w:spacing w:line="314" w:lineRule="auto" w:before="62"/>
                          <w:ind w:left="16"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日，经营范围进行了工商变更：研究、开发金融自助设备及相关应 </w:t>
                        </w:r>
                        <w:r>
                          <w:rPr>
                            <w:rFonts w:ascii="宋体" w:hAnsi="宋体" w:cs="宋体" w:eastAsia="宋体" w:hint="default"/>
                            <w:spacing w:val="-2"/>
                            <w:sz w:val="18"/>
                            <w:szCs w:val="18"/>
                          </w:rPr>
                          <w:t>用软件，销售本公司所研发产品并提供售后服务；提供信息技术及相关技术的咨询、开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发、技术服务；软件开发、信息系统的集成并提供售后服务；从事信息系统集成配套计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算机硬件及零件、网络设备、多媒体产品、电子信息产品及通讯产品、办公自动化设备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仪器仪表、电器及印刷照排设备的批发、进出口及相关业务。</w:t>
                        </w:r>
                      </w:p>
                      <w:p>
                        <w:pPr>
                          <w:pStyle w:val="TableParagraph"/>
                          <w:spacing w:line="300" w:lineRule="auto" w:before="61"/>
                          <w:ind w:left="16" w:right="1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8</w:t>
                        </w:r>
                        <w:r>
                          <w:rPr>
                            <w:rFonts w:ascii="宋体" w:hAnsi="宋体" w:cs="宋体" w:eastAsia="宋体" w:hint="default"/>
                            <w:spacing w:val="-6"/>
                            <w:sz w:val="18"/>
                            <w:szCs w:val="18"/>
                          </w:rPr>
                          <w:t>、公司于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日办理了有关注册地址变更的工商变更登记手续，并取得了深 </w:t>
                        </w:r>
                        <w:r>
                          <w:rPr>
                            <w:rFonts w:ascii="宋体" w:hAnsi="宋体" w:cs="宋体" w:eastAsia="宋体" w:hint="default"/>
                            <w:spacing w:val="-4"/>
                            <w:sz w:val="18"/>
                            <w:szCs w:val="18"/>
                          </w:rPr>
                          <w:t>圳市市场监督管理局换发的《企业法人营业执照》，公司住所由</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深圳市福田区滨河区路</w:t>
                        </w:r>
                        <w:r>
                          <w:rPr>
                            <w:rFonts w:ascii="宋体" w:hAnsi="宋体" w:cs="宋体" w:eastAsia="宋体" w:hint="default"/>
                            <w:spacing w:val="-70"/>
                            <w:sz w:val="18"/>
                            <w:szCs w:val="18"/>
                          </w:rPr>
                          <w:t> </w:t>
                        </w:r>
                        <w:r>
                          <w:rPr>
                            <w:rFonts w:ascii="宋体" w:hAnsi="宋体" w:cs="宋体" w:eastAsia="宋体" w:hint="default"/>
                            <w:sz w:val="18"/>
                            <w:szCs w:val="18"/>
                          </w:rPr>
                          <w:t>北与彩田路东联合广场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深圳市南山区科发路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号金融服务技术 创新基地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3C5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792" w:type="dxa"/>
                        <w:gridSpan w:val="2"/>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tc>
                    <w:tc>
                      <w:tcPr>
                        <w:tcW w:w="6841" w:type="dxa"/>
                        <w:gridSpan w:val="4"/>
                        <w:vMerge/>
                        <w:tcBorders>
                          <w:left w:val="single" w:sz="10" w:space="0" w:color="D2D2D2"/>
                          <w:right w:val="single" w:sz="12" w:space="0" w:color="000000"/>
                        </w:tcBorders>
                      </w:tcPr>
                      <w:p>
                        <w:pPr/>
                      </w:p>
                    </w:tc>
                  </w:tr>
                  <w:tr>
                    <w:trPr>
                      <w:trHeight w:val="3579" w:hRule="exact"/>
                    </w:trPr>
                    <w:tc>
                      <w:tcPr>
                        <w:tcW w:w="2792" w:type="dxa"/>
                        <w:gridSpan w:val="2"/>
                        <w:tcBorders>
                          <w:top w:val="nil" w:sz="6" w:space="0" w:color="auto"/>
                          <w:left w:val="single" w:sz="12" w:space="0" w:color="000000"/>
                          <w:bottom w:val="single" w:sz="4" w:space="0" w:color="000000"/>
                          <w:right w:val="single" w:sz="4" w:space="0" w:color="000000"/>
                        </w:tcBorders>
                        <w:shd w:val="clear" w:color="auto" w:fill="D2D2D2"/>
                      </w:tcPr>
                      <w:p>
                        <w:pPr/>
                      </w:p>
                    </w:tc>
                    <w:tc>
                      <w:tcPr>
                        <w:tcW w:w="6841" w:type="dxa"/>
                        <w:gridSpan w:val="4"/>
                        <w:vMerge/>
                        <w:tcBorders>
                          <w:left w:val="single" w:sz="10" w:space="0" w:color="D2D2D2"/>
                          <w:bottom w:val="single" w:sz="4" w:space="0" w:color="000000"/>
                          <w:right w:val="single" w:sz="12" w:space="0" w:color="000000"/>
                        </w:tcBorders>
                      </w:tcPr>
                      <w:p>
                        <w:pPr/>
                      </w:p>
                    </w:tc>
                  </w:tr>
                  <w:tr>
                    <w:trPr>
                      <w:trHeight w:val="1801" w:hRule="exact"/>
                    </w:trPr>
                    <w:tc>
                      <w:tcPr>
                        <w:tcW w:w="2792" w:type="dxa"/>
                        <w:gridSpan w:val="2"/>
                        <w:tcBorders>
                          <w:top w:val="single" w:sz="4" w:space="0" w:color="000000"/>
                          <w:left w:val="single" w:sz="12" w:space="0" w:color="000000"/>
                          <w:bottom w:val="nil" w:sz="6" w:space="0" w:color="auto"/>
                          <w:right w:val="single" w:sz="4" w:space="0" w:color="000000"/>
                        </w:tcBorders>
                        <w:shd w:val="clear" w:color="auto" w:fill="D2D2D2"/>
                      </w:tcPr>
                      <w:p>
                        <w:pPr/>
                      </w:p>
                    </w:tc>
                    <w:tc>
                      <w:tcPr>
                        <w:tcW w:w="6841" w:type="dxa"/>
                        <w:gridSpan w:val="4"/>
                        <w:vMerge w:val="restart"/>
                        <w:tcBorders>
                          <w:top w:val="single" w:sz="4" w:space="0" w:color="000000"/>
                          <w:left w:val="single" w:sz="10" w:space="0" w:color="D2D2D2"/>
                          <w:right w:val="single" w:sz="12"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、公司上市以来，贵州省凯里涤纶厂持有本公司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32,412,428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股，占本公司总股本的</w:t>
                        </w:r>
                      </w:p>
                      <w:p>
                        <w:pPr>
                          <w:pStyle w:val="TableParagraph"/>
                          <w:spacing w:line="240" w:lineRule="auto" w:before="6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43.57%</w:t>
                        </w:r>
                        <w:r>
                          <w:rPr>
                            <w:rFonts w:ascii="宋体" w:hAnsi="宋体" w:cs="宋体" w:eastAsia="宋体" w:hint="default"/>
                            <w:sz w:val="18"/>
                            <w:szCs w:val="18"/>
                          </w:rPr>
                          <w:t>，成为本公司的控股股东。</w:t>
                        </w:r>
                      </w:p>
                      <w:p>
                        <w:pPr>
                          <w:pStyle w:val="TableParagraph"/>
                          <w:spacing w:line="300" w:lineRule="auto" w:before="103"/>
                          <w:ind w:left="16"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月及</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月本公司原第一大股东贵州省凯里涤纶厂因逾期未能归还银行贷 款遭诉讼，其持本公司的股份被法院强行拍卖。</w:t>
                        </w:r>
                      </w:p>
                      <w:p>
                        <w:pPr>
                          <w:pStyle w:val="TableParagraph"/>
                          <w:spacing w:line="240" w:lineRule="auto" w:before="7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日，深圳市太光科技有限公司与本公司原发起人股东广东金龙基企业</w:t>
                        </w:r>
                      </w:p>
                      <w:p>
                        <w:pPr>
                          <w:pStyle w:val="TableParagraph"/>
                          <w:spacing w:line="300" w:lineRule="auto" w:before="63"/>
                          <w:ind w:left="16" w:right="-46"/>
                          <w:jc w:val="left"/>
                          <w:rPr>
                            <w:rFonts w:ascii="宋体" w:hAnsi="宋体" w:cs="宋体" w:eastAsia="宋体" w:hint="default"/>
                            <w:sz w:val="18"/>
                            <w:szCs w:val="18"/>
                          </w:rPr>
                        </w:pPr>
                        <w:r>
                          <w:rPr>
                            <w:rFonts w:ascii="宋体" w:hAnsi="宋体" w:cs="宋体" w:eastAsia="宋体" w:hint="default"/>
                            <w:sz w:val="18"/>
                            <w:szCs w:val="18"/>
                          </w:rPr>
                          <w:t>有限公司等八家股东达成协议，收购前述八家股东所持有本公司的股份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19,897,057 </w:t>
                        </w:r>
                        <w:r>
                          <w:rPr>
                            <w:rFonts w:ascii="宋体" w:hAnsi="宋体" w:cs="宋体" w:eastAsia="宋体" w:hint="default"/>
                            <w:sz w:val="18"/>
                            <w:szCs w:val="18"/>
                          </w:rPr>
                          <w:t>股， 占本公司总股本的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24.32%</w:t>
                        </w:r>
                        <w:r>
                          <w:rPr>
                            <w:rFonts w:ascii="宋体" w:hAnsi="宋体" w:cs="宋体" w:eastAsia="宋体" w:hint="default"/>
                            <w:sz w:val="18"/>
                            <w:szCs w:val="18"/>
                          </w:rPr>
                          <w:t>，成为本公司控股股东。</w:t>
                        </w:r>
                      </w:p>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日，本公司第一大股东深圳市太光科技有限公司更名为深圳市申昌</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科技有限公司，于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日更名为昆山市申昌科技有限公司。</w:t>
                        </w:r>
                      </w:p>
                      <w:p>
                        <w:pPr>
                          <w:pStyle w:val="TableParagraph"/>
                          <w:spacing w:line="240" w:lineRule="auto" w:before="10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日，公司第一大股东变更为神码软件，持有公司股份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194,770,055</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股，占公司总股本的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45.17%</w:t>
                        </w:r>
                        <w:r>
                          <w:rPr>
                            <w:rFonts w:ascii="宋体" w:hAnsi="宋体" w:cs="宋体" w:eastAsia="宋体" w:hint="default"/>
                            <w:sz w:val="18"/>
                            <w:szCs w:val="18"/>
                          </w:rPr>
                          <w:t>。</w:t>
                        </w:r>
                      </w:p>
                      <w:p>
                        <w:pPr>
                          <w:pStyle w:val="TableParagraph"/>
                          <w:spacing w:line="240" w:lineRule="auto" w:before="10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日，公司关于向特定对象发行股份购买资产并募集配套资金的资产</w:t>
                        </w:r>
                      </w:p>
                    </w:tc>
                  </w:tr>
                  <w:tr>
                    <w:trPr>
                      <w:trHeight w:val="391" w:hRule="exact"/>
                    </w:trPr>
                    <w:tc>
                      <w:tcPr>
                        <w:tcW w:w="2792" w:type="dxa"/>
                        <w:gridSpan w:val="2"/>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w:t>
                        </w:r>
                      </w:p>
                    </w:tc>
                    <w:tc>
                      <w:tcPr>
                        <w:tcW w:w="6841" w:type="dxa"/>
                        <w:gridSpan w:val="4"/>
                        <w:vMerge/>
                        <w:tcBorders>
                          <w:left w:val="single" w:sz="10" w:space="0" w:color="D2D2D2"/>
                          <w:right w:val="single" w:sz="12" w:space="0" w:color="000000"/>
                        </w:tcBorders>
                      </w:tcPr>
                      <w:p>
                        <w:pPr/>
                      </w:p>
                    </w:tc>
                  </w:tr>
                  <w:tr>
                    <w:trPr>
                      <w:trHeight w:val="1810" w:hRule="exact"/>
                    </w:trPr>
                    <w:tc>
                      <w:tcPr>
                        <w:tcW w:w="2792" w:type="dxa"/>
                        <w:gridSpan w:val="2"/>
                        <w:tcBorders>
                          <w:top w:val="nil" w:sz="6" w:space="0" w:color="auto"/>
                          <w:left w:val="single" w:sz="12" w:space="0" w:color="000000"/>
                          <w:bottom w:val="single" w:sz="12" w:space="0" w:color="000000"/>
                          <w:right w:val="single" w:sz="4" w:space="0" w:color="000000"/>
                        </w:tcBorders>
                        <w:shd w:val="clear" w:color="auto" w:fill="D2D2D2"/>
                      </w:tcPr>
                      <w:p>
                        <w:pPr/>
                      </w:p>
                    </w:tc>
                    <w:tc>
                      <w:tcPr>
                        <w:tcW w:w="6841" w:type="dxa"/>
                        <w:gridSpan w:val="4"/>
                        <w:vMerge/>
                        <w:tcBorders>
                          <w:left w:val="single" w:sz="10" w:space="0" w:color="D2D2D2"/>
                          <w:bottom w:val="single" w:sz="12" w:space="0" w:color="000000"/>
                          <w:right w:val="single" w:sz="12" w:space="0" w:color="000000"/>
                        </w:tcBorders>
                      </w:tcPr>
                      <w:p>
                        <w:pPr/>
                      </w:p>
                    </w:tc>
                  </w:tr>
                </w:tbl>
                <w:p>
                  <w:pPr/>
                </w:p>
              </w:txbxContent>
            </v:textbox>
            <w10:wrap type="none"/>
          </v:shape>
        </w:pict>
      </w:r>
    </w:p>
    <w:p>
      <w:pPr>
        <w:pStyle w:val="Heading2"/>
        <w:spacing w:line="240" w:lineRule="auto"/>
        <w:ind w:right="0"/>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4"/>
          <w:szCs w:val="24"/>
        </w:rPr>
      </w:pPr>
    </w:p>
    <w:p>
      <w:pPr>
        <w:spacing w:before="44"/>
        <w:ind w:left="0" w:right="117"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115"/>
        <w:ind w:left="0" w:right="11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44"/>
        <w:ind w:left="0" w:right="11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1227" w:top="1060" w:bottom="1420" w:left="980" w:right="960"/>
        </w:sectPr>
      </w:pPr>
    </w:p>
    <w:p>
      <w:pPr>
        <w:spacing w:line="240" w:lineRule="auto" w:before="5"/>
        <w:rPr>
          <w:rFonts w:ascii="宋体" w:hAnsi="宋体" w:cs="宋体" w:eastAsia="宋体" w:hint="default"/>
          <w:sz w:val="27"/>
          <w:szCs w:val="27"/>
        </w:rPr>
      </w:pPr>
    </w:p>
    <w:p>
      <w:pPr>
        <w:spacing w:line="1726" w:lineRule="exact"/>
        <w:ind w:left="138" w:right="0" w:firstLine="0"/>
        <w:rPr>
          <w:rFonts w:ascii="宋体" w:hAnsi="宋体" w:cs="宋体" w:eastAsia="宋体" w:hint="default"/>
          <w:sz w:val="20"/>
          <w:szCs w:val="20"/>
        </w:rPr>
      </w:pPr>
      <w:r>
        <w:rPr>
          <w:rFonts w:ascii="宋体" w:hAnsi="宋体" w:cs="宋体" w:eastAsia="宋体" w:hint="default"/>
          <w:position w:val="-34"/>
          <w:sz w:val="20"/>
          <w:szCs w:val="20"/>
        </w:rPr>
        <w:pict>
          <v:group style="width:483.1pt;height:86.3pt;mso-position-horizontal-relative:char;mso-position-vertical-relative:line" coordorigin="0,0" coordsize="9662,1726">
            <v:group style="position:absolute;left:31;top:46;width:2770;height:1640" coordorigin="31,46" coordsize="2770,1640">
              <v:shape style="position:absolute;left:31;top:46;width:2770;height:1640" coordorigin="31,46" coordsize="2770,1640" path="m31,1685l2801,1685,2801,46,31,46,31,1685xe" filled="true" fillcolor="#d2d2d2" stroked="false">
                <v:path arrowok="t"/>
                <v:fill type="solid"/>
              </v:shape>
            </v:group>
            <v:group style="position:absolute;left:29;top:14;width:2773;height:29" coordorigin="29,14" coordsize="2773,29">
              <v:shape style="position:absolute;left:29;top:14;width:2773;height:29" coordorigin="29,14" coordsize="2773,29" path="m29,43l2801,43,2801,14,29,14,29,43xe" filled="true" fillcolor="#000000" stroked="false">
                <v:path arrowok="t"/>
                <v:fill type="solid"/>
              </v:shape>
            </v:group>
            <v:group style="position:absolute;left:29;top:44;width:2773;height:2" coordorigin="29,44" coordsize="2773,2">
              <v:shape style="position:absolute;left:29;top:44;width:2773;height:2" coordorigin="29,44" coordsize="2773,0" path="m29,44l2801,44e" filled="false" stroked="true" strokeweight=".12pt" strokecolor="#d2d2d2">
                <v:path arrowok="t"/>
              </v:shape>
            </v:group>
            <v:group style="position:absolute;left:2801;top:29;width:29;height:2" coordorigin="2801,29" coordsize="29,2">
              <v:shape style="position:absolute;left:2801;top:29;width:29;height:2" coordorigin="2801,29" coordsize="29,0" path="m2801,29l2830,29e" filled="false" stroked="true" strokeweight="1.44pt" strokecolor="#000000">
                <v:path arrowok="t"/>
              </v:shape>
            </v:group>
            <v:group style="position:absolute;left:2830;top:29;width:6803;height:2" coordorigin="2830,29" coordsize="6803,2">
              <v:shape style="position:absolute;left:2830;top:29;width:6803;height:2" coordorigin="2830,29" coordsize="6803,0" path="m2830,29l9633,29e" filled="false" stroked="true" strokeweight="1.44pt" strokecolor="#000000">
                <v:path arrowok="t"/>
              </v:shape>
            </v:group>
            <v:group style="position:absolute;left:14;top:14;width:2;height:1698" coordorigin="14,14" coordsize="2,1698">
              <v:shape style="position:absolute;left:14;top:14;width:2;height:1698" coordorigin="14,14" coordsize="0,1698" path="m14,14l14,1712e" filled="false" stroked="true" strokeweight="1.44pt" strokecolor="#000000">
                <v:path arrowok="t"/>
              </v:shape>
            </v:group>
            <v:group style="position:absolute;left:29;top:1697;width:2773;height:2" coordorigin="29,1697" coordsize="2773,2">
              <v:shape style="position:absolute;left:29;top:1697;width:2773;height:2" coordorigin="29,1697" coordsize="2773,0" path="m29,1697l2801,1697e" filled="false" stroked="true" strokeweight="1.44pt" strokecolor="#000000">
                <v:path arrowok="t"/>
              </v:shape>
            </v:group>
            <v:group style="position:absolute;left:2806;top:43;width:2;height:1640" coordorigin="2806,43" coordsize="2,1640">
              <v:shape style="position:absolute;left:2806;top:43;width:2;height:1640" coordorigin="2806,43" coordsize="0,1640" path="m2806,43l2806,1683e" filled="false" stroked="true" strokeweight=".48001pt" strokecolor="#000000">
                <v:path arrowok="t"/>
              </v:shape>
            </v:group>
            <v:group style="position:absolute;left:2801;top:1697;width:29;height:2" coordorigin="2801,1697" coordsize="29,2">
              <v:shape style="position:absolute;left:2801;top:1697;width:29;height:2" coordorigin="2801,1697" coordsize="29,0" path="m2801,1697l2830,1697e" filled="false" stroked="true" strokeweight="1.44pt" strokecolor="#000000">
                <v:path arrowok="t"/>
              </v:shape>
            </v:group>
            <v:group style="position:absolute;left:2830;top:1697;width:6803;height:2" coordorigin="2830,1697" coordsize="6803,2">
              <v:shape style="position:absolute;left:2830;top:1697;width:6803;height:2" coordorigin="2830,1697" coordsize="6803,0" path="m2830,1697l9633,1697e" filled="false" stroked="true" strokeweight="1.44pt" strokecolor="#000000">
                <v:path arrowok="t"/>
              </v:shape>
            </v:group>
            <v:group style="position:absolute;left:9648;top:14;width:2;height:1698" coordorigin="9648,14" coordsize="2,1698">
              <v:shape style="position:absolute;left:9648;top:14;width:2;height:1698" coordorigin="9648,14" coordsize="0,1698" path="m9648,14l9648,1712e" filled="false" stroked="true" strokeweight="1.44pt" strokecolor="#000000">
                <v:path arrowok="t"/>
              </v:shape>
              <v:shape style="position:absolute;left:2806;top:29;width:6842;height:1669" type="#_x0000_t202" filled="false" stroked="false">
                <v:textbox inset="0,0,0,0">
                  <w:txbxContent>
                    <w:p>
                      <w:pPr>
                        <w:spacing w:line="297" w:lineRule="auto" w:before="25"/>
                        <w:ind w:left="28" w:right="55" w:firstLine="0"/>
                        <w:jc w:val="left"/>
                        <w:rPr>
                          <w:rFonts w:ascii="宋体" w:hAnsi="宋体" w:cs="宋体" w:eastAsia="宋体" w:hint="default"/>
                          <w:sz w:val="18"/>
                          <w:szCs w:val="18"/>
                        </w:rPr>
                      </w:pPr>
                      <w:r>
                        <w:rPr>
                          <w:rFonts w:ascii="宋体" w:hAnsi="宋体" w:cs="宋体" w:eastAsia="宋体" w:hint="default"/>
                          <w:sz w:val="18"/>
                          <w:szCs w:val="18"/>
                        </w:rPr>
                        <w:t>重组事项中的非公开发行股份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20,520,227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股上市流通，公司股本由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431,214,014 </w:t>
                      </w:r>
                      <w:r>
                        <w:rPr>
                          <w:rFonts w:ascii="宋体" w:hAnsi="宋体" w:cs="宋体" w:eastAsia="宋体" w:hint="default"/>
                          <w:sz w:val="18"/>
                          <w:szCs w:val="18"/>
                        </w:rPr>
                        <w:t>股增加 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451,734,241 </w:t>
                      </w:r>
                      <w:r>
                        <w:rPr>
                          <w:rFonts w:ascii="宋体" w:hAnsi="宋体" w:cs="宋体" w:eastAsia="宋体" w:hint="default"/>
                          <w:sz w:val="18"/>
                          <w:szCs w:val="18"/>
                        </w:rPr>
                        <w:t>股，公司第一大股东仍为神码软件，持股比例降为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43.12%</w:t>
                      </w:r>
                      <w:r>
                        <w:rPr>
                          <w:rFonts w:ascii="宋体" w:hAnsi="宋体" w:cs="宋体" w:eastAsia="宋体" w:hint="default"/>
                          <w:sz w:val="18"/>
                          <w:szCs w:val="18"/>
                        </w:rPr>
                        <w:t>。</w:t>
                      </w:r>
                    </w:p>
                    <w:p>
                      <w:pPr>
                        <w:spacing w:before="55"/>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日，公司关于向特定对象发行股份购买资产并募集配套资金的资产</w:t>
                      </w:r>
                    </w:p>
                    <w:p>
                      <w:pPr>
                        <w:spacing w:line="300" w:lineRule="auto" w:before="63"/>
                        <w:ind w:left="28" w:right="23" w:firstLine="0"/>
                        <w:jc w:val="left"/>
                        <w:rPr>
                          <w:rFonts w:ascii="宋体" w:hAnsi="宋体" w:cs="宋体" w:eastAsia="宋体" w:hint="default"/>
                          <w:sz w:val="18"/>
                          <w:szCs w:val="18"/>
                        </w:rPr>
                      </w:pPr>
                      <w:r>
                        <w:rPr>
                          <w:rFonts w:ascii="宋体" w:hAnsi="宋体" w:cs="宋体" w:eastAsia="宋体" w:hint="default"/>
                          <w:sz w:val="18"/>
                          <w:szCs w:val="18"/>
                        </w:rPr>
                        <w:t>重组事项中的配套募集股份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7,171,717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股上市流通，公司股本增加到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458,905,958</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股，公</w:t>
                      </w:r>
                      <w:r>
                        <w:rPr>
                          <w:rFonts w:ascii="宋体" w:hAnsi="宋体" w:cs="宋体" w:eastAsia="宋体" w:hint="default"/>
                          <w:sz w:val="18"/>
                          <w:szCs w:val="18"/>
                        </w:rPr>
                        <w:t> 司第一大股东仍为神码软件，持股比例降为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42.44%</w:t>
                      </w: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34"/>
          <w:sz w:val="20"/>
          <w:szCs w:val="20"/>
        </w:rPr>
      </w:r>
    </w:p>
    <w:p>
      <w:pPr>
        <w:spacing w:line="240" w:lineRule="auto" w:before="2"/>
        <w:rPr>
          <w:rFonts w:ascii="宋体" w:hAnsi="宋体" w:cs="宋体" w:eastAsia="宋体" w:hint="default"/>
          <w:sz w:val="17"/>
          <w:szCs w:val="17"/>
        </w:rPr>
      </w:pPr>
    </w:p>
    <w:p>
      <w:pPr>
        <w:pStyle w:val="Heading2"/>
        <w:spacing w:line="240" w:lineRule="auto"/>
        <w:ind w:right="140"/>
        <w:jc w:val="left"/>
        <w:rPr>
          <w:b w:val="0"/>
          <w:bCs w:val="0"/>
        </w:rPr>
      </w:pPr>
      <w:r>
        <w:rPr/>
        <w:t>五、其他有关资料</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140"/>
        <w:jc w:val="left"/>
      </w:pPr>
      <w:r>
        <w:rPr/>
        <w:t>公司聘请的会计师事务所</w:t>
      </w:r>
    </w:p>
    <w:p>
      <w:pPr>
        <w:spacing w:line="240" w:lineRule="auto" w:before="11"/>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662"/>
        <w:gridCol w:w="6909"/>
      </w:tblGrid>
      <w:tr>
        <w:trPr>
          <w:trHeight w:val="475" w:hRule="exact"/>
        </w:trPr>
        <w:tc>
          <w:tcPr>
            <w:tcW w:w="266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12" w:space="0" w:color="000000"/>
              <w:left w:val="single" w:sz="10" w:space="0" w:color="D2D2D2"/>
              <w:bottom w:val="single" w:sz="4" w:space="0" w:color="000000"/>
              <w:right w:val="single" w:sz="12" w:space="0" w:color="000000"/>
            </w:tcBorders>
          </w:tcPr>
          <w:p>
            <w:pPr>
              <w:pStyle w:val="TableParagraph"/>
              <w:spacing w:line="240" w:lineRule="auto" w:before="80"/>
              <w:ind w:left="16"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64" w:hRule="exact"/>
        </w:trPr>
        <w:tc>
          <w:tcPr>
            <w:tcW w:w="26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80"/>
              <w:ind w:left="16"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73" w:hRule="exact"/>
        </w:trPr>
        <w:tc>
          <w:tcPr>
            <w:tcW w:w="266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唐炫、晁小燕</w:t>
            </w:r>
          </w:p>
        </w:tc>
      </w:tr>
    </w:tbl>
    <w:p>
      <w:pPr>
        <w:pStyle w:val="BodyText"/>
        <w:spacing w:line="240" w:lineRule="auto" w:before="66"/>
        <w:ind w:right="140"/>
        <w:jc w:val="left"/>
      </w:pPr>
      <w:r>
        <w:rPr/>
        <w:t>公司聘请的报告期内履行持续督导职责的保荐机构</w:t>
      </w:r>
    </w:p>
    <w:p>
      <w:pPr>
        <w:spacing w:line="240" w:lineRule="auto" w:before="10"/>
        <w:rPr>
          <w:rFonts w:ascii="宋体" w:hAnsi="宋体" w:cs="宋体" w:eastAsia="宋体" w:hint="default"/>
          <w:sz w:val="14"/>
          <w:szCs w:val="14"/>
        </w:rPr>
      </w:pPr>
    </w:p>
    <w:p>
      <w:pPr>
        <w:pStyle w:val="BodyText"/>
        <w:spacing w:line="386" w:lineRule="auto"/>
        <w:ind w:right="45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公司聘请的报告期内履行持续督导职责的财务顾问</w:t>
      </w:r>
    </w:p>
    <w:p>
      <w:pPr>
        <w:pStyle w:val="BodyText"/>
        <w:spacing w:line="240" w:lineRule="auto" w:before="65"/>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2393"/>
        <w:gridCol w:w="2391"/>
        <w:gridCol w:w="2393"/>
        <w:gridCol w:w="2393"/>
      </w:tblGrid>
      <w:tr>
        <w:trPr>
          <w:trHeight w:val="443" w:hRule="exact"/>
        </w:trPr>
        <w:tc>
          <w:tcPr>
            <w:tcW w:w="239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64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23" w:hRule="exact"/>
        </w:trPr>
        <w:tc>
          <w:tcPr>
            <w:tcW w:w="239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1" w:type="dxa"/>
            <w:tcBorders>
              <w:top w:val="single" w:sz="4" w:space="0" w:color="000000"/>
              <w:left w:val="single" w:sz="4" w:space="0" w:color="000000"/>
              <w:bottom w:val="single" w:sz="12" w:space="0" w:color="000000"/>
              <w:right w:val="single" w:sz="4" w:space="0" w:color="000000"/>
            </w:tcBorders>
          </w:tcPr>
          <w:p>
            <w:pPr>
              <w:pStyle w:val="TableParagraph"/>
              <w:spacing w:line="297"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国际企业大厦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田磊、江亮君</w:t>
            </w:r>
          </w:p>
        </w:tc>
        <w:tc>
          <w:tcPr>
            <w:tcW w:w="23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1227" w:top="1060" w:bottom="1420" w:left="980" w:right="980"/>
        </w:sectPr>
      </w:pPr>
    </w:p>
    <w:p>
      <w:pPr>
        <w:spacing w:before="15"/>
        <w:ind w:left="0" w:right="153" w:firstLine="0"/>
        <w:jc w:val="righ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60"/>
        <w:ind w:left="4821" w:right="4919"/>
        <w:jc w:val="center"/>
        <w:rPr>
          <w:b w:val="0"/>
          <w:bCs w:val="0"/>
        </w:rPr>
      </w:pPr>
      <w:bookmarkStart w:name="_TOC_250009" w:id="3"/>
      <w:r>
        <w:rPr/>
        <w:t>第三节会计数据和财务指标摘要</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left="160" w:right="0"/>
        <w:jc w:val="left"/>
        <w:rPr>
          <w:b w:val="0"/>
          <w:bCs w:val="0"/>
        </w:rPr>
      </w:pPr>
      <w:r>
        <w:rPr/>
        <w:t>一、主要会计数据和财务指标</w:t>
      </w:r>
      <w:r>
        <w:rPr>
          <w:b w:val="0"/>
          <w:bCs w:val="0"/>
        </w:rPr>
      </w:r>
    </w:p>
    <w:p>
      <w:pPr>
        <w:spacing w:line="240" w:lineRule="auto" w:before="11"/>
        <w:rPr>
          <w:rFonts w:ascii="宋体" w:hAnsi="宋体" w:cs="宋体" w:eastAsia="宋体" w:hint="default"/>
          <w:b/>
          <w:bCs/>
          <w:sz w:val="30"/>
          <w:szCs w:val="30"/>
        </w:rPr>
      </w:pPr>
    </w:p>
    <w:p>
      <w:pPr>
        <w:pStyle w:val="BodyText"/>
        <w:spacing w:line="240" w:lineRule="auto"/>
        <w:ind w:left="160" w:right="0"/>
        <w:jc w:val="left"/>
      </w:pPr>
      <w:r>
        <w:rPr/>
        <w:t>公司是否因会计政策变更及会计差错更正等追溯调整或重述以前年度会计数据</w:t>
      </w:r>
    </w:p>
    <w:p>
      <w:pPr>
        <w:spacing w:line="240" w:lineRule="auto" w:before="10"/>
        <w:rPr>
          <w:rFonts w:ascii="宋体" w:hAnsi="宋体" w:cs="宋体" w:eastAsia="宋体" w:hint="default"/>
          <w:sz w:val="14"/>
          <w:szCs w:val="14"/>
        </w:rPr>
      </w:pPr>
    </w:p>
    <w:p>
      <w:pPr>
        <w:pStyle w:val="BodyText"/>
        <w:spacing w:line="240" w:lineRule="auto"/>
        <w:ind w:left="160"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8"/>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459"/>
        <w:gridCol w:w="1757"/>
        <w:gridCol w:w="1759"/>
        <w:gridCol w:w="1762"/>
        <w:gridCol w:w="1759"/>
        <w:gridCol w:w="1760"/>
        <w:gridCol w:w="1762"/>
      </w:tblGrid>
      <w:tr>
        <w:trPr>
          <w:trHeight w:val="457" w:hRule="exact"/>
        </w:trPr>
        <w:tc>
          <w:tcPr>
            <w:tcW w:w="3459" w:type="dxa"/>
            <w:vMerge w:val="restart"/>
            <w:tcBorders>
              <w:top w:val="single" w:sz="12" w:space="0" w:color="000000"/>
              <w:left w:val="single" w:sz="12" w:space="0" w:color="000000"/>
              <w:right w:val="single" w:sz="4" w:space="0" w:color="000000"/>
            </w:tcBorders>
            <w:shd w:val="clear" w:color="auto" w:fill="D2D2D2"/>
          </w:tcPr>
          <w:p>
            <w:pPr/>
          </w:p>
        </w:tc>
        <w:tc>
          <w:tcPr>
            <w:tcW w:w="1757"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521"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5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3521" w:type="dxa"/>
            <w:gridSpan w:val="2"/>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81" w:hRule="exact"/>
        </w:trPr>
        <w:tc>
          <w:tcPr>
            <w:tcW w:w="3459" w:type="dxa"/>
            <w:vMerge/>
            <w:tcBorders>
              <w:left w:val="single" w:sz="12" w:space="0" w:color="000000"/>
              <w:bottom w:val="single" w:sz="4" w:space="0" w:color="000000"/>
              <w:right w:val="single" w:sz="4" w:space="0" w:color="000000"/>
            </w:tcBorders>
            <w:shd w:val="clear" w:color="auto" w:fill="D2D2D2"/>
          </w:tcPr>
          <w:p>
            <w:pPr/>
          </w:p>
        </w:tc>
        <w:tc>
          <w:tcPr>
            <w:tcW w:w="1757" w:type="dxa"/>
            <w:vMerge/>
            <w:tcBorders>
              <w:left w:val="single" w:sz="4" w:space="0" w:color="000000"/>
              <w:bottom w:val="single" w:sz="4" w:space="0" w:color="000000"/>
              <w:right w:val="single" w:sz="4" w:space="0" w:color="000000"/>
            </w:tcBorders>
            <w:shd w:val="clear" w:color="auto" w:fill="D2D2D2"/>
          </w:tcPr>
          <w:p>
            <w:pPr/>
          </w:p>
        </w:tc>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762"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5"/>
              <w:ind w:left="7"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463" w:hRule="exact"/>
        </w:trPr>
        <w:tc>
          <w:tcPr>
            <w:tcW w:w="34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6,559,007,918.00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7,713,438,140.57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7,713,438,140.57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-14.97%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7,833,132,209.70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2"/>
              <w:jc w:val="right"/>
              <w:rPr>
                <w:rFonts w:ascii="Times New Roman" w:hAnsi="Times New Roman" w:cs="Times New Roman" w:eastAsia="Times New Roman" w:hint="default"/>
                <w:sz w:val="18"/>
                <w:szCs w:val="18"/>
              </w:rPr>
            </w:pPr>
            <w:r>
              <w:rPr>
                <w:rFonts w:ascii="Times New Roman"/>
                <w:spacing w:val="-1"/>
                <w:sz w:val="18"/>
              </w:rPr>
              <w:t>7,833,132,209.70</w:t>
            </w:r>
          </w:p>
        </w:tc>
      </w:tr>
      <w:tr>
        <w:trPr>
          <w:trHeight w:val="464" w:hRule="exact"/>
        </w:trPr>
        <w:tc>
          <w:tcPr>
            <w:tcW w:w="34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279,531,140.01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254,718,777.19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254,718,777.19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9.74%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308,117,155.97</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2"/>
              <w:jc w:val="right"/>
              <w:rPr>
                <w:rFonts w:ascii="Times New Roman" w:hAnsi="Times New Roman" w:cs="Times New Roman" w:eastAsia="Times New Roman" w:hint="default"/>
                <w:sz w:val="18"/>
                <w:szCs w:val="18"/>
              </w:rPr>
            </w:pPr>
            <w:r>
              <w:rPr>
                <w:rFonts w:ascii="Times New Roman"/>
                <w:spacing w:val="-1"/>
                <w:sz w:val="18"/>
              </w:rPr>
              <w:t>308,117,155.97</w:t>
            </w:r>
          </w:p>
        </w:tc>
      </w:tr>
      <w:tr>
        <w:trPr>
          <w:trHeight w:val="715" w:hRule="exact"/>
        </w:trPr>
        <w:tc>
          <w:tcPr>
            <w:tcW w:w="34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4" w:right="18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 的净利润（元）</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264,882,742.13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231,444,635.10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231,444,635.10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14.45%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108,831,628.56</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108,831,628.56</w:t>
            </w:r>
          </w:p>
        </w:tc>
      </w:tr>
      <w:tr>
        <w:trPr>
          <w:trHeight w:val="463" w:hRule="exact"/>
        </w:trPr>
        <w:tc>
          <w:tcPr>
            <w:tcW w:w="34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503,133,542.65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161,089,588.21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161,089,588.21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212.33%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189,461,514.50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2"/>
              <w:jc w:val="right"/>
              <w:rPr>
                <w:rFonts w:ascii="Times New Roman" w:hAnsi="Times New Roman" w:cs="Times New Roman" w:eastAsia="Times New Roman" w:hint="default"/>
                <w:sz w:val="18"/>
                <w:szCs w:val="18"/>
              </w:rPr>
            </w:pPr>
            <w:r>
              <w:rPr>
                <w:rFonts w:ascii="Times New Roman"/>
                <w:spacing w:val="-1"/>
                <w:sz w:val="18"/>
              </w:rPr>
              <w:t>189,461,514.50</w:t>
            </w:r>
          </w:p>
        </w:tc>
      </w:tr>
      <w:tr>
        <w:trPr>
          <w:trHeight w:val="463" w:hRule="exact"/>
        </w:trPr>
        <w:tc>
          <w:tcPr>
            <w:tcW w:w="34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0.6482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0.7975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0.7975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-18.72%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0.96</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0.96</w:t>
            </w:r>
          </w:p>
        </w:tc>
      </w:tr>
      <w:tr>
        <w:trPr>
          <w:trHeight w:val="466" w:hRule="exact"/>
        </w:trPr>
        <w:tc>
          <w:tcPr>
            <w:tcW w:w="34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0.6482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0.7975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0.7975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Times New Roman" w:hAnsi="Times New Roman" w:cs="Times New Roman" w:eastAsia="Times New Roman" w:hint="default"/>
                <w:sz w:val="18"/>
                <w:szCs w:val="18"/>
              </w:rPr>
            </w:pPr>
            <w:r>
              <w:rPr>
                <w:rFonts w:ascii="Times New Roman"/>
                <w:sz w:val="18"/>
              </w:rPr>
              <w:t>-18.72%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0.96</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5"/>
              <w:ind w:right="11"/>
              <w:jc w:val="right"/>
              <w:rPr>
                <w:rFonts w:ascii="Times New Roman" w:hAnsi="Times New Roman" w:cs="Times New Roman" w:eastAsia="Times New Roman" w:hint="default"/>
                <w:sz w:val="18"/>
                <w:szCs w:val="18"/>
              </w:rPr>
            </w:pPr>
            <w:r>
              <w:rPr>
                <w:rFonts w:ascii="Times New Roman"/>
                <w:spacing w:val="-1"/>
                <w:sz w:val="18"/>
              </w:rPr>
              <w:t>0.96</w:t>
            </w:r>
          </w:p>
        </w:tc>
      </w:tr>
      <w:tr>
        <w:trPr>
          <w:trHeight w:val="463" w:hRule="exact"/>
        </w:trPr>
        <w:tc>
          <w:tcPr>
            <w:tcW w:w="34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13.69%</w:t>
            </w:r>
          </w:p>
        </w:tc>
        <w:tc>
          <w:tcPr>
            <w:tcW w:w="1759"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14.23%</w:t>
            </w:r>
          </w:p>
        </w:tc>
        <w:tc>
          <w:tcPr>
            <w:tcW w:w="1762"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14.23%</w:t>
            </w:r>
          </w:p>
        </w:tc>
        <w:tc>
          <w:tcPr>
            <w:tcW w:w="1759"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-0.54%</w:t>
            </w:r>
          </w:p>
        </w:tc>
        <w:tc>
          <w:tcPr>
            <w:tcW w:w="176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20.23%</w:t>
            </w:r>
          </w:p>
        </w:tc>
        <w:tc>
          <w:tcPr>
            <w:tcW w:w="1762" w:type="dxa"/>
            <w:tcBorders>
              <w:top w:val="single" w:sz="4" w:space="0" w:color="000000"/>
              <w:left w:val="single" w:sz="4" w:space="0" w:color="000000"/>
              <w:bottom w:val="single" w:sz="16" w:space="0" w:color="D2D2D2"/>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20.23%</w:t>
            </w:r>
          </w:p>
        </w:tc>
      </w:tr>
      <w:tr>
        <w:trPr>
          <w:trHeight w:val="269" w:hRule="exact"/>
        </w:trPr>
        <w:tc>
          <w:tcPr>
            <w:tcW w:w="3459" w:type="dxa"/>
            <w:tcBorders>
              <w:top w:val="single" w:sz="4" w:space="0" w:color="000000"/>
              <w:left w:val="single" w:sz="12" w:space="0" w:color="000000"/>
              <w:bottom w:val="nil" w:sz="6" w:space="0" w:color="auto"/>
              <w:right w:val="single" w:sz="4" w:space="0" w:color="000000"/>
            </w:tcBorders>
            <w:shd w:val="clear" w:color="auto" w:fill="D2D2D2"/>
          </w:tcPr>
          <w:p>
            <w:pP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left="62"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3521" w:type="dxa"/>
            <w:gridSpan w:val="2"/>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8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97" w:hRule="exact"/>
        </w:trPr>
        <w:tc>
          <w:tcPr>
            <w:tcW w:w="3459" w:type="dxa"/>
            <w:vMerge w:val="restart"/>
            <w:tcBorders>
              <w:top w:val="nil" w:sz="6" w:space="0" w:color="auto"/>
              <w:left w:val="single" w:sz="12"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3521" w:type="dxa"/>
            <w:gridSpan w:val="2"/>
            <w:vMerge/>
            <w:tcBorders>
              <w:left w:val="single" w:sz="4" w:space="0" w:color="000000"/>
              <w:bottom w:val="single" w:sz="4" w:space="0" w:color="000000"/>
              <w:right w:val="single" w:sz="4" w:space="0" w:color="000000"/>
            </w:tcBorders>
            <w:shd w:val="clear" w:color="auto" w:fill="D2D2D2"/>
          </w:tcPr>
          <w:p>
            <w:pPr/>
          </w:p>
        </w:tc>
        <w:tc>
          <w:tcPr>
            <w:tcW w:w="1759" w:type="dxa"/>
            <w:vMerge/>
            <w:tcBorders>
              <w:left w:val="single" w:sz="4" w:space="0" w:color="000000"/>
              <w:bottom w:val="single" w:sz="4" w:space="0" w:color="000000"/>
              <w:right w:val="single" w:sz="4" w:space="0" w:color="000000"/>
            </w:tcBorders>
            <w:shd w:val="clear" w:color="auto" w:fill="D2D2D2"/>
          </w:tcPr>
          <w:p>
            <w:pPr/>
          </w:p>
        </w:tc>
        <w:tc>
          <w:tcPr>
            <w:tcW w:w="3521" w:type="dxa"/>
            <w:gridSpan w:val="2"/>
            <w:vMerge/>
            <w:tcBorders>
              <w:left w:val="single" w:sz="4" w:space="0" w:color="000000"/>
              <w:bottom w:val="single" w:sz="4" w:space="0" w:color="000000"/>
              <w:right w:val="single" w:sz="12" w:space="0" w:color="000000"/>
            </w:tcBorders>
            <w:shd w:val="clear" w:color="auto" w:fill="D2D2D2"/>
          </w:tcPr>
          <w:p>
            <w:pPr/>
          </w:p>
        </w:tc>
      </w:tr>
      <w:tr>
        <w:trPr>
          <w:trHeight w:val="194" w:hRule="exact"/>
        </w:trPr>
        <w:tc>
          <w:tcPr>
            <w:tcW w:w="3459" w:type="dxa"/>
            <w:vMerge/>
            <w:tcBorders>
              <w:left w:val="single" w:sz="12" w:space="0" w:color="000000"/>
              <w:bottom w:val="nil" w:sz="6" w:space="0" w:color="auto"/>
              <w:right w:val="single" w:sz="4" w:space="0" w:color="000000"/>
            </w:tcBorders>
            <w:shd w:val="clear" w:color="auto" w:fill="D2D2D2"/>
          </w:tcPr>
          <w:p>
            <w:pPr/>
          </w:p>
        </w:tc>
        <w:tc>
          <w:tcPr>
            <w:tcW w:w="1757" w:type="dxa"/>
            <w:vMerge/>
            <w:tcBorders>
              <w:left w:val="single" w:sz="4" w:space="0" w:color="000000"/>
              <w:bottom w:val="nil" w:sz="6" w:space="0" w:color="auto"/>
              <w:right w:val="single" w:sz="4" w:space="0" w:color="000000"/>
            </w:tcBorders>
            <w:shd w:val="clear" w:color="auto" w:fill="D2D2D2"/>
          </w:tcPr>
          <w:p>
            <w:pPr/>
          </w:p>
        </w:tc>
        <w:tc>
          <w:tcPr>
            <w:tcW w:w="17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762"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80"/>
              <w:ind w:left="7"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269" w:hRule="exact"/>
        </w:trPr>
        <w:tc>
          <w:tcPr>
            <w:tcW w:w="3459" w:type="dxa"/>
            <w:tcBorders>
              <w:top w:val="nil" w:sz="6" w:space="0" w:color="auto"/>
              <w:left w:val="single" w:sz="12"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59" w:type="dxa"/>
            <w:vMerge/>
            <w:tcBorders>
              <w:left w:val="single" w:sz="4" w:space="0" w:color="000000"/>
              <w:bottom w:val="single" w:sz="4" w:space="0" w:color="000000"/>
              <w:right w:val="single" w:sz="4" w:space="0" w:color="000000"/>
            </w:tcBorders>
            <w:shd w:val="clear" w:color="auto" w:fill="D2D2D2"/>
          </w:tcPr>
          <w:p>
            <w:pPr/>
          </w:p>
        </w:tc>
        <w:tc>
          <w:tcPr>
            <w:tcW w:w="1762" w:type="dxa"/>
            <w:vMerge/>
            <w:tcBorders>
              <w:left w:val="single" w:sz="4" w:space="0" w:color="000000"/>
              <w:bottom w:val="single" w:sz="4" w:space="0" w:color="000000"/>
              <w:right w:val="single" w:sz="4" w:space="0" w:color="000000"/>
            </w:tcBorders>
            <w:shd w:val="clear" w:color="auto" w:fill="D2D2D2"/>
          </w:tcPr>
          <w:p>
            <w:pPr/>
          </w:p>
        </w:tc>
        <w:tc>
          <w:tcPr>
            <w:tcW w:w="1759" w:type="dxa"/>
            <w:vMerge/>
            <w:tcBorders>
              <w:left w:val="single" w:sz="4" w:space="0" w:color="000000"/>
              <w:bottom w:val="single" w:sz="4" w:space="0" w:color="000000"/>
              <w:right w:val="single" w:sz="4" w:space="0" w:color="000000"/>
            </w:tcBorders>
            <w:shd w:val="clear" w:color="auto" w:fill="D2D2D2"/>
          </w:tcPr>
          <w:p>
            <w:pPr/>
          </w:p>
        </w:tc>
        <w:tc>
          <w:tcPr>
            <w:tcW w:w="1760" w:type="dxa"/>
            <w:vMerge/>
            <w:tcBorders>
              <w:left w:val="single" w:sz="4" w:space="0" w:color="000000"/>
              <w:bottom w:val="single" w:sz="4" w:space="0" w:color="000000"/>
              <w:right w:val="single" w:sz="4" w:space="0" w:color="000000"/>
            </w:tcBorders>
            <w:shd w:val="clear" w:color="auto" w:fill="D2D2D2"/>
          </w:tcPr>
          <w:p>
            <w:pPr/>
          </w:p>
        </w:tc>
        <w:tc>
          <w:tcPr>
            <w:tcW w:w="1762" w:type="dxa"/>
            <w:vMerge/>
            <w:tcBorders>
              <w:left w:val="single" w:sz="4" w:space="0" w:color="000000"/>
              <w:bottom w:val="single" w:sz="4" w:space="0" w:color="000000"/>
              <w:right w:val="single" w:sz="12" w:space="0" w:color="000000"/>
            </w:tcBorders>
            <w:shd w:val="clear" w:color="auto" w:fill="D2D2D2"/>
          </w:tcPr>
          <w:p>
            <w:pPr/>
          </w:p>
        </w:tc>
      </w:tr>
      <w:tr>
        <w:trPr>
          <w:trHeight w:val="463" w:hRule="exact"/>
        </w:trPr>
        <w:tc>
          <w:tcPr>
            <w:tcW w:w="34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6,403,363,384.41</w:t>
            </w:r>
          </w:p>
        </w:tc>
        <w:tc>
          <w:tcPr>
            <w:tcW w:w="1759"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1"/>
              <w:ind w:right="22"/>
              <w:jc w:val="right"/>
              <w:rPr>
                <w:rFonts w:ascii="Times New Roman" w:hAnsi="Times New Roman" w:cs="Times New Roman" w:eastAsia="Times New Roman" w:hint="default"/>
                <w:sz w:val="18"/>
                <w:szCs w:val="18"/>
              </w:rPr>
            </w:pPr>
            <w:r>
              <w:rPr>
                <w:rFonts w:ascii="Times New Roman"/>
                <w:spacing w:val="-1"/>
                <w:sz w:val="18"/>
              </w:rPr>
              <w:t>6,032,824,327.11</w:t>
            </w:r>
          </w:p>
        </w:tc>
        <w:tc>
          <w:tcPr>
            <w:tcW w:w="176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1"/>
              <w:ind w:right="22"/>
              <w:jc w:val="right"/>
              <w:rPr>
                <w:rFonts w:ascii="Times New Roman" w:hAnsi="Times New Roman" w:cs="Times New Roman" w:eastAsia="Times New Roman" w:hint="default"/>
                <w:sz w:val="18"/>
                <w:szCs w:val="18"/>
              </w:rPr>
            </w:pPr>
            <w:r>
              <w:rPr>
                <w:rFonts w:ascii="Times New Roman"/>
                <w:spacing w:val="-1"/>
                <w:sz w:val="18"/>
              </w:rPr>
              <w:t>6,032,824,327.11</w:t>
            </w:r>
          </w:p>
        </w:tc>
        <w:tc>
          <w:tcPr>
            <w:tcW w:w="1759"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6.14%</w:t>
            </w:r>
          </w:p>
        </w:tc>
        <w:tc>
          <w:tcPr>
            <w:tcW w:w="176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1"/>
              <w:ind w:right="22"/>
              <w:jc w:val="right"/>
              <w:rPr>
                <w:rFonts w:ascii="Times New Roman" w:hAnsi="Times New Roman" w:cs="Times New Roman" w:eastAsia="Times New Roman" w:hint="default"/>
                <w:sz w:val="18"/>
                <w:szCs w:val="18"/>
              </w:rPr>
            </w:pPr>
            <w:r>
              <w:rPr>
                <w:rFonts w:ascii="Times New Roman"/>
                <w:spacing w:val="-1"/>
                <w:sz w:val="18"/>
              </w:rPr>
              <w:t>5,660,345,172.35</w:t>
            </w:r>
          </w:p>
        </w:tc>
        <w:tc>
          <w:tcPr>
            <w:tcW w:w="1762" w:type="dxa"/>
            <w:tcBorders>
              <w:top w:val="single" w:sz="12" w:space="0" w:color="D2D2D2"/>
              <w:left w:val="single" w:sz="4" w:space="0" w:color="000000"/>
              <w:bottom w:val="single" w:sz="4" w:space="0" w:color="000000"/>
              <w:right w:val="single" w:sz="12" w:space="0" w:color="000000"/>
            </w:tcBorders>
          </w:tcPr>
          <w:p>
            <w:pPr>
              <w:pStyle w:val="TableParagraph"/>
              <w:spacing w:line="240" w:lineRule="auto" w:before="111"/>
              <w:ind w:right="12"/>
              <w:jc w:val="right"/>
              <w:rPr>
                <w:rFonts w:ascii="Times New Roman" w:hAnsi="Times New Roman" w:cs="Times New Roman" w:eastAsia="Times New Roman" w:hint="default"/>
                <w:sz w:val="18"/>
                <w:szCs w:val="18"/>
              </w:rPr>
            </w:pPr>
            <w:r>
              <w:rPr>
                <w:rFonts w:ascii="Times New Roman"/>
                <w:spacing w:val="-1"/>
                <w:sz w:val="18"/>
              </w:rPr>
              <w:t>5,660,345,172.35</w:t>
            </w:r>
          </w:p>
        </w:tc>
      </w:tr>
      <w:tr>
        <w:trPr>
          <w:trHeight w:val="473" w:hRule="exact"/>
        </w:trPr>
        <w:tc>
          <w:tcPr>
            <w:tcW w:w="345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7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2,929,881,997.26</w:t>
            </w:r>
          </w:p>
        </w:tc>
        <w:tc>
          <w:tcPr>
            <w:tcW w:w="17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1,901,763,457.00</w:t>
            </w:r>
          </w:p>
        </w:tc>
        <w:tc>
          <w:tcPr>
            <w:tcW w:w="17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1,901,763,457.00</w:t>
            </w:r>
          </w:p>
        </w:tc>
        <w:tc>
          <w:tcPr>
            <w:tcW w:w="17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18"/>
              <w:jc w:val="right"/>
              <w:rPr>
                <w:rFonts w:ascii="Times New Roman" w:hAnsi="Times New Roman" w:cs="Times New Roman" w:eastAsia="Times New Roman" w:hint="default"/>
                <w:sz w:val="18"/>
                <w:szCs w:val="18"/>
              </w:rPr>
            </w:pPr>
            <w:r>
              <w:rPr>
                <w:rFonts w:ascii="Times New Roman"/>
                <w:sz w:val="18"/>
              </w:rPr>
              <w:t>54.06%</w:t>
            </w:r>
          </w:p>
        </w:tc>
        <w:tc>
          <w:tcPr>
            <w:tcW w:w="17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1,663,209,271.00</w:t>
            </w:r>
          </w:p>
        </w:tc>
        <w:tc>
          <w:tcPr>
            <w:tcW w:w="176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3"/>
              <w:ind w:right="12"/>
              <w:jc w:val="right"/>
              <w:rPr>
                <w:rFonts w:ascii="Times New Roman" w:hAnsi="Times New Roman" w:cs="Times New Roman" w:eastAsia="Times New Roman" w:hint="default"/>
                <w:sz w:val="18"/>
                <w:szCs w:val="18"/>
              </w:rPr>
            </w:pPr>
            <w:r>
              <w:rPr>
                <w:rFonts w:ascii="Times New Roman"/>
                <w:spacing w:val="-1"/>
                <w:sz w:val="18"/>
              </w:rPr>
              <w:t>1,663,209,271.00</w:t>
            </w:r>
          </w:p>
        </w:tc>
      </w:tr>
    </w:tbl>
    <w:p>
      <w:pPr>
        <w:spacing w:before="60"/>
        <w:ind w:left="4821" w:right="4821" w:firstLine="0"/>
        <w:jc w:val="center"/>
        <w:rPr>
          <w:rFonts w:ascii="Times New Roman" w:hAnsi="Times New Roman" w:cs="Times New Roman" w:eastAsia="Times New Roman" w:hint="default"/>
          <w:sz w:val="18"/>
          <w:szCs w:val="18"/>
        </w:rPr>
      </w:pPr>
      <w:r>
        <w:rPr>
          <w:rFonts w:ascii="Times New Roman"/>
          <w:sz w:val="18"/>
        </w:rPr>
        <w:t>9</w:t>
      </w:r>
    </w:p>
    <w:p>
      <w:pPr>
        <w:spacing w:after="0"/>
        <w:jc w:val="center"/>
        <w:rPr>
          <w:rFonts w:ascii="Times New Roman" w:hAnsi="Times New Roman" w:cs="Times New Roman" w:eastAsia="Times New Roman" w:hint="default"/>
          <w:sz w:val="18"/>
          <w:szCs w:val="18"/>
        </w:rPr>
        <w:sectPr>
          <w:headerReference w:type="default" r:id="rId11"/>
          <w:footerReference w:type="default" r:id="rId12"/>
          <w:pgSz w:w="16840" w:h="11910" w:orient="landscape"/>
          <w:pgMar w:header="0" w:footer="0" w:top="800" w:bottom="280" w:left="1280" w:right="128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ind w:right="140"/>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公司报告期不存在按照国际会计准则与按照中国会计准则披露的财务报告中净利润和净资产差异情况。</w:t>
      </w:r>
    </w:p>
    <w:p>
      <w:pPr>
        <w:spacing w:line="240" w:lineRule="auto" w:before="0"/>
        <w:rPr>
          <w:rFonts w:ascii="宋体" w:hAnsi="宋体" w:cs="宋体" w:eastAsia="宋体" w:hint="default"/>
          <w:sz w:val="22"/>
          <w:szCs w:val="22"/>
        </w:rPr>
      </w:pPr>
    </w:p>
    <w:p>
      <w:pPr>
        <w:pStyle w:val="Heading4"/>
        <w:spacing w:line="240" w:lineRule="auto"/>
        <w:ind w:right="14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公司报告期不存在按照境外会计准则与按照中国会计准则披露的财务报告中净利润和净资产差异情况。</w:t>
      </w:r>
    </w:p>
    <w:p>
      <w:pPr>
        <w:spacing w:line="240" w:lineRule="auto" w:before="1"/>
        <w:rPr>
          <w:rFonts w:ascii="宋体" w:hAnsi="宋体" w:cs="宋体" w:eastAsia="宋体" w:hint="default"/>
          <w:sz w:val="20"/>
          <w:szCs w:val="20"/>
        </w:rPr>
      </w:pPr>
    </w:p>
    <w:p>
      <w:pPr>
        <w:pStyle w:val="Heading2"/>
        <w:spacing w:line="240" w:lineRule="auto" w:before="0"/>
        <w:ind w:right="140"/>
        <w:jc w:val="left"/>
        <w:rPr>
          <w:b w:val="0"/>
          <w:bCs w:val="0"/>
        </w:rPr>
      </w:pPr>
      <w:r>
        <w:rPr/>
        <w:t>三、非经常性损益项目及金额</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before="16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4130"/>
        <w:gridCol w:w="1559"/>
        <w:gridCol w:w="1551"/>
        <w:gridCol w:w="1551"/>
        <w:gridCol w:w="780"/>
      </w:tblGrid>
      <w:tr>
        <w:trPr>
          <w:trHeight w:val="443" w:hRule="exact"/>
        </w:trPr>
        <w:tc>
          <w:tcPr>
            <w:tcW w:w="413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5"/>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3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5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3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5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78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5"/>
              <w:ind w:left="7"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31" w:hRule="exact"/>
        </w:trPr>
        <w:tc>
          <w:tcPr>
            <w:tcW w:w="41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64"/>
              <w:ind w:left="14" w:right="9"/>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非流动资产处置损益（包括已计提资产减值准备的冲</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销部分）</w:t>
            </w:r>
          </w:p>
        </w:tc>
        <w:tc>
          <w:tcPr>
            <w:tcW w:w="1559" w:type="dxa"/>
            <w:tcBorders>
              <w:top w:val="single" w:sz="12" w:space="0" w:color="D2D2D2"/>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-456,221.41</w:t>
            </w:r>
          </w:p>
        </w:tc>
        <w:tc>
          <w:tcPr>
            <w:tcW w:w="155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-943,872.49</w:t>
            </w:r>
          </w:p>
        </w:tc>
        <w:tc>
          <w:tcPr>
            <w:tcW w:w="155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-945,774.22</w:t>
            </w:r>
          </w:p>
        </w:tc>
        <w:tc>
          <w:tcPr>
            <w:tcW w:w="780" w:type="dxa"/>
            <w:tcBorders>
              <w:top w:val="single" w:sz="12" w:space="0" w:color="D2D2D2"/>
              <w:left w:val="single" w:sz="4" w:space="0" w:color="000000"/>
              <w:bottom w:val="single" w:sz="4" w:space="0" w:color="000000"/>
              <w:right w:val="single" w:sz="12" w:space="0" w:color="000000"/>
            </w:tcBorders>
          </w:tcPr>
          <w:p>
            <w:pPr/>
          </w:p>
        </w:tc>
      </w:tr>
      <w:tr>
        <w:trPr>
          <w:trHeight w:val="713" w:hRule="exact"/>
        </w:trPr>
        <w:tc>
          <w:tcPr>
            <w:tcW w:w="41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4" w:right="11"/>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照国家统一标准定额或定量享受的政府补助除外）</w:t>
            </w:r>
          </w:p>
        </w:tc>
        <w:tc>
          <w:tcPr>
            <w:tcW w:w="15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19,255,629.29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42,447,258.62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26,802,488.77</w:t>
            </w:r>
          </w:p>
        </w:tc>
        <w:tc>
          <w:tcPr>
            <w:tcW w:w="780" w:type="dxa"/>
            <w:tcBorders>
              <w:top w:val="single" w:sz="4" w:space="0" w:color="000000"/>
              <w:left w:val="single" w:sz="4" w:space="0" w:color="000000"/>
              <w:bottom w:val="single" w:sz="4" w:space="0" w:color="000000"/>
              <w:right w:val="single" w:sz="12" w:space="0" w:color="000000"/>
            </w:tcBorders>
          </w:tcPr>
          <w:p>
            <w:pPr/>
          </w:p>
        </w:tc>
      </w:tr>
      <w:tr>
        <w:trPr>
          <w:trHeight w:val="1043" w:hRule="exact"/>
        </w:trPr>
        <w:tc>
          <w:tcPr>
            <w:tcW w:w="41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4" w:right="9"/>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企业取得子公司、联营企业及合营企业的投资成本小</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于取得投资时应享有被投资单位可辨认净资产公允 价值产生的收益</w:t>
            </w:r>
          </w:p>
        </w:tc>
        <w:tc>
          <w:tcPr>
            <w:tcW w:w="1559" w:type="dxa"/>
            <w:tcBorders>
              <w:top w:val="single" w:sz="4" w:space="0" w:color="000000"/>
              <w:left w:val="single" w:sz="12" w:space="0" w:color="D2D2D2"/>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1,504,975.64</w:t>
            </w:r>
          </w:p>
        </w:tc>
        <w:tc>
          <w:tcPr>
            <w:tcW w:w="780" w:type="dxa"/>
            <w:tcBorders>
              <w:top w:val="single" w:sz="4" w:space="0" w:color="000000"/>
              <w:left w:val="single" w:sz="4" w:space="0" w:color="000000"/>
              <w:bottom w:val="single" w:sz="4" w:space="0" w:color="000000"/>
              <w:right w:val="single" w:sz="12" w:space="0" w:color="000000"/>
            </w:tcBorders>
          </w:tcPr>
          <w:p>
            <w:pPr/>
          </w:p>
        </w:tc>
      </w:tr>
      <w:tr>
        <w:trPr>
          <w:trHeight w:val="432" w:hRule="exact"/>
        </w:trPr>
        <w:tc>
          <w:tcPr>
            <w:tcW w:w="41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5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-2,207,547.16</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12" w:space="0" w:color="000000"/>
            </w:tcBorders>
          </w:tcPr>
          <w:p>
            <w:pPr/>
          </w:p>
        </w:tc>
      </w:tr>
      <w:tr>
        <w:trPr>
          <w:trHeight w:val="1369" w:hRule="exact"/>
        </w:trPr>
        <w:tc>
          <w:tcPr>
            <w:tcW w:w="41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64"/>
              <w:ind w:left="14" w:right="-44"/>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 </w:t>
            </w:r>
            <w:r>
              <w:rPr>
                <w:rFonts w:ascii="宋体" w:hAnsi="宋体" w:cs="宋体" w:eastAsia="宋体" w:hint="default"/>
                <w:spacing w:val="-3"/>
                <w:sz w:val="18"/>
                <w:szCs w:val="18"/>
              </w:rPr>
              <w:t>持有交易性金融资产、交易性金融负债产生的公允价</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值变动损益，以及处置交易性金融资产、交易性金融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负债和可供出售金融资产取得的投资收益</w:t>
            </w:r>
          </w:p>
        </w:tc>
        <w:tc>
          <w:tcPr>
            <w:tcW w:w="15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-10,424,057.88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-860,252.99</w:t>
            </w:r>
          </w:p>
        </w:tc>
        <w:tc>
          <w:tcPr>
            <w:tcW w:w="15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12" w:space="0" w:color="000000"/>
            </w:tcBorders>
          </w:tcPr>
          <w:p>
            <w:pPr/>
          </w:p>
        </w:tc>
      </w:tr>
      <w:tr>
        <w:trPr>
          <w:trHeight w:val="449" w:hRule="exact"/>
        </w:trPr>
        <w:tc>
          <w:tcPr>
            <w:tcW w:w="41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8"/>
                <w:szCs w:val="18"/>
              </w:rPr>
            </w:pPr>
            <w:r>
              <w:rPr>
                <w:rFonts w:ascii="Times New Roman"/>
                <w:spacing w:val="-1"/>
                <w:sz w:val="18"/>
              </w:rPr>
              <w:t>746,039.68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8"/>
                <w:szCs w:val="18"/>
              </w:rPr>
            </w:pPr>
            <w:r>
              <w:rPr>
                <w:rFonts w:ascii="Times New Roman"/>
                <w:spacing w:val="-1"/>
                <w:sz w:val="18"/>
              </w:rPr>
              <w:t>1,066,112.53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pacing w:val="-1"/>
                <w:sz w:val="18"/>
              </w:rPr>
              <w:t>2,154,234.90</w:t>
            </w:r>
          </w:p>
        </w:tc>
        <w:tc>
          <w:tcPr>
            <w:tcW w:w="780"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13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捐赠性收支净额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-545,150.00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-281,940.00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780"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13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处置长期股权投资收益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17,276,443.95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-1,332,948.27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200,872,379.81</w:t>
            </w:r>
          </w:p>
        </w:tc>
        <w:tc>
          <w:tcPr>
            <w:tcW w:w="780"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1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4,040,651.53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268,013.58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20,978,795.02</w:t>
            </w:r>
          </w:p>
        </w:tc>
        <w:tc>
          <w:tcPr>
            <w:tcW w:w="780" w:type="dxa"/>
            <w:tcBorders>
              <w:top w:val="single" w:sz="4" w:space="0" w:color="000000"/>
              <w:left w:val="single" w:sz="4" w:space="0" w:color="000000"/>
              <w:bottom w:val="single" w:sz="4" w:space="0" w:color="000000"/>
              <w:right w:val="single" w:sz="12" w:space="0" w:color="000000"/>
            </w:tcBorders>
          </w:tcPr>
          <w:p>
            <w:pPr/>
          </w:p>
        </w:tc>
      </w:tr>
      <w:tr>
        <w:trPr>
          <w:trHeight w:val="479" w:hRule="exact"/>
        </w:trPr>
        <w:tc>
          <w:tcPr>
            <w:tcW w:w="41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4,956,087.06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16,552,201.73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10,122,982.47</w:t>
            </w:r>
          </w:p>
        </w:tc>
        <w:tc>
          <w:tcPr>
            <w:tcW w:w="780" w:type="dxa"/>
            <w:tcBorders>
              <w:top w:val="single" w:sz="4" w:space="0" w:color="000000"/>
              <w:left w:val="single" w:sz="4" w:space="0" w:color="000000"/>
              <w:bottom w:val="single" w:sz="4" w:space="0" w:color="000000"/>
              <w:right w:val="single" w:sz="12" w:space="0" w:color="000000"/>
            </w:tcBorders>
          </w:tcPr>
          <w:p>
            <w:pPr/>
          </w:p>
        </w:tc>
      </w:tr>
      <w:tr>
        <w:trPr>
          <w:trHeight w:val="457" w:hRule="exact"/>
        </w:trPr>
        <w:tc>
          <w:tcPr>
            <w:tcW w:w="413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14,648,397.88</w:t>
            </w:r>
          </w:p>
        </w:tc>
        <w:tc>
          <w:tcPr>
            <w:tcW w:w="15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pacing w:val="-1"/>
                <w:sz w:val="18"/>
              </w:rPr>
              <w:t>23,274,142.09</w:t>
            </w:r>
          </w:p>
        </w:tc>
        <w:tc>
          <w:tcPr>
            <w:tcW w:w="15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pacing w:val="-1"/>
                <w:sz w:val="18"/>
              </w:rPr>
              <w:t>199,285,527.41</w:t>
            </w:r>
          </w:p>
        </w:tc>
        <w:tc>
          <w:tcPr>
            <w:tcW w:w="7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6"/>
              <w:ind w:left="7"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13"/>
          <w:pgSz w:w="11910" w:h="16840"/>
          <w:pgMar w:footer="1227" w:header="0" w:top="1060" w:bottom="1420" w:left="980" w:right="980"/>
          <w:pgNumType w:start="1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spacing w:val="-2"/>
        </w:rPr>
        <w:t>对公司根据《公开发行证券的公司信息披露解释性公告第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2"/>
        </w:rPr>
        <w:t>号</w:t>
      </w:r>
      <w:r>
        <w:rPr>
          <w:rFonts w:ascii="Times New Roman" w:hAnsi="Times New Roman" w:cs="Times New Roman" w:eastAsia="Times New Roman" w:hint="default"/>
          <w:spacing w:val="-2"/>
        </w:rPr>
        <w:t>——</w:t>
      </w:r>
      <w:r>
        <w:rPr>
          <w:spacing w:val="-2"/>
        </w:rPr>
        <w:t>非经常性损益》定义界定的非经常性损</w:t>
      </w:r>
    </w:p>
    <w:p>
      <w:pPr>
        <w:pStyle w:val="BodyText"/>
        <w:spacing w:line="386" w:lineRule="auto" w:before="177"/>
        <w:ind w:right="140"/>
        <w:jc w:val="left"/>
      </w:pPr>
      <w:r>
        <w:rPr>
          <w:spacing w:val="-2"/>
        </w:rPr>
        <w:t>益项目，以及把《公开发行证券的公司信息披露解释性公告第</w:t>
      </w:r>
      <w:r>
        <w:rPr/>
        <w:t> </w:t>
      </w:r>
      <w:r>
        <w:rPr>
          <w:rFonts w:ascii="Times New Roman" w:hAnsi="Times New Roman" w:cs="Times New Roman" w:eastAsia="Times New Roman" w:hint="default"/>
        </w:rPr>
        <w:t>1 </w:t>
      </w:r>
      <w:r>
        <w:rPr>
          <w:spacing w:val="-2"/>
        </w:rPr>
        <w:t>号</w:t>
      </w:r>
      <w:r>
        <w:rPr>
          <w:rFonts w:ascii="Times New Roman" w:hAnsi="Times New Roman" w:cs="Times New Roman" w:eastAsia="Times New Roman" w:hint="default"/>
          <w:spacing w:val="-2"/>
        </w:rPr>
        <w:t>——</w:t>
      </w:r>
      <w:r>
        <w:rPr>
          <w:spacing w:val="-2"/>
        </w:rPr>
        <w:t>非经常性损益》中列举的非经常性</w:t>
      </w:r>
      <w:r>
        <w:rPr>
          <w:spacing w:val="-100"/>
        </w:rPr>
        <w:t> </w:t>
      </w:r>
      <w:r>
        <w:rPr>
          <w:spacing w:val="-100"/>
        </w:rPr>
      </w:r>
      <w:r>
        <w:rPr/>
        <w:t>损益项目界定为经常性损益的项目，应说明原因</w:t>
      </w:r>
    </w:p>
    <w:p>
      <w:pPr>
        <w:pStyle w:val="BodyText"/>
        <w:spacing w:line="240" w:lineRule="auto" w:before="65"/>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86" w:lineRule="auto" w:before="177"/>
        <w:ind w:right="140"/>
        <w:jc w:val="left"/>
      </w:pPr>
      <w:r>
        <w:rPr/>
        <w:t>公司报告期不存在将根据《公开发行证券的公司信息披露解释性公告第</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3"/>
        </w:rPr>
        <w:t>号</w:t>
      </w:r>
      <w:r>
        <w:rPr>
          <w:rFonts w:ascii="Times New Roman" w:hAnsi="Times New Roman" w:cs="Times New Roman" w:eastAsia="Times New Roman" w:hint="default"/>
          <w:spacing w:val="-3"/>
        </w:rPr>
        <w:t>——</w:t>
      </w:r>
      <w:r>
        <w:rPr>
          <w:spacing w:val="-3"/>
        </w:rPr>
        <w:t>非经常性损益》定义、列</w:t>
      </w:r>
      <w:r>
        <w:rPr>
          <w:spacing w:val="-103"/>
        </w:rPr>
        <w:t> </w:t>
      </w:r>
      <w:r>
        <w:rPr>
          <w:spacing w:val="-103"/>
        </w:rPr>
      </w:r>
      <w:r>
        <w:rPr/>
        <w:t>举的非经常性损益项目界定为经常性损益的项目的情形。</w:t>
      </w:r>
    </w:p>
    <w:p>
      <w:pPr>
        <w:spacing w:after="0" w:line="386" w:lineRule="auto"/>
        <w:jc w:val="left"/>
        <w:sectPr>
          <w:pgSz w:w="11910" w:h="16840"/>
          <w:pgMar w:header="0" w:footer="1227" w:top="1060" w:bottom="14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66" w:right="3730"/>
        <w:jc w:val="center"/>
        <w:rPr>
          <w:b w:val="0"/>
          <w:bCs w:val="0"/>
        </w:rPr>
      </w:pPr>
      <w:bookmarkStart w:name="_TOC_250008" w:id="4"/>
      <w:r>
        <w:rPr/>
        <w:t>第四节董事会报告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98"/>
        <w:jc w:val="left"/>
        <w:rPr>
          <w:b w:val="0"/>
          <w:bCs w:val="0"/>
        </w:rPr>
      </w:pP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393" w:lineRule="auto"/>
        <w:ind w:right="206" w:firstLine="420"/>
        <w:jc w:val="both"/>
      </w:pPr>
      <w:r>
        <w:rPr>
          <w:rFonts w:ascii="Times New Roman" w:hAnsi="Times New Roman" w:cs="Times New Roman" w:eastAsia="Times New Roman" w:hint="default"/>
        </w:rPr>
        <w:t>2014 </w:t>
      </w:r>
      <w:r>
        <w:rPr>
          <w:spacing w:val="-5"/>
        </w:rPr>
        <w:t>年，是本公司完成重大资产重组、成功回归 </w:t>
      </w:r>
      <w:r>
        <w:rPr>
          <w:rFonts w:ascii="Times New Roman" w:hAnsi="Times New Roman" w:cs="Times New Roman" w:eastAsia="Times New Roman" w:hint="default"/>
        </w:rPr>
        <w:t>A</w:t>
      </w:r>
      <w:r>
        <w:rPr>
          <w:rFonts w:ascii="Times New Roman" w:hAnsi="Times New Roman" w:cs="Times New Roman" w:eastAsia="Times New Roman" w:hint="default"/>
          <w:spacing w:val="14"/>
        </w:rPr>
        <w:t> </w:t>
      </w:r>
      <w:r>
        <w:rPr>
          <w:spacing w:val="-5"/>
        </w:rPr>
        <w:t>股的第一年。这一年，国家进一步推动深化改革，</w:t>
      </w:r>
      <w:r>
        <w:rPr>
          <w:w w:val="100"/>
        </w:rPr>
        <w:t> </w:t>
      </w:r>
      <w:r>
        <w:rPr>
          <w:spacing w:val="-2"/>
        </w:rPr>
        <w:t>促进经济社会发展的转型升级，信息技术产业作为网络互联时代先进生产力的代表，也迎来了全新的发展</w:t>
      </w:r>
      <w:r>
        <w:rPr>
          <w:spacing w:val="-43"/>
        </w:rPr>
        <w:t> </w:t>
      </w:r>
      <w:r>
        <w:rPr>
          <w:spacing w:val="-43"/>
        </w:rPr>
      </w:r>
      <w:r>
        <w:rPr>
          <w:spacing w:val="-3"/>
        </w:rPr>
        <w:t>环境和市场机遇。公司作为我国信息技术产业最主要的 </w:t>
      </w:r>
      <w:r>
        <w:rPr>
          <w:rFonts w:ascii="Times New Roman" w:hAnsi="Times New Roman" w:cs="Times New Roman" w:eastAsia="Times New Roman" w:hint="default"/>
        </w:rPr>
        <w:t>IT </w:t>
      </w:r>
      <w:r>
        <w:rPr>
          <w:spacing w:val="-6"/>
        </w:rPr>
        <w:t>服务商，把握市场机遇，进一步完善战略布局，</w:t>
      </w:r>
      <w:r>
        <w:rPr>
          <w:spacing w:val="-81"/>
        </w:rPr>
        <w:t> </w:t>
      </w:r>
      <w:r>
        <w:rPr>
          <w:spacing w:val="-81"/>
        </w:rPr>
      </w:r>
      <w:r>
        <w:rPr/>
        <w:t>发布了智慧城市与智慧农村相融合的发展战略，开启了新的战略发展阶段。</w:t>
      </w:r>
    </w:p>
    <w:p>
      <w:pPr>
        <w:pStyle w:val="BodyText"/>
        <w:spacing w:line="403" w:lineRule="auto" w:before="59"/>
        <w:ind w:right="98" w:firstLine="42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3"/>
        </w:rPr>
        <w:t> </w:t>
      </w:r>
      <w:r>
        <w:rPr>
          <w:spacing w:val="-4"/>
        </w:rPr>
        <w:t>年，国家大力推动城乡一体化改革，以期全面推进国家的现代化。在城镇化建设方面，国家组织</w:t>
      </w:r>
      <w:r>
        <w:rPr>
          <w:w w:val="100"/>
        </w:rPr>
        <w:t> </w:t>
      </w:r>
      <w:r>
        <w:rPr>
          <w:spacing w:val="-2"/>
        </w:rPr>
        <w:t>了新型城镇化和信息惠民试点工作，以形成未来我国城市化和公共服务水平提升的经验方法。公司凭借在</w:t>
      </w:r>
      <w:r>
        <w:rPr>
          <w:spacing w:val="-43"/>
        </w:rPr>
        <w:t> </w:t>
      </w:r>
      <w:r>
        <w:rPr>
          <w:spacing w:val="-43"/>
        </w:rPr>
      </w:r>
      <w:r>
        <w:rPr>
          <w:spacing w:val="-2"/>
        </w:rPr>
        <w:t>智慧城市领域领先的理念、技术和实践经验，积极参与了相关试点工作；公司的智慧城市发展战略取得了</w:t>
      </w:r>
      <w:r>
        <w:rPr>
          <w:spacing w:val="-45"/>
        </w:rPr>
        <w:t> </w:t>
      </w:r>
      <w:r>
        <w:rPr>
          <w:spacing w:val="-45"/>
        </w:rPr>
      </w:r>
      <w:r>
        <w:rPr/>
        <w:t>良好进展，合作城市的数量及建设内容不断增加，公司以“融合服务”为特征的智慧城市建设先进理念，</w:t>
      </w:r>
      <w:r>
        <w:rPr>
          <w:spacing w:val="-29"/>
        </w:rPr>
        <w:t> </w:t>
      </w:r>
      <w:r>
        <w:rPr>
          <w:spacing w:val="-29"/>
        </w:rPr>
      </w:r>
      <w:r>
        <w:rPr/>
        <w:t>越来越多地得到了中央及地方政府与合作伙伴的认可。</w:t>
      </w:r>
    </w:p>
    <w:p>
      <w:pPr>
        <w:pStyle w:val="BodyText"/>
        <w:spacing w:line="403" w:lineRule="auto" w:before="50"/>
        <w:ind w:right="98" w:firstLine="42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spacing w:val="-4"/>
        </w:rPr>
        <w:t>年，我国农业现代化的重要性提升。农业，作为我国扩内需调结构的重要领域，作为保障国家粮</w:t>
      </w:r>
      <w:r>
        <w:rPr>
          <w:w w:val="100"/>
        </w:rPr>
        <w:t> </w:t>
      </w:r>
      <w:r>
        <w:rPr>
          <w:spacing w:val="-2"/>
        </w:rPr>
        <w:t>食及食品安全、提升百姓生活水平的核心，迫切需要改革基本经营体制，优化土地、资金、技术、人才等</w:t>
      </w:r>
      <w:r>
        <w:rPr>
          <w:spacing w:val="-45"/>
        </w:rPr>
        <w:t> </w:t>
      </w:r>
      <w:r>
        <w:rPr>
          <w:spacing w:val="-45"/>
        </w:rPr>
      </w:r>
      <w:r>
        <w:rPr>
          <w:spacing w:val="-2"/>
        </w:rPr>
        <w:t>关键资源配置，转变传统一家一户的散、小、弱的发展方式。为此，我国农村新一轮土地制度改革开始提</w:t>
      </w:r>
      <w:r>
        <w:rPr>
          <w:spacing w:val="-43"/>
        </w:rPr>
        <w:t> </w:t>
      </w:r>
      <w:r>
        <w:rPr>
          <w:spacing w:val="-43"/>
        </w:rPr>
      </w:r>
      <w:r>
        <w:rPr>
          <w:spacing w:val="-2"/>
        </w:rPr>
        <w:t>速，农村土地承包经营权的确权颁证工作快速推进，农村承包地经营权的有序流转成为可能，这将为我国</w:t>
      </w:r>
      <w:r>
        <w:rPr>
          <w:spacing w:val="-44"/>
        </w:rPr>
        <w:t> </w:t>
      </w:r>
      <w:r>
        <w:rPr>
          <w:spacing w:val="-44"/>
        </w:rPr>
      </w:r>
      <w:r>
        <w:rPr>
          <w:spacing w:val="-2"/>
        </w:rPr>
        <w:t>农业的机械化、规模化和集约化经营发展创造条件。为推动信息技术在我国农村的应用推广，把握农业现</w:t>
      </w:r>
      <w:r>
        <w:rPr>
          <w:spacing w:val="-45"/>
        </w:rPr>
        <w:t> </w:t>
      </w:r>
      <w:r>
        <w:rPr>
          <w:spacing w:val="-45"/>
        </w:rPr>
      </w:r>
      <w:r>
        <w:rPr/>
        <w:t>代化的发展机遇，公司在</w:t>
      </w:r>
      <w:r>
        <w:rPr>
          <w:spacing w:val="-5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年进行了首例投资并购，成功并购了我国三农信息化领域的领先企业</w:t>
      </w:r>
      <w:r>
        <w:rPr>
          <w:rFonts w:ascii="Times New Roman" w:hAnsi="Times New Roman" w:cs="Times New Roman" w:eastAsia="Times New Roman" w:hint="default"/>
        </w:rPr>
        <w:t>——</w:t>
      </w:r>
      <w:r>
        <w:rPr>
          <w:rFonts w:ascii="Times New Roman" w:hAnsi="Times New Roman" w:cs="Times New Roman" w:eastAsia="Times New Roman" w:hint="default"/>
          <w:spacing w:val="-3"/>
          <w:w w:val="100"/>
        </w:rPr>
        <w:t> </w:t>
      </w:r>
      <w:r>
        <w:rPr>
          <w:spacing w:val="-2"/>
        </w:rPr>
        <w:t>北京中农信达信息技术有限公司，发布了“智慧农村”发展战略，全面进入三农信息化这一蓝海市场，公</w:t>
      </w:r>
      <w:r>
        <w:rPr>
          <w:spacing w:val="-43"/>
        </w:rPr>
        <w:t> </w:t>
      </w:r>
      <w:r>
        <w:rPr>
          <w:spacing w:val="-43"/>
        </w:rPr>
      </w:r>
      <w:r>
        <w:rPr>
          <w:spacing w:val="-2"/>
        </w:rPr>
        <w:t>司的战略版图得到了进一步扩展和完善。此后，经过半年时间，公司与中农信达的协同效应已经初显，公</w:t>
      </w:r>
      <w:r>
        <w:rPr>
          <w:spacing w:val="-44"/>
        </w:rPr>
        <w:t> </w:t>
      </w:r>
      <w:r>
        <w:rPr>
          <w:spacing w:val="-44"/>
        </w:rPr>
      </w:r>
      <w:r>
        <w:rPr/>
        <w:t>司在政府合作、市场营销、技术应用、经营管理等方面有力地支持了中农信达的业务发展。</w:t>
      </w:r>
    </w:p>
    <w:p>
      <w:pPr>
        <w:pStyle w:val="BodyText"/>
        <w:spacing w:line="393" w:lineRule="auto" w:before="50"/>
        <w:ind w:right="98" w:firstLine="42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1"/>
        </w:rPr>
        <w:t> </w:t>
      </w:r>
      <w:r>
        <w:rPr>
          <w:spacing w:val="-4"/>
        </w:rPr>
        <w:t>年，我国信息安全可靠工作得到进一步推进。公司顺应国家信息安全和产业自主发展的需要，积</w:t>
      </w:r>
      <w:r>
        <w:rPr>
          <w:w w:val="100"/>
        </w:rPr>
        <w:t> 极推进安全可靠的相关工作，联合另外四家国内知名</w:t>
      </w:r>
      <w:r>
        <w:rPr>
          <w:spacing w:val="-44"/>
          <w:w w:val="100"/>
        </w:rPr>
        <w:t> </w:t>
      </w:r>
      <w:r>
        <w:rPr>
          <w:rFonts w:ascii="Times New Roman" w:hAnsi="Times New Roman" w:cs="Times New Roman" w:eastAsia="Times New Roman" w:hint="default"/>
          <w:spacing w:val="-1"/>
          <w:w w:val="100"/>
        </w:rPr>
        <w:t>IT</w:t>
      </w:r>
      <w:r>
        <w:rPr>
          <w:rFonts w:ascii="Times New Roman" w:hAnsi="Times New Roman" w:cs="Times New Roman" w:eastAsia="Times New Roman" w:hint="default"/>
          <w:spacing w:val="7"/>
          <w:w w:val="100"/>
        </w:rPr>
        <w:t> </w:t>
      </w:r>
      <w:r>
        <w:rPr>
          <w:spacing w:val="-4"/>
          <w:w w:val="100"/>
        </w:rPr>
        <w:t>企业成立了“安全可靠信息系统应用推广联盟”，</w:t>
      </w:r>
      <w:r>
        <w:rPr>
          <w:w w:val="100"/>
        </w:rPr>
        <w:t> </w:t>
      </w:r>
      <w:r>
        <w:rPr>
          <w:spacing w:val="-4"/>
          <w:w w:val="100"/>
        </w:rPr>
        <w:t>组建了“安全可靠解决方案联合实验室”，加强安全可靠解决方案的联合研发和生态链整合，有效推进安</w:t>
      </w:r>
      <w:r>
        <w:rPr>
          <w:spacing w:val="-90"/>
          <w:w w:val="100"/>
        </w:rPr>
        <w:t> </w:t>
      </w:r>
      <w:r>
        <w:rPr>
          <w:spacing w:val="-90"/>
          <w:w w:val="100"/>
        </w:rPr>
      </w:r>
      <w:r>
        <w:rPr>
          <w:spacing w:val="-2"/>
        </w:rPr>
        <w:t>全可靠的技术可行、客户可用、市场可推广。此外，公司也成为“国家安全可靠计算机信息系统集成重点</w:t>
      </w:r>
      <w:r>
        <w:rPr>
          <w:spacing w:val="-43"/>
        </w:rPr>
        <w:t> </w:t>
      </w:r>
      <w:r>
        <w:rPr>
          <w:spacing w:val="-43"/>
        </w:rPr>
      </w:r>
      <w:r>
        <w:rPr>
          <w:spacing w:val="-5"/>
          <w:w w:val="100"/>
        </w:rPr>
        <w:t>企业”，未来将在我国各行各业安全可靠信息系统的建设和推广中拥有服务优势。公司在</w:t>
      </w:r>
      <w:r>
        <w:rPr>
          <w:spacing w:val="-49"/>
          <w:w w:val="100"/>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w w:val="100"/>
        </w:rPr>
        <w:t> </w:t>
      </w:r>
      <w:r>
        <w:rPr>
          <w:spacing w:val="-2"/>
          <w:w w:val="100"/>
        </w:rPr>
        <w:t>年还参与了</w:t>
      </w:r>
      <w:r>
        <w:rPr>
          <w:spacing w:val="-96"/>
          <w:w w:val="100"/>
        </w:rPr>
        <w:t> </w:t>
      </w:r>
      <w:r>
        <w:rPr>
          <w:spacing w:val="-96"/>
          <w:w w:val="100"/>
        </w:rPr>
      </w:r>
      <w:r>
        <w:rPr>
          <w:spacing w:val="-2"/>
        </w:rPr>
        <w:t>国家安全可靠相关应用项目的试点，并赢得了迄今为止国内外最大规模的量子通信项目</w:t>
      </w:r>
      <w:r>
        <w:rPr>
          <w:rFonts w:ascii="Times New Roman" w:hAnsi="Times New Roman" w:cs="Times New Roman" w:eastAsia="Times New Roman" w:hint="default"/>
          <w:spacing w:val="-2"/>
        </w:rPr>
        <w:t>——</w:t>
      </w:r>
      <w:r>
        <w:rPr>
          <w:spacing w:val="-2"/>
        </w:rPr>
        <w:t>量子保密通信</w:t>
      </w:r>
      <w:r>
        <w:rPr>
          <w:spacing w:val="-43"/>
        </w:rPr>
        <w:t> </w:t>
      </w:r>
      <w:r>
        <w:rPr>
          <w:spacing w:val="-43"/>
        </w:rPr>
      </w:r>
      <w:r>
        <w:rPr/>
        <w:t>“京沪干线”技术验证及应用示范项目室内联调系统，成为推动国家信息技术安全可靠的重要支撑力量。</w:t>
      </w:r>
    </w:p>
    <w:p>
      <w:pPr>
        <w:spacing w:after="0" w:line="393" w:lineRule="auto"/>
        <w:jc w:val="left"/>
        <w:sectPr>
          <w:pgSz w:w="11910" w:h="16840"/>
          <w:pgMar w:header="0" w:footer="1227" w:top="1060" w:bottom="1420" w:left="980" w:right="920"/>
        </w:sectPr>
      </w:pPr>
    </w:p>
    <w:p>
      <w:pPr>
        <w:spacing w:line="240" w:lineRule="auto" w:before="0"/>
        <w:rPr>
          <w:rFonts w:ascii="宋体" w:hAnsi="宋体" w:cs="宋体" w:eastAsia="宋体" w:hint="default"/>
          <w:sz w:val="20"/>
          <w:szCs w:val="20"/>
        </w:rPr>
      </w:pPr>
    </w:p>
    <w:p>
      <w:pPr>
        <w:pStyle w:val="BodyText"/>
        <w:spacing w:line="391" w:lineRule="auto" w:before="175"/>
        <w:ind w:right="98" w:firstLine="420"/>
        <w:jc w:val="left"/>
      </w:pPr>
      <w:r>
        <w:rPr>
          <w:spacing w:val="-5"/>
        </w:rPr>
        <w:t>国际电子计算在经历了点计算、线性计算之后正进入网络化计算时代，互联网对各个行业的渗透加强，</w:t>
      </w:r>
      <w:r>
        <w:rPr>
          <w:w w:val="100"/>
        </w:rPr>
        <w:t> </w:t>
      </w:r>
      <w:r>
        <w:rPr>
          <w:spacing w:val="-6"/>
        </w:rPr>
        <w:t>产业互联持续推进，传统的垂直 </w:t>
      </w:r>
      <w:r>
        <w:rPr>
          <w:rFonts w:ascii="Times New Roman" w:hAnsi="Times New Roman" w:cs="Times New Roman" w:eastAsia="Times New Roman" w:hint="default"/>
        </w:rPr>
        <w:t>IT </w:t>
      </w:r>
      <w:r>
        <w:rPr>
          <w:spacing w:val="-4"/>
        </w:rPr>
        <w:t>产业链将逐渐被纵横交错的云生态所取代。</w:t>
      </w:r>
      <w:r>
        <w:rPr>
          <w:rFonts w:ascii="Times New Roman" w:hAnsi="Times New Roman" w:cs="Times New Roman" w:eastAsia="Times New Roman" w:hint="default"/>
          <w:spacing w:val="-4"/>
        </w:rPr>
        <w:t>2014 </w:t>
      </w:r>
      <w:r>
        <w:rPr>
          <w:spacing w:val="-7"/>
        </w:rPr>
        <w:t>年，公司顺应云计算、</w:t>
      </w:r>
      <w:r>
        <w:rPr>
          <w:spacing w:val="-83"/>
        </w:rPr>
        <w:t> </w:t>
      </w:r>
      <w:r>
        <w:rPr>
          <w:spacing w:val="-83"/>
        </w:rPr>
      </w:r>
      <w:r>
        <w:rPr/>
        <w:t>大数据等</w:t>
      </w:r>
      <w:r>
        <w:rPr>
          <w:spacing w:val="-55"/>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新兴技术和模式的发好展，积极推进行业云平台等相关技术研发和业务推广，成功入选“中</w:t>
      </w:r>
      <w:r>
        <w:rPr>
          <w:w w:val="100"/>
        </w:rPr>
        <w:t> </w:t>
      </w:r>
      <w:r>
        <w:rPr>
          <w:spacing w:val="-2"/>
          <w:w w:val="100"/>
        </w:rPr>
        <w:t>国云计算方案商</w:t>
      </w:r>
      <w:r>
        <w:rPr>
          <w:spacing w:val="-53"/>
          <w:w w:val="100"/>
        </w:rPr>
        <w:t> </w:t>
      </w:r>
      <w:r>
        <w:rPr>
          <w:rFonts w:ascii="Times New Roman" w:hAnsi="Times New Roman" w:cs="Times New Roman" w:eastAsia="Times New Roman" w:hint="default"/>
          <w:w w:val="100"/>
        </w:rPr>
        <w:t>50</w:t>
      </w:r>
      <w:r>
        <w:rPr>
          <w:rFonts w:ascii="Times New Roman" w:hAnsi="Times New Roman" w:cs="Times New Roman" w:eastAsia="Times New Roman" w:hint="default"/>
          <w:spacing w:val="-2"/>
          <w:w w:val="100"/>
        </w:rPr>
        <w:t> </w:t>
      </w:r>
      <w:r>
        <w:rPr>
          <w:spacing w:val="-10"/>
          <w:w w:val="100"/>
        </w:rPr>
        <w:t>强”，公司的私有云服务、行业公共云服务及大数据模型化分析技术在我国金融、税务、</w:t>
      </w:r>
      <w:r>
        <w:rPr>
          <w:spacing w:val="-103"/>
          <w:w w:val="100"/>
        </w:rPr>
        <w:t> </w:t>
      </w:r>
      <w:r>
        <w:rPr>
          <w:spacing w:val="-103"/>
          <w:w w:val="100"/>
        </w:rPr>
      </w:r>
      <w:r>
        <w:rPr/>
        <w:t>医疗、农业、人口、教育、电力、城市等行业及地区市场得到应用，引领了我国</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产业发展模式的升级</w:t>
      </w:r>
      <w:r>
        <w:rPr>
          <w:w w:val="100"/>
        </w:rPr>
        <w:t> </w:t>
      </w:r>
      <w:r>
        <w:rPr/>
        <w:t>和服务创新。</w:t>
      </w:r>
    </w:p>
    <w:p>
      <w:pPr>
        <w:pStyle w:val="BodyText"/>
        <w:spacing w:line="400" w:lineRule="auto" w:before="61"/>
        <w:ind w:right="206" w:firstLine="420"/>
        <w:jc w:val="both"/>
      </w:pPr>
      <w:r>
        <w:rPr/>
        <w:t>公司在</w:t>
      </w:r>
      <w:r>
        <w:rPr>
          <w:spacing w:val="-4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spacing w:val="-4"/>
        </w:rPr>
        <w:t>年重视长期战略发展，完成了</w:t>
      </w:r>
      <w:r>
        <w:rPr>
          <w:spacing w:val="-41"/>
        </w:rPr>
        <w:t> </w:t>
      </w:r>
      <w:r>
        <w:rPr>
          <w:rFonts w:ascii="Times New Roman" w:hAnsi="Times New Roman" w:cs="Times New Roman" w:eastAsia="Times New Roman" w:hint="default"/>
        </w:rPr>
        <w:t>2015-2017</w:t>
      </w:r>
      <w:r>
        <w:rPr>
          <w:rFonts w:ascii="Times New Roman" w:hAnsi="Times New Roman" w:cs="Times New Roman" w:eastAsia="Times New Roman" w:hint="default"/>
          <w:spacing w:val="11"/>
        </w:rPr>
        <w:t> </w:t>
      </w:r>
      <w:r>
        <w:rPr>
          <w:spacing w:val="-5"/>
        </w:rPr>
        <w:t>三年战略规划，明确了“集中能力打造、加强风</w:t>
      </w:r>
      <w:r>
        <w:rPr>
          <w:w w:val="100"/>
        </w:rPr>
        <w:t> </w:t>
      </w:r>
      <w:r>
        <w:rPr>
          <w:spacing w:val="-2"/>
        </w:rPr>
        <w:t>险防控”的发展原则，确定了业务模式升级的策略路径，以保证公司长期可持续的发展。此外，公司也关</w:t>
      </w:r>
      <w:r>
        <w:rPr>
          <w:spacing w:val="-43"/>
        </w:rPr>
        <w:t> </w:t>
      </w:r>
      <w:r>
        <w:rPr>
          <w:spacing w:val="-43"/>
        </w:rPr>
      </w:r>
      <w:r>
        <w:rPr>
          <w:spacing w:val="-2"/>
        </w:rPr>
        <w:t>注上市以后的能力建设和效率提升，启动了内控体系建设和企业级业务流程整合优化工作，不断完善上市</w:t>
      </w:r>
      <w:r>
        <w:rPr>
          <w:spacing w:val="-42"/>
        </w:rPr>
        <w:t> </w:t>
      </w:r>
      <w:r>
        <w:rPr>
          <w:spacing w:val="-42"/>
        </w:rPr>
      </w:r>
      <w:r>
        <w:rPr/>
        <w:t>公司管理体系，优化制度流程，并通过</w:t>
      </w:r>
      <w:r>
        <w:rPr>
          <w:spacing w:val="-57"/>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系统实现固化和执行保障。</w:t>
      </w:r>
    </w:p>
    <w:p>
      <w:pPr>
        <w:spacing w:line="240" w:lineRule="auto" w:before="10"/>
        <w:rPr>
          <w:rFonts w:ascii="宋体" w:hAnsi="宋体" w:cs="宋体" w:eastAsia="宋体" w:hint="default"/>
          <w:sz w:val="16"/>
          <w:szCs w:val="16"/>
        </w:rPr>
      </w:pPr>
    </w:p>
    <w:p>
      <w:pPr>
        <w:pStyle w:val="Heading2"/>
        <w:spacing w:line="240" w:lineRule="auto" w:before="0"/>
        <w:ind w:right="98"/>
        <w:jc w:val="left"/>
        <w:rPr>
          <w:b w:val="0"/>
          <w:bCs w:val="0"/>
        </w:rPr>
      </w:pPr>
      <w:r>
        <w:rPr/>
        <w:t>二、主营业务分析</w:t>
      </w:r>
      <w:r>
        <w:rPr>
          <w:b w:val="0"/>
          <w:bCs w:val="0"/>
        </w:rPr>
      </w:r>
    </w:p>
    <w:p>
      <w:pPr>
        <w:pStyle w:val="BodyText"/>
        <w:spacing w:line="688" w:lineRule="exact" w:before="20"/>
        <w:ind w:right="3110"/>
        <w:jc w:val="left"/>
      </w:pPr>
      <w:r>
        <w:rPr>
          <w:rFonts w:ascii="Times New Roman" w:hAnsi="Times New Roman" w:cs="Times New Roman" w:eastAsia="Times New Roman" w:hint="default"/>
          <w:b/>
          <w:bCs/>
        </w:rPr>
        <w:t>1</w:t>
      </w:r>
      <w:r>
        <w:rPr>
          <w:rFonts w:ascii="宋体" w:hAnsi="宋体" w:cs="宋体" w:eastAsia="宋体" w:hint="default"/>
          <w:b/>
          <w:bCs/>
        </w:rPr>
        <w:t>、概述</w:t>
      </w:r>
      <w:r>
        <w:rPr>
          <w:rFonts w:ascii="宋体" w:hAnsi="宋体" w:cs="宋体" w:eastAsia="宋体" w:hint="default"/>
          <w:b/>
          <w:bCs/>
          <w:w w:val="100"/>
        </w:rPr>
        <w:t> </w:t>
      </w:r>
      <w:r>
        <w:rPr>
          <w:spacing w:val="-2"/>
        </w:rPr>
        <w:t>公司回顾总结前期披露的发展战略和经营计划在报告期内的进展情况</w:t>
      </w:r>
    </w:p>
    <w:p>
      <w:pPr>
        <w:pStyle w:val="BodyText"/>
        <w:spacing w:line="240" w:lineRule="auto" w:before="85"/>
        <w:ind w:left="573" w:right="98"/>
        <w:jc w:val="left"/>
      </w:pPr>
      <w:r>
        <w:rPr>
          <w:rFonts w:ascii="Times New Roman" w:hAnsi="Times New Roman" w:cs="Times New Roman" w:eastAsia="Times New Roman" w:hint="default"/>
        </w:rPr>
        <w:t>2014  </w:t>
      </w:r>
      <w:r>
        <w:rPr>
          <w:spacing w:val="-8"/>
        </w:rPr>
        <w:t>年，公司持续推动战略转型，聚焦自有软件、服务及金融专用设备相关业务，业务结构不断优化，</w:t>
      </w:r>
    </w:p>
    <w:p>
      <w:pPr>
        <w:pStyle w:val="BodyText"/>
        <w:spacing w:line="391" w:lineRule="auto" w:before="177"/>
        <w:ind w:right="98"/>
        <w:jc w:val="left"/>
      </w:pPr>
      <w:r>
        <w:rPr/>
        <w:t>三类业务在营业额中的占比提升接近</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个百分点。公司持续推进客户计划，加强行业布局和客户覆盖面</w:t>
      </w:r>
      <w:r>
        <w:rPr>
          <w:w w:val="100"/>
        </w:rPr>
        <w:t> </w:t>
      </w:r>
      <w:r>
        <w:rPr>
          <w:spacing w:val="-2"/>
        </w:rPr>
        <w:t>的拓展，同时谨慎进行客户和业务选择，保证业务质量的稳步提升。公司坚持贯彻“控风险、保质量，稳</w:t>
      </w:r>
      <w:r>
        <w:rPr>
          <w:spacing w:val="-44"/>
        </w:rPr>
        <w:t> </w:t>
      </w:r>
      <w:r>
        <w:rPr>
          <w:spacing w:val="-44"/>
        </w:rPr>
      </w:r>
      <w:r>
        <w:rPr/>
        <w:t>中求进”的发展策略，报告期内公司实现营业额</w:t>
      </w:r>
      <w:r>
        <w:rPr>
          <w:spacing w:val="-54"/>
        </w:rPr>
        <w:t> </w:t>
      </w:r>
      <w:r>
        <w:rPr>
          <w:rFonts w:ascii="Times New Roman" w:hAnsi="Times New Roman" w:cs="Times New Roman" w:eastAsia="Times New Roman" w:hint="default"/>
        </w:rPr>
        <w:t>65.59</w:t>
      </w:r>
      <w:r>
        <w:rPr>
          <w:rFonts w:ascii="Times New Roman" w:hAnsi="Times New Roman" w:cs="Times New Roman" w:eastAsia="Times New Roman" w:hint="default"/>
          <w:spacing w:val="-2"/>
        </w:rPr>
        <w:t> </w:t>
      </w:r>
      <w:r>
        <w:rPr/>
        <w:t>亿，较上财年同期下降</w:t>
      </w:r>
      <w:r>
        <w:rPr>
          <w:spacing w:val="-57"/>
        </w:rPr>
        <w:t> </w:t>
      </w:r>
      <w:r>
        <w:rPr>
          <w:rFonts w:ascii="Times New Roman" w:hAnsi="Times New Roman" w:cs="Times New Roman" w:eastAsia="Times New Roman" w:hint="default"/>
        </w:rPr>
        <w:t>14.97%</w:t>
      </w:r>
      <w:r>
        <w:rPr/>
        <w:t>；公司毛利率达到</w:t>
      </w:r>
      <w:r>
        <w:rPr>
          <w:w w:val="100"/>
        </w:rPr>
        <w:t> </w:t>
      </w:r>
      <w:r>
        <w:rPr>
          <w:rFonts w:ascii="Times New Roman" w:hAnsi="Times New Roman" w:cs="Times New Roman" w:eastAsia="Times New Roman" w:hint="default"/>
        </w:rPr>
        <w:t>18.32%</w:t>
      </w:r>
      <w:r>
        <w:rPr/>
        <w:t>，较上财年同期提升</w:t>
      </w:r>
      <w:r>
        <w:rPr>
          <w:spacing w:val="-57"/>
        </w:rPr>
        <w:t> </w:t>
      </w:r>
      <w:r>
        <w:rPr>
          <w:rFonts w:ascii="Times New Roman" w:hAnsi="Times New Roman" w:cs="Times New Roman" w:eastAsia="Times New Roman" w:hint="default"/>
        </w:rPr>
        <w:t>2.96</w:t>
      </w:r>
      <w:r>
        <w:rPr>
          <w:rFonts w:ascii="Times New Roman" w:hAnsi="Times New Roman" w:cs="Times New Roman" w:eastAsia="Times New Roman" w:hint="default"/>
          <w:spacing w:val="-5"/>
        </w:rPr>
        <w:t> </w:t>
      </w:r>
      <w:r>
        <w:rPr/>
        <w:t>个点；实现净利润（归属于母公司股东的净利润）</w:t>
      </w:r>
      <w:r>
        <w:rPr>
          <w:rFonts w:ascii="Times New Roman" w:hAnsi="Times New Roman" w:cs="Times New Roman" w:eastAsia="Times New Roman" w:hint="default"/>
        </w:rPr>
        <w:t>27,953.11</w:t>
      </w:r>
      <w:r>
        <w:rPr>
          <w:rFonts w:ascii="Times New Roman" w:hAnsi="Times New Roman" w:cs="Times New Roman" w:eastAsia="Times New Roman" w:hint="default"/>
          <w:spacing w:val="-5"/>
        </w:rPr>
        <w:t> </w:t>
      </w:r>
      <w:r>
        <w:rPr/>
        <w:t>万元，同比</w:t>
      </w:r>
      <w:r>
        <w:rPr>
          <w:w w:val="100"/>
        </w:rPr>
        <w:t> </w:t>
      </w:r>
      <w:r>
        <w:rPr/>
        <w:t>增长</w:t>
      </w:r>
      <w:r>
        <w:rPr>
          <w:spacing w:val="-56"/>
        </w:rPr>
        <w:t> </w:t>
      </w:r>
      <w:r>
        <w:rPr>
          <w:rFonts w:ascii="Times New Roman" w:hAnsi="Times New Roman" w:cs="Times New Roman" w:eastAsia="Times New Roman" w:hint="default"/>
        </w:rPr>
        <w:t>9.74%</w:t>
      </w:r>
      <w:r>
        <w:rPr/>
        <w:t>；扣除非经常性损益后归属于母公司股东的净利润</w:t>
      </w:r>
      <w:r>
        <w:rPr>
          <w:spacing w:val="-55"/>
        </w:rPr>
        <w:t> </w:t>
      </w:r>
      <w:r>
        <w:rPr>
          <w:rFonts w:ascii="Times New Roman" w:hAnsi="Times New Roman" w:cs="Times New Roman" w:eastAsia="Times New Roman" w:hint="default"/>
        </w:rPr>
        <w:t>26,488.27</w:t>
      </w:r>
      <w:r>
        <w:rPr>
          <w:rFonts w:ascii="Times New Roman" w:hAnsi="Times New Roman" w:cs="Times New Roman" w:eastAsia="Times New Roman" w:hint="default"/>
          <w:spacing w:val="-3"/>
        </w:rPr>
        <w:t> </w:t>
      </w:r>
      <w:r>
        <w:rPr/>
        <w:t>万元，同比增长</w:t>
      </w:r>
      <w:r>
        <w:rPr>
          <w:spacing w:val="-55"/>
        </w:rPr>
        <w:t> </w:t>
      </w:r>
      <w:r>
        <w:rPr>
          <w:rFonts w:ascii="Times New Roman" w:hAnsi="Times New Roman" w:cs="Times New Roman" w:eastAsia="Times New Roman" w:hint="default"/>
        </w:rPr>
        <w:t>14.45%</w:t>
      </w:r>
      <w:r>
        <w:rPr/>
        <w:t>。</w:t>
      </w:r>
    </w:p>
    <w:p>
      <w:pPr>
        <w:pStyle w:val="BodyText"/>
        <w:spacing w:line="408" w:lineRule="auto" w:before="30"/>
        <w:ind w:right="98" w:firstLine="420"/>
        <w:jc w:val="left"/>
      </w:pPr>
      <w:r>
        <w:rPr>
          <w:spacing w:val="-2"/>
        </w:rPr>
        <w:t>公司主营业务为技术服务、农业信息化、应用软件开发、金融专用设备、集成解决方案，各主营业务</w:t>
      </w:r>
      <w:r>
        <w:rPr>
          <w:w w:val="100"/>
        </w:rPr>
        <w:t> </w:t>
      </w:r>
      <w:r>
        <w:rPr/>
        <w:t>板块</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年具体发展情况如下：</w:t>
      </w:r>
    </w:p>
    <w:p>
      <w:pPr>
        <w:pStyle w:val="BodyText"/>
        <w:spacing w:line="386" w:lineRule="auto" w:before="14"/>
        <w:ind w:left="573" w:right="98"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）技术服务业务</w:t>
      </w:r>
      <w:r>
        <w:rPr>
          <w:rFonts w:ascii="宋体" w:hAnsi="宋体" w:cs="宋体" w:eastAsia="宋体" w:hint="default"/>
          <w:b/>
          <w:bCs/>
          <w:w w:val="100"/>
        </w:rPr>
        <w:t> </w:t>
      </w:r>
      <w:r>
        <w:rPr>
          <w:spacing w:val="-2"/>
        </w:rPr>
        <w:t>公司技术服务业务进一步完善了以行业和区域为核心、以加强市场覆盖为目标的营销管理体系，通过</w:t>
      </w:r>
    </w:p>
    <w:p>
      <w:pPr>
        <w:pStyle w:val="BodyText"/>
        <w:spacing w:line="398" w:lineRule="auto" w:before="65"/>
        <w:ind w:right="206"/>
        <w:jc w:val="both"/>
      </w:pPr>
      <w:r>
        <w:rPr>
          <w:spacing w:val="-2"/>
        </w:rPr>
        <w:t>细分行业布局、产品营销模式及核算政策，配套相应的激励考核办法，促进服务业务规模的持续增长，保</w:t>
      </w:r>
      <w:r>
        <w:rPr>
          <w:spacing w:val="-47"/>
        </w:rPr>
        <w:t> </w:t>
      </w:r>
      <w:r>
        <w:rPr>
          <w:spacing w:val="-47"/>
        </w:rPr>
      </w:r>
      <w:r>
        <w:rPr/>
        <w:t>证业务质量的持续提升。报告期内，服务业务实现营业额</w:t>
      </w:r>
      <w:r>
        <w:rPr>
          <w:spacing w:val="-54"/>
        </w:rPr>
        <w:t> </w:t>
      </w:r>
      <w:r>
        <w:rPr>
          <w:rFonts w:ascii="Times New Roman" w:hAnsi="Times New Roman" w:cs="Times New Roman" w:eastAsia="Times New Roman" w:hint="default"/>
        </w:rPr>
        <w:t>17.04</w:t>
      </w:r>
      <w:r>
        <w:rPr>
          <w:rFonts w:ascii="Times New Roman" w:hAnsi="Times New Roman" w:cs="Times New Roman" w:eastAsia="Times New Roman" w:hint="default"/>
          <w:spacing w:val="-2"/>
        </w:rPr>
        <w:t> </w:t>
      </w:r>
      <w:r>
        <w:rPr/>
        <w:t>亿，较上财年同期增长</w:t>
      </w:r>
      <w:r>
        <w:rPr>
          <w:spacing w:val="-54"/>
        </w:rPr>
        <w:t> </w:t>
      </w:r>
      <w:r>
        <w:rPr>
          <w:rFonts w:ascii="Times New Roman" w:hAnsi="Times New Roman" w:cs="Times New Roman" w:eastAsia="Times New Roman" w:hint="default"/>
        </w:rPr>
        <w:t>6.91%</w:t>
      </w:r>
      <w:r>
        <w:rPr/>
        <w:t>，并在中国</w:t>
      </w:r>
      <w:r>
        <w:rPr>
          <w:w w:val="100"/>
        </w:rPr>
        <w:t> </w:t>
      </w:r>
      <w:r>
        <w:rPr>
          <w:spacing w:val="-2"/>
        </w:rPr>
        <w:t>银行、中国金融交易所、交银租赁、重庆移动等客户实现签约突破。同时，公司技术服务业务的毛利率及</w:t>
      </w:r>
      <w:r>
        <w:rPr>
          <w:spacing w:val="-43"/>
        </w:rPr>
        <w:t> </w:t>
      </w:r>
      <w:r>
        <w:rPr>
          <w:spacing w:val="-43"/>
        </w:rPr>
      </w:r>
      <w:r>
        <w:rPr>
          <w:spacing w:val="-6"/>
        </w:rPr>
        <w:t>净利率均得到提升，</w:t>
      </w:r>
      <w:r>
        <w:rPr>
          <w:rFonts w:ascii="Times New Roman" w:hAnsi="Times New Roman" w:cs="Times New Roman" w:eastAsia="Times New Roman" w:hint="default"/>
          <w:spacing w:val="-6"/>
        </w:rPr>
        <w:t>“</w:t>
      </w:r>
      <w:r>
        <w:rPr>
          <w:spacing w:val="-6"/>
        </w:rPr>
        <w:t>锐行服务</w:t>
      </w:r>
      <w:r>
        <w:rPr>
          <w:rFonts w:ascii="Times New Roman" w:hAnsi="Times New Roman" w:cs="Times New Roman" w:eastAsia="Times New Roman" w:hint="default"/>
          <w:spacing w:val="-6"/>
        </w:rPr>
        <w:t>”</w:t>
      </w:r>
      <w:r>
        <w:rPr>
          <w:spacing w:val="-6"/>
        </w:rPr>
        <w:t>的专业化自有服务增长迅速。报告期内，为推动技术服务业务的快速发展，</w:t>
      </w:r>
      <w:r>
        <w:rPr>
          <w:spacing w:val="-40"/>
        </w:rPr>
        <w:t> </w:t>
      </w:r>
      <w:r>
        <w:rPr>
          <w:spacing w:val="-40"/>
        </w:rPr>
      </w:r>
      <w:r>
        <w:rPr>
          <w:spacing w:val="-2"/>
        </w:rPr>
        <w:t>公司研发了新版锐行服务管理平台提高了服务流程管理的智能化水平、响应效率及业务并发处理能力，为</w:t>
      </w:r>
    </w:p>
    <w:p>
      <w:pPr>
        <w:spacing w:after="0" w:line="398" w:lineRule="auto"/>
        <w:jc w:val="both"/>
        <w:sectPr>
          <w:pgSz w:w="11910" w:h="16840"/>
          <w:pgMar w:header="0" w:footer="1227" w:top="1060" w:bottom="1420" w:left="980" w:right="920"/>
        </w:sectPr>
      </w:pPr>
    </w:p>
    <w:p>
      <w:pPr>
        <w:spacing w:line="240" w:lineRule="auto" w:before="0"/>
        <w:rPr>
          <w:rFonts w:ascii="宋体" w:hAnsi="宋体" w:cs="宋体" w:eastAsia="宋体" w:hint="default"/>
          <w:sz w:val="20"/>
          <w:szCs w:val="20"/>
        </w:rPr>
      </w:pPr>
    </w:p>
    <w:p>
      <w:pPr>
        <w:pStyle w:val="BodyText"/>
        <w:spacing w:line="240" w:lineRule="auto" w:before="175"/>
        <w:ind w:right="98"/>
        <w:jc w:val="left"/>
      </w:pPr>
      <w:r>
        <w:rPr/>
        <w:t>后续服务业务的快速增长储备了能力、提供了更好支撑。</w:t>
      </w:r>
    </w:p>
    <w:p>
      <w:pPr>
        <w:spacing w:line="240" w:lineRule="auto" w:before="10"/>
        <w:rPr>
          <w:rFonts w:ascii="宋体" w:hAnsi="宋体" w:cs="宋体" w:eastAsia="宋体" w:hint="default"/>
          <w:sz w:val="14"/>
          <w:szCs w:val="14"/>
        </w:rPr>
      </w:pPr>
    </w:p>
    <w:p>
      <w:pPr>
        <w:pStyle w:val="BodyText"/>
        <w:spacing w:line="386" w:lineRule="auto"/>
        <w:ind w:left="573" w:right="98"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）农业信息化业务</w:t>
      </w:r>
      <w:r>
        <w:rPr>
          <w:rFonts w:ascii="宋体" w:hAnsi="宋体" w:cs="宋体" w:eastAsia="宋体" w:hint="default"/>
          <w:b/>
          <w:bCs/>
          <w:w w:val="100"/>
        </w:rPr>
        <w:t> </w:t>
      </w:r>
      <w:r>
        <w:rPr>
          <w:spacing w:val="-2"/>
        </w:rPr>
        <w:t>公司并购中农信达而形成的农业信息化业务，依托在农地确权试点中所积累的领先经验和优势，把握</w:t>
      </w:r>
    </w:p>
    <w:p>
      <w:pPr>
        <w:pStyle w:val="BodyText"/>
        <w:spacing w:line="400" w:lineRule="auto" w:before="65"/>
        <w:ind w:right="98"/>
        <w:jc w:val="left"/>
      </w:pPr>
      <w:r>
        <w:rPr/>
        <w:t>市场机遇加强市场开拓，形成了遍布全国的营销体系和市场覆盖。</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年，农业信息化业务实现营业额</w:t>
      </w:r>
      <w:r>
        <w:rPr>
          <w:w w:val="100"/>
        </w:rPr>
        <w:t> </w:t>
      </w:r>
      <w:r>
        <w:rPr>
          <w:rFonts w:ascii="Times New Roman" w:hAnsi="Times New Roman" w:cs="Times New Roman" w:eastAsia="Times New Roman" w:hint="default"/>
        </w:rPr>
        <w:t>1.42</w:t>
      </w:r>
      <w:r>
        <w:rPr>
          <w:rFonts w:ascii="Times New Roman" w:hAnsi="Times New Roman" w:cs="Times New Roman" w:eastAsia="Times New Roman" w:hint="default"/>
          <w:spacing w:val="4"/>
        </w:rPr>
        <w:t> </w:t>
      </w:r>
      <w:r>
        <w:rPr>
          <w:spacing w:val="-3"/>
        </w:rPr>
        <w:t>亿，较上年同期增长</w:t>
      </w:r>
      <w:r>
        <w:rPr>
          <w:spacing w:val="-51"/>
        </w:rPr>
        <w:t> </w:t>
      </w:r>
      <w:r>
        <w:rPr>
          <w:rFonts w:ascii="Times New Roman" w:hAnsi="Times New Roman" w:cs="Times New Roman" w:eastAsia="Times New Roman" w:hint="default"/>
          <w:spacing w:val="-3"/>
        </w:rPr>
        <w:t>575.37%</w:t>
      </w:r>
      <w:r>
        <w:rPr>
          <w:spacing w:val="-3"/>
        </w:rPr>
        <w:t>，净利润同比增长</w:t>
      </w:r>
      <w:r>
        <w:rPr>
          <w:spacing w:val="-51"/>
        </w:rPr>
        <w:t> </w:t>
      </w:r>
      <w:r>
        <w:rPr>
          <w:rFonts w:ascii="Times New Roman" w:hAnsi="Times New Roman" w:cs="Times New Roman" w:eastAsia="Times New Roman" w:hint="default"/>
        </w:rPr>
        <w:t>619.21%</w:t>
      </w:r>
      <w:r>
        <w:rPr/>
        <w:t>。公司农地确权业务新突破</w:t>
      </w:r>
      <w:r>
        <w:rPr>
          <w:spacing w:val="-49"/>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spacing w:val="-4"/>
        </w:rPr>
        <w:t>个省，市场占</w:t>
      </w:r>
      <w:r>
        <w:rPr>
          <w:spacing w:val="-95"/>
        </w:rPr>
        <w:t> </w:t>
      </w:r>
      <w:r>
        <w:rPr>
          <w:spacing w:val="-95"/>
        </w:rPr>
      </w:r>
      <w:r>
        <w:rPr/>
        <w:t>有率保持领先；成功签约云南保山市、吉林公主岭市等项目，并与河北省合作开创了整省确权的新模式，</w:t>
      </w:r>
      <w:r>
        <w:rPr>
          <w:spacing w:val="-31"/>
        </w:rPr>
        <w:t> </w:t>
      </w:r>
      <w:r>
        <w:rPr>
          <w:spacing w:val="-31"/>
        </w:rPr>
      </w:r>
      <w:r>
        <w:rPr>
          <w:spacing w:val="-2"/>
        </w:rPr>
        <w:t>为国家推进农地整省确权进行了有益探索。在大力推进农地确权业务发展的同时，公司也积极布局农地流</w:t>
      </w:r>
      <w:r>
        <w:rPr>
          <w:spacing w:val="-43"/>
        </w:rPr>
        <w:t> </w:t>
      </w:r>
      <w:r>
        <w:rPr>
          <w:spacing w:val="-43"/>
        </w:rPr>
      </w:r>
      <w:r>
        <w:rPr>
          <w:spacing w:val="-2"/>
        </w:rPr>
        <w:t>转等农村产权交易服务和智慧农村建设，在长期积累的农村电子政务服务的基础上，把握我国农村深化改</w:t>
      </w:r>
      <w:r>
        <w:rPr>
          <w:spacing w:val="-43"/>
        </w:rPr>
        <w:t> </w:t>
      </w:r>
      <w:r>
        <w:rPr>
          <w:spacing w:val="-43"/>
        </w:rPr>
      </w:r>
      <w:r>
        <w:rPr>
          <w:spacing w:val="-2"/>
        </w:rPr>
        <w:t>革的机遇，加强农村电子商务及电子农务的业务发展及能力提升，以实现农业信息化业务的良好布局和可</w:t>
      </w:r>
      <w:r>
        <w:rPr>
          <w:spacing w:val="-42"/>
        </w:rPr>
        <w:t> </w:t>
      </w:r>
      <w:r>
        <w:rPr>
          <w:spacing w:val="-42"/>
        </w:rPr>
      </w:r>
      <w:r>
        <w:rPr/>
        <w:t>持续发展。</w:t>
      </w:r>
    </w:p>
    <w:p>
      <w:pPr>
        <w:spacing w:line="386" w:lineRule="auto" w:before="52"/>
        <w:ind w:left="573" w:right="9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）应用软件开发业务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公司应用软件开发业务以实现战略突破为目标，强化产品规划和研发力度，加大市场拓展与销售过程</w:t>
      </w:r>
    </w:p>
    <w:p>
      <w:pPr>
        <w:pStyle w:val="BodyText"/>
        <w:spacing w:line="393" w:lineRule="auto" w:before="65"/>
        <w:ind w:right="98"/>
        <w:jc w:val="left"/>
      </w:pPr>
      <w:r>
        <w:rPr>
          <w:spacing w:val="-5"/>
        </w:rPr>
        <w:t>管理，业务布局逐渐成熟。报告期内，应用软件开发业务实现营业额</w:t>
      </w:r>
      <w:r>
        <w:rPr>
          <w:spacing w:val="-38"/>
        </w:rPr>
        <w:t> </w:t>
      </w:r>
      <w:r>
        <w:rPr>
          <w:rFonts w:ascii="Times New Roman" w:hAnsi="Times New Roman" w:cs="Times New Roman" w:eastAsia="Times New Roman" w:hint="default"/>
        </w:rPr>
        <w:t>5.67</w:t>
      </w:r>
      <w:r>
        <w:rPr>
          <w:rFonts w:ascii="Times New Roman" w:hAnsi="Times New Roman" w:cs="Times New Roman" w:eastAsia="Times New Roman" w:hint="default"/>
          <w:spacing w:val="16"/>
        </w:rPr>
        <w:t> </w:t>
      </w:r>
      <w:r>
        <w:rPr>
          <w:spacing w:val="-6"/>
        </w:rPr>
        <w:t>亿，较上财年同期增长</w:t>
      </w:r>
      <w:r>
        <w:rPr>
          <w:spacing w:val="-38"/>
        </w:rPr>
        <w:t> </w:t>
      </w:r>
      <w:r>
        <w:rPr>
          <w:rFonts w:ascii="Times New Roman" w:hAnsi="Times New Roman" w:cs="Times New Roman" w:eastAsia="Times New Roman" w:hint="default"/>
        </w:rPr>
        <w:t>14.52%</w:t>
      </w:r>
      <w:r>
        <w:rPr/>
        <w:t>；</w:t>
      </w:r>
      <w:r>
        <w:rPr>
          <w:spacing w:val="-98"/>
        </w:rPr>
        <w:t> </w:t>
      </w:r>
      <w:r>
        <w:rPr/>
        <w:t>适应行业</w:t>
      </w:r>
      <w:r>
        <w:rPr>
          <w:spacing w:val="-56"/>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建设需求持续升级的趋势，应用软件业务的签约额及净利润增长快速。在金融行业，公司软</w:t>
      </w:r>
      <w:r>
        <w:rPr>
          <w:w w:val="100"/>
        </w:rPr>
        <w:t> </w:t>
      </w:r>
      <w:r>
        <w:rPr>
          <w:spacing w:val="-2"/>
        </w:rPr>
        <w:t>件业务成功签约中原银行、宜宾商行、华瑞银行等客户的核心业务系统，保持在银行核心系统领域的领先</w:t>
      </w:r>
      <w:r>
        <w:rPr>
          <w:spacing w:val="-44"/>
        </w:rPr>
        <w:t> </w:t>
      </w:r>
      <w:r>
        <w:rPr>
          <w:spacing w:val="-44"/>
        </w:rPr>
      </w:r>
      <w:r>
        <w:rPr>
          <w:spacing w:val="-5"/>
        </w:rPr>
        <w:t>优势；金融服务总线</w:t>
      </w:r>
      <w:r>
        <w:rPr>
          <w:spacing w:val="-46"/>
        </w:rPr>
        <w:t> </w:t>
      </w:r>
      <w:r>
        <w:rPr>
          <w:rFonts w:ascii="Times New Roman" w:hAnsi="Times New Roman" w:cs="Times New Roman" w:eastAsia="Times New Roman" w:hint="default"/>
        </w:rPr>
        <w:t>ESB</w:t>
      </w:r>
      <w:r>
        <w:rPr>
          <w:rFonts w:ascii="Times New Roman" w:hAnsi="Times New Roman" w:cs="Times New Roman" w:eastAsia="Times New Roman" w:hint="default"/>
          <w:spacing w:val="6"/>
        </w:rPr>
        <w:t> </w:t>
      </w:r>
      <w:r>
        <w:rPr>
          <w:spacing w:val="-3"/>
        </w:rPr>
        <w:t>产品的客户数量继续稳步增长，支撑了客户</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架构面向</w:t>
      </w:r>
      <w:r>
        <w:rPr>
          <w:spacing w:val="-46"/>
        </w:rPr>
        <w:t> </w:t>
      </w:r>
      <w:r>
        <w:rPr>
          <w:rFonts w:ascii="Times New Roman" w:hAnsi="Times New Roman" w:cs="Times New Roman" w:eastAsia="Times New Roman" w:hint="default"/>
        </w:rPr>
        <w:t>SOA</w:t>
      </w:r>
      <w:r>
        <w:rPr>
          <w:rFonts w:ascii="Times New Roman" w:hAnsi="Times New Roman" w:cs="Times New Roman" w:eastAsia="Times New Roman" w:hint="default"/>
          <w:spacing w:val="6"/>
        </w:rPr>
        <w:t> </w:t>
      </w:r>
      <w:r>
        <w:rPr>
          <w:spacing w:val="-5"/>
        </w:rPr>
        <w:t>的优化。在政府行</w:t>
      </w:r>
      <w:r>
        <w:rPr>
          <w:spacing w:val="-102"/>
        </w:rPr>
        <w:t> </w:t>
      </w:r>
      <w:r>
        <w:rPr>
          <w:spacing w:val="-102"/>
        </w:rPr>
      </w:r>
      <w:r>
        <w:rPr>
          <w:spacing w:val="-4"/>
        </w:rPr>
        <w:t>业，公司软件业务在税务局端市场稳步推进，在拓展新客户的同时持续深耕老客户，</w:t>
      </w:r>
      <w:r>
        <w:rPr>
          <w:rFonts w:ascii="Times New Roman" w:hAnsi="Times New Roman" w:cs="Times New Roman" w:eastAsia="Times New Roman" w:hint="default"/>
          <w:spacing w:val="-4"/>
        </w:rPr>
        <w:t>2014 </w:t>
      </w:r>
      <w:r>
        <w:rPr/>
        <w:t>年成功拓展了厦</w:t>
      </w:r>
      <w:r>
        <w:rPr>
          <w:spacing w:val="-73"/>
        </w:rPr>
        <w:t> </w:t>
      </w:r>
      <w:r>
        <w:rPr>
          <w:spacing w:val="-73"/>
        </w:rPr>
      </w:r>
      <w:r>
        <w:rPr>
          <w:spacing w:val="-2"/>
        </w:rPr>
        <w:t>门国税客户，宁波地税等老客户的签约也实现大幅增长；同时公司的纳税服务云平台也保持了付费用户的</w:t>
      </w:r>
      <w:r>
        <w:rPr>
          <w:spacing w:val="-43"/>
        </w:rPr>
        <w:t> </w:t>
      </w:r>
      <w:r>
        <w:rPr>
          <w:spacing w:val="-43"/>
        </w:rPr>
      </w:r>
      <w:r>
        <w:rPr/>
        <w:t>持续增长。</w:t>
      </w:r>
    </w:p>
    <w:p>
      <w:pPr>
        <w:pStyle w:val="BodyText"/>
        <w:spacing w:line="408" w:lineRule="auto" w:before="58"/>
        <w:ind w:right="206" w:firstLine="420"/>
        <w:jc w:val="both"/>
      </w:pPr>
      <w:r>
        <w:rPr>
          <w:spacing w:val="-2"/>
        </w:rPr>
        <w:t>智慧城市软件服务业务受益于国家及地方政府的大力推动，在智慧城市规划咨询方面签约河北省、洛</w:t>
      </w:r>
      <w:r>
        <w:rPr>
          <w:w w:val="100"/>
        </w:rPr>
        <w:t> </w:t>
      </w:r>
      <w:r>
        <w:rPr>
          <w:spacing w:val="-2"/>
        </w:rPr>
        <w:t>阳市、深圳市等省市，市民融合服务签约福州、常熟、无锡、本溪、柳州、南宁等城市，城市信息安全监</w:t>
      </w:r>
      <w:r>
        <w:rPr>
          <w:spacing w:val="-48"/>
        </w:rPr>
        <w:t> </w:t>
      </w:r>
      <w:r>
        <w:rPr>
          <w:spacing w:val="-48"/>
        </w:rPr>
      </w:r>
      <w:r>
        <w:rPr>
          <w:spacing w:val="-2"/>
        </w:rPr>
        <w:t>控签约四川省、苏州、淮安等省市，城市运行管理签约江苏省、苏州、柳州、武汉等城市数据信息管理项</w:t>
      </w:r>
      <w:r>
        <w:rPr>
          <w:spacing w:val="-42"/>
        </w:rPr>
        <w:t> </w:t>
      </w:r>
      <w:r>
        <w:rPr>
          <w:spacing w:val="-42"/>
        </w:rPr>
      </w:r>
      <w:r>
        <w:rPr>
          <w:spacing w:val="-2"/>
        </w:rPr>
        <w:t>目，区域医疗签约成都、天津等城市，食品安全溯源签约江苏省、苏州、常熟等省市，云服务平台签约山</w:t>
      </w:r>
      <w:r>
        <w:rPr>
          <w:spacing w:val="-42"/>
        </w:rPr>
        <w:t> </w:t>
      </w:r>
      <w:r>
        <w:rPr>
          <w:spacing w:val="-42"/>
        </w:rPr>
      </w:r>
      <w:r>
        <w:rPr/>
        <w:t>东省、常熟、本溪等省市。</w:t>
      </w:r>
    </w:p>
    <w:p>
      <w:pPr>
        <w:spacing w:line="386" w:lineRule="auto" w:before="46"/>
        <w:ind w:left="573" w:right="9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）金融专用设备相关业务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公司金融专用设备相关业务在不断改进产品设计和功能的同时，逐步搭建了大客户的销售体系，加强</w:t>
      </w:r>
    </w:p>
    <w:p>
      <w:pPr>
        <w:pStyle w:val="BodyText"/>
        <w:spacing w:line="386" w:lineRule="auto" w:before="65"/>
        <w:ind w:right="206"/>
        <w:jc w:val="both"/>
      </w:pPr>
      <w:r>
        <w:rPr>
          <w:spacing w:val="-3"/>
        </w:rPr>
        <w:t>高端人员的储备，保证业务的可持续发展。报告期内，金融专用设备相关业务实现营业额 </w:t>
      </w:r>
      <w:r>
        <w:rPr>
          <w:rFonts w:ascii="Times New Roman" w:hAnsi="Times New Roman" w:cs="Times New Roman" w:eastAsia="Times New Roman" w:hint="default"/>
        </w:rPr>
        <w:t>4.69 </w:t>
      </w:r>
      <w:r>
        <w:rPr>
          <w:spacing w:val="-5"/>
        </w:rPr>
        <w:t>亿，较上财</w:t>
      </w:r>
      <w:r>
        <w:rPr>
          <w:spacing w:val="-97"/>
        </w:rPr>
        <w:t> </w:t>
      </w:r>
      <w:r>
        <w:rPr>
          <w:spacing w:val="-97"/>
        </w:rPr>
      </w:r>
      <w:r>
        <w:rPr/>
        <w:t>年同期增长 </w:t>
      </w:r>
      <w:r>
        <w:rPr>
          <w:rFonts w:ascii="Times New Roman" w:hAnsi="Times New Roman" w:cs="Times New Roman" w:eastAsia="Times New Roman" w:hint="default"/>
          <w:spacing w:val="-4"/>
        </w:rPr>
        <w:t>13.09%</w:t>
      </w:r>
      <w:r>
        <w:rPr>
          <w:spacing w:val="-4"/>
        </w:rPr>
        <w:t>，成功入围平安银行，实现股份制银行的签约突破，并在多个分行实现销售；业务在小</w:t>
      </w:r>
      <w:r>
        <w:rPr>
          <w:spacing w:val="-85"/>
        </w:rPr>
        <w:t> </w:t>
      </w:r>
      <w:r>
        <w:rPr>
          <w:spacing w:val="-85"/>
        </w:rPr>
      </w:r>
      <w:r>
        <w:rPr>
          <w:spacing w:val="-2"/>
        </w:rPr>
        <w:t>金融市场的发展进一步稳固，在原有客户基础上，在西北、华东等区域实现了进一步的增长。公司把握客</w:t>
      </w:r>
    </w:p>
    <w:p>
      <w:pPr>
        <w:spacing w:after="0" w:line="386" w:lineRule="auto"/>
        <w:jc w:val="both"/>
        <w:sectPr>
          <w:pgSz w:w="11910" w:h="16840"/>
          <w:pgMar w:header="0" w:footer="1227" w:top="1060" w:bottom="1420" w:left="980" w:right="920"/>
        </w:sectPr>
      </w:pPr>
    </w:p>
    <w:p>
      <w:pPr>
        <w:spacing w:line="240" w:lineRule="auto" w:before="0"/>
        <w:rPr>
          <w:rFonts w:ascii="宋体" w:hAnsi="宋体" w:cs="宋体" w:eastAsia="宋体" w:hint="default"/>
          <w:sz w:val="20"/>
          <w:szCs w:val="20"/>
        </w:rPr>
      </w:pPr>
    </w:p>
    <w:p>
      <w:pPr>
        <w:pStyle w:val="BodyText"/>
        <w:spacing w:line="240" w:lineRule="auto" w:before="175"/>
        <w:ind w:left="233" w:right="0"/>
        <w:jc w:val="both"/>
      </w:pPr>
      <w:r>
        <w:rPr/>
        <w:t>户需求升级的机遇实现了循环机产品</w:t>
      </w:r>
      <w:r>
        <w:rPr>
          <w:spacing w:val="-56"/>
        </w:rPr>
        <w:t> </w:t>
      </w:r>
      <w:r>
        <w:rPr>
          <w:rFonts w:ascii="Times New Roman" w:hAnsi="Times New Roman" w:cs="Times New Roman" w:eastAsia="Times New Roman" w:hint="default"/>
        </w:rPr>
        <w:t>C7000</w:t>
      </w:r>
      <w:r>
        <w:rPr>
          <w:rFonts w:ascii="Times New Roman" w:hAnsi="Times New Roman" w:cs="Times New Roman" w:eastAsia="Times New Roman" w:hint="default"/>
          <w:spacing w:val="-5"/>
        </w:rPr>
        <w:t> </w:t>
      </w:r>
      <w:r>
        <w:rPr/>
        <w:t>市场地位的稳步增长，成为产品发展的重要支柱。</w:t>
      </w:r>
    </w:p>
    <w:p>
      <w:pPr>
        <w:spacing w:line="386" w:lineRule="auto" w:before="177"/>
        <w:ind w:left="653" w:right="13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）集成解决方案业务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公司集成解决方案业务围绕金融、运营商、能源、电力、政企、互联网等行业客户需求，通过组织结</w:t>
      </w:r>
    </w:p>
    <w:p>
      <w:pPr>
        <w:pStyle w:val="BodyText"/>
        <w:spacing w:line="403" w:lineRule="auto" w:before="65"/>
        <w:ind w:left="233" w:right="146"/>
        <w:jc w:val="both"/>
      </w:pPr>
      <w:r>
        <w:rPr>
          <w:spacing w:val="-2"/>
        </w:rPr>
        <w:t>构调整、开拓与新兴厂商特别是国产厂商的合作加强拓展，实现对目标行业的有效覆盖，支撑业务长期稳</w:t>
      </w:r>
      <w:r>
        <w:rPr>
          <w:spacing w:val="-42"/>
        </w:rPr>
        <w:t> </w:t>
      </w:r>
      <w:r>
        <w:rPr>
          <w:spacing w:val="-42"/>
        </w:rPr>
      </w:r>
      <w:r>
        <w:rPr>
          <w:spacing w:val="-3"/>
        </w:rPr>
        <w:t>定发展。报告期内，公司集成解决方案业务实现营业额</w:t>
      </w:r>
      <w:r>
        <w:rPr>
          <w:spacing w:val="-37"/>
        </w:rPr>
        <w:t> </w:t>
      </w:r>
      <w:r>
        <w:rPr>
          <w:rFonts w:ascii="Times New Roman" w:hAnsi="Times New Roman" w:cs="Times New Roman" w:eastAsia="Times New Roman" w:hint="default"/>
        </w:rPr>
        <w:t>37.89</w:t>
      </w:r>
      <w:r>
        <w:rPr>
          <w:rFonts w:ascii="Times New Roman" w:hAnsi="Times New Roman" w:cs="Times New Roman" w:eastAsia="Times New Roman" w:hint="default"/>
          <w:spacing w:val="12"/>
        </w:rPr>
        <w:t> </w:t>
      </w:r>
      <w:r>
        <w:rPr>
          <w:spacing w:val="-3"/>
        </w:rPr>
        <w:t>亿，较上财年同期下降</w:t>
      </w:r>
      <w:r>
        <w:rPr>
          <w:spacing w:val="-36"/>
        </w:rPr>
        <w:t> </w:t>
      </w:r>
      <w:r>
        <w:rPr>
          <w:rFonts w:ascii="Times New Roman" w:hAnsi="Times New Roman" w:cs="Times New Roman" w:eastAsia="Times New Roman" w:hint="default"/>
        </w:rPr>
        <w:t>27.27%</w:t>
      </w:r>
      <w:r>
        <w:rPr/>
        <w:t>，主要原因是</w:t>
      </w:r>
      <w:r>
        <w:rPr>
          <w:spacing w:val="-98"/>
        </w:rPr>
        <w:t> </w:t>
      </w:r>
      <w:r>
        <w:rPr>
          <w:spacing w:val="-98"/>
        </w:rPr>
      </w:r>
      <w:r>
        <w:rPr>
          <w:spacing w:val="-7"/>
        </w:rPr>
        <w:t>公司持续推进业务结构优化，谨慎进行客户和业务选择，主动放弃了一些低毛利或周期较长的业务。同时，</w:t>
      </w:r>
      <w:r>
        <w:rPr>
          <w:spacing w:val="-17"/>
        </w:rPr>
        <w:t> </w:t>
      </w:r>
      <w:r>
        <w:rPr>
          <w:spacing w:val="-17"/>
        </w:rPr>
      </w:r>
      <w:r>
        <w:rPr>
          <w:spacing w:val="-2"/>
        </w:rPr>
        <w:t>公司集成解决方案业务的签约质量同比提升，两金增长的势头得到控制，业务良性化发展水平提升，在政</w:t>
      </w:r>
      <w:r>
        <w:rPr>
          <w:spacing w:val="-43"/>
        </w:rPr>
        <w:t> </w:t>
      </w:r>
      <w:r>
        <w:rPr>
          <w:spacing w:val="-43"/>
        </w:rPr>
      </w:r>
      <w:r>
        <w:rPr/>
        <w:t>企及互联网等行业的客户覆盖加强。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ind w:left="233" w:right="0"/>
        <w:jc w:val="both"/>
      </w:pPr>
      <w:r>
        <w:rPr>
          <w:spacing w:val="-2"/>
        </w:rPr>
        <w:t>公司实际经营业绩较曾公开披露过的本年度盈利预测低于或高于</w:t>
      </w:r>
      <w:r>
        <w:rPr>
          <w:spacing w:val="18"/>
        </w:rPr>
        <w:t> </w:t>
      </w:r>
      <w:r>
        <w:rPr>
          <w:rFonts w:ascii="Times New Roman" w:hAnsi="Times New Roman" w:cs="Times New Roman" w:eastAsia="Times New Roman" w:hint="default"/>
          <w:spacing w:val="-2"/>
        </w:rPr>
        <w:t>20%</w:t>
      </w:r>
      <w:r>
        <w:rPr>
          <w:spacing w:val="-2"/>
        </w:rPr>
        <w:t>以上的差异原因</w:t>
      </w:r>
    </w:p>
    <w:p>
      <w:pPr>
        <w:pStyle w:val="BodyText"/>
        <w:spacing w:line="386" w:lineRule="auto" w:before="177"/>
        <w:ind w:left="233" w:right="60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主要经营模式的变化情况</w:t>
      </w:r>
    </w:p>
    <w:p>
      <w:pPr>
        <w:pStyle w:val="BodyText"/>
        <w:spacing w:line="240" w:lineRule="auto" w:before="65"/>
        <w:ind w:left="2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0"/>
          <w:szCs w:val="30"/>
        </w:rPr>
      </w:pPr>
    </w:p>
    <w:p>
      <w:pPr>
        <w:pStyle w:val="Heading4"/>
        <w:spacing w:line="240" w:lineRule="auto"/>
        <w:ind w:left="233" w:right="0"/>
        <w:jc w:val="both"/>
        <w:rPr>
          <w:b w:val="0"/>
          <w:bCs w:val="0"/>
        </w:rPr>
      </w:pPr>
      <w:r>
        <w:rPr>
          <w:rFonts w:ascii="Times New Roman" w:hAnsi="Times New Roman" w:cs="Times New Roman" w:eastAsia="Times New Roman" w:hint="default"/>
        </w:rPr>
        <w:t>2</w:t>
      </w:r>
      <w:r>
        <w:rPr/>
        <w:t>、收入</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left="233" w:right="138" w:firstLine="420"/>
        <w:jc w:val="left"/>
      </w:pPr>
      <w:r>
        <w:rPr/>
        <w:t>公司</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年加大了业务结构调整优化的力度，谨慎进行客户和业务选择，主动放弃了一些低毛利或</w:t>
      </w:r>
      <w:r>
        <w:rPr>
          <w:w w:val="100"/>
        </w:rPr>
        <w:t> </w:t>
      </w:r>
      <w:r>
        <w:rPr/>
        <w:t>周期较长的业务，全年实现营业总收入</w:t>
      </w:r>
      <w:r>
        <w:rPr>
          <w:spacing w:val="-50"/>
        </w:rPr>
        <w:t> </w:t>
      </w:r>
      <w:r>
        <w:rPr>
          <w:rFonts w:ascii="Times New Roman" w:hAnsi="Times New Roman" w:cs="Times New Roman" w:eastAsia="Times New Roman" w:hint="default"/>
        </w:rPr>
        <w:t>65.59 </w:t>
      </w:r>
      <w:r>
        <w:rPr/>
        <w:t>亿元，较去年同期下降</w:t>
      </w:r>
      <w:r>
        <w:rPr>
          <w:spacing w:val="-52"/>
        </w:rPr>
        <w:t> </w:t>
      </w:r>
      <w:r>
        <w:rPr>
          <w:rFonts w:ascii="Times New Roman" w:hAnsi="Times New Roman" w:cs="Times New Roman" w:eastAsia="Times New Roman" w:hint="default"/>
          <w:spacing w:val="-3"/>
        </w:rPr>
        <w:t>14.97%</w:t>
      </w:r>
      <w:r>
        <w:rPr>
          <w:spacing w:val="-3"/>
        </w:rPr>
        <w:t>。其中，技术服务、应用软件</w:t>
      </w:r>
      <w:r>
        <w:rPr>
          <w:w w:val="100"/>
        </w:rPr>
        <w:t> </w:t>
      </w:r>
      <w:r>
        <w:rPr/>
        <w:t>开发、金融专用设备相关业务等高毛利业务占总收入的比重提高了近</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个百分点。全年技术服务实现收</w:t>
      </w:r>
      <w:r>
        <w:rPr>
          <w:w w:val="100"/>
        </w:rPr>
        <w:t> </w:t>
      </w:r>
      <w:r>
        <w:rPr/>
        <w:t>入</w:t>
      </w:r>
      <w:r>
        <w:rPr>
          <w:spacing w:val="-49"/>
        </w:rPr>
        <w:t> </w:t>
      </w:r>
      <w:r>
        <w:rPr>
          <w:rFonts w:ascii="Times New Roman" w:hAnsi="Times New Roman" w:cs="Times New Roman" w:eastAsia="Times New Roman" w:hint="default"/>
        </w:rPr>
        <w:t>17.04</w:t>
      </w:r>
      <w:r>
        <w:rPr>
          <w:rFonts w:ascii="Times New Roman" w:hAnsi="Times New Roman" w:cs="Times New Roman" w:eastAsia="Times New Roman" w:hint="default"/>
          <w:spacing w:val="4"/>
        </w:rPr>
        <w:t> </w:t>
      </w:r>
      <w:r>
        <w:rPr>
          <w:spacing w:val="-4"/>
        </w:rPr>
        <w:t>亿元，占总收入的</w:t>
      </w:r>
      <w:r>
        <w:rPr>
          <w:spacing w:val="-48"/>
        </w:rPr>
        <w:t> </w:t>
      </w:r>
      <w:r>
        <w:rPr>
          <w:rFonts w:ascii="Times New Roman" w:hAnsi="Times New Roman" w:cs="Times New Roman" w:eastAsia="Times New Roman" w:hint="default"/>
        </w:rPr>
        <w:t>25.98%</w:t>
      </w:r>
      <w:r>
        <w:rPr/>
        <w:t>；应用软件开发实现收入</w:t>
      </w:r>
      <w:r>
        <w:rPr>
          <w:spacing w:val="-48"/>
        </w:rPr>
        <w:t> </w:t>
      </w:r>
      <w:r>
        <w:rPr>
          <w:rFonts w:ascii="Times New Roman" w:hAnsi="Times New Roman" w:cs="Times New Roman" w:eastAsia="Times New Roman" w:hint="default"/>
        </w:rPr>
        <w:t>5.67</w:t>
      </w:r>
      <w:r>
        <w:rPr>
          <w:rFonts w:ascii="Times New Roman" w:hAnsi="Times New Roman" w:cs="Times New Roman" w:eastAsia="Times New Roman" w:hint="default"/>
          <w:spacing w:val="1"/>
        </w:rPr>
        <w:t> </w:t>
      </w:r>
      <w:r>
        <w:rPr>
          <w:spacing w:val="-3"/>
        </w:rPr>
        <w:t>亿，占总收入的</w:t>
      </w:r>
      <w:r>
        <w:rPr>
          <w:spacing w:val="-48"/>
        </w:rPr>
        <w:t> </w:t>
      </w:r>
      <w:r>
        <w:rPr>
          <w:rFonts w:ascii="Times New Roman" w:hAnsi="Times New Roman" w:cs="Times New Roman" w:eastAsia="Times New Roman" w:hint="default"/>
          <w:spacing w:val="-3"/>
        </w:rPr>
        <w:t>8.64%</w:t>
      </w:r>
      <w:r>
        <w:rPr>
          <w:spacing w:val="-3"/>
        </w:rPr>
        <w:t>；金融专用设备相</w:t>
      </w:r>
      <w:r>
        <w:rPr>
          <w:w w:val="100"/>
        </w:rPr>
        <w:t> </w:t>
      </w:r>
      <w:r>
        <w:rPr/>
        <w:t>关业务实现收入</w:t>
      </w:r>
      <w:r>
        <w:rPr>
          <w:spacing w:val="-43"/>
        </w:rPr>
        <w:t> </w:t>
      </w:r>
      <w:r>
        <w:rPr>
          <w:rFonts w:ascii="Times New Roman" w:hAnsi="Times New Roman" w:cs="Times New Roman" w:eastAsia="Times New Roman" w:hint="default"/>
        </w:rPr>
        <w:t>4.69</w:t>
      </w:r>
      <w:r>
        <w:rPr>
          <w:rFonts w:ascii="Times New Roman" w:hAnsi="Times New Roman" w:cs="Times New Roman" w:eastAsia="Times New Roman" w:hint="default"/>
          <w:spacing w:val="10"/>
        </w:rPr>
        <w:t> </w:t>
      </w:r>
      <w:r>
        <w:rPr>
          <w:spacing w:val="-4"/>
        </w:rPr>
        <w:t>亿，占总收入的</w:t>
      </w:r>
      <w:r>
        <w:rPr>
          <w:spacing w:val="-42"/>
        </w:rPr>
        <w:t> </w:t>
      </w:r>
      <w:r>
        <w:rPr>
          <w:rFonts w:ascii="Times New Roman" w:hAnsi="Times New Roman" w:cs="Times New Roman" w:eastAsia="Times New Roman" w:hint="default"/>
          <w:spacing w:val="-3"/>
        </w:rPr>
        <w:t>7.16%</w:t>
      </w:r>
      <w:r>
        <w:rPr>
          <w:spacing w:val="-3"/>
        </w:rPr>
        <w:t>；系统集成实现收入</w:t>
      </w:r>
      <w:r>
        <w:rPr>
          <w:spacing w:val="-43"/>
        </w:rPr>
        <w:t> </w:t>
      </w:r>
      <w:r>
        <w:rPr>
          <w:rFonts w:ascii="Times New Roman" w:hAnsi="Times New Roman" w:cs="Times New Roman" w:eastAsia="Times New Roman" w:hint="default"/>
        </w:rPr>
        <w:t>37.89</w:t>
      </w:r>
      <w:r>
        <w:rPr>
          <w:rFonts w:ascii="Times New Roman" w:hAnsi="Times New Roman" w:cs="Times New Roman" w:eastAsia="Times New Roman" w:hint="default"/>
          <w:spacing w:val="6"/>
        </w:rPr>
        <w:t> </w:t>
      </w:r>
      <w:r>
        <w:rPr>
          <w:spacing w:val="-4"/>
        </w:rPr>
        <w:t>亿，占总收入的</w:t>
      </w:r>
      <w:r>
        <w:rPr>
          <w:spacing w:val="-42"/>
        </w:rPr>
        <w:t> </w:t>
      </w:r>
      <w:r>
        <w:rPr>
          <w:rFonts w:ascii="Times New Roman" w:hAnsi="Times New Roman" w:cs="Times New Roman" w:eastAsia="Times New Roman" w:hint="default"/>
          <w:spacing w:val="-3"/>
        </w:rPr>
        <w:t>57.77%</w:t>
      </w:r>
      <w:r>
        <w:rPr>
          <w:spacing w:val="-3"/>
        </w:rPr>
        <w:t>。新增的农</w:t>
      </w:r>
      <w:r>
        <w:rPr>
          <w:spacing w:val="-101"/>
        </w:rPr>
        <w:t> </w:t>
      </w:r>
      <w:r>
        <w:rPr>
          <w:spacing w:val="-101"/>
        </w:rPr>
      </w:r>
      <w:r>
        <w:rPr>
          <w:spacing w:val="-7"/>
        </w:rPr>
        <w:t>业信息化业务实现的可并表收入仍较少。后续，公司将继续推动收入结构的优化，保持业务质量不断提升。</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left="233" w:right="0"/>
        <w:jc w:val="both"/>
      </w:pPr>
      <w:r>
        <w:rPr/>
        <w:t>行业分类</w:t>
      </w:r>
    </w:p>
    <w:p>
      <w:pPr>
        <w:spacing w:before="178"/>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2145"/>
        <w:gridCol w:w="1683"/>
        <w:gridCol w:w="1632"/>
        <w:gridCol w:w="1477"/>
        <w:gridCol w:w="1529"/>
        <w:gridCol w:w="1095"/>
      </w:tblGrid>
      <w:tr>
        <w:trPr>
          <w:trHeight w:val="473" w:hRule="exact"/>
        </w:trPr>
        <w:tc>
          <w:tcPr>
            <w:tcW w:w="2145"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70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3315" w:type="dxa"/>
            <w:gridSpan w:val="2"/>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7"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3005" w:type="dxa"/>
            <w:gridSpan w:val="2"/>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c>
          <w:tcPr>
            <w:tcW w:w="1095" w:type="dxa"/>
            <w:vMerge w:val="restart"/>
            <w:tcBorders>
              <w:top w:val="single" w:sz="12" w:space="0" w:color="000000"/>
              <w:left w:val="single" w:sz="4" w:space="0" w:color="000000"/>
              <w:right w:val="single" w:sz="12" w:space="0" w:color="000000"/>
            </w:tcBorders>
            <w:shd w:val="clear" w:color="auto" w:fill="D9D9D9"/>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66" w:hRule="exact"/>
        </w:trPr>
        <w:tc>
          <w:tcPr>
            <w:tcW w:w="2145" w:type="dxa"/>
            <w:vMerge/>
            <w:tcBorders>
              <w:left w:val="single" w:sz="12" w:space="0" w:color="000000"/>
              <w:bottom w:val="single" w:sz="4" w:space="0" w:color="000000"/>
              <w:right w:val="single" w:sz="4" w:space="0" w:color="000000"/>
            </w:tcBorders>
            <w:shd w:val="clear" w:color="auto" w:fill="D9D9D9"/>
          </w:tcPr>
          <w:p>
            <w:pPr/>
          </w:p>
        </w:tc>
        <w:tc>
          <w:tcPr>
            <w:tcW w:w="16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7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4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right="127"/>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095" w:type="dxa"/>
            <w:vMerge/>
            <w:tcBorders>
              <w:left w:val="single" w:sz="4" w:space="0" w:color="000000"/>
              <w:bottom w:val="single" w:sz="4" w:space="0" w:color="000000"/>
              <w:right w:val="single" w:sz="12" w:space="0" w:color="000000"/>
            </w:tcBorders>
            <w:shd w:val="clear" w:color="auto" w:fill="D9D9D9"/>
          </w:tcPr>
          <w:p>
            <w:pPr/>
          </w:p>
        </w:tc>
      </w:tr>
      <w:tr>
        <w:trPr>
          <w:trHeight w:val="473" w:hRule="exact"/>
        </w:trPr>
        <w:tc>
          <w:tcPr>
            <w:tcW w:w="214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left="157" w:right="0"/>
              <w:jc w:val="left"/>
              <w:rPr>
                <w:rFonts w:ascii="宋体" w:hAnsi="宋体" w:cs="宋体" w:eastAsia="宋体" w:hint="default"/>
                <w:sz w:val="18"/>
                <w:szCs w:val="18"/>
              </w:rPr>
            </w:pPr>
            <w:r>
              <w:rPr>
                <w:rFonts w:ascii="宋体" w:hAnsi="宋体" w:cs="宋体" w:eastAsia="宋体" w:hint="default"/>
                <w:sz w:val="18"/>
                <w:szCs w:val="18"/>
              </w:rPr>
              <w:t>软件与信息技术服务业</w:t>
            </w:r>
          </w:p>
        </w:tc>
        <w:tc>
          <w:tcPr>
            <w:tcW w:w="16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310" w:right="0"/>
              <w:jc w:val="left"/>
              <w:rPr>
                <w:rFonts w:ascii="Times New Roman" w:hAnsi="Times New Roman" w:cs="Times New Roman" w:eastAsia="Times New Roman" w:hint="default"/>
                <w:sz w:val="18"/>
                <w:szCs w:val="18"/>
              </w:rPr>
            </w:pPr>
            <w:r>
              <w:rPr>
                <w:rFonts w:ascii="Times New Roman"/>
                <w:sz w:val="18"/>
              </w:rPr>
              <w:t>6,559,007,918.00</w:t>
            </w:r>
          </w:p>
        </w:tc>
        <w:tc>
          <w:tcPr>
            <w:tcW w:w="16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873" w:right="0"/>
              <w:jc w:val="left"/>
              <w:rPr>
                <w:rFonts w:ascii="Times New Roman" w:hAnsi="Times New Roman" w:cs="Times New Roman" w:eastAsia="Times New Roman" w:hint="default"/>
                <w:sz w:val="18"/>
                <w:szCs w:val="18"/>
              </w:rPr>
            </w:pPr>
            <w:r>
              <w:rPr>
                <w:rFonts w:ascii="Times New Roman"/>
                <w:sz w:val="18"/>
              </w:rPr>
              <w:t>100.00%</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7,713,438,140.57</w:t>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09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left="369" w:right="0"/>
              <w:jc w:val="left"/>
              <w:rPr>
                <w:rFonts w:ascii="Times New Roman" w:hAnsi="Times New Roman" w:cs="Times New Roman" w:eastAsia="Times New Roman" w:hint="default"/>
                <w:sz w:val="18"/>
                <w:szCs w:val="18"/>
              </w:rPr>
            </w:pPr>
            <w:r>
              <w:rPr>
                <w:rFonts w:ascii="Times New Roman"/>
                <w:sz w:val="18"/>
              </w:rPr>
              <w:t>-14.97%</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227" w:top="1060" w:bottom="1420" w:left="900" w:right="980"/>
        </w:sectPr>
      </w:pPr>
    </w:p>
    <w:p>
      <w:pPr>
        <w:spacing w:line="240" w:lineRule="auto" w:before="0"/>
        <w:rPr>
          <w:rFonts w:ascii="宋体" w:hAnsi="宋体" w:cs="宋体" w:eastAsia="宋体" w:hint="default"/>
          <w:sz w:val="20"/>
          <w:szCs w:val="20"/>
        </w:rPr>
      </w:pPr>
    </w:p>
    <w:p>
      <w:pPr>
        <w:pStyle w:val="BodyText"/>
        <w:spacing w:line="240" w:lineRule="auto" w:before="175"/>
        <w:ind w:right="140"/>
        <w:jc w:val="left"/>
      </w:pPr>
      <w:r>
        <w:rPr/>
        <w:t>产品分类</w:t>
      </w:r>
    </w:p>
    <w:p>
      <w:pPr>
        <w:spacing w:line="240" w:lineRule="auto" w:before="3"/>
        <w:rPr>
          <w:rFonts w:ascii="宋体" w:hAnsi="宋体" w:cs="宋体" w:eastAsia="宋体" w:hint="default"/>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2100"/>
        <w:gridCol w:w="1589"/>
        <w:gridCol w:w="1352"/>
        <w:gridCol w:w="1529"/>
        <w:gridCol w:w="1621"/>
        <w:gridCol w:w="1260"/>
      </w:tblGrid>
      <w:tr>
        <w:trPr>
          <w:trHeight w:val="494" w:hRule="exact"/>
        </w:trPr>
        <w:tc>
          <w:tcPr>
            <w:tcW w:w="2100"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2941"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3149"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260"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484" w:hRule="exact"/>
        </w:trPr>
        <w:tc>
          <w:tcPr>
            <w:tcW w:w="2100" w:type="dxa"/>
            <w:vMerge/>
            <w:tcBorders>
              <w:left w:val="single" w:sz="12" w:space="0" w:color="000000"/>
              <w:bottom w:val="single" w:sz="4" w:space="0" w:color="000000"/>
              <w:right w:val="single" w:sz="4" w:space="0" w:color="000000"/>
            </w:tcBorders>
            <w:shd w:val="clear" w:color="auto" w:fill="D9D9D9"/>
          </w:tcPr>
          <w:p>
            <w:pPr/>
          </w:p>
        </w:tc>
        <w:tc>
          <w:tcPr>
            <w:tcW w:w="15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right="33"/>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1" w:type="dxa"/>
            <w:tcBorders>
              <w:top w:val="single" w:sz="4" w:space="0" w:color="000000"/>
              <w:left w:val="single" w:sz="4" w:space="0" w:color="000000"/>
              <w:bottom w:val="single" w:sz="4" w:space="0" w:color="000000"/>
              <w:right w:val="single" w:sz="7" w:space="0" w:color="000000"/>
            </w:tcBorders>
            <w:shd w:val="clear" w:color="auto" w:fill="D9D9D9"/>
          </w:tcPr>
          <w:p>
            <w:pPr>
              <w:pStyle w:val="TableParagraph"/>
              <w:spacing w:line="240" w:lineRule="auto" w:before="88"/>
              <w:ind w:left="185"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260" w:type="dxa"/>
            <w:vMerge/>
            <w:tcBorders>
              <w:left w:val="single" w:sz="4" w:space="0" w:color="000000"/>
              <w:bottom w:val="single" w:sz="4" w:space="0" w:color="000000"/>
              <w:right w:val="single" w:sz="12" w:space="0" w:color="000000"/>
            </w:tcBorders>
            <w:shd w:val="clear" w:color="auto" w:fill="D2D2D2"/>
          </w:tcPr>
          <w:p>
            <w:pPr/>
          </w:p>
        </w:tc>
      </w:tr>
      <w:tr>
        <w:trPr>
          <w:trHeight w:val="485" w:hRule="exact"/>
        </w:trPr>
        <w:tc>
          <w:tcPr>
            <w:tcW w:w="210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9"/>
              <w:ind w:left="16"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1,704,085,194.95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25.98%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1,593,986,429.86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20.67%</w:t>
            </w:r>
          </w:p>
        </w:tc>
        <w:tc>
          <w:tcPr>
            <w:tcW w:w="12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2"/>
              <w:ind w:right="-8"/>
              <w:jc w:val="right"/>
              <w:rPr>
                <w:rFonts w:ascii="Times New Roman" w:hAnsi="Times New Roman" w:cs="Times New Roman" w:eastAsia="Times New Roman" w:hint="default"/>
                <w:sz w:val="18"/>
                <w:szCs w:val="18"/>
              </w:rPr>
            </w:pPr>
            <w:r>
              <w:rPr>
                <w:rFonts w:ascii="Times New Roman"/>
                <w:sz w:val="18"/>
              </w:rPr>
              <w:t>6.91%</w:t>
            </w:r>
          </w:p>
        </w:tc>
      </w:tr>
      <w:tr>
        <w:trPr>
          <w:trHeight w:val="482" w:hRule="exact"/>
        </w:trPr>
        <w:tc>
          <w:tcPr>
            <w:tcW w:w="210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9"/>
              <w:ind w:left="19" w:right="0"/>
              <w:jc w:val="center"/>
              <w:rPr>
                <w:rFonts w:ascii="宋体" w:hAnsi="宋体" w:cs="宋体" w:eastAsia="宋体" w:hint="default"/>
                <w:sz w:val="18"/>
                <w:szCs w:val="18"/>
              </w:rPr>
            </w:pPr>
            <w:r>
              <w:rPr>
                <w:rFonts w:ascii="宋体" w:hAnsi="宋体" w:cs="宋体" w:eastAsia="宋体" w:hint="default"/>
                <w:sz w:val="18"/>
                <w:szCs w:val="18"/>
              </w:rPr>
              <w:t>农业信息化</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29,786,657.68</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z w:val="18"/>
              </w:rPr>
              <w:t>0.45%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2"/>
              <w:ind w:right="-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85" w:hRule="exact"/>
        </w:trPr>
        <w:tc>
          <w:tcPr>
            <w:tcW w:w="210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9"/>
              <w:ind w:left="16" w:right="0"/>
              <w:jc w:val="center"/>
              <w:rPr>
                <w:rFonts w:ascii="宋体" w:hAnsi="宋体" w:cs="宋体" w:eastAsia="宋体" w:hint="default"/>
                <w:sz w:val="18"/>
                <w:szCs w:val="18"/>
              </w:rPr>
            </w:pPr>
            <w:r>
              <w:rPr>
                <w:rFonts w:ascii="宋体" w:hAnsi="宋体" w:cs="宋体" w:eastAsia="宋体" w:hint="default"/>
                <w:sz w:val="18"/>
                <w:szCs w:val="18"/>
              </w:rPr>
              <w:t>应用软件开发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566,520,920.40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z w:val="18"/>
              </w:rPr>
              <w:t>8.64%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494,693,520.74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6.41%</w:t>
            </w:r>
          </w:p>
        </w:tc>
        <w:tc>
          <w:tcPr>
            <w:tcW w:w="12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2"/>
              <w:ind w:right="-11"/>
              <w:jc w:val="right"/>
              <w:rPr>
                <w:rFonts w:ascii="Times New Roman" w:hAnsi="Times New Roman" w:cs="Times New Roman" w:eastAsia="Times New Roman" w:hint="default"/>
                <w:sz w:val="18"/>
                <w:szCs w:val="18"/>
              </w:rPr>
            </w:pPr>
            <w:r>
              <w:rPr>
                <w:rFonts w:ascii="Times New Roman"/>
                <w:sz w:val="18"/>
              </w:rPr>
              <w:t>14.52%</w:t>
            </w:r>
          </w:p>
        </w:tc>
      </w:tr>
      <w:tr>
        <w:trPr>
          <w:trHeight w:val="485" w:hRule="exact"/>
        </w:trPr>
        <w:tc>
          <w:tcPr>
            <w:tcW w:w="210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9"/>
              <w:ind w:left="16" w:right="0"/>
              <w:jc w:val="center"/>
              <w:rPr>
                <w:rFonts w:ascii="宋体" w:hAnsi="宋体" w:cs="宋体" w:eastAsia="宋体" w:hint="default"/>
                <w:sz w:val="18"/>
                <w:szCs w:val="18"/>
              </w:rPr>
            </w:pPr>
            <w:r>
              <w:rPr>
                <w:rFonts w:ascii="宋体" w:hAnsi="宋体" w:cs="宋体" w:eastAsia="宋体" w:hint="default"/>
                <w:sz w:val="18"/>
                <w:szCs w:val="18"/>
              </w:rPr>
              <w:t>金融专业设备相关业务</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469,413,329.83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z w:val="18"/>
              </w:rPr>
              <w:t>7.16%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415,084,795.27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5.38%</w:t>
            </w:r>
          </w:p>
        </w:tc>
        <w:tc>
          <w:tcPr>
            <w:tcW w:w="12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2"/>
              <w:ind w:right="-11"/>
              <w:jc w:val="right"/>
              <w:rPr>
                <w:rFonts w:ascii="Times New Roman" w:hAnsi="Times New Roman" w:cs="Times New Roman" w:eastAsia="Times New Roman" w:hint="default"/>
                <w:sz w:val="18"/>
                <w:szCs w:val="18"/>
              </w:rPr>
            </w:pPr>
            <w:r>
              <w:rPr>
                <w:rFonts w:ascii="Times New Roman"/>
                <w:sz w:val="18"/>
              </w:rPr>
              <w:t>13.09%</w:t>
            </w:r>
          </w:p>
        </w:tc>
      </w:tr>
      <w:tr>
        <w:trPr>
          <w:trHeight w:val="495" w:hRule="exact"/>
        </w:trPr>
        <w:tc>
          <w:tcPr>
            <w:tcW w:w="2100"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90"/>
              <w:ind w:left="16" w:right="0"/>
              <w:jc w:val="center"/>
              <w:rPr>
                <w:rFonts w:ascii="宋体" w:hAnsi="宋体" w:cs="宋体" w:eastAsia="宋体" w:hint="default"/>
                <w:sz w:val="18"/>
                <w:szCs w:val="18"/>
              </w:rPr>
            </w:pPr>
            <w:r>
              <w:rPr>
                <w:rFonts w:ascii="宋体" w:hAnsi="宋体" w:cs="宋体" w:eastAsia="宋体" w:hint="default"/>
                <w:sz w:val="18"/>
                <w:szCs w:val="18"/>
              </w:rPr>
              <w:t>系统集成</w:t>
            </w:r>
          </w:p>
        </w:tc>
        <w:tc>
          <w:tcPr>
            <w:tcW w:w="15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3,789,201,815.14</w:t>
            </w:r>
          </w:p>
        </w:tc>
        <w:tc>
          <w:tcPr>
            <w:tcW w:w="13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57.77%</w:t>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5,209,673,394.70</w:t>
            </w:r>
          </w:p>
        </w:tc>
        <w:tc>
          <w:tcPr>
            <w:tcW w:w="16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67.54%</w:t>
            </w:r>
          </w:p>
        </w:tc>
        <w:tc>
          <w:tcPr>
            <w:tcW w:w="126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32"/>
              <w:ind w:right="-11"/>
              <w:jc w:val="right"/>
              <w:rPr>
                <w:rFonts w:ascii="Times New Roman" w:hAnsi="Times New Roman" w:cs="Times New Roman" w:eastAsia="Times New Roman" w:hint="default"/>
                <w:sz w:val="18"/>
                <w:szCs w:val="18"/>
              </w:rPr>
            </w:pPr>
            <w:r>
              <w:rPr>
                <w:rFonts w:ascii="Times New Roman"/>
                <w:sz w:val="18"/>
              </w:rPr>
              <w:t>-27.27%</w:t>
            </w:r>
          </w:p>
        </w:tc>
      </w:tr>
    </w:tbl>
    <w:p>
      <w:pPr>
        <w:pStyle w:val="BodyText"/>
        <w:spacing w:line="240" w:lineRule="auto" w:before="64"/>
        <w:ind w:right="140"/>
        <w:jc w:val="left"/>
      </w:pPr>
      <w:r>
        <w:rPr/>
        <w:t>公司实物销售收入是否大于劳务收入</w:t>
      </w:r>
    </w:p>
    <w:p>
      <w:pPr>
        <w:spacing w:line="240" w:lineRule="auto" w:before="10"/>
        <w:rPr>
          <w:rFonts w:ascii="宋体" w:hAnsi="宋体" w:cs="宋体" w:eastAsia="宋体" w:hint="default"/>
          <w:sz w:val="14"/>
          <w:szCs w:val="14"/>
        </w:rPr>
      </w:pPr>
    </w:p>
    <w:p>
      <w:pPr>
        <w:pStyle w:val="BodyText"/>
        <w:spacing w:line="386" w:lineRule="auto"/>
        <w:ind w:right="660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公司重大的在手订单情况</w:t>
      </w:r>
    </w:p>
    <w:p>
      <w:pPr>
        <w:pStyle w:val="BodyText"/>
        <w:spacing w:line="386" w:lineRule="auto" w:before="65"/>
        <w:ind w:right="45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公司报告期内产品或服务发生重大变化或调整有关情况</w:t>
      </w:r>
    </w:p>
    <w:p>
      <w:pPr>
        <w:pStyle w:val="BodyText"/>
        <w:spacing w:line="240" w:lineRule="auto" w:before="65"/>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BodyText"/>
        <w:spacing w:line="240" w:lineRule="auto"/>
        <w:ind w:right="140"/>
        <w:jc w:val="left"/>
      </w:pPr>
      <w:r>
        <w:rPr/>
        <w:t>公司主要销售客户情况</w:t>
      </w:r>
    </w:p>
    <w:p>
      <w:pPr>
        <w:spacing w:line="240" w:lineRule="auto" w:before="1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4258"/>
        <w:gridCol w:w="5313"/>
      </w:tblGrid>
      <w:tr>
        <w:trPr>
          <w:trHeight w:val="488" w:hRule="exact"/>
        </w:trPr>
        <w:tc>
          <w:tcPr>
            <w:tcW w:w="425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1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1"/>
              <w:ind w:right="10"/>
              <w:jc w:val="right"/>
              <w:rPr>
                <w:rFonts w:ascii="Times New Roman" w:hAnsi="Times New Roman" w:cs="Times New Roman" w:eastAsia="Times New Roman" w:hint="default"/>
                <w:sz w:val="18"/>
                <w:szCs w:val="18"/>
              </w:rPr>
            </w:pPr>
            <w:r>
              <w:rPr>
                <w:rFonts w:ascii="Times New Roman"/>
                <w:spacing w:val="-1"/>
                <w:sz w:val="18"/>
              </w:rPr>
              <w:t>858,751,403.96</w:t>
            </w:r>
          </w:p>
        </w:tc>
      </w:tr>
      <w:tr>
        <w:trPr>
          <w:trHeight w:val="456" w:hRule="exact"/>
        </w:trPr>
        <w:tc>
          <w:tcPr>
            <w:tcW w:w="425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5"/>
              <w:ind w:left="1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8"/>
              <w:ind w:right="6"/>
              <w:jc w:val="right"/>
              <w:rPr>
                <w:rFonts w:ascii="Times New Roman" w:hAnsi="Times New Roman" w:cs="Times New Roman" w:eastAsia="Times New Roman" w:hint="default"/>
                <w:sz w:val="18"/>
                <w:szCs w:val="18"/>
              </w:rPr>
            </w:pPr>
            <w:r>
              <w:rPr>
                <w:rFonts w:ascii="Times New Roman"/>
                <w:sz w:val="18"/>
              </w:rPr>
              <w:t>13.08%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36"/>
        <w:ind w:right="140"/>
        <w:jc w:val="left"/>
      </w:pPr>
      <w:r>
        <w:rPr/>
        <w:t>公司前</w:t>
      </w:r>
      <w:r>
        <w:rPr>
          <w:spacing w:val="-53"/>
        </w:rPr>
        <w:t> </w:t>
      </w:r>
      <w:r>
        <w:rPr>
          <w:rFonts w:ascii="Times New Roman" w:hAnsi="Times New Roman" w:cs="Times New Roman" w:eastAsia="Times New Roman" w:hint="default"/>
        </w:rPr>
        <w:t>5 </w:t>
      </w:r>
      <w:r>
        <w:rPr/>
        <w:t>大客户资料</w:t>
      </w:r>
    </w:p>
    <w:p>
      <w:pPr>
        <w:pStyle w:val="BodyText"/>
        <w:spacing w:line="240" w:lineRule="auto" w:before="177"/>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802"/>
        <w:gridCol w:w="2259"/>
        <w:gridCol w:w="3365"/>
        <w:gridCol w:w="3145"/>
      </w:tblGrid>
      <w:tr>
        <w:trPr>
          <w:trHeight w:val="443" w:hRule="exact"/>
        </w:trPr>
        <w:tc>
          <w:tcPr>
            <w:tcW w:w="80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5"/>
              <w:ind w:left="20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25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336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5"/>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79" w:hRule="exact"/>
        </w:trPr>
        <w:tc>
          <w:tcPr>
            <w:tcW w:w="80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38"/>
              <w:ind w:right="8"/>
              <w:jc w:val="center"/>
              <w:rPr>
                <w:rFonts w:ascii="Times New Roman" w:hAnsi="Times New Roman" w:cs="Times New Roman" w:eastAsia="Times New Roman" w:hint="default"/>
                <w:sz w:val="18"/>
                <w:szCs w:val="18"/>
              </w:rPr>
            </w:pPr>
            <w:r>
              <w:rPr>
                <w:rFonts w:ascii="Times New Roman"/>
                <w:sz w:val="18"/>
              </w:rPr>
              <w:t>1</w:t>
            </w:r>
          </w:p>
        </w:tc>
        <w:tc>
          <w:tcPr>
            <w:tcW w:w="2259" w:type="dxa"/>
            <w:tcBorders>
              <w:top w:val="single" w:sz="16" w:space="0" w:color="D2D2D2"/>
              <w:left w:val="single" w:sz="10" w:space="0" w:color="D2D2D2"/>
              <w:bottom w:val="single" w:sz="4" w:space="0" w:color="000000"/>
              <w:right w:val="single" w:sz="4" w:space="0" w:color="000000"/>
            </w:tcBorders>
          </w:tcPr>
          <w:p>
            <w:pPr>
              <w:pStyle w:val="TableParagraph"/>
              <w:spacing w:line="240" w:lineRule="auto" w:before="80"/>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3365"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265,641,341.04</w:t>
            </w:r>
          </w:p>
        </w:tc>
        <w:tc>
          <w:tcPr>
            <w:tcW w:w="3145"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4.05%</w:t>
            </w:r>
          </w:p>
        </w:tc>
      </w:tr>
      <w:tr>
        <w:trPr>
          <w:trHeight w:val="466" w:hRule="exact"/>
        </w:trPr>
        <w:tc>
          <w:tcPr>
            <w:tcW w:w="80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2"/>
              <w:ind w:right="8"/>
              <w:jc w:val="center"/>
              <w:rPr>
                <w:rFonts w:ascii="Times New Roman" w:hAnsi="Times New Roman" w:cs="Times New Roman" w:eastAsia="Times New Roman" w:hint="default"/>
                <w:sz w:val="18"/>
                <w:szCs w:val="18"/>
              </w:rPr>
            </w:pPr>
            <w:r>
              <w:rPr>
                <w:rFonts w:ascii="Times New Roman"/>
                <w:sz w:val="18"/>
              </w:rPr>
              <w:t>2</w:t>
            </w:r>
          </w:p>
        </w:tc>
        <w:tc>
          <w:tcPr>
            <w:tcW w:w="22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0"/>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215,291,277.69</w:t>
            </w:r>
          </w:p>
        </w:tc>
        <w:tc>
          <w:tcPr>
            <w:tcW w:w="31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3.28%</w:t>
            </w:r>
          </w:p>
        </w:tc>
      </w:tr>
      <w:tr>
        <w:trPr>
          <w:trHeight w:val="463" w:hRule="exact"/>
        </w:trPr>
        <w:tc>
          <w:tcPr>
            <w:tcW w:w="80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2"/>
              <w:ind w:right="8"/>
              <w:jc w:val="center"/>
              <w:rPr>
                <w:rFonts w:ascii="Times New Roman" w:hAnsi="Times New Roman" w:cs="Times New Roman" w:eastAsia="Times New Roman" w:hint="default"/>
                <w:sz w:val="18"/>
                <w:szCs w:val="18"/>
              </w:rPr>
            </w:pPr>
            <w:r>
              <w:rPr>
                <w:rFonts w:ascii="Times New Roman"/>
                <w:sz w:val="18"/>
              </w:rPr>
              <w:t>3</w:t>
            </w:r>
          </w:p>
        </w:tc>
        <w:tc>
          <w:tcPr>
            <w:tcW w:w="22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0"/>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151,835,169.36</w:t>
            </w:r>
          </w:p>
        </w:tc>
        <w:tc>
          <w:tcPr>
            <w:tcW w:w="31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2.31%</w:t>
            </w:r>
          </w:p>
        </w:tc>
      </w:tr>
      <w:tr>
        <w:trPr>
          <w:trHeight w:val="463" w:hRule="exact"/>
        </w:trPr>
        <w:tc>
          <w:tcPr>
            <w:tcW w:w="80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2"/>
              <w:ind w:right="8"/>
              <w:jc w:val="center"/>
              <w:rPr>
                <w:rFonts w:ascii="Times New Roman" w:hAnsi="Times New Roman" w:cs="Times New Roman" w:eastAsia="Times New Roman" w:hint="default"/>
                <w:sz w:val="18"/>
                <w:szCs w:val="18"/>
              </w:rPr>
            </w:pPr>
            <w:r>
              <w:rPr>
                <w:rFonts w:ascii="Times New Roman"/>
                <w:sz w:val="18"/>
              </w:rPr>
              <w:t>4</w:t>
            </w:r>
          </w:p>
        </w:tc>
        <w:tc>
          <w:tcPr>
            <w:tcW w:w="22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0"/>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114,304,080.45</w:t>
            </w:r>
          </w:p>
        </w:tc>
        <w:tc>
          <w:tcPr>
            <w:tcW w:w="31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1.74%</w:t>
            </w:r>
          </w:p>
        </w:tc>
      </w:tr>
      <w:tr>
        <w:trPr>
          <w:trHeight w:val="466" w:hRule="exact"/>
        </w:trPr>
        <w:tc>
          <w:tcPr>
            <w:tcW w:w="80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2"/>
              <w:ind w:right="8"/>
              <w:jc w:val="center"/>
              <w:rPr>
                <w:rFonts w:ascii="Times New Roman" w:hAnsi="Times New Roman" w:cs="Times New Roman" w:eastAsia="Times New Roman" w:hint="default"/>
                <w:sz w:val="18"/>
                <w:szCs w:val="18"/>
              </w:rPr>
            </w:pPr>
            <w:r>
              <w:rPr>
                <w:rFonts w:ascii="Times New Roman"/>
                <w:sz w:val="18"/>
              </w:rPr>
              <w:t>5</w:t>
            </w:r>
          </w:p>
        </w:tc>
        <w:tc>
          <w:tcPr>
            <w:tcW w:w="22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0"/>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2"/>
                <w:sz w:val="18"/>
              </w:rPr>
              <w:t>111,679,535.42</w:t>
            </w:r>
          </w:p>
        </w:tc>
        <w:tc>
          <w:tcPr>
            <w:tcW w:w="31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1.70%</w:t>
            </w:r>
          </w:p>
        </w:tc>
      </w:tr>
      <w:tr>
        <w:trPr>
          <w:trHeight w:val="470" w:hRule="exact"/>
        </w:trPr>
        <w:tc>
          <w:tcPr>
            <w:tcW w:w="80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122"/>
              <w:ind w:right="3"/>
              <w:jc w:val="center"/>
              <w:rPr>
                <w:rFonts w:ascii="Times New Roman" w:hAnsi="Times New Roman" w:cs="Times New Roman" w:eastAsia="Times New Roman" w:hint="default"/>
                <w:sz w:val="18"/>
                <w:szCs w:val="18"/>
              </w:rPr>
            </w:pPr>
            <w:r>
              <w:rPr>
                <w:rFonts w:ascii="Times New Roman"/>
                <w:sz w:val="18"/>
              </w:rPr>
              <w:t>--</w:t>
            </w:r>
          </w:p>
        </w:tc>
        <w:tc>
          <w:tcPr>
            <w:tcW w:w="33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858,751,403.96</w:t>
            </w:r>
          </w:p>
        </w:tc>
        <w:tc>
          <w:tcPr>
            <w:tcW w:w="314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13.08%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060" w:bottom="1420" w:left="980" w:right="980"/>
        </w:sectPr>
      </w:pPr>
    </w:p>
    <w:p>
      <w:pPr>
        <w:spacing w:line="240" w:lineRule="auto" w:before="0"/>
        <w:rPr>
          <w:rFonts w:ascii="宋体" w:hAnsi="宋体" w:cs="宋体" w:eastAsia="宋体" w:hint="default"/>
          <w:sz w:val="20"/>
          <w:szCs w:val="20"/>
        </w:rPr>
      </w:pPr>
    </w:p>
    <w:p>
      <w:pPr>
        <w:pStyle w:val="BodyText"/>
        <w:spacing w:line="240" w:lineRule="auto" w:before="175"/>
        <w:ind w:right="140"/>
        <w:jc w:val="left"/>
      </w:pPr>
      <w:r>
        <w:rPr/>
        <w:t>主要客户其他情况说明</w:t>
      </w:r>
    </w:p>
    <w:p>
      <w:pPr>
        <w:spacing w:line="240" w:lineRule="auto" w:before="10"/>
        <w:rPr>
          <w:rFonts w:ascii="宋体" w:hAnsi="宋体" w:cs="宋体" w:eastAsia="宋体" w:hint="default"/>
          <w:sz w:val="14"/>
          <w:szCs w:val="14"/>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0"/>
          <w:szCs w:val="30"/>
        </w:rPr>
      </w:pPr>
    </w:p>
    <w:p>
      <w:pPr>
        <w:pStyle w:val="Heading4"/>
        <w:spacing w:line="240" w:lineRule="auto"/>
        <w:ind w:right="14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0" w:footer="1227" w:top="1060" w:bottom="1420" w:left="980" w:right="980"/>
        </w:sectPr>
      </w:pPr>
    </w:p>
    <w:p>
      <w:pPr>
        <w:pStyle w:val="BodyText"/>
        <w:spacing w:line="240" w:lineRule="auto" w:before="36"/>
        <w:ind w:right="-14"/>
        <w:jc w:val="left"/>
      </w:pPr>
      <w:r>
        <w:rPr>
          <w:spacing w:val="-1"/>
        </w:rPr>
        <w:t>行业分类</w:t>
      </w:r>
    </w:p>
    <w:p>
      <w:pPr>
        <w:spacing w:line="240" w:lineRule="auto" w:before="0"/>
        <w:rPr>
          <w:rFonts w:ascii="宋体" w:hAnsi="宋体" w:cs="宋体" w:eastAsia="宋体" w:hint="default"/>
          <w:sz w:val="18"/>
          <w:szCs w:val="18"/>
        </w:rPr>
      </w:pPr>
      <w:r>
        <w:rPr/>
        <w:br w:type="column"/>
      </w:r>
      <w:r>
        <w:rPr>
          <w:rFonts w:ascii="宋体"/>
          <w:sz w:val="18"/>
        </w:rPr>
      </w:r>
    </w:p>
    <w:p>
      <w:pPr>
        <w:spacing w:before="133"/>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420" w:left="980" w:right="980"/>
          <w:cols w:num="2" w:equalWidth="0">
            <w:col w:w="996" w:space="7924"/>
            <w:col w:w="1030"/>
          </w:cols>
        </w:sectPr>
      </w:pPr>
    </w:p>
    <w:p>
      <w:pPr>
        <w:spacing w:line="240" w:lineRule="auto" w:before="7"/>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85"/>
        <w:gridCol w:w="1561"/>
        <w:gridCol w:w="1419"/>
        <w:gridCol w:w="1428"/>
        <w:gridCol w:w="1529"/>
        <w:gridCol w:w="1620"/>
      </w:tblGrid>
      <w:tr>
        <w:trPr>
          <w:trHeight w:val="248" w:hRule="exact"/>
        </w:trPr>
        <w:tc>
          <w:tcPr>
            <w:tcW w:w="1985" w:type="dxa"/>
            <w:tcBorders>
              <w:top w:val="single" w:sz="12" w:space="0" w:color="000000"/>
              <w:left w:val="single" w:sz="12" w:space="0" w:color="000000"/>
              <w:bottom w:val="nil" w:sz="6" w:space="0" w:color="auto"/>
              <w:right w:val="single" w:sz="4" w:space="0" w:color="000000"/>
            </w:tcBorders>
            <w:shd w:val="clear" w:color="auto" w:fill="D2D2D2"/>
          </w:tcPr>
          <w:p>
            <w:pPr/>
          </w:p>
        </w:tc>
        <w:tc>
          <w:tcPr>
            <w:tcW w:w="2979"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57"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20"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174" w:hRule="exact"/>
        </w:trPr>
        <w:tc>
          <w:tcPr>
            <w:tcW w:w="1985"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2979" w:type="dxa"/>
            <w:gridSpan w:val="2"/>
            <w:vMerge/>
            <w:tcBorders>
              <w:left w:val="single" w:sz="4" w:space="0" w:color="000000"/>
              <w:bottom w:val="single" w:sz="4" w:space="0" w:color="000000"/>
              <w:right w:val="single" w:sz="4" w:space="0" w:color="000000"/>
            </w:tcBorders>
            <w:shd w:val="clear" w:color="auto" w:fill="D2D2D2"/>
          </w:tcPr>
          <w:p>
            <w:pPr/>
          </w:p>
        </w:tc>
        <w:tc>
          <w:tcPr>
            <w:tcW w:w="2957" w:type="dxa"/>
            <w:gridSpan w:val="2"/>
            <w:vMerge/>
            <w:tcBorders>
              <w:left w:val="single" w:sz="4" w:space="0" w:color="000000"/>
              <w:bottom w:val="single" w:sz="4" w:space="0" w:color="000000"/>
              <w:right w:val="single" w:sz="4" w:space="0" w:color="000000"/>
            </w:tcBorders>
            <w:shd w:val="clear" w:color="auto" w:fill="D2D2D2"/>
          </w:tcPr>
          <w:p>
            <w:pPr/>
          </w:p>
        </w:tc>
        <w:tc>
          <w:tcPr>
            <w:tcW w:w="1620"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17" w:hRule="exact"/>
        </w:trPr>
        <w:tc>
          <w:tcPr>
            <w:tcW w:w="1985" w:type="dxa"/>
            <w:vMerge/>
            <w:tcBorders>
              <w:left w:val="single" w:sz="12" w:space="0" w:color="000000"/>
              <w:bottom w:val="nil" w:sz="6" w:space="0" w:color="auto"/>
              <w:right w:val="single" w:sz="4" w:space="0" w:color="000000"/>
            </w:tcBorders>
            <w:shd w:val="clear" w:color="auto" w:fill="D2D2D2"/>
          </w:tcPr>
          <w:p>
            <w:pP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0"/>
              <w:ind w:left="7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0"/>
              <w:ind w:left="129"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20" w:type="dxa"/>
            <w:vMerge/>
            <w:tcBorders>
              <w:left w:val="single" w:sz="4" w:space="0" w:color="000000"/>
              <w:bottom w:val="nil" w:sz="6" w:space="0" w:color="auto"/>
              <w:right w:val="single" w:sz="12" w:space="0" w:color="000000"/>
            </w:tcBorders>
            <w:shd w:val="clear" w:color="auto" w:fill="D2D2D2"/>
          </w:tcPr>
          <w:p>
            <w:pPr/>
          </w:p>
        </w:tc>
      </w:tr>
      <w:tr>
        <w:trPr>
          <w:trHeight w:val="253" w:hRule="exact"/>
        </w:trPr>
        <w:tc>
          <w:tcPr>
            <w:tcW w:w="1985" w:type="dxa"/>
            <w:tcBorders>
              <w:top w:val="nil" w:sz="6" w:space="0" w:color="auto"/>
              <w:left w:val="single" w:sz="12"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28" w:type="dxa"/>
            <w:vMerge/>
            <w:tcBorders>
              <w:left w:val="single" w:sz="4" w:space="0" w:color="000000"/>
              <w:bottom w:val="single" w:sz="4" w:space="0" w:color="000000"/>
              <w:right w:val="single" w:sz="4" w:space="0" w:color="000000"/>
            </w:tcBorders>
            <w:shd w:val="clear" w:color="auto" w:fill="D2D2D2"/>
          </w:tcPr>
          <w:p>
            <w:pPr/>
          </w:p>
        </w:tc>
        <w:tc>
          <w:tcPr>
            <w:tcW w:w="1529" w:type="dxa"/>
            <w:vMerge/>
            <w:tcBorders>
              <w:left w:val="single" w:sz="4" w:space="0" w:color="000000"/>
              <w:bottom w:val="single" w:sz="4" w:space="0" w:color="000000"/>
              <w:right w:val="single" w:sz="4" w:space="0" w:color="000000"/>
            </w:tcBorders>
            <w:shd w:val="clear" w:color="auto" w:fill="D2D2D2"/>
          </w:tcPr>
          <w:p>
            <w:pPr/>
          </w:p>
        </w:tc>
        <w:tc>
          <w:tcPr>
            <w:tcW w:w="1620"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87" w:hRule="exact"/>
        </w:trPr>
        <w:tc>
          <w:tcPr>
            <w:tcW w:w="198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软件与信息技术服务业</w:t>
            </w:r>
          </w:p>
        </w:tc>
        <w:tc>
          <w:tcPr>
            <w:tcW w:w="1561" w:type="dxa"/>
            <w:tcBorders>
              <w:top w:val="single" w:sz="12" w:space="0" w:color="D2D2D2"/>
              <w:left w:val="single" w:sz="4" w:space="0" w:color="000000"/>
              <w:bottom w:val="single" w:sz="12" w:space="0" w:color="000000"/>
              <w:right w:val="single" w:sz="4" w:space="0" w:color="000000"/>
            </w:tcBorders>
          </w:tcPr>
          <w:p>
            <w:pPr>
              <w:pStyle w:val="TableParagraph"/>
              <w:spacing w:line="240" w:lineRule="auto" w:before="127"/>
              <w:ind w:left="267" w:right="0"/>
              <w:jc w:val="left"/>
              <w:rPr>
                <w:rFonts w:ascii="Times New Roman" w:hAnsi="Times New Roman" w:cs="Times New Roman" w:eastAsia="Times New Roman" w:hint="default"/>
                <w:sz w:val="18"/>
                <w:szCs w:val="18"/>
              </w:rPr>
            </w:pPr>
            <w:r>
              <w:rPr>
                <w:rFonts w:ascii="Times New Roman"/>
                <w:sz w:val="18"/>
              </w:rPr>
              <w:t>5,357,409,536.95</w:t>
            </w:r>
          </w:p>
        </w:tc>
        <w:tc>
          <w:tcPr>
            <w:tcW w:w="1419" w:type="dxa"/>
            <w:tcBorders>
              <w:top w:val="single" w:sz="12" w:space="0" w:color="D2D2D2"/>
              <w:left w:val="single" w:sz="4" w:space="0" w:color="000000"/>
              <w:bottom w:val="single" w:sz="12" w:space="0" w:color="000000"/>
              <w:right w:val="single" w:sz="4" w:space="0" w:color="000000"/>
            </w:tcBorders>
          </w:tcPr>
          <w:p>
            <w:pPr>
              <w:pStyle w:val="TableParagraph"/>
              <w:spacing w:line="240" w:lineRule="auto" w:before="127"/>
              <w:ind w:left="741" w:right="0"/>
              <w:jc w:val="left"/>
              <w:rPr>
                <w:rFonts w:ascii="Times New Roman" w:hAnsi="Times New Roman" w:cs="Times New Roman" w:eastAsia="Times New Roman" w:hint="default"/>
                <w:sz w:val="18"/>
                <w:szCs w:val="18"/>
              </w:rPr>
            </w:pPr>
            <w:r>
              <w:rPr>
                <w:rFonts w:ascii="Times New Roman"/>
                <w:sz w:val="18"/>
              </w:rPr>
              <w:t>100.00%</w:t>
            </w:r>
          </w:p>
        </w:tc>
        <w:tc>
          <w:tcPr>
            <w:tcW w:w="1428" w:type="dxa"/>
            <w:tcBorders>
              <w:top w:val="single" w:sz="12" w:space="0" w:color="D2D2D2"/>
              <w:left w:val="single" w:sz="4" w:space="0" w:color="000000"/>
              <w:bottom w:val="single" w:sz="12" w:space="0" w:color="000000"/>
              <w:right w:val="single" w:sz="4" w:space="0" w:color="000000"/>
            </w:tcBorders>
          </w:tcPr>
          <w:p>
            <w:pPr>
              <w:pStyle w:val="TableParagraph"/>
              <w:spacing w:line="240" w:lineRule="auto" w:before="127"/>
              <w:ind w:left="136" w:right="0"/>
              <w:jc w:val="left"/>
              <w:rPr>
                <w:rFonts w:ascii="Times New Roman" w:hAnsi="Times New Roman" w:cs="Times New Roman" w:eastAsia="Times New Roman" w:hint="default"/>
                <w:sz w:val="18"/>
                <w:szCs w:val="18"/>
              </w:rPr>
            </w:pPr>
            <w:r>
              <w:rPr>
                <w:rFonts w:ascii="Times New Roman"/>
                <w:sz w:val="18"/>
              </w:rPr>
              <w:t>6,528,598,726.85</w:t>
            </w:r>
          </w:p>
        </w:tc>
        <w:tc>
          <w:tcPr>
            <w:tcW w:w="1529" w:type="dxa"/>
            <w:tcBorders>
              <w:top w:val="single" w:sz="12" w:space="0" w:color="D2D2D2"/>
              <w:left w:val="single" w:sz="4" w:space="0" w:color="000000"/>
              <w:bottom w:val="single" w:sz="12" w:space="0" w:color="000000"/>
              <w:right w:val="single" w:sz="4" w:space="0" w:color="000000"/>
            </w:tcBorders>
          </w:tcPr>
          <w:p>
            <w:pPr>
              <w:pStyle w:val="TableParagraph"/>
              <w:spacing w:line="240" w:lineRule="auto" w:before="127"/>
              <w:ind w:left="852" w:right="0"/>
              <w:jc w:val="left"/>
              <w:rPr>
                <w:rFonts w:ascii="Times New Roman" w:hAnsi="Times New Roman" w:cs="Times New Roman" w:eastAsia="Times New Roman" w:hint="default"/>
                <w:sz w:val="18"/>
                <w:szCs w:val="18"/>
              </w:rPr>
            </w:pPr>
            <w:r>
              <w:rPr>
                <w:rFonts w:ascii="Times New Roman"/>
                <w:sz w:val="18"/>
              </w:rPr>
              <w:t>100.00%</w:t>
            </w:r>
          </w:p>
        </w:tc>
        <w:tc>
          <w:tcPr>
            <w:tcW w:w="162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38"/>
              <w:ind w:left="974" w:right="0"/>
              <w:jc w:val="left"/>
              <w:rPr>
                <w:rFonts w:ascii="Times New Roman" w:hAnsi="Times New Roman" w:cs="Times New Roman" w:eastAsia="Times New Roman" w:hint="default"/>
                <w:sz w:val="18"/>
                <w:szCs w:val="18"/>
              </w:rPr>
            </w:pPr>
            <w:r>
              <w:rPr>
                <w:rFonts w:ascii="Times New Roman"/>
                <w:sz w:val="18"/>
              </w:rPr>
              <w:t>-17.94%</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420" w:left="980" w:right="980"/>
        </w:sectPr>
      </w:pPr>
    </w:p>
    <w:p>
      <w:pPr>
        <w:spacing w:line="240" w:lineRule="auto" w:before="13"/>
        <w:rPr>
          <w:rFonts w:ascii="宋体" w:hAnsi="宋体" w:cs="宋体" w:eastAsia="宋体" w:hint="default"/>
          <w:sz w:val="14"/>
          <w:szCs w:val="14"/>
        </w:rPr>
      </w:pPr>
    </w:p>
    <w:p>
      <w:pPr>
        <w:pStyle w:val="BodyText"/>
        <w:spacing w:line="240" w:lineRule="auto"/>
        <w:ind w:right="-14"/>
        <w:jc w:val="left"/>
      </w:pPr>
      <w:r>
        <w:rPr>
          <w:spacing w:val="-1"/>
        </w:rPr>
        <w:t>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420" w:left="980" w:right="980"/>
          <w:cols w:num="2" w:equalWidth="0">
            <w:col w:w="996" w:space="7924"/>
            <w:col w:w="1030"/>
          </w:cols>
        </w:sectPr>
      </w:pPr>
    </w:p>
    <w:p>
      <w:pPr>
        <w:spacing w:line="240" w:lineRule="auto" w:before="7"/>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1985"/>
        <w:gridCol w:w="1594"/>
        <w:gridCol w:w="1596"/>
        <w:gridCol w:w="1594"/>
        <w:gridCol w:w="1596"/>
        <w:gridCol w:w="1191"/>
      </w:tblGrid>
      <w:tr>
        <w:trPr>
          <w:trHeight w:val="262" w:hRule="exact"/>
        </w:trPr>
        <w:tc>
          <w:tcPr>
            <w:tcW w:w="1985" w:type="dxa"/>
            <w:tcBorders>
              <w:top w:val="single" w:sz="12" w:space="0" w:color="000000"/>
              <w:left w:val="single" w:sz="12" w:space="0" w:color="000000"/>
              <w:bottom w:val="nil" w:sz="6" w:space="0" w:color="auto"/>
              <w:right w:val="single" w:sz="4" w:space="0" w:color="000000"/>
            </w:tcBorders>
            <w:shd w:val="clear" w:color="auto" w:fill="D2D2D2"/>
          </w:tcPr>
          <w:p>
            <w:pPr/>
          </w:p>
        </w:tc>
        <w:tc>
          <w:tcPr>
            <w:tcW w:w="3191"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6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1"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197" w:hRule="exact"/>
        </w:trPr>
        <w:tc>
          <w:tcPr>
            <w:tcW w:w="1985"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3191" w:type="dxa"/>
            <w:gridSpan w:val="2"/>
            <w:vMerge/>
            <w:tcBorders>
              <w:left w:val="single" w:sz="4" w:space="0" w:color="000000"/>
              <w:bottom w:val="single" w:sz="4" w:space="0" w:color="000000"/>
              <w:right w:val="single" w:sz="4" w:space="0" w:color="000000"/>
            </w:tcBorders>
            <w:shd w:val="clear" w:color="auto" w:fill="D2D2D2"/>
          </w:tcPr>
          <w:p>
            <w:pPr/>
          </w:p>
        </w:tc>
        <w:tc>
          <w:tcPr>
            <w:tcW w:w="3190" w:type="dxa"/>
            <w:gridSpan w:val="2"/>
            <w:vMerge/>
            <w:tcBorders>
              <w:left w:val="single" w:sz="4" w:space="0" w:color="000000"/>
              <w:bottom w:val="single" w:sz="4" w:space="0" w:color="000000"/>
              <w:right w:val="single" w:sz="4" w:space="0" w:color="000000"/>
            </w:tcBorders>
            <w:shd w:val="clear" w:color="auto" w:fill="D2D2D2"/>
          </w:tcPr>
          <w:p>
            <w:pPr/>
          </w:p>
        </w:tc>
        <w:tc>
          <w:tcPr>
            <w:tcW w:w="1191"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7" w:hRule="exact"/>
        </w:trPr>
        <w:tc>
          <w:tcPr>
            <w:tcW w:w="1985" w:type="dxa"/>
            <w:vMerge/>
            <w:tcBorders>
              <w:left w:val="single" w:sz="12"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left="16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191" w:type="dxa"/>
            <w:vMerge/>
            <w:tcBorders>
              <w:left w:val="single" w:sz="4" w:space="0" w:color="000000"/>
              <w:bottom w:val="nil" w:sz="6" w:space="0" w:color="auto"/>
              <w:right w:val="single" w:sz="12" w:space="0" w:color="000000"/>
            </w:tcBorders>
            <w:shd w:val="clear" w:color="auto" w:fill="D2D2D2"/>
          </w:tcPr>
          <w:p>
            <w:pPr/>
          </w:p>
        </w:tc>
      </w:tr>
      <w:tr>
        <w:trPr>
          <w:trHeight w:val="251" w:hRule="exact"/>
        </w:trPr>
        <w:tc>
          <w:tcPr>
            <w:tcW w:w="1985" w:type="dxa"/>
            <w:tcBorders>
              <w:top w:val="nil" w:sz="6" w:space="0" w:color="auto"/>
              <w:left w:val="single" w:sz="12"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81" w:hRule="exact"/>
        </w:trPr>
        <w:tc>
          <w:tcPr>
            <w:tcW w:w="19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1,302,569,052.74</w:t>
            </w:r>
          </w:p>
        </w:tc>
        <w:tc>
          <w:tcPr>
            <w:tcW w:w="159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24.31%</w:t>
            </w:r>
          </w:p>
        </w:tc>
        <w:tc>
          <w:tcPr>
            <w:tcW w:w="159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1,244,267,376.32</w:t>
            </w:r>
          </w:p>
        </w:tc>
        <w:tc>
          <w:tcPr>
            <w:tcW w:w="159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z w:val="18"/>
              </w:rPr>
              <w:t>19.06%</w:t>
            </w:r>
          </w:p>
        </w:tc>
        <w:tc>
          <w:tcPr>
            <w:tcW w:w="11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8"/>
              <w:ind w:right="11"/>
              <w:jc w:val="right"/>
              <w:rPr>
                <w:rFonts w:ascii="Times New Roman" w:hAnsi="Times New Roman" w:cs="Times New Roman" w:eastAsia="Times New Roman" w:hint="default"/>
                <w:sz w:val="18"/>
                <w:szCs w:val="18"/>
              </w:rPr>
            </w:pPr>
            <w:r>
              <w:rPr>
                <w:rFonts w:ascii="Times New Roman"/>
                <w:sz w:val="18"/>
              </w:rPr>
              <w:t>4.69%</w:t>
            </w:r>
          </w:p>
        </w:tc>
      </w:tr>
      <w:tr>
        <w:trPr>
          <w:trHeight w:val="463" w:hRule="exact"/>
        </w:trPr>
        <w:tc>
          <w:tcPr>
            <w:tcW w:w="19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农业信息化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13,816,553.37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64" w:hRule="exact"/>
        </w:trPr>
        <w:tc>
          <w:tcPr>
            <w:tcW w:w="19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400,805,717.26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343,994,034.14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5.27%</w:t>
            </w:r>
          </w:p>
        </w:tc>
        <w:tc>
          <w:tcPr>
            <w:tcW w:w="11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16.52%</w:t>
            </w:r>
          </w:p>
        </w:tc>
      </w:tr>
      <w:tr>
        <w:trPr>
          <w:trHeight w:val="466" w:hRule="exact"/>
        </w:trPr>
        <w:tc>
          <w:tcPr>
            <w:tcW w:w="19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金融专业设备相关业务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299,051,163.74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259,701,306.50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3.98%</w:t>
            </w:r>
          </w:p>
        </w:tc>
        <w:tc>
          <w:tcPr>
            <w:tcW w:w="11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15.15%</w:t>
            </w:r>
          </w:p>
        </w:tc>
      </w:tr>
      <w:tr>
        <w:trPr>
          <w:trHeight w:val="473" w:hRule="exact"/>
        </w:trPr>
        <w:tc>
          <w:tcPr>
            <w:tcW w:w="198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3,341,167,049.84</w:t>
            </w:r>
          </w:p>
        </w:tc>
        <w:tc>
          <w:tcPr>
            <w:tcW w:w="1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62.37%</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4,680,636,009.89</w:t>
            </w:r>
          </w:p>
        </w:tc>
        <w:tc>
          <w:tcPr>
            <w:tcW w:w="1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71.69%</w:t>
            </w:r>
          </w:p>
        </w:tc>
        <w:tc>
          <w:tcPr>
            <w:tcW w:w="11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-28.62%</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420" w:left="980" w:right="980"/>
        </w:sectPr>
      </w:pPr>
    </w:p>
    <w:p>
      <w:pPr>
        <w:pStyle w:val="BodyText"/>
        <w:spacing w:line="240" w:lineRule="auto" w:before="36"/>
        <w:ind w:right="-7"/>
        <w:jc w:val="left"/>
      </w:pPr>
      <w:r>
        <w:rPr>
          <w:spacing w:val="-1"/>
        </w:rPr>
        <w:t>公司主要供应商情况</w:t>
      </w:r>
    </w:p>
    <w:p>
      <w:pPr>
        <w:spacing w:line="240" w:lineRule="auto" w:before="0"/>
        <w:rPr>
          <w:rFonts w:ascii="宋体" w:hAnsi="宋体" w:cs="宋体" w:eastAsia="宋体" w:hint="default"/>
          <w:sz w:val="18"/>
          <w:szCs w:val="18"/>
        </w:rPr>
      </w:pPr>
      <w:r>
        <w:rPr/>
        <w:br w:type="column"/>
      </w:r>
      <w:r>
        <w:rPr>
          <w:rFonts w:ascii="宋体"/>
          <w:sz w:val="18"/>
        </w:rPr>
      </w:r>
    </w:p>
    <w:p>
      <w:pPr>
        <w:spacing w:before="133"/>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420" w:left="980" w:right="980"/>
          <w:cols w:num="2" w:equalWidth="0">
            <w:col w:w="2048" w:space="6873"/>
            <w:col w:w="1029"/>
          </w:cols>
        </w:sectPr>
      </w:pPr>
    </w:p>
    <w:p>
      <w:pPr>
        <w:spacing w:line="240" w:lineRule="auto" w:before="4"/>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258"/>
        <w:gridCol w:w="5313"/>
      </w:tblGrid>
      <w:tr>
        <w:trPr>
          <w:trHeight w:val="456" w:hRule="exact"/>
        </w:trPr>
        <w:tc>
          <w:tcPr>
            <w:tcW w:w="425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1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1"/>
              <w:ind w:right="10"/>
              <w:jc w:val="right"/>
              <w:rPr>
                <w:rFonts w:ascii="Times New Roman" w:hAnsi="Times New Roman" w:cs="Times New Roman" w:eastAsia="Times New Roman" w:hint="default"/>
                <w:sz w:val="18"/>
                <w:szCs w:val="18"/>
              </w:rPr>
            </w:pPr>
            <w:r>
              <w:rPr>
                <w:rFonts w:ascii="Times New Roman"/>
                <w:spacing w:val="-1"/>
                <w:sz w:val="18"/>
              </w:rPr>
              <w:t>1,259,586,031.45</w:t>
            </w:r>
          </w:p>
        </w:tc>
      </w:tr>
      <w:tr>
        <w:trPr>
          <w:trHeight w:val="488" w:hRule="exact"/>
        </w:trPr>
        <w:tc>
          <w:tcPr>
            <w:tcW w:w="425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38"/>
              <w:ind w:right="6"/>
              <w:jc w:val="right"/>
              <w:rPr>
                <w:rFonts w:ascii="Times New Roman" w:hAnsi="Times New Roman" w:cs="Times New Roman" w:eastAsia="Times New Roman" w:hint="default"/>
                <w:sz w:val="18"/>
                <w:szCs w:val="18"/>
              </w:rPr>
            </w:pPr>
            <w:r>
              <w:rPr>
                <w:rFonts w:ascii="Times New Roman"/>
                <w:sz w:val="18"/>
              </w:rPr>
              <w:t>27.21%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42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0"/>
        <w:jc w:val="left"/>
      </w:pPr>
      <w:r>
        <w:rPr/>
        <w:t>公司前</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21"/>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936"/>
        <w:gridCol w:w="2876"/>
        <w:gridCol w:w="2881"/>
        <w:gridCol w:w="2878"/>
      </w:tblGrid>
      <w:tr>
        <w:trPr>
          <w:trHeight w:val="444" w:hRule="exact"/>
        </w:trPr>
        <w:tc>
          <w:tcPr>
            <w:tcW w:w="93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4"/>
              <w:ind w:left="27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87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88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89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87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4"/>
              <w:ind w:left="623"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79" w:hRule="exact"/>
        </w:trPr>
        <w:tc>
          <w:tcPr>
            <w:tcW w:w="93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38"/>
              <w:ind w:right="8"/>
              <w:jc w:val="center"/>
              <w:rPr>
                <w:rFonts w:ascii="Times New Roman" w:hAnsi="Times New Roman" w:cs="Times New Roman" w:eastAsia="Times New Roman" w:hint="default"/>
                <w:sz w:val="18"/>
                <w:szCs w:val="18"/>
              </w:rPr>
            </w:pPr>
            <w:r>
              <w:rPr>
                <w:rFonts w:ascii="Times New Roman"/>
                <w:sz w:val="18"/>
              </w:rPr>
              <w:t>1</w:t>
            </w:r>
          </w:p>
        </w:tc>
        <w:tc>
          <w:tcPr>
            <w:tcW w:w="2876" w:type="dxa"/>
            <w:tcBorders>
              <w:top w:val="single" w:sz="16" w:space="0" w:color="D2D2D2"/>
              <w:left w:val="single" w:sz="13" w:space="0" w:color="D2D2D2"/>
              <w:bottom w:val="single" w:sz="4" w:space="0" w:color="000000"/>
              <w:right w:val="single" w:sz="4" w:space="0" w:color="000000"/>
            </w:tcBorders>
          </w:tcPr>
          <w:p>
            <w:pPr>
              <w:pStyle w:val="TableParagraph"/>
              <w:spacing w:line="240" w:lineRule="auto" w:before="80"/>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881"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383,811,419.60</w:t>
            </w:r>
          </w:p>
        </w:tc>
        <w:tc>
          <w:tcPr>
            <w:tcW w:w="2878"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8.29%</w:t>
            </w:r>
          </w:p>
        </w:tc>
      </w:tr>
      <w:tr>
        <w:trPr>
          <w:trHeight w:val="463" w:hRule="exact"/>
        </w:trPr>
        <w:tc>
          <w:tcPr>
            <w:tcW w:w="93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2"/>
              <w:ind w:right="8"/>
              <w:jc w:val="center"/>
              <w:rPr>
                <w:rFonts w:ascii="Times New Roman" w:hAnsi="Times New Roman" w:cs="Times New Roman" w:eastAsia="Times New Roman" w:hint="default"/>
                <w:sz w:val="18"/>
                <w:szCs w:val="18"/>
              </w:rPr>
            </w:pPr>
            <w:r>
              <w:rPr>
                <w:rFonts w:ascii="Times New Roman"/>
                <w:sz w:val="18"/>
              </w:rPr>
              <w:t>2</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287,902,412.34</w:t>
            </w:r>
          </w:p>
        </w:tc>
        <w:tc>
          <w:tcPr>
            <w:tcW w:w="28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6.22%</w:t>
            </w:r>
          </w:p>
        </w:tc>
      </w:tr>
      <w:tr>
        <w:trPr>
          <w:trHeight w:val="466" w:hRule="exact"/>
        </w:trPr>
        <w:tc>
          <w:tcPr>
            <w:tcW w:w="93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2"/>
              <w:ind w:right="8"/>
              <w:jc w:val="center"/>
              <w:rPr>
                <w:rFonts w:ascii="Times New Roman" w:hAnsi="Times New Roman" w:cs="Times New Roman" w:eastAsia="Times New Roman" w:hint="default"/>
                <w:sz w:val="18"/>
                <w:szCs w:val="18"/>
              </w:rPr>
            </w:pPr>
            <w:r>
              <w:rPr>
                <w:rFonts w:ascii="Times New Roman"/>
                <w:sz w:val="18"/>
              </w:rPr>
              <w:t>3</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274,788,647.29</w:t>
            </w:r>
          </w:p>
        </w:tc>
        <w:tc>
          <w:tcPr>
            <w:tcW w:w="28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5.93%</w:t>
            </w:r>
          </w:p>
        </w:tc>
      </w:tr>
      <w:tr>
        <w:trPr>
          <w:trHeight w:val="463" w:hRule="exact"/>
        </w:trPr>
        <w:tc>
          <w:tcPr>
            <w:tcW w:w="93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2"/>
              <w:ind w:right="8"/>
              <w:jc w:val="center"/>
              <w:rPr>
                <w:rFonts w:ascii="Times New Roman" w:hAnsi="Times New Roman" w:cs="Times New Roman" w:eastAsia="Times New Roman" w:hint="default"/>
                <w:sz w:val="18"/>
                <w:szCs w:val="18"/>
              </w:rPr>
            </w:pPr>
            <w:r>
              <w:rPr>
                <w:rFonts w:ascii="Times New Roman"/>
                <w:sz w:val="18"/>
              </w:rPr>
              <w:t>4</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207,704,091.36</w:t>
            </w:r>
          </w:p>
        </w:tc>
        <w:tc>
          <w:tcPr>
            <w:tcW w:w="28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4.49%</w:t>
            </w:r>
          </w:p>
        </w:tc>
      </w:tr>
      <w:tr>
        <w:trPr>
          <w:trHeight w:val="463" w:hRule="exact"/>
        </w:trPr>
        <w:tc>
          <w:tcPr>
            <w:tcW w:w="93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2"/>
              <w:ind w:right="8"/>
              <w:jc w:val="center"/>
              <w:rPr>
                <w:rFonts w:ascii="Times New Roman" w:hAnsi="Times New Roman" w:cs="Times New Roman" w:eastAsia="Times New Roman" w:hint="default"/>
                <w:sz w:val="18"/>
                <w:szCs w:val="18"/>
              </w:rPr>
            </w:pPr>
            <w:r>
              <w:rPr>
                <w:rFonts w:ascii="Times New Roman"/>
                <w:sz w:val="18"/>
              </w:rPr>
              <w:t>5</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105,379,460.86</w:t>
            </w:r>
          </w:p>
        </w:tc>
        <w:tc>
          <w:tcPr>
            <w:tcW w:w="28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2.28%</w:t>
            </w:r>
          </w:p>
        </w:tc>
      </w:tr>
      <w:tr>
        <w:trPr>
          <w:trHeight w:val="473" w:hRule="exact"/>
        </w:trPr>
        <w:tc>
          <w:tcPr>
            <w:tcW w:w="93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28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1,259,586,031.45</w:t>
            </w:r>
          </w:p>
        </w:tc>
        <w:tc>
          <w:tcPr>
            <w:tcW w:w="287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6"/>
              <w:jc w:val="right"/>
              <w:rPr>
                <w:rFonts w:ascii="Times New Roman" w:hAnsi="Times New Roman" w:cs="Times New Roman" w:eastAsia="Times New Roman" w:hint="default"/>
                <w:sz w:val="18"/>
                <w:szCs w:val="18"/>
              </w:rPr>
            </w:pPr>
            <w:r>
              <w:rPr>
                <w:rFonts w:ascii="Times New Roman"/>
                <w:sz w:val="18"/>
              </w:rPr>
              <w:t>27.21%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36"/>
        <w:ind w:right="140"/>
        <w:jc w:val="left"/>
      </w:pPr>
      <w:r>
        <w:rPr/>
        <w:t>主要供应商其他情况说明</w:t>
      </w:r>
    </w:p>
    <w:p>
      <w:pPr>
        <w:spacing w:line="240" w:lineRule="auto" w:before="10"/>
        <w:rPr>
          <w:rFonts w:ascii="宋体" w:hAnsi="宋体" w:cs="宋体" w:eastAsia="宋体" w:hint="default"/>
          <w:sz w:val="14"/>
          <w:szCs w:val="14"/>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0"/>
          <w:szCs w:val="30"/>
        </w:rPr>
      </w:pPr>
    </w:p>
    <w:p>
      <w:pPr>
        <w:pStyle w:val="Heading4"/>
        <w:spacing w:line="240" w:lineRule="auto"/>
        <w:ind w:right="14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12"/>
        <w:rPr>
          <w:rFonts w:ascii="宋体" w:hAnsi="宋体" w:cs="宋体" w:eastAsia="宋体" w:hint="default"/>
          <w:b/>
          <w:bCs/>
          <w:sz w:val="26"/>
          <w:szCs w:val="26"/>
        </w:rPr>
      </w:pPr>
    </w:p>
    <w:tbl>
      <w:tblPr>
        <w:tblW w:w="0" w:type="auto"/>
        <w:jc w:val="left"/>
        <w:tblInd w:w="131" w:type="dxa"/>
        <w:tblLayout w:type="fixed"/>
        <w:tblCellMar>
          <w:top w:w="0" w:type="dxa"/>
          <w:left w:w="0" w:type="dxa"/>
          <w:bottom w:w="0" w:type="dxa"/>
          <w:right w:w="0" w:type="dxa"/>
        </w:tblCellMar>
        <w:tblLook w:val="01E0"/>
      </w:tblPr>
      <w:tblGrid>
        <w:gridCol w:w="1586"/>
        <w:gridCol w:w="1695"/>
        <w:gridCol w:w="1697"/>
        <w:gridCol w:w="1697"/>
        <w:gridCol w:w="1697"/>
        <w:gridCol w:w="1145"/>
      </w:tblGrid>
      <w:tr>
        <w:trPr>
          <w:trHeight w:val="461" w:hRule="exact"/>
        </w:trPr>
        <w:tc>
          <w:tcPr>
            <w:tcW w:w="1586"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3392"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3394"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145"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54" w:hRule="exact"/>
        </w:trPr>
        <w:tc>
          <w:tcPr>
            <w:tcW w:w="1586" w:type="dxa"/>
            <w:vMerge/>
            <w:tcBorders>
              <w:left w:val="single" w:sz="12" w:space="0" w:color="000000"/>
              <w:bottom w:val="single" w:sz="6" w:space="0" w:color="000000"/>
              <w:right w:val="single" w:sz="6" w:space="0" w:color="000000"/>
            </w:tcBorders>
            <w:shd w:val="clear" w:color="auto" w:fill="D2D2D2"/>
          </w:tcPr>
          <w:p>
            <w:pPr/>
          </w:p>
        </w:tc>
        <w:tc>
          <w:tcPr>
            <w:tcW w:w="16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1"/>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1"/>
              <w:ind w:left="22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1"/>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1"/>
              <w:ind w:left="21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145" w:type="dxa"/>
            <w:vMerge/>
            <w:tcBorders>
              <w:left w:val="single" w:sz="6" w:space="0" w:color="000000"/>
              <w:bottom w:val="single" w:sz="6" w:space="0" w:color="000000"/>
              <w:right w:val="single" w:sz="12" w:space="0" w:color="000000"/>
            </w:tcBorders>
            <w:shd w:val="clear" w:color="auto" w:fill="D2D2D2"/>
          </w:tcPr>
          <w:p>
            <w:pPr/>
          </w:p>
        </w:tc>
      </w:tr>
      <w:tr>
        <w:trPr>
          <w:trHeight w:val="484" w:hRule="exact"/>
        </w:trPr>
        <w:tc>
          <w:tcPr>
            <w:tcW w:w="15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6"/>
              <w:ind w:left="1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95" w:type="dxa"/>
            <w:tcBorders>
              <w:top w:val="single" w:sz="18" w:space="0" w:color="D2D2D2"/>
              <w:left w:val="single" w:sz="6" w:space="0" w:color="000000"/>
              <w:bottom w:val="single" w:sz="6" w:space="0" w:color="000000"/>
              <w:right w:val="single" w:sz="6" w:space="0" w:color="000000"/>
            </w:tcBorders>
          </w:tcPr>
          <w:p>
            <w:pPr>
              <w:pStyle w:val="TableParagraph"/>
              <w:spacing w:line="240" w:lineRule="auto" w:before="122"/>
              <w:ind w:right="0"/>
              <w:jc w:val="right"/>
              <w:rPr>
                <w:rFonts w:ascii="Times New Roman" w:hAnsi="Times New Roman" w:cs="Times New Roman" w:eastAsia="Times New Roman" w:hint="default"/>
                <w:sz w:val="18"/>
                <w:szCs w:val="18"/>
              </w:rPr>
            </w:pPr>
            <w:r>
              <w:rPr>
                <w:rFonts w:ascii="Times New Roman"/>
                <w:spacing w:val="-1"/>
                <w:sz w:val="18"/>
              </w:rPr>
              <w:t>420,076,869.46</w:t>
            </w:r>
          </w:p>
        </w:tc>
        <w:tc>
          <w:tcPr>
            <w:tcW w:w="1697" w:type="dxa"/>
            <w:tcBorders>
              <w:top w:val="single" w:sz="18" w:space="0" w:color="D2D2D2"/>
              <w:left w:val="single" w:sz="6" w:space="0" w:color="000000"/>
              <w:bottom w:val="single" w:sz="6" w:space="0" w:color="000000"/>
              <w:right w:val="single" w:sz="6" w:space="0" w:color="000000"/>
            </w:tcBorders>
          </w:tcPr>
          <w:p>
            <w:pPr>
              <w:pStyle w:val="TableParagraph"/>
              <w:spacing w:line="240" w:lineRule="auto" w:before="122"/>
              <w:ind w:right="-4"/>
              <w:jc w:val="right"/>
              <w:rPr>
                <w:rFonts w:ascii="Times New Roman" w:hAnsi="Times New Roman" w:cs="Times New Roman" w:eastAsia="Times New Roman" w:hint="default"/>
                <w:sz w:val="18"/>
                <w:szCs w:val="18"/>
              </w:rPr>
            </w:pPr>
            <w:r>
              <w:rPr>
                <w:rFonts w:ascii="Times New Roman"/>
                <w:sz w:val="18"/>
              </w:rPr>
              <w:t>6.40%</w:t>
            </w:r>
          </w:p>
        </w:tc>
        <w:tc>
          <w:tcPr>
            <w:tcW w:w="1697" w:type="dxa"/>
            <w:tcBorders>
              <w:top w:val="single" w:sz="18" w:space="0" w:color="D2D2D2"/>
              <w:left w:val="single" w:sz="6" w:space="0" w:color="000000"/>
              <w:bottom w:val="single" w:sz="6" w:space="0" w:color="000000"/>
              <w:right w:val="single" w:sz="6" w:space="0" w:color="000000"/>
            </w:tcBorders>
          </w:tcPr>
          <w:p>
            <w:pPr>
              <w:pStyle w:val="TableParagraph"/>
              <w:spacing w:line="240" w:lineRule="auto" w:before="122"/>
              <w:ind w:right="0"/>
              <w:jc w:val="right"/>
              <w:rPr>
                <w:rFonts w:ascii="Times New Roman" w:hAnsi="Times New Roman" w:cs="Times New Roman" w:eastAsia="Times New Roman" w:hint="default"/>
                <w:sz w:val="18"/>
                <w:szCs w:val="18"/>
              </w:rPr>
            </w:pPr>
            <w:r>
              <w:rPr>
                <w:rFonts w:ascii="Times New Roman"/>
                <w:spacing w:val="-1"/>
                <w:sz w:val="18"/>
              </w:rPr>
              <w:t>447,177,409.86</w:t>
            </w:r>
          </w:p>
        </w:tc>
        <w:tc>
          <w:tcPr>
            <w:tcW w:w="1697" w:type="dxa"/>
            <w:tcBorders>
              <w:top w:val="single" w:sz="18" w:space="0" w:color="D2D2D2"/>
              <w:left w:val="single" w:sz="6" w:space="0" w:color="000000"/>
              <w:bottom w:val="single" w:sz="6" w:space="0" w:color="000000"/>
              <w:right w:val="single" w:sz="6"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z w:val="18"/>
              </w:rPr>
              <w:t>5.80%</w:t>
            </w:r>
          </w:p>
        </w:tc>
        <w:tc>
          <w:tcPr>
            <w:tcW w:w="1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8"/>
              <w:ind w:right="-1"/>
              <w:jc w:val="right"/>
              <w:rPr>
                <w:rFonts w:ascii="Times New Roman" w:hAnsi="Times New Roman" w:cs="Times New Roman" w:eastAsia="Times New Roman" w:hint="default"/>
                <w:sz w:val="18"/>
                <w:szCs w:val="18"/>
              </w:rPr>
            </w:pPr>
            <w:r>
              <w:rPr>
                <w:rFonts w:ascii="Times New Roman"/>
                <w:sz w:val="18"/>
              </w:rPr>
              <w:t>-6.06%</w:t>
            </w:r>
          </w:p>
        </w:tc>
      </w:tr>
      <w:tr>
        <w:trPr>
          <w:trHeight w:val="470" w:hRule="exact"/>
        </w:trPr>
        <w:tc>
          <w:tcPr>
            <w:tcW w:w="15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1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right"/>
              <w:rPr>
                <w:rFonts w:ascii="Times New Roman" w:hAnsi="Times New Roman" w:cs="Times New Roman" w:eastAsia="Times New Roman" w:hint="default"/>
                <w:sz w:val="18"/>
                <w:szCs w:val="18"/>
              </w:rPr>
            </w:pPr>
            <w:r>
              <w:rPr>
                <w:rFonts w:ascii="Times New Roman"/>
                <w:spacing w:val="-1"/>
                <w:sz w:val="18"/>
              </w:rPr>
              <w:t>462,027,735.48</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4"/>
              <w:jc w:val="right"/>
              <w:rPr>
                <w:rFonts w:ascii="Times New Roman" w:hAnsi="Times New Roman" w:cs="Times New Roman" w:eastAsia="Times New Roman" w:hint="default"/>
                <w:sz w:val="18"/>
                <w:szCs w:val="18"/>
              </w:rPr>
            </w:pPr>
            <w:r>
              <w:rPr>
                <w:rFonts w:ascii="Times New Roman"/>
                <w:sz w:val="18"/>
              </w:rPr>
              <w:t>7.04%</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right"/>
              <w:rPr>
                <w:rFonts w:ascii="Times New Roman" w:hAnsi="Times New Roman" w:cs="Times New Roman" w:eastAsia="Times New Roman" w:hint="default"/>
                <w:sz w:val="18"/>
                <w:szCs w:val="18"/>
              </w:rPr>
            </w:pPr>
            <w:r>
              <w:rPr>
                <w:rFonts w:ascii="Times New Roman"/>
                <w:spacing w:val="-1"/>
                <w:sz w:val="18"/>
              </w:rPr>
              <w:t>370,948,787.37</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z w:val="18"/>
              </w:rPr>
              <w:t>4.81%</w:t>
            </w:r>
          </w:p>
        </w:tc>
        <w:tc>
          <w:tcPr>
            <w:tcW w:w="1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right="-4"/>
              <w:jc w:val="right"/>
              <w:rPr>
                <w:rFonts w:ascii="Times New Roman" w:hAnsi="Times New Roman" w:cs="Times New Roman" w:eastAsia="Times New Roman" w:hint="default"/>
                <w:sz w:val="18"/>
                <w:szCs w:val="18"/>
              </w:rPr>
            </w:pPr>
            <w:r>
              <w:rPr>
                <w:rFonts w:ascii="Times New Roman"/>
                <w:sz w:val="18"/>
              </w:rPr>
              <w:t>24.55%</w:t>
            </w:r>
          </w:p>
        </w:tc>
      </w:tr>
      <w:tr>
        <w:trPr>
          <w:trHeight w:val="468" w:hRule="exact"/>
        </w:trPr>
        <w:tc>
          <w:tcPr>
            <w:tcW w:w="15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1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right"/>
              <w:rPr>
                <w:rFonts w:ascii="Times New Roman" w:hAnsi="Times New Roman" w:cs="Times New Roman" w:eastAsia="Times New Roman" w:hint="default"/>
                <w:sz w:val="18"/>
                <w:szCs w:val="18"/>
              </w:rPr>
            </w:pPr>
            <w:r>
              <w:rPr>
                <w:rFonts w:ascii="Times New Roman"/>
                <w:spacing w:val="-1"/>
                <w:sz w:val="18"/>
              </w:rPr>
              <w:t>18,359,409.25</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4"/>
              <w:jc w:val="right"/>
              <w:rPr>
                <w:rFonts w:ascii="Times New Roman" w:hAnsi="Times New Roman" w:cs="Times New Roman" w:eastAsia="Times New Roman" w:hint="default"/>
                <w:sz w:val="18"/>
                <w:szCs w:val="18"/>
              </w:rPr>
            </w:pPr>
            <w:r>
              <w:rPr>
                <w:rFonts w:ascii="Times New Roman"/>
                <w:sz w:val="18"/>
              </w:rPr>
              <w:t>0.28%</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right"/>
              <w:rPr>
                <w:rFonts w:ascii="Times New Roman" w:hAnsi="Times New Roman" w:cs="Times New Roman" w:eastAsia="Times New Roman" w:hint="default"/>
                <w:sz w:val="18"/>
                <w:szCs w:val="18"/>
              </w:rPr>
            </w:pPr>
            <w:r>
              <w:rPr>
                <w:rFonts w:ascii="Times New Roman"/>
                <w:spacing w:val="-1"/>
                <w:sz w:val="18"/>
              </w:rPr>
              <w:t>11,676,467.39</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z w:val="18"/>
              </w:rPr>
              <w:t>0.15%</w:t>
            </w:r>
          </w:p>
        </w:tc>
        <w:tc>
          <w:tcPr>
            <w:tcW w:w="1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right="-4"/>
              <w:jc w:val="right"/>
              <w:rPr>
                <w:rFonts w:ascii="Times New Roman" w:hAnsi="Times New Roman" w:cs="Times New Roman" w:eastAsia="Times New Roman" w:hint="default"/>
                <w:sz w:val="18"/>
                <w:szCs w:val="18"/>
              </w:rPr>
            </w:pPr>
            <w:r>
              <w:rPr>
                <w:rFonts w:ascii="Times New Roman"/>
                <w:sz w:val="18"/>
              </w:rPr>
              <w:t>57.23%</w:t>
            </w:r>
          </w:p>
        </w:tc>
      </w:tr>
      <w:tr>
        <w:trPr>
          <w:trHeight w:val="475" w:hRule="exact"/>
        </w:trPr>
        <w:tc>
          <w:tcPr>
            <w:tcW w:w="158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0"/>
              <w:ind w:left="16"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0"/>
              <w:jc w:val="right"/>
              <w:rPr>
                <w:rFonts w:ascii="Times New Roman" w:hAnsi="Times New Roman" w:cs="Times New Roman" w:eastAsia="Times New Roman" w:hint="default"/>
                <w:sz w:val="18"/>
                <w:szCs w:val="18"/>
              </w:rPr>
            </w:pPr>
            <w:r>
              <w:rPr>
                <w:rFonts w:ascii="Times New Roman"/>
                <w:spacing w:val="-1"/>
                <w:sz w:val="18"/>
              </w:rPr>
              <w:t>43,825,868.69</w:t>
            </w:r>
          </w:p>
        </w:tc>
        <w:tc>
          <w:tcPr>
            <w:tcW w:w="16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4"/>
              <w:jc w:val="right"/>
              <w:rPr>
                <w:rFonts w:ascii="Times New Roman" w:hAnsi="Times New Roman" w:cs="Times New Roman" w:eastAsia="Times New Roman" w:hint="default"/>
                <w:sz w:val="18"/>
                <w:szCs w:val="18"/>
              </w:rPr>
            </w:pPr>
            <w:r>
              <w:rPr>
                <w:rFonts w:ascii="Times New Roman"/>
                <w:sz w:val="18"/>
              </w:rPr>
              <w:t>0.67%</w:t>
            </w:r>
          </w:p>
        </w:tc>
        <w:tc>
          <w:tcPr>
            <w:tcW w:w="16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0"/>
              <w:jc w:val="right"/>
              <w:rPr>
                <w:rFonts w:ascii="Times New Roman" w:hAnsi="Times New Roman" w:cs="Times New Roman" w:eastAsia="Times New Roman" w:hint="default"/>
                <w:sz w:val="18"/>
                <w:szCs w:val="18"/>
              </w:rPr>
            </w:pPr>
            <w:r>
              <w:rPr>
                <w:rFonts w:ascii="Times New Roman"/>
                <w:spacing w:val="-1"/>
                <w:sz w:val="18"/>
              </w:rPr>
              <w:t>37,884,176.34</w:t>
            </w:r>
          </w:p>
        </w:tc>
        <w:tc>
          <w:tcPr>
            <w:tcW w:w="16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z w:val="18"/>
              </w:rPr>
              <w:t>0.49%</w:t>
            </w:r>
          </w:p>
        </w:tc>
        <w:tc>
          <w:tcPr>
            <w:tcW w:w="11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2"/>
              <w:ind w:right="-4"/>
              <w:jc w:val="right"/>
              <w:rPr>
                <w:rFonts w:ascii="Times New Roman" w:hAnsi="Times New Roman" w:cs="Times New Roman" w:eastAsia="Times New Roman" w:hint="default"/>
                <w:sz w:val="18"/>
                <w:szCs w:val="18"/>
              </w:rPr>
            </w:pPr>
            <w:r>
              <w:rPr>
                <w:rFonts w:ascii="Times New Roman"/>
                <w:sz w:val="18"/>
              </w:rPr>
              <w:t>15.68%</w:t>
            </w:r>
          </w:p>
        </w:tc>
      </w:tr>
    </w:tbl>
    <w:p>
      <w:pPr>
        <w:pStyle w:val="BodyText"/>
        <w:spacing w:line="386" w:lineRule="auto" w:before="66"/>
        <w:ind w:right="160" w:firstLine="420"/>
        <w:jc w:val="both"/>
      </w:pPr>
      <w:r>
        <w:rPr/>
        <w:t>本公司</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年度财务费用较上年同期增加</w:t>
      </w:r>
      <w:r>
        <w:rPr>
          <w:spacing w:val="-56"/>
        </w:rPr>
        <w:t> </w:t>
      </w:r>
      <w:r>
        <w:rPr>
          <w:rFonts w:ascii="Times New Roman" w:hAnsi="Times New Roman" w:cs="Times New Roman" w:eastAsia="Times New Roman" w:hint="default"/>
        </w:rPr>
        <w:t>57.23%</w:t>
      </w:r>
      <w:r>
        <w:rPr/>
        <w:t>，主要是因为外部金融市场汇率变动导致公司本年</w:t>
      </w:r>
      <w:r>
        <w:rPr>
          <w:w w:val="100"/>
        </w:rPr>
        <w:t> </w:t>
      </w:r>
      <w:r>
        <w:rPr/>
        <w:t>度汇兑损失增加，致公司财务费用增加较多；</w:t>
      </w:r>
      <w:r>
        <w:rPr>
          <w:rFonts w:ascii="Times New Roman" w:hAnsi="Times New Roman" w:cs="Times New Roman" w:eastAsia="Times New Roman" w:hint="default"/>
        </w:rPr>
        <w:t>2014 </w:t>
      </w:r>
      <w:r>
        <w:rPr/>
        <w:t>年度管理费用中较上年同期增加</w:t>
      </w:r>
      <w:r>
        <w:rPr>
          <w:spacing w:val="-59"/>
        </w:rPr>
        <w:t> </w:t>
      </w:r>
      <w:r>
        <w:rPr>
          <w:rFonts w:ascii="Times New Roman" w:hAnsi="Times New Roman" w:cs="Times New Roman" w:eastAsia="Times New Roman" w:hint="default"/>
        </w:rPr>
        <w:t>24.55%</w:t>
      </w:r>
      <w:r>
        <w:rPr/>
        <w:t>，主要是管理</w:t>
      </w:r>
      <w:r>
        <w:rPr>
          <w:w w:val="100"/>
        </w:rPr>
        <w:t> </w:t>
      </w:r>
      <w:r>
        <w:rPr/>
        <w:t>层在本报告期更加注重研发工作，加大研发投入所致。</w:t>
      </w:r>
    </w:p>
    <w:p>
      <w:pPr>
        <w:spacing w:line="240" w:lineRule="auto" w:before="1"/>
        <w:rPr>
          <w:rFonts w:ascii="宋体" w:hAnsi="宋体" w:cs="宋体" w:eastAsia="宋体" w:hint="default"/>
          <w:sz w:val="22"/>
          <w:szCs w:val="22"/>
        </w:rPr>
      </w:pPr>
    </w:p>
    <w:p>
      <w:pPr>
        <w:pStyle w:val="Heading4"/>
        <w:spacing w:line="240" w:lineRule="auto"/>
        <w:ind w:right="14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6"/>
        <w:rPr>
          <w:rFonts w:ascii="宋体" w:hAnsi="宋体" w:cs="宋体" w:eastAsia="宋体" w:hint="default"/>
          <w:b/>
          <w:bCs/>
          <w:sz w:val="30"/>
          <w:szCs w:val="30"/>
        </w:rPr>
      </w:pPr>
    </w:p>
    <w:p>
      <w:pPr>
        <w:pStyle w:val="BodyText"/>
        <w:spacing w:line="398" w:lineRule="auto"/>
        <w:ind w:right="140" w:firstLine="420"/>
        <w:jc w:val="left"/>
      </w:pPr>
      <w:r>
        <w:rPr>
          <w:rFonts w:ascii="Times New Roman" w:hAnsi="Times New Roman" w:cs="Times New Roman" w:eastAsia="Times New Roman" w:hint="default"/>
        </w:rPr>
        <w:t>2014 </w:t>
      </w:r>
      <w:r>
        <w:rPr/>
        <w:t>年，国家大力推进安全可靠信息技术应用，</w:t>
      </w:r>
      <w:r>
        <w:rPr>
          <w:rFonts w:ascii="Times New Roman" w:hAnsi="Times New Roman" w:cs="Times New Roman" w:eastAsia="Times New Roman" w:hint="default"/>
        </w:rPr>
        <w:t>IT</w:t>
      </w:r>
      <w:r>
        <w:rPr>
          <w:rFonts w:ascii="Times New Roman" w:hAnsi="Times New Roman" w:cs="Times New Roman" w:eastAsia="Times New Roman" w:hint="default"/>
          <w:spacing w:val="-6"/>
        </w:rPr>
        <w:t> </w:t>
      </w:r>
      <w:r>
        <w:rPr/>
        <w:t>产业云计算、大数据持续发展，公司作为我国软</w:t>
      </w:r>
      <w:r>
        <w:rPr>
          <w:w w:val="100"/>
        </w:rPr>
        <w:t> </w:t>
      </w:r>
      <w:r>
        <w:rPr>
          <w:spacing w:val="-2"/>
        </w:rPr>
        <w:t>件及信息技术服务行业的领军企业，把握市场机遇加强技术创新，研发投入有所增加。报告期内，公司与</w:t>
      </w:r>
      <w:r>
        <w:rPr>
          <w:spacing w:val="-47"/>
        </w:rPr>
        <w:t> </w:t>
      </w:r>
      <w:r>
        <w:rPr>
          <w:spacing w:val="-47"/>
        </w:rPr>
      </w:r>
      <w:r>
        <w:rPr/>
        <w:t>研发有关的支出共</w:t>
      </w:r>
      <w:r>
        <w:rPr>
          <w:spacing w:val="-55"/>
        </w:rPr>
        <w:t> </w:t>
      </w:r>
      <w:r>
        <w:rPr>
          <w:rFonts w:ascii="Times New Roman" w:hAnsi="Times New Roman" w:cs="Times New Roman" w:eastAsia="Times New Roman" w:hint="default"/>
        </w:rPr>
        <w:t>30,512.99</w:t>
      </w:r>
      <w:r>
        <w:rPr>
          <w:rFonts w:ascii="Times New Roman" w:hAnsi="Times New Roman" w:cs="Times New Roman" w:eastAsia="Times New Roman" w:hint="default"/>
          <w:spacing w:val="-2"/>
        </w:rPr>
        <w:t> </w:t>
      </w:r>
      <w:r>
        <w:rPr/>
        <w:t>万元，占公司营业总收入的</w:t>
      </w:r>
      <w:r>
        <w:rPr>
          <w:spacing w:val="-55"/>
        </w:rPr>
        <w:t> </w:t>
      </w:r>
      <w:r>
        <w:rPr>
          <w:rFonts w:ascii="Times New Roman" w:hAnsi="Times New Roman" w:cs="Times New Roman" w:eastAsia="Times New Roman" w:hint="default"/>
        </w:rPr>
        <w:t>4.65%</w:t>
      </w:r>
      <w:r>
        <w:rPr>
          <w:rFonts w:ascii="Times New Roman" w:hAnsi="Times New Roman" w:cs="Times New Roman" w:eastAsia="Times New Roman" w:hint="default"/>
          <w:spacing w:val="47"/>
        </w:rPr>
        <w:t> </w:t>
      </w:r>
      <w:r>
        <w:rPr/>
        <w:t>。</w:t>
      </w:r>
    </w:p>
    <w:p>
      <w:pPr>
        <w:pStyle w:val="BodyText"/>
        <w:spacing w:line="386" w:lineRule="auto" w:before="24"/>
        <w:ind w:right="179" w:firstLine="42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年，公司加强了云计算的研发投入，在云计算</w:t>
      </w:r>
      <w:r>
        <w:rPr>
          <w:spacing w:val="-57"/>
        </w:rPr>
        <w:t> </w:t>
      </w:r>
      <w:r>
        <w:rPr>
          <w:rFonts w:ascii="Times New Roman" w:hAnsi="Times New Roman" w:cs="Times New Roman" w:eastAsia="Times New Roman" w:hint="default"/>
        </w:rPr>
        <w:t>PaaS</w:t>
      </w:r>
      <w:r>
        <w:rPr>
          <w:rFonts w:ascii="Times New Roman" w:hAnsi="Times New Roman" w:cs="Times New Roman" w:eastAsia="Times New Roman" w:hint="default"/>
          <w:spacing w:val="-4"/>
        </w:rPr>
        <w:t> </w:t>
      </w:r>
      <w:r>
        <w:rPr/>
        <w:t>平台方面实现了进一步的技术突破，在云计</w:t>
      </w:r>
      <w:r>
        <w:rPr>
          <w:w w:val="100"/>
        </w:rPr>
        <w:t> </w:t>
      </w:r>
      <w:r>
        <w:rPr/>
        <w:t>算</w:t>
      </w:r>
      <w:r>
        <w:rPr>
          <w:spacing w:val="-58"/>
        </w:rPr>
        <w:t> </w:t>
      </w:r>
      <w:r>
        <w:rPr>
          <w:rFonts w:ascii="Times New Roman" w:hAnsi="Times New Roman" w:cs="Times New Roman" w:eastAsia="Times New Roman" w:hint="default"/>
        </w:rPr>
        <w:t>SaaS</w:t>
      </w:r>
      <w:r>
        <w:rPr>
          <w:rFonts w:ascii="Times New Roman" w:hAnsi="Times New Roman" w:cs="Times New Roman" w:eastAsia="Times New Roman" w:hint="default"/>
          <w:spacing w:val="-5"/>
        </w:rPr>
        <w:t> </w:t>
      </w:r>
      <w:r>
        <w:rPr/>
        <w:t>平台方面推进纳税服务等行业云平台应用创新，保持了公司在我国云计算领域的领先优势。在大</w:t>
      </w:r>
    </w:p>
    <w:p>
      <w:pPr>
        <w:spacing w:after="0" w:line="386" w:lineRule="auto"/>
        <w:jc w:val="left"/>
        <w:sectPr>
          <w:pgSz w:w="11910" w:h="16840"/>
          <w:pgMar w:header="0" w:footer="1227" w:top="1060" w:bottom="1420" w:left="980" w:right="980"/>
        </w:sectPr>
      </w:pPr>
    </w:p>
    <w:p>
      <w:pPr>
        <w:spacing w:line="240" w:lineRule="auto" w:before="0"/>
        <w:rPr>
          <w:rFonts w:ascii="宋体" w:hAnsi="宋体" w:cs="宋体" w:eastAsia="宋体" w:hint="default"/>
          <w:sz w:val="20"/>
          <w:szCs w:val="20"/>
        </w:rPr>
      </w:pPr>
    </w:p>
    <w:p>
      <w:pPr>
        <w:pStyle w:val="BodyText"/>
        <w:spacing w:line="398" w:lineRule="auto" w:before="175"/>
        <w:ind w:right="208"/>
        <w:jc w:val="both"/>
      </w:pPr>
      <w:r>
        <w:rPr>
          <w:spacing w:val="-2"/>
        </w:rPr>
        <w:t>数据方面，公司发布了</w:t>
      </w:r>
      <w:r>
        <w:rPr>
          <w:rFonts w:ascii="Times New Roman" w:hAnsi="Times New Roman" w:cs="Times New Roman" w:eastAsia="Times New Roman" w:hint="default"/>
          <w:spacing w:val="-2"/>
        </w:rPr>
        <w:t>“</w:t>
      </w:r>
      <w:r>
        <w:rPr>
          <w:spacing w:val="-2"/>
        </w:rPr>
        <w:t>城市多维虚拟映像</w:t>
      </w:r>
      <w:r>
        <w:rPr>
          <w:rFonts w:ascii="Times New Roman" w:hAnsi="Times New Roman" w:cs="Times New Roman" w:eastAsia="Times New Roman" w:hint="default"/>
          <w:spacing w:val="-2"/>
        </w:rPr>
        <w:t>”</w:t>
      </w:r>
      <w:r>
        <w:rPr>
          <w:spacing w:val="-2"/>
        </w:rPr>
        <w:t>理念，突破了智慧城市大数据建模分析的方法论；同时在区域</w:t>
      </w:r>
      <w:r>
        <w:rPr>
          <w:spacing w:val="-23"/>
        </w:rPr>
        <w:t> </w:t>
      </w:r>
      <w:r>
        <w:rPr>
          <w:spacing w:val="-23"/>
        </w:rPr>
      </w:r>
      <w:r>
        <w:rPr>
          <w:spacing w:val="-2"/>
        </w:rPr>
        <w:t>医疗、税收管理决策、人口政策应用创新、城市综合发展分析等方面加强数据建模技术研发，并赢得了国</w:t>
      </w:r>
      <w:r>
        <w:rPr>
          <w:spacing w:val="-47"/>
        </w:rPr>
        <w:t> </w:t>
      </w:r>
      <w:r>
        <w:rPr>
          <w:spacing w:val="-47"/>
        </w:rPr>
      </w:r>
      <w:r>
        <w:rPr/>
        <w:t>际同行业专家的好评。</w:t>
      </w:r>
    </w:p>
    <w:p>
      <w:pPr>
        <w:spacing w:line="240" w:lineRule="auto" w:before="3"/>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6</w:t>
      </w:r>
      <w:r>
        <w:rPr/>
        <w:t>、现金流</w:t>
      </w:r>
      <w:r>
        <w:rPr>
          <w:b w:val="0"/>
          <w:bCs w:val="0"/>
        </w:rPr>
      </w:r>
    </w:p>
    <w:p>
      <w:pPr>
        <w:spacing w:line="240" w:lineRule="auto" w:before="4"/>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552"/>
        <w:gridCol w:w="2340"/>
        <w:gridCol w:w="2338"/>
        <w:gridCol w:w="2340"/>
      </w:tblGrid>
      <w:tr>
        <w:trPr>
          <w:trHeight w:val="438" w:hRule="exact"/>
        </w:trPr>
        <w:tc>
          <w:tcPr>
            <w:tcW w:w="255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34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3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4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5"/>
              <w:ind w:left="6"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84" w:hRule="exact"/>
        </w:trPr>
        <w:tc>
          <w:tcPr>
            <w:tcW w:w="25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0"/>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40" w:type="dxa"/>
            <w:tcBorders>
              <w:top w:val="single" w:sz="12" w:space="0" w:color="D2D2D2"/>
              <w:left w:val="single" w:sz="10" w:space="0" w:color="D2D2D2"/>
              <w:bottom w:val="single" w:sz="4" w:space="0" w:color="000000"/>
              <w:right w:val="single" w:sz="4" w:space="0" w:color="000000"/>
            </w:tcBorders>
          </w:tcPr>
          <w:p>
            <w:pPr>
              <w:pStyle w:val="TableParagraph"/>
              <w:spacing w:line="240" w:lineRule="auto" w:before="132"/>
              <w:ind w:right="22"/>
              <w:jc w:val="right"/>
              <w:rPr>
                <w:rFonts w:ascii="Times New Roman" w:hAnsi="Times New Roman" w:cs="Times New Roman" w:eastAsia="Times New Roman" w:hint="default"/>
                <w:sz w:val="18"/>
                <w:szCs w:val="18"/>
              </w:rPr>
            </w:pPr>
            <w:r>
              <w:rPr>
                <w:rFonts w:ascii="Times New Roman"/>
                <w:spacing w:val="-1"/>
                <w:sz w:val="18"/>
              </w:rPr>
              <w:t>8,339,148,427.35</w:t>
            </w:r>
          </w:p>
        </w:tc>
        <w:tc>
          <w:tcPr>
            <w:tcW w:w="233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8,275,918,657.30</w:t>
            </w:r>
          </w:p>
        </w:tc>
        <w:tc>
          <w:tcPr>
            <w:tcW w:w="2340" w:type="dxa"/>
            <w:tcBorders>
              <w:top w:val="single" w:sz="12" w:space="0" w:color="D2D2D2"/>
              <w:left w:val="single" w:sz="4" w:space="0" w:color="000000"/>
              <w:bottom w:val="single" w:sz="4" w:space="0" w:color="000000"/>
              <w:right w:val="single" w:sz="12" w:space="0" w:color="000000"/>
            </w:tcBorders>
          </w:tcPr>
          <w:p>
            <w:pPr>
              <w:pStyle w:val="TableParagraph"/>
              <w:spacing w:line="240" w:lineRule="auto" w:before="132"/>
              <w:ind w:right="11"/>
              <w:jc w:val="right"/>
              <w:rPr>
                <w:rFonts w:ascii="Times New Roman" w:hAnsi="Times New Roman" w:cs="Times New Roman" w:eastAsia="Times New Roman" w:hint="default"/>
                <w:sz w:val="18"/>
                <w:szCs w:val="18"/>
              </w:rPr>
            </w:pPr>
            <w:r>
              <w:rPr>
                <w:rFonts w:ascii="Times New Roman"/>
                <w:sz w:val="18"/>
              </w:rPr>
              <w:t>0.76%</w:t>
            </w:r>
          </w:p>
        </w:tc>
      </w:tr>
      <w:tr>
        <w:trPr>
          <w:trHeight w:val="466" w:hRule="exact"/>
        </w:trPr>
        <w:tc>
          <w:tcPr>
            <w:tcW w:w="25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7,836,014,884.70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8,114,829,069.09</w:t>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11"/>
              <w:jc w:val="right"/>
              <w:rPr>
                <w:rFonts w:ascii="Times New Roman" w:hAnsi="Times New Roman" w:cs="Times New Roman" w:eastAsia="Times New Roman" w:hint="default"/>
                <w:sz w:val="18"/>
                <w:szCs w:val="18"/>
              </w:rPr>
            </w:pPr>
            <w:r>
              <w:rPr>
                <w:rFonts w:ascii="Times New Roman"/>
                <w:sz w:val="18"/>
              </w:rPr>
              <w:t>-3.44%</w:t>
            </w:r>
          </w:p>
        </w:tc>
      </w:tr>
      <w:tr>
        <w:trPr>
          <w:trHeight w:val="463" w:hRule="exact"/>
        </w:trPr>
        <w:tc>
          <w:tcPr>
            <w:tcW w:w="25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503,133,542.65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161,089,588.21</w:t>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212.33%</w:t>
            </w:r>
          </w:p>
        </w:tc>
      </w:tr>
      <w:tr>
        <w:trPr>
          <w:trHeight w:val="463" w:hRule="exact"/>
        </w:trPr>
        <w:tc>
          <w:tcPr>
            <w:tcW w:w="25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2,696,864,569.89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2,340,353,028.73</w:t>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15.23%</w:t>
            </w:r>
          </w:p>
        </w:tc>
      </w:tr>
      <w:tr>
        <w:trPr>
          <w:trHeight w:val="466" w:hRule="exact"/>
        </w:trPr>
        <w:tc>
          <w:tcPr>
            <w:tcW w:w="25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3,025,116,822.89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2,367,872,385.48</w:t>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27.76%</w:t>
            </w:r>
          </w:p>
        </w:tc>
      </w:tr>
      <w:tr>
        <w:trPr>
          <w:trHeight w:val="463" w:hRule="exact"/>
        </w:trPr>
        <w:tc>
          <w:tcPr>
            <w:tcW w:w="25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-328,252,253.00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-27,519,356.75</w:t>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1,092.80%</w:t>
            </w:r>
          </w:p>
        </w:tc>
      </w:tr>
      <w:tr>
        <w:trPr>
          <w:trHeight w:val="463" w:hRule="exact"/>
        </w:trPr>
        <w:tc>
          <w:tcPr>
            <w:tcW w:w="25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2,403,731,227.77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1,998,658,658.25</w:t>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20.27%</w:t>
            </w:r>
          </w:p>
        </w:tc>
      </w:tr>
      <w:tr>
        <w:trPr>
          <w:trHeight w:val="466" w:hRule="exact"/>
        </w:trPr>
        <w:tc>
          <w:tcPr>
            <w:tcW w:w="25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2,415,163,275.67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1,629,592,938.14</w:t>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48.21%</w:t>
            </w:r>
          </w:p>
        </w:tc>
      </w:tr>
      <w:tr>
        <w:trPr>
          <w:trHeight w:val="464" w:hRule="exact"/>
        </w:trPr>
        <w:tc>
          <w:tcPr>
            <w:tcW w:w="25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-11,432,047.90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369,065,720.11</w:t>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-103.10%</w:t>
            </w:r>
          </w:p>
        </w:tc>
      </w:tr>
      <w:tr>
        <w:trPr>
          <w:trHeight w:val="473" w:hRule="exact"/>
        </w:trPr>
        <w:tc>
          <w:tcPr>
            <w:tcW w:w="255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168,379,110.55</w:t>
            </w:r>
          </w:p>
        </w:tc>
        <w:tc>
          <w:tcPr>
            <w:tcW w:w="23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505,687,714.56</w:t>
            </w:r>
          </w:p>
        </w:tc>
        <w:tc>
          <w:tcPr>
            <w:tcW w:w="234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-66.70%</w:t>
            </w:r>
          </w:p>
        </w:tc>
      </w:tr>
    </w:tbl>
    <w:p>
      <w:pPr>
        <w:pStyle w:val="BodyText"/>
        <w:spacing w:line="240" w:lineRule="auto" w:before="66"/>
        <w:ind w:right="98"/>
        <w:jc w:val="left"/>
      </w:pPr>
      <w:r>
        <w:rPr/>
        <w:t>相关数据同比发生变动</w:t>
      </w:r>
      <w:r>
        <w:rPr>
          <w:spacing w:val="-59"/>
        </w:rPr>
        <w:t> </w:t>
      </w:r>
      <w:r>
        <w:rPr>
          <w:rFonts w:ascii="Times New Roman" w:hAnsi="Times New Roman" w:cs="Times New Roman" w:eastAsia="Times New Roman" w:hint="default"/>
        </w:rPr>
        <w:t>30%</w:t>
      </w:r>
      <w:r>
        <w:rPr/>
        <w:t>以上的原因说明</w:t>
      </w:r>
    </w:p>
    <w:p>
      <w:pPr>
        <w:pStyle w:val="BodyText"/>
        <w:spacing w:line="240" w:lineRule="auto" w:before="177"/>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86" w:lineRule="auto" w:before="177"/>
        <w:ind w:right="211" w:firstLine="420"/>
        <w:jc w:val="both"/>
      </w:pPr>
      <w:r>
        <w:rPr>
          <w:spacing w:val="-4"/>
        </w:rPr>
        <w:t>（</w:t>
      </w:r>
      <w:r>
        <w:rPr>
          <w:rFonts w:ascii="Times New Roman" w:hAnsi="Times New Roman" w:cs="Times New Roman" w:eastAsia="Times New Roman" w:hint="default"/>
          <w:spacing w:val="-4"/>
        </w:rPr>
        <w:t>1</w:t>
      </w:r>
      <w:r>
        <w:rPr>
          <w:spacing w:val="-4"/>
        </w:rPr>
        <w:t>）经营活动产生的现金流量净额较上年同期增长</w:t>
      </w:r>
      <w:r>
        <w:rPr>
          <w:spacing w:val="10"/>
        </w:rPr>
        <w:t> </w:t>
      </w:r>
      <w:r>
        <w:rPr>
          <w:rFonts w:ascii="Times New Roman" w:hAnsi="Times New Roman" w:cs="Times New Roman" w:eastAsia="Times New Roman" w:hint="default"/>
          <w:spacing w:val="-4"/>
        </w:rPr>
        <w:t>212.33%</w:t>
      </w:r>
      <w:r>
        <w:rPr>
          <w:spacing w:val="-4"/>
        </w:rPr>
        <w:t>，主要原因是公司在保持稳定经营的前提</w:t>
      </w:r>
      <w:r>
        <w:rPr>
          <w:w w:val="100"/>
        </w:rPr>
        <w:t> </w:t>
      </w:r>
      <w:r>
        <w:rPr/>
        <w:t>下，加强收款力度，特别是加强了超期欠款的回收力度，以致经营活动现金流入提高较多；</w:t>
      </w:r>
    </w:p>
    <w:p>
      <w:pPr>
        <w:pStyle w:val="BodyText"/>
        <w:spacing w:line="398" w:lineRule="auto" w:before="65"/>
        <w:ind w:right="206" w:firstLine="420"/>
        <w:jc w:val="both"/>
      </w:pPr>
      <w:r>
        <w:rPr>
          <w:spacing w:val="-2"/>
        </w:rPr>
        <w:t>（</w:t>
      </w:r>
      <w:r>
        <w:rPr>
          <w:rFonts w:ascii="Times New Roman" w:hAnsi="Times New Roman" w:cs="Times New Roman" w:eastAsia="Times New Roman" w:hint="default"/>
          <w:spacing w:val="-2"/>
        </w:rPr>
        <w:t>2</w:t>
      </w:r>
      <w:r>
        <w:rPr>
          <w:spacing w:val="-2"/>
        </w:rPr>
        <w:t>）投资活动产生的现金流量净额较上年同期增长</w:t>
      </w:r>
      <w:r>
        <w:rPr>
          <w:spacing w:val="-5"/>
        </w:rPr>
        <w:t> </w:t>
      </w:r>
      <w:r>
        <w:rPr>
          <w:rFonts w:ascii="Times New Roman" w:hAnsi="Times New Roman" w:cs="Times New Roman" w:eastAsia="Times New Roman" w:hint="default"/>
          <w:spacing w:val="-2"/>
        </w:rPr>
        <w:t>1092.80%</w:t>
      </w:r>
      <w:r>
        <w:rPr>
          <w:spacing w:val="-2"/>
        </w:rPr>
        <w:t>，主要原因是公司战略的部署调整，对</w:t>
      </w:r>
      <w:r>
        <w:rPr>
          <w:w w:val="100"/>
        </w:rPr>
        <w:t> </w:t>
      </w:r>
      <w:r>
        <w:rPr>
          <w:spacing w:val="-2"/>
        </w:rPr>
        <w:t>外投资大幅增加，其中包括收购中农信达等公司的投资，另外为增加公司的收益，在董事会批复的理财产</w:t>
      </w:r>
      <w:r>
        <w:rPr>
          <w:spacing w:val="-45"/>
        </w:rPr>
        <w:t> </w:t>
      </w:r>
      <w:r>
        <w:rPr>
          <w:spacing w:val="-45"/>
        </w:rPr>
      </w:r>
      <w:r>
        <w:rPr/>
        <w:t>品额度内，理财产品的余额较上年有所增长；</w:t>
      </w:r>
    </w:p>
    <w:p>
      <w:pPr>
        <w:pStyle w:val="BodyText"/>
        <w:spacing w:line="386" w:lineRule="auto" w:before="54"/>
        <w:ind w:right="111" w:firstLine="420"/>
        <w:jc w:val="both"/>
      </w:pPr>
      <w:r>
        <w:rPr>
          <w:spacing w:val="-4"/>
        </w:rPr>
        <w:t>（</w:t>
      </w:r>
      <w:r>
        <w:rPr>
          <w:rFonts w:ascii="Times New Roman" w:hAnsi="Times New Roman" w:cs="Times New Roman" w:eastAsia="Times New Roman" w:hint="default"/>
          <w:spacing w:val="-4"/>
        </w:rPr>
        <w:t>3</w:t>
      </w:r>
      <w:r>
        <w:rPr>
          <w:spacing w:val="-4"/>
        </w:rPr>
        <w:t>）筹资活动产生的现金流量净额较上年同期减少</w:t>
      </w:r>
      <w:r>
        <w:rPr>
          <w:spacing w:val="-29"/>
        </w:rPr>
        <w:t> </w:t>
      </w:r>
      <w:r>
        <w:rPr>
          <w:rFonts w:ascii="Times New Roman" w:hAnsi="Times New Roman" w:cs="Times New Roman" w:eastAsia="Times New Roman" w:hint="default"/>
          <w:spacing w:val="-4"/>
        </w:rPr>
        <w:t>103.10%</w:t>
      </w:r>
      <w:r>
        <w:rPr>
          <w:spacing w:val="-4"/>
        </w:rPr>
        <w:t>。主要原因是公司在年内非公开发行股份</w:t>
      </w:r>
      <w:r>
        <w:rPr>
          <w:w w:val="100"/>
        </w:rPr>
        <w:t> </w:t>
      </w:r>
      <w:r>
        <w:rPr/>
        <w:t>募集资金用于收购中农信达股权，以及报告期内回款较好，根据实际经营情况，银行贷款规模有所下降。</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right="98"/>
        <w:jc w:val="left"/>
      </w:pPr>
      <w:r>
        <w:rPr/>
        <w:t>报告期内公司经营活动的现金流量与本年度净利润存在重大差异的原因说明</w:t>
      </w:r>
    </w:p>
    <w:p>
      <w:pPr>
        <w:spacing w:line="240" w:lineRule="auto" w:before="10"/>
        <w:rPr>
          <w:rFonts w:ascii="宋体" w:hAnsi="宋体" w:cs="宋体" w:eastAsia="宋体" w:hint="default"/>
          <w:sz w:val="14"/>
          <w:szCs w:val="14"/>
        </w:rPr>
      </w:pPr>
    </w:p>
    <w:p>
      <w:pPr>
        <w:pStyle w:val="BodyText"/>
        <w:spacing w:line="240" w:lineRule="auto"/>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0" w:footer="1227" w:top="1060" w:bottom="1420" w:left="980" w:right="920"/>
        </w:sectPr>
      </w:pPr>
    </w:p>
    <w:p>
      <w:pPr>
        <w:spacing w:line="240" w:lineRule="auto" w:before="8"/>
        <w:rPr>
          <w:rFonts w:ascii="宋体" w:hAnsi="宋体" w:cs="宋体" w:eastAsia="宋体" w:hint="default"/>
          <w:sz w:val="23"/>
          <w:szCs w:val="23"/>
        </w:rPr>
      </w:pPr>
    </w:p>
    <w:p>
      <w:pPr>
        <w:pStyle w:val="Heading2"/>
        <w:spacing w:line="240" w:lineRule="auto"/>
        <w:ind w:right="140"/>
        <w:jc w:val="left"/>
        <w:rPr>
          <w:b w:val="0"/>
          <w:bCs w:val="0"/>
        </w:rPr>
      </w:pPr>
      <w:r>
        <w:rPr/>
        <w:t>三、主营业务构成情况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891"/>
        <w:gridCol w:w="1654"/>
        <w:gridCol w:w="1558"/>
        <w:gridCol w:w="852"/>
        <w:gridCol w:w="1205"/>
        <w:gridCol w:w="1205"/>
        <w:gridCol w:w="1208"/>
      </w:tblGrid>
      <w:tr>
        <w:trPr>
          <w:trHeight w:val="724" w:hRule="exact"/>
        </w:trPr>
        <w:tc>
          <w:tcPr>
            <w:tcW w:w="1891"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6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5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0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48" w:right="56" w:hanging="92"/>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0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48" w:right="55" w:hanging="92"/>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20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4" w:lineRule="auto" w:before="50"/>
              <w:ind w:left="240" w:right="46"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48" w:hRule="exact"/>
        </w:trPr>
        <w:tc>
          <w:tcPr>
            <w:tcW w:w="9573" w:type="dxa"/>
            <w:gridSpan w:val="7"/>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97" w:hRule="exact"/>
        </w:trPr>
        <w:tc>
          <w:tcPr>
            <w:tcW w:w="1891" w:type="dxa"/>
            <w:tcBorders>
              <w:top w:val="single" w:sz="12" w:space="0" w:color="D2D2D2"/>
              <w:left w:val="single" w:sz="12" w:space="0" w:color="000000"/>
              <w:bottom w:val="single" w:sz="16" w:space="0" w:color="D2D2D2"/>
              <w:right w:val="single" w:sz="4"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宋体" w:hAnsi="宋体" w:cs="宋体" w:eastAsia="宋体" w:hint="default"/>
                <w:sz w:val="18"/>
                <w:szCs w:val="18"/>
              </w:rPr>
              <w:t>软件与信息技术服务业</w:t>
            </w:r>
          </w:p>
        </w:tc>
        <w:tc>
          <w:tcPr>
            <w:tcW w:w="1654" w:type="dxa"/>
            <w:tcBorders>
              <w:top w:val="single" w:sz="12" w:space="0" w:color="D2D2D2"/>
              <w:left w:val="single" w:sz="4" w:space="0" w:color="000000"/>
              <w:bottom w:val="single" w:sz="16" w:space="0" w:color="D2D2D2"/>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6,559,007,918.00</w:t>
            </w:r>
          </w:p>
        </w:tc>
        <w:tc>
          <w:tcPr>
            <w:tcW w:w="1558" w:type="dxa"/>
            <w:tcBorders>
              <w:top w:val="single" w:sz="12" w:space="0" w:color="D2D2D2"/>
              <w:left w:val="single" w:sz="4" w:space="0" w:color="000000"/>
              <w:bottom w:val="single" w:sz="16" w:space="0" w:color="D2D2D2"/>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5,357,409,536.95</w:t>
            </w:r>
          </w:p>
        </w:tc>
        <w:tc>
          <w:tcPr>
            <w:tcW w:w="852" w:type="dxa"/>
            <w:tcBorders>
              <w:top w:val="single" w:sz="12" w:space="0" w:color="D2D2D2"/>
              <w:left w:val="single" w:sz="4" w:space="0" w:color="000000"/>
              <w:bottom w:val="single" w:sz="16" w:space="0" w:color="D2D2D2"/>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18.32%</w:t>
            </w:r>
          </w:p>
        </w:tc>
        <w:tc>
          <w:tcPr>
            <w:tcW w:w="1205" w:type="dxa"/>
            <w:tcBorders>
              <w:top w:val="single" w:sz="12" w:space="0" w:color="D2D2D2"/>
              <w:left w:val="single" w:sz="4" w:space="0" w:color="000000"/>
              <w:bottom w:val="single" w:sz="16" w:space="0" w:color="D2D2D2"/>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-14.97%</w:t>
            </w:r>
          </w:p>
        </w:tc>
        <w:tc>
          <w:tcPr>
            <w:tcW w:w="1205" w:type="dxa"/>
            <w:tcBorders>
              <w:top w:val="single" w:sz="12" w:space="0" w:color="D2D2D2"/>
              <w:left w:val="single" w:sz="4" w:space="0" w:color="000000"/>
              <w:bottom w:val="single" w:sz="16" w:space="0" w:color="D2D2D2"/>
              <w:right w:val="single" w:sz="4" w:space="0" w:color="000000"/>
            </w:tcBorders>
          </w:tcPr>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z w:val="18"/>
              </w:rPr>
              <w:t>-17.94%</w:t>
            </w:r>
          </w:p>
        </w:tc>
        <w:tc>
          <w:tcPr>
            <w:tcW w:w="1208" w:type="dxa"/>
            <w:tcBorders>
              <w:top w:val="single" w:sz="12" w:space="0" w:color="D2D2D2"/>
              <w:left w:val="single" w:sz="4" w:space="0" w:color="000000"/>
              <w:bottom w:val="single" w:sz="16" w:space="0" w:color="D2D2D2"/>
              <w:right w:val="single" w:sz="12" w:space="0" w:color="000000"/>
            </w:tcBorders>
          </w:tcPr>
          <w:p>
            <w:pPr>
              <w:pStyle w:val="TableParagraph"/>
              <w:spacing w:line="240" w:lineRule="auto" w:before="127"/>
              <w:ind w:right="9"/>
              <w:jc w:val="right"/>
              <w:rPr>
                <w:rFonts w:ascii="Times New Roman" w:hAnsi="Times New Roman" w:cs="Times New Roman" w:eastAsia="Times New Roman" w:hint="default"/>
                <w:sz w:val="18"/>
                <w:szCs w:val="18"/>
              </w:rPr>
            </w:pPr>
            <w:r>
              <w:rPr>
                <w:rFonts w:ascii="Times New Roman"/>
                <w:sz w:val="18"/>
              </w:rPr>
              <w:t>2.96%</w:t>
            </w:r>
          </w:p>
        </w:tc>
      </w:tr>
      <w:tr>
        <w:trPr>
          <w:trHeight w:val="448" w:hRule="exact"/>
        </w:trPr>
        <w:tc>
          <w:tcPr>
            <w:tcW w:w="9573" w:type="dxa"/>
            <w:gridSpan w:val="7"/>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63" w:hRule="exact"/>
        </w:trPr>
        <w:tc>
          <w:tcPr>
            <w:tcW w:w="18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1,704,085,194.95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1,302,569,052.74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23.56%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6.91%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4.69%</w:t>
            </w:r>
          </w:p>
        </w:tc>
        <w:tc>
          <w:tcPr>
            <w:tcW w:w="12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1.62%</w:t>
            </w:r>
          </w:p>
        </w:tc>
      </w:tr>
      <w:tr>
        <w:trPr>
          <w:trHeight w:val="466" w:hRule="exact"/>
        </w:trPr>
        <w:tc>
          <w:tcPr>
            <w:tcW w:w="18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农业信息化</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29,786,657.68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13,816,553.37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8"/>
              <w:jc w:val="right"/>
              <w:rPr>
                <w:rFonts w:ascii="Times New Roman" w:hAnsi="Times New Roman" w:cs="Times New Roman" w:eastAsia="Times New Roman" w:hint="default"/>
                <w:sz w:val="18"/>
                <w:szCs w:val="18"/>
              </w:rPr>
            </w:pPr>
            <w:r>
              <w:rPr>
                <w:rFonts w:ascii="Times New Roman"/>
                <w:sz w:val="18"/>
              </w:rPr>
              <w:t>53.61%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2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6"/>
              <w:jc w:val="right"/>
              <w:rPr>
                <w:rFonts w:ascii="Times New Roman" w:hAnsi="Times New Roman" w:cs="Times New Roman" w:eastAsia="Times New Roman" w:hint="default"/>
                <w:sz w:val="18"/>
                <w:szCs w:val="18"/>
              </w:rPr>
            </w:pPr>
            <w:r>
              <w:rPr>
                <w:rFonts w:ascii="Times New Roman"/>
                <w:sz w:val="18"/>
              </w:rPr>
              <w:t>53.61%</w:t>
            </w:r>
          </w:p>
        </w:tc>
      </w:tr>
      <w:tr>
        <w:trPr>
          <w:trHeight w:val="463" w:hRule="exact"/>
        </w:trPr>
        <w:tc>
          <w:tcPr>
            <w:tcW w:w="18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566,520,920.40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400,805,717.26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29.25%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z w:val="18"/>
              </w:rPr>
              <w:t>14.52%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16.52%</w:t>
            </w:r>
          </w:p>
        </w:tc>
        <w:tc>
          <w:tcPr>
            <w:tcW w:w="12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-1.21%</w:t>
            </w:r>
          </w:p>
        </w:tc>
      </w:tr>
      <w:tr>
        <w:trPr>
          <w:trHeight w:val="463" w:hRule="exact"/>
        </w:trPr>
        <w:tc>
          <w:tcPr>
            <w:tcW w:w="18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金融专用设备相关业务</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469,413,329.83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299,051,163.74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36.29%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z w:val="18"/>
              </w:rPr>
              <w:t>13.09%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15.15%</w:t>
            </w:r>
          </w:p>
        </w:tc>
        <w:tc>
          <w:tcPr>
            <w:tcW w:w="12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-1.14%</w:t>
            </w:r>
          </w:p>
        </w:tc>
      </w:tr>
      <w:tr>
        <w:trPr>
          <w:trHeight w:val="466" w:hRule="exact"/>
        </w:trPr>
        <w:tc>
          <w:tcPr>
            <w:tcW w:w="18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3,789,201,815.14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3,341,167,049.84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11.82%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z w:val="18"/>
              </w:rPr>
              <w:t>-27.27%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-28.62%</w:t>
            </w:r>
          </w:p>
        </w:tc>
        <w:tc>
          <w:tcPr>
            <w:tcW w:w="12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1.67%</w:t>
            </w:r>
          </w:p>
        </w:tc>
      </w:tr>
      <w:tr>
        <w:trPr>
          <w:trHeight w:val="448" w:hRule="exact"/>
        </w:trPr>
        <w:tc>
          <w:tcPr>
            <w:tcW w:w="9573" w:type="dxa"/>
            <w:gridSpan w:val="7"/>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79" w:hRule="exact"/>
        </w:trPr>
        <w:tc>
          <w:tcPr>
            <w:tcW w:w="1891" w:type="dxa"/>
            <w:tcBorders>
              <w:top w:val="single" w:sz="16" w:space="0" w:color="D2D2D2"/>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65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6,483,817,419.28</w:t>
            </w:r>
          </w:p>
        </w:tc>
        <w:tc>
          <w:tcPr>
            <w:tcW w:w="155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5,323,986,222.99</w:t>
            </w:r>
          </w:p>
        </w:tc>
        <w:tc>
          <w:tcPr>
            <w:tcW w:w="852"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17.89%</w:t>
            </w:r>
          </w:p>
        </w:tc>
        <w:tc>
          <w:tcPr>
            <w:tcW w:w="1205"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z w:val="18"/>
              </w:rPr>
              <w:t>-13.71%</w:t>
            </w:r>
          </w:p>
        </w:tc>
        <w:tc>
          <w:tcPr>
            <w:tcW w:w="1205"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-16.39%</w:t>
            </w:r>
          </w:p>
        </w:tc>
        <w:tc>
          <w:tcPr>
            <w:tcW w:w="1208"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2.64%</w:t>
            </w:r>
          </w:p>
        </w:tc>
      </w:tr>
      <w:tr>
        <w:trPr>
          <w:trHeight w:val="473" w:hRule="exact"/>
        </w:trPr>
        <w:tc>
          <w:tcPr>
            <w:tcW w:w="189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6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75,190,498.72</w:t>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33,423,313.96</w:t>
            </w:r>
          </w:p>
        </w:tc>
        <w:tc>
          <w:tcPr>
            <w:tcW w:w="8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55.55%</w:t>
            </w:r>
          </w:p>
        </w:tc>
        <w:tc>
          <w:tcPr>
            <w:tcW w:w="12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z w:val="18"/>
              </w:rPr>
              <w:t>-62.25%</w:t>
            </w:r>
          </w:p>
        </w:tc>
        <w:tc>
          <w:tcPr>
            <w:tcW w:w="12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-79.19%</w:t>
            </w:r>
          </w:p>
        </w:tc>
        <w:tc>
          <w:tcPr>
            <w:tcW w:w="120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6"/>
              <w:jc w:val="right"/>
              <w:rPr>
                <w:rFonts w:ascii="Times New Roman" w:hAnsi="Times New Roman" w:cs="Times New Roman" w:eastAsia="Times New Roman" w:hint="default"/>
                <w:sz w:val="18"/>
                <w:szCs w:val="18"/>
              </w:rPr>
            </w:pPr>
            <w:r>
              <w:rPr>
                <w:rFonts w:ascii="Times New Roman"/>
                <w:sz w:val="18"/>
              </w:rPr>
              <w:t>36.18%</w:t>
            </w:r>
          </w:p>
        </w:tc>
      </w:tr>
    </w:tbl>
    <w:p>
      <w:pPr>
        <w:pStyle w:val="BodyText"/>
        <w:spacing w:line="386" w:lineRule="auto" w:before="66"/>
        <w:ind w:right="140"/>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t>年按报告期末口径调整后的主营业务</w:t>
      </w:r>
      <w:r>
        <w:rPr>
          <w:spacing w:val="-99"/>
        </w:rPr>
        <w:t> </w:t>
      </w:r>
      <w:r>
        <w:rPr>
          <w:spacing w:val="-99"/>
        </w:rPr>
      </w:r>
      <w:r>
        <w:rPr/>
        <w:t>数据</w:t>
      </w:r>
    </w:p>
    <w:p>
      <w:pPr>
        <w:pStyle w:val="BodyText"/>
        <w:spacing w:line="240" w:lineRule="auto" w:before="65"/>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0" w:footer="1227" w:top="1060" w:bottom="1420" w:left="980" w:right="980"/>
        </w:sectPr>
      </w:pPr>
    </w:p>
    <w:p>
      <w:pPr>
        <w:spacing w:before="15"/>
        <w:ind w:left="0" w:right="153" w:firstLine="0"/>
        <w:jc w:val="righ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8"/>
          <w:szCs w:val="18"/>
        </w:rPr>
      </w:pPr>
    </w:p>
    <w:p>
      <w:pPr>
        <w:pStyle w:val="Heading2"/>
        <w:spacing w:line="240" w:lineRule="auto"/>
        <w:ind w:left="140" w:right="0"/>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40"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985"/>
        <w:gridCol w:w="1750"/>
        <w:gridCol w:w="1738"/>
        <w:gridCol w:w="1738"/>
        <w:gridCol w:w="1743"/>
        <w:gridCol w:w="1560"/>
        <w:gridCol w:w="3497"/>
      </w:tblGrid>
      <w:tr>
        <w:trPr>
          <w:trHeight w:val="215" w:hRule="exact"/>
        </w:trPr>
        <w:tc>
          <w:tcPr>
            <w:tcW w:w="1985" w:type="dxa"/>
            <w:tcBorders>
              <w:top w:val="single" w:sz="12" w:space="0" w:color="000000"/>
              <w:left w:val="single" w:sz="12" w:space="0" w:color="000000"/>
              <w:bottom w:val="nil" w:sz="6" w:space="0" w:color="auto"/>
              <w:right w:val="single" w:sz="4" w:space="0" w:color="000000"/>
            </w:tcBorders>
            <w:shd w:val="clear" w:color="auto" w:fill="D2D2D2"/>
          </w:tcPr>
          <w:p>
            <w:pPr/>
          </w:p>
        </w:tc>
        <w:tc>
          <w:tcPr>
            <w:tcW w:w="3488"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0"/>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3480"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560" w:type="dxa"/>
            <w:tcBorders>
              <w:top w:val="single" w:sz="12" w:space="0" w:color="000000"/>
              <w:left w:val="single" w:sz="4" w:space="0" w:color="000000"/>
              <w:bottom w:val="nil" w:sz="6" w:space="0" w:color="auto"/>
              <w:right w:val="single" w:sz="4" w:space="0" w:color="000000"/>
            </w:tcBorders>
            <w:shd w:val="clear" w:color="auto" w:fill="D2D2D2"/>
          </w:tcPr>
          <w:p>
            <w:pPr/>
          </w:p>
        </w:tc>
        <w:tc>
          <w:tcPr>
            <w:tcW w:w="3497"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193" w:hRule="exact"/>
        </w:trPr>
        <w:tc>
          <w:tcPr>
            <w:tcW w:w="1985" w:type="dxa"/>
            <w:vMerge w:val="restart"/>
            <w:tcBorders>
              <w:top w:val="nil" w:sz="6" w:space="0" w:color="auto"/>
              <w:left w:val="single" w:sz="12" w:space="0" w:color="000000"/>
              <w:right w:val="single" w:sz="4" w:space="0" w:color="000000"/>
            </w:tcBorders>
            <w:shd w:val="clear" w:color="auto" w:fill="D2D2D2"/>
          </w:tcPr>
          <w:p>
            <w:pPr/>
          </w:p>
        </w:tc>
        <w:tc>
          <w:tcPr>
            <w:tcW w:w="3488" w:type="dxa"/>
            <w:gridSpan w:val="2"/>
            <w:vMerge/>
            <w:tcBorders>
              <w:left w:val="single" w:sz="4" w:space="0" w:color="000000"/>
              <w:bottom w:val="single" w:sz="4" w:space="0" w:color="000000"/>
              <w:right w:val="single" w:sz="4" w:space="0" w:color="000000"/>
            </w:tcBorders>
            <w:shd w:val="clear" w:color="auto" w:fill="D2D2D2"/>
          </w:tcPr>
          <w:p>
            <w:pPr/>
          </w:p>
        </w:tc>
        <w:tc>
          <w:tcPr>
            <w:tcW w:w="3480" w:type="dxa"/>
            <w:gridSpan w:val="2"/>
            <w:vMerge/>
            <w:tcBorders>
              <w:left w:val="single" w:sz="4" w:space="0" w:color="000000"/>
              <w:bottom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497"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2" w:hRule="exact"/>
        </w:trPr>
        <w:tc>
          <w:tcPr>
            <w:tcW w:w="1985" w:type="dxa"/>
            <w:vMerge/>
            <w:tcBorders>
              <w:left w:val="single" w:sz="12" w:space="0" w:color="000000"/>
              <w:bottom w:val="nil" w:sz="6" w:space="0" w:color="auto"/>
              <w:right w:val="single" w:sz="4" w:space="0" w:color="000000"/>
            </w:tcBorders>
            <w:shd w:val="clear" w:color="auto" w:fill="D2D2D2"/>
          </w:tcPr>
          <w:p>
            <w:pPr/>
          </w:p>
        </w:tc>
        <w:tc>
          <w:tcPr>
            <w:tcW w:w="1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4"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560" w:type="dxa"/>
            <w:vMerge/>
            <w:tcBorders>
              <w:left w:val="single" w:sz="4" w:space="0" w:color="000000"/>
              <w:bottom w:val="nil" w:sz="6" w:space="0" w:color="auto"/>
              <w:right w:val="single" w:sz="4" w:space="0" w:color="000000"/>
            </w:tcBorders>
            <w:shd w:val="clear" w:color="auto" w:fill="D2D2D2"/>
          </w:tcPr>
          <w:p>
            <w:pPr/>
          </w:p>
        </w:tc>
        <w:tc>
          <w:tcPr>
            <w:tcW w:w="3497" w:type="dxa"/>
            <w:vMerge/>
            <w:tcBorders>
              <w:left w:val="single" w:sz="4" w:space="0" w:color="000000"/>
              <w:bottom w:val="nil" w:sz="6" w:space="0" w:color="auto"/>
              <w:right w:val="single" w:sz="12" w:space="0" w:color="000000"/>
            </w:tcBorders>
            <w:shd w:val="clear" w:color="auto" w:fill="D2D2D2"/>
          </w:tcPr>
          <w:p>
            <w:pPr/>
          </w:p>
        </w:tc>
      </w:tr>
      <w:tr>
        <w:trPr>
          <w:trHeight w:val="206" w:hRule="exact"/>
        </w:trPr>
        <w:tc>
          <w:tcPr>
            <w:tcW w:w="1985" w:type="dxa"/>
            <w:tcBorders>
              <w:top w:val="nil" w:sz="6" w:space="0" w:color="auto"/>
              <w:left w:val="single" w:sz="12" w:space="0" w:color="000000"/>
              <w:bottom w:val="single" w:sz="4" w:space="0" w:color="000000"/>
              <w:right w:val="single" w:sz="4" w:space="0" w:color="000000"/>
            </w:tcBorders>
            <w:shd w:val="clear" w:color="auto" w:fill="D2D2D2"/>
          </w:tcPr>
          <w:p>
            <w:pPr/>
          </w:p>
        </w:tc>
        <w:tc>
          <w:tcPr>
            <w:tcW w:w="1750" w:type="dxa"/>
            <w:vMerge/>
            <w:tcBorders>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43"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3497"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01" w:hRule="exact"/>
        </w:trPr>
        <w:tc>
          <w:tcPr>
            <w:tcW w:w="19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1,702,372,776.91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1,568,106,047.31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0.60%</w:t>
            </w:r>
          </w:p>
        </w:tc>
        <w:tc>
          <w:tcPr>
            <w:tcW w:w="34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2,239,454,591.82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2,665,912,022.26</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-9.22%</w:t>
            </w:r>
          </w:p>
        </w:tc>
        <w:tc>
          <w:tcPr>
            <w:tcW w:w="34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9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611,859,478.55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713,357,425.12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w:t>
            </w:r>
          </w:p>
        </w:tc>
        <w:tc>
          <w:tcPr>
            <w:tcW w:w="34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50" w:type="dxa"/>
            <w:tcBorders>
              <w:top w:val="single" w:sz="4" w:space="0" w:color="000000"/>
              <w:left w:val="single" w:sz="10" w:space="0" w:color="D2D2D2"/>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4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9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358,455,474.77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353,461,129.04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34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167,643,540.38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188,557,044.57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-0.51%</w:t>
            </w:r>
          </w:p>
        </w:tc>
        <w:tc>
          <w:tcPr>
            <w:tcW w:w="34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9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255,404.17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1,662,109.44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3497"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98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35,598,787.56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6,745,320.90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0.45%</w:t>
            </w:r>
          </w:p>
        </w:tc>
        <w:tc>
          <w:tcPr>
            <w:tcW w:w="3497"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49"/>
              <w:ind w:left="23" w:right="32"/>
              <w:jc w:val="both"/>
              <w:rPr>
                <w:rFonts w:ascii="宋体" w:hAnsi="宋体" w:cs="宋体" w:eastAsia="宋体" w:hint="default"/>
                <w:sz w:val="18"/>
                <w:szCs w:val="18"/>
              </w:rPr>
            </w:pPr>
            <w:r>
              <w:rPr>
                <w:rFonts w:ascii="宋体" w:hAnsi="宋体" w:cs="宋体" w:eastAsia="宋体" w:hint="default"/>
                <w:sz w:val="18"/>
                <w:szCs w:val="18"/>
              </w:rPr>
              <w:t>主要是管理层在本报告期更加注重内部研发 工作，提高了研发支出的质量，内部研发形 成较多无形资产所致</w:t>
            </w:r>
          </w:p>
        </w:tc>
      </w:tr>
      <w:tr>
        <w:trPr>
          <w:trHeight w:val="1035" w:hRule="exact"/>
        </w:trPr>
        <w:tc>
          <w:tcPr>
            <w:tcW w:w="1985"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25,020,000.00</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0.39%</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85,375,372.56</w:t>
            </w:r>
          </w:p>
        </w:tc>
        <w:tc>
          <w:tcPr>
            <w:tcW w:w="17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w:t>
            </w:r>
          </w:p>
        </w:tc>
        <w:tc>
          <w:tcPr>
            <w:tcW w:w="3497" w:type="dxa"/>
            <w:tcBorders>
              <w:top w:val="single" w:sz="4" w:space="0" w:color="000000"/>
              <w:left w:val="single" w:sz="4" w:space="0" w:color="000000"/>
              <w:bottom w:val="single" w:sz="12" w:space="0" w:color="000000"/>
              <w:right w:val="single" w:sz="12" w:space="0" w:color="000000"/>
            </w:tcBorders>
          </w:tcPr>
          <w:p>
            <w:pPr>
              <w:pStyle w:val="TableParagraph"/>
              <w:spacing w:line="300" w:lineRule="auto" w:before="49"/>
              <w:ind w:left="23" w:right="45"/>
              <w:jc w:val="left"/>
              <w:rPr>
                <w:rFonts w:ascii="宋体" w:hAnsi="宋体" w:cs="宋体" w:eastAsia="宋体" w:hint="default"/>
                <w:sz w:val="18"/>
                <w:szCs w:val="18"/>
              </w:rPr>
            </w:pPr>
            <w:r>
              <w:rPr>
                <w:rFonts w:ascii="宋体" w:hAnsi="宋体" w:cs="宋体" w:eastAsia="宋体" w:hint="default"/>
                <w:sz w:val="18"/>
                <w:szCs w:val="18"/>
              </w:rPr>
              <w:t>主要是本报告期全部出售了子公司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Digital China Software</w:t>
            </w:r>
            <w:r>
              <w:rPr>
                <w:rFonts w:ascii="宋体" w:hAnsi="宋体" w:cs="宋体" w:eastAsia="宋体" w:hint="default"/>
                <w:sz w:val="18"/>
                <w:szCs w:val="18"/>
              </w:rPr>
              <w:t>（</w:t>
            </w:r>
            <w:r>
              <w:rPr>
                <w:rFonts w:ascii="Times New Roman" w:hAnsi="Times New Roman" w:cs="Times New Roman" w:eastAsia="Times New Roman" w:hint="default"/>
                <w:sz w:val="18"/>
                <w:szCs w:val="18"/>
              </w:rPr>
              <w:t>BVI</w:t>
            </w:r>
            <w:r>
              <w:rPr>
                <w:rFonts w:ascii="宋体" w:hAnsi="宋体" w:cs="宋体" w:eastAsia="宋体" w:hint="default"/>
                <w:sz w:val="18"/>
                <w:szCs w:val="18"/>
              </w:rPr>
              <w:t>）</w:t>
            </w:r>
            <w:r>
              <w:rPr>
                <w:rFonts w:ascii="Times New Roman" w:hAnsi="Times New Roman" w:cs="Times New Roman" w:eastAsia="Times New Roman" w:hint="default"/>
                <w:sz w:val="18"/>
                <w:szCs w:val="18"/>
              </w:rPr>
              <w:t>Limited </w:t>
            </w:r>
            <w:r>
              <w:rPr>
                <w:rFonts w:ascii="宋体" w:hAnsi="宋体" w:cs="宋体" w:eastAsia="宋体" w:hint="default"/>
                <w:sz w:val="18"/>
                <w:szCs w:val="18"/>
              </w:rPr>
              <w:t>持有的对</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SJI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的股票投资所致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76"/>
        <w:ind w:left="5173" w:right="5190" w:firstLine="0"/>
        <w:jc w:val="center"/>
        <w:rPr>
          <w:rFonts w:ascii="Times New Roman" w:hAnsi="Times New Roman" w:cs="Times New Roman" w:eastAsia="Times New Roman" w:hint="default"/>
          <w:sz w:val="18"/>
          <w:szCs w:val="18"/>
        </w:rPr>
      </w:pPr>
      <w:r>
        <w:rPr>
          <w:rFonts w:ascii="Times New Roman"/>
          <w:sz w:val="18"/>
        </w:rPr>
        <w:t>21</w:t>
      </w:r>
    </w:p>
    <w:p>
      <w:pPr>
        <w:spacing w:after="0"/>
        <w:jc w:val="center"/>
        <w:rPr>
          <w:rFonts w:ascii="Times New Roman" w:hAnsi="Times New Roman" w:cs="Times New Roman" w:eastAsia="Times New Roman" w:hint="default"/>
          <w:sz w:val="18"/>
          <w:szCs w:val="18"/>
        </w:rPr>
        <w:sectPr>
          <w:headerReference w:type="default" r:id="rId14"/>
          <w:footerReference w:type="default" r:id="rId15"/>
          <w:pgSz w:w="16840" w:h="11910" w:orient="landscape"/>
          <w:pgMar w:header="0" w:footer="0" w:top="800" w:bottom="280" w:left="130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60"/>
        <w:ind w:right="14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845"/>
        <w:gridCol w:w="1345"/>
        <w:gridCol w:w="1349"/>
        <w:gridCol w:w="1347"/>
        <w:gridCol w:w="1346"/>
        <w:gridCol w:w="850"/>
        <w:gridCol w:w="2482"/>
      </w:tblGrid>
      <w:tr>
        <w:trPr>
          <w:trHeight w:val="263" w:hRule="exact"/>
        </w:trPr>
        <w:tc>
          <w:tcPr>
            <w:tcW w:w="845" w:type="dxa"/>
            <w:tcBorders>
              <w:top w:val="single" w:sz="12" w:space="0" w:color="000000"/>
              <w:left w:val="single" w:sz="12" w:space="0" w:color="000000"/>
              <w:bottom w:val="nil" w:sz="6" w:space="0" w:color="auto"/>
              <w:right w:val="single" w:sz="4" w:space="0" w:color="000000"/>
            </w:tcBorders>
            <w:shd w:val="clear" w:color="auto" w:fill="D2D2D2"/>
          </w:tcPr>
          <w:p>
            <w:pPr/>
          </w:p>
        </w:tc>
        <w:tc>
          <w:tcPr>
            <w:tcW w:w="2693"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6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93"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6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0" w:type="dxa"/>
            <w:tcBorders>
              <w:top w:val="single" w:sz="12" w:space="0" w:color="000000"/>
              <w:left w:val="single" w:sz="4" w:space="0" w:color="000000"/>
              <w:bottom w:val="nil" w:sz="6" w:space="0" w:color="auto"/>
              <w:right w:val="single" w:sz="4" w:space="0" w:color="000000"/>
            </w:tcBorders>
            <w:shd w:val="clear" w:color="auto" w:fill="D2D2D2"/>
          </w:tcPr>
          <w:p>
            <w:pPr/>
          </w:p>
        </w:tc>
        <w:tc>
          <w:tcPr>
            <w:tcW w:w="2482"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174" w:hRule="exact"/>
        </w:trPr>
        <w:tc>
          <w:tcPr>
            <w:tcW w:w="845" w:type="dxa"/>
            <w:vMerge w:val="restart"/>
            <w:tcBorders>
              <w:top w:val="nil" w:sz="6" w:space="0" w:color="auto"/>
              <w:left w:val="single" w:sz="12" w:space="0" w:color="000000"/>
              <w:right w:val="single" w:sz="4" w:space="0" w:color="000000"/>
            </w:tcBorders>
            <w:shd w:val="clear" w:color="auto" w:fill="D2D2D2"/>
          </w:tcPr>
          <w:p>
            <w:pPr/>
          </w:p>
        </w:tc>
        <w:tc>
          <w:tcPr>
            <w:tcW w:w="2693" w:type="dxa"/>
            <w:gridSpan w:val="2"/>
            <w:vMerge/>
            <w:tcBorders>
              <w:left w:val="single" w:sz="4" w:space="0" w:color="000000"/>
              <w:bottom w:val="single" w:sz="4" w:space="0" w:color="000000"/>
              <w:right w:val="single" w:sz="4" w:space="0" w:color="000000"/>
            </w:tcBorders>
            <w:shd w:val="clear" w:color="auto" w:fill="D2D2D2"/>
          </w:tcPr>
          <w:p>
            <w:pPr/>
          </w:p>
        </w:tc>
        <w:tc>
          <w:tcPr>
            <w:tcW w:w="2693"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482"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49"/>
              <w:ind w:left="69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17" w:hRule="exact"/>
        </w:trPr>
        <w:tc>
          <w:tcPr>
            <w:tcW w:w="845" w:type="dxa"/>
            <w:vMerge/>
            <w:tcBorders>
              <w:left w:val="single" w:sz="12" w:space="0" w:color="000000"/>
              <w:bottom w:val="nil" w:sz="6" w:space="0" w:color="auto"/>
              <w:right w:val="single" w:sz="4" w:space="0" w:color="000000"/>
            </w:tcBorders>
            <w:shd w:val="clear" w:color="auto" w:fill="D2D2D2"/>
          </w:tcPr>
          <w:p>
            <w:pPr/>
          </w:p>
        </w:tc>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0"/>
              <w:ind w:left="131"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3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0"/>
              <w:ind w:left="129"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850" w:type="dxa"/>
            <w:vMerge/>
            <w:tcBorders>
              <w:left w:val="single" w:sz="4" w:space="0" w:color="000000"/>
              <w:bottom w:val="nil" w:sz="6" w:space="0" w:color="auto"/>
              <w:right w:val="single" w:sz="4" w:space="0" w:color="000000"/>
            </w:tcBorders>
            <w:shd w:val="clear" w:color="auto" w:fill="D2D2D2"/>
          </w:tcPr>
          <w:p>
            <w:pPr/>
          </w:p>
        </w:tc>
        <w:tc>
          <w:tcPr>
            <w:tcW w:w="2482" w:type="dxa"/>
            <w:vMerge/>
            <w:tcBorders>
              <w:left w:val="single" w:sz="4" w:space="0" w:color="000000"/>
              <w:bottom w:val="nil" w:sz="6" w:space="0" w:color="auto"/>
              <w:right w:val="single" w:sz="12" w:space="0" w:color="000000"/>
            </w:tcBorders>
            <w:shd w:val="clear" w:color="auto" w:fill="D2D2D2"/>
          </w:tcPr>
          <w:p>
            <w:pPr/>
          </w:p>
        </w:tc>
      </w:tr>
      <w:tr>
        <w:trPr>
          <w:trHeight w:val="253" w:hRule="exact"/>
        </w:trPr>
        <w:tc>
          <w:tcPr>
            <w:tcW w:w="845" w:type="dxa"/>
            <w:tcBorders>
              <w:top w:val="nil" w:sz="6" w:space="0" w:color="auto"/>
              <w:left w:val="single" w:sz="12" w:space="0" w:color="000000"/>
              <w:bottom w:val="single" w:sz="4" w:space="0" w:color="000000"/>
              <w:right w:val="single" w:sz="4" w:space="0" w:color="000000"/>
            </w:tcBorders>
            <w:shd w:val="clear" w:color="auto" w:fill="D2D2D2"/>
          </w:tcPr>
          <w:p>
            <w:pPr/>
          </w:p>
        </w:tc>
        <w:tc>
          <w:tcPr>
            <w:tcW w:w="1345"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7" w:type="dxa"/>
            <w:vMerge/>
            <w:tcBorders>
              <w:left w:val="single" w:sz="4" w:space="0" w:color="000000"/>
              <w:bottom w:val="single" w:sz="4" w:space="0" w:color="000000"/>
              <w:right w:val="single" w:sz="4" w:space="0" w:color="000000"/>
            </w:tcBorders>
            <w:shd w:val="clear" w:color="auto" w:fill="D2D2D2"/>
          </w:tcPr>
          <w:p>
            <w:pPr/>
          </w:p>
        </w:tc>
        <w:tc>
          <w:tcPr>
            <w:tcW w:w="134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2482"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176" w:hRule="exact"/>
        </w:trPr>
        <w:tc>
          <w:tcPr>
            <w:tcW w:w="845" w:type="dxa"/>
            <w:tcBorders>
              <w:top w:val="single" w:sz="4" w:space="0" w:color="000000"/>
              <w:left w:val="single" w:sz="12" w:space="0" w:color="000000"/>
              <w:bottom w:val="nil" w:sz="6" w:space="0" w:color="auto"/>
              <w:right w:val="single" w:sz="4" w:space="0" w:color="000000"/>
            </w:tcBorders>
            <w:shd w:val="clear" w:color="auto" w:fill="D2D2D2"/>
          </w:tcPr>
          <w:p>
            <w:pPr/>
          </w:p>
        </w:tc>
        <w:tc>
          <w:tcPr>
            <w:tcW w:w="1345" w:type="dxa"/>
            <w:vMerge w:val="restart"/>
            <w:tcBorders>
              <w:top w:val="single" w:sz="12" w:space="0" w:color="D2D2D2"/>
              <w:left w:val="single" w:sz="10" w:space="0" w:color="D2D2D2"/>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762,692,505.11</w:t>
            </w:r>
          </w:p>
        </w:tc>
        <w:tc>
          <w:tcPr>
            <w:tcW w:w="1349" w:type="dxa"/>
            <w:vMerge w:val="restart"/>
            <w:tcBorders>
              <w:top w:val="single" w:sz="12"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70" w:right="0"/>
              <w:jc w:val="left"/>
              <w:rPr>
                <w:rFonts w:ascii="Times New Roman" w:hAnsi="Times New Roman" w:cs="Times New Roman" w:eastAsia="Times New Roman" w:hint="default"/>
                <w:sz w:val="18"/>
                <w:szCs w:val="18"/>
              </w:rPr>
            </w:pPr>
            <w:r>
              <w:rPr>
                <w:rFonts w:ascii="Times New Roman"/>
                <w:sz w:val="18"/>
              </w:rPr>
              <w:t>11.91%</w:t>
            </w:r>
          </w:p>
        </w:tc>
        <w:tc>
          <w:tcPr>
            <w:tcW w:w="1347" w:type="dxa"/>
            <w:vMerge w:val="restart"/>
            <w:tcBorders>
              <w:top w:val="single" w:sz="12"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1,224,391,969.47</w:t>
            </w:r>
          </w:p>
        </w:tc>
        <w:tc>
          <w:tcPr>
            <w:tcW w:w="1346" w:type="dxa"/>
            <w:vMerge w:val="restart"/>
            <w:tcBorders>
              <w:top w:val="single" w:sz="12"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60" w:right="0"/>
              <w:jc w:val="left"/>
              <w:rPr>
                <w:rFonts w:ascii="Times New Roman" w:hAnsi="Times New Roman" w:cs="Times New Roman" w:eastAsia="Times New Roman" w:hint="default"/>
                <w:sz w:val="18"/>
                <w:szCs w:val="18"/>
              </w:rPr>
            </w:pPr>
            <w:r>
              <w:rPr>
                <w:rFonts w:ascii="Times New Roman"/>
                <w:sz w:val="18"/>
              </w:rPr>
              <w:t>20.30%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-8.39%</w:t>
            </w:r>
          </w:p>
        </w:tc>
        <w:tc>
          <w:tcPr>
            <w:tcW w:w="2482" w:type="dxa"/>
            <w:vMerge w:val="restart"/>
            <w:tcBorders>
              <w:top w:val="single" w:sz="4" w:space="0" w:color="000000"/>
              <w:left w:val="single" w:sz="4" w:space="0" w:color="000000"/>
              <w:right w:val="single" w:sz="12" w:space="0" w:color="000000"/>
            </w:tcBorders>
          </w:tcPr>
          <w:p>
            <w:pPr>
              <w:pStyle w:val="TableParagraph"/>
              <w:spacing w:line="314" w:lineRule="auto" w:before="64"/>
              <w:ind w:left="24" w:right="96"/>
              <w:jc w:val="left"/>
              <w:rPr>
                <w:rFonts w:ascii="宋体" w:hAnsi="宋体" w:cs="宋体" w:eastAsia="宋体" w:hint="default"/>
                <w:sz w:val="18"/>
                <w:szCs w:val="18"/>
              </w:rPr>
            </w:pPr>
            <w:r>
              <w:rPr>
                <w:rFonts w:ascii="宋体" w:hAnsi="宋体" w:cs="宋体" w:eastAsia="宋体" w:hint="default"/>
                <w:sz w:val="18"/>
                <w:szCs w:val="18"/>
              </w:rPr>
              <w:t>主要是本报告期将上年部分短 期借款展期为长期借款所致</w:t>
            </w:r>
          </w:p>
        </w:tc>
      </w:tr>
      <w:tr>
        <w:trPr>
          <w:trHeight w:val="391" w:hRule="exact"/>
        </w:trPr>
        <w:tc>
          <w:tcPr>
            <w:tcW w:w="845"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49"/>
              <w:ind w:right="89"/>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345" w:type="dxa"/>
            <w:vMerge/>
            <w:tcBorders>
              <w:left w:val="single" w:sz="10" w:space="0" w:color="D2D2D2"/>
              <w:right w:val="single" w:sz="4" w:space="0" w:color="000000"/>
            </w:tcBorders>
          </w:tcPr>
          <w:p>
            <w:pPr/>
          </w:p>
        </w:tc>
        <w:tc>
          <w:tcPr>
            <w:tcW w:w="1349" w:type="dxa"/>
            <w:vMerge/>
            <w:tcBorders>
              <w:left w:val="single" w:sz="4" w:space="0" w:color="000000"/>
              <w:right w:val="single" w:sz="4" w:space="0" w:color="000000"/>
            </w:tcBorders>
          </w:tcPr>
          <w:p>
            <w:pPr/>
          </w:p>
        </w:tc>
        <w:tc>
          <w:tcPr>
            <w:tcW w:w="134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482" w:type="dxa"/>
            <w:vMerge/>
            <w:tcBorders>
              <w:left w:val="single" w:sz="4" w:space="0" w:color="000000"/>
              <w:right w:val="single" w:sz="12" w:space="0" w:color="000000"/>
            </w:tcBorders>
          </w:tcPr>
          <w:p>
            <w:pPr/>
          </w:p>
        </w:tc>
      </w:tr>
      <w:tr>
        <w:trPr>
          <w:trHeight w:val="161" w:hRule="exact"/>
        </w:trPr>
        <w:tc>
          <w:tcPr>
            <w:tcW w:w="845" w:type="dxa"/>
            <w:tcBorders>
              <w:top w:val="nil" w:sz="6" w:space="0" w:color="auto"/>
              <w:left w:val="single" w:sz="12" w:space="0" w:color="000000"/>
              <w:bottom w:val="single" w:sz="4" w:space="0" w:color="000000"/>
              <w:right w:val="single" w:sz="4" w:space="0" w:color="000000"/>
            </w:tcBorders>
            <w:shd w:val="clear" w:color="auto" w:fill="D2D2D2"/>
          </w:tcPr>
          <w:p>
            <w:pPr/>
          </w:p>
        </w:tc>
        <w:tc>
          <w:tcPr>
            <w:tcW w:w="1345" w:type="dxa"/>
            <w:vMerge/>
            <w:tcBorders>
              <w:left w:val="single" w:sz="10" w:space="0" w:color="D2D2D2"/>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1347" w:type="dxa"/>
            <w:vMerge/>
            <w:tcBorders>
              <w:left w:val="single" w:sz="4" w:space="0" w:color="000000"/>
              <w:bottom w:val="single" w:sz="4" w:space="0" w:color="000000"/>
              <w:right w:val="single" w:sz="4" w:space="0" w:color="000000"/>
            </w:tcBorders>
          </w:tcPr>
          <w:p>
            <w:pPr/>
          </w:p>
        </w:tc>
        <w:tc>
          <w:tcPr>
            <w:tcW w:w="134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482" w:type="dxa"/>
            <w:vMerge/>
            <w:tcBorders>
              <w:left w:val="single" w:sz="4" w:space="0" w:color="000000"/>
              <w:bottom w:val="single" w:sz="4" w:space="0" w:color="000000"/>
              <w:right w:val="single" w:sz="12" w:space="0" w:color="000000"/>
            </w:tcBorders>
          </w:tcPr>
          <w:p>
            <w:pPr/>
          </w:p>
        </w:tc>
      </w:tr>
      <w:tr>
        <w:trPr>
          <w:trHeight w:val="161" w:hRule="exact"/>
        </w:trPr>
        <w:tc>
          <w:tcPr>
            <w:tcW w:w="845" w:type="dxa"/>
            <w:tcBorders>
              <w:top w:val="single" w:sz="4" w:space="0" w:color="000000"/>
              <w:left w:val="single" w:sz="12" w:space="0" w:color="000000"/>
              <w:bottom w:val="nil" w:sz="6" w:space="0" w:color="auto"/>
              <w:right w:val="single" w:sz="4" w:space="0" w:color="000000"/>
            </w:tcBorders>
            <w:shd w:val="clear" w:color="auto" w:fill="D2D2D2"/>
          </w:tcPr>
          <w:p>
            <w:pPr/>
          </w:p>
        </w:tc>
        <w:tc>
          <w:tcPr>
            <w:tcW w:w="1345"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240,000,000.00</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1" w:right="0"/>
              <w:jc w:val="left"/>
              <w:rPr>
                <w:rFonts w:ascii="Times New Roman" w:hAnsi="Times New Roman" w:cs="Times New Roman" w:eastAsia="Times New Roman" w:hint="default"/>
                <w:sz w:val="18"/>
                <w:szCs w:val="18"/>
              </w:rPr>
            </w:pPr>
            <w:r>
              <w:rPr>
                <w:rFonts w:ascii="Times New Roman"/>
                <w:sz w:val="18"/>
              </w:rPr>
              <w:t>3.75%</w:t>
            </w:r>
          </w:p>
        </w:tc>
        <w:tc>
          <w:tcPr>
            <w:tcW w:w="1347" w:type="dxa"/>
            <w:vMerge w:val="restart"/>
            <w:tcBorders>
              <w:top w:val="single" w:sz="4" w:space="0" w:color="000000"/>
              <w:left w:val="single" w:sz="4" w:space="0" w:color="000000"/>
              <w:right w:val="single" w:sz="4" w:space="0" w:color="000000"/>
            </w:tcBorders>
          </w:tcPr>
          <w:p>
            <w:pPr/>
          </w:p>
        </w:tc>
        <w:tc>
          <w:tcPr>
            <w:tcW w:w="134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3.75%</w:t>
            </w:r>
          </w:p>
        </w:tc>
        <w:tc>
          <w:tcPr>
            <w:tcW w:w="2482" w:type="dxa"/>
            <w:vMerge w:val="restart"/>
            <w:tcBorders>
              <w:top w:val="single" w:sz="4" w:space="0" w:color="000000"/>
              <w:left w:val="single" w:sz="4" w:space="0" w:color="000000"/>
              <w:right w:val="single" w:sz="12"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主要是本报告期将上年部分短 期借款展期为长期借款所致</w:t>
            </w:r>
          </w:p>
        </w:tc>
      </w:tr>
      <w:tr>
        <w:trPr>
          <w:trHeight w:val="394" w:hRule="exact"/>
        </w:trPr>
        <w:tc>
          <w:tcPr>
            <w:tcW w:w="845"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49"/>
              <w:ind w:right="89"/>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345" w:type="dxa"/>
            <w:vMerge/>
            <w:tcBorders>
              <w:left w:val="single" w:sz="10" w:space="0" w:color="D2D2D2"/>
              <w:right w:val="single" w:sz="4" w:space="0" w:color="000000"/>
            </w:tcBorders>
          </w:tcPr>
          <w:p>
            <w:pPr/>
          </w:p>
        </w:tc>
        <w:tc>
          <w:tcPr>
            <w:tcW w:w="1349" w:type="dxa"/>
            <w:vMerge/>
            <w:tcBorders>
              <w:left w:val="single" w:sz="4" w:space="0" w:color="000000"/>
              <w:right w:val="single" w:sz="4" w:space="0" w:color="000000"/>
            </w:tcBorders>
          </w:tcPr>
          <w:p>
            <w:pPr/>
          </w:p>
        </w:tc>
        <w:tc>
          <w:tcPr>
            <w:tcW w:w="134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482" w:type="dxa"/>
            <w:vMerge/>
            <w:tcBorders>
              <w:left w:val="single" w:sz="4" w:space="0" w:color="000000"/>
              <w:right w:val="single" w:sz="12" w:space="0" w:color="000000"/>
            </w:tcBorders>
          </w:tcPr>
          <w:p>
            <w:pPr/>
          </w:p>
        </w:tc>
      </w:tr>
      <w:tr>
        <w:trPr>
          <w:trHeight w:val="168" w:hRule="exact"/>
        </w:trPr>
        <w:tc>
          <w:tcPr>
            <w:tcW w:w="845" w:type="dxa"/>
            <w:tcBorders>
              <w:top w:val="nil" w:sz="6" w:space="0" w:color="auto"/>
              <w:left w:val="single" w:sz="12" w:space="0" w:color="000000"/>
              <w:bottom w:val="single" w:sz="12" w:space="0" w:color="000000"/>
              <w:right w:val="single" w:sz="4" w:space="0" w:color="000000"/>
            </w:tcBorders>
            <w:shd w:val="clear" w:color="auto" w:fill="D2D2D2"/>
          </w:tcPr>
          <w:p>
            <w:pPr/>
          </w:p>
        </w:tc>
        <w:tc>
          <w:tcPr>
            <w:tcW w:w="1345" w:type="dxa"/>
            <w:vMerge/>
            <w:tcBorders>
              <w:left w:val="single" w:sz="10" w:space="0" w:color="D2D2D2"/>
              <w:bottom w:val="single" w:sz="12" w:space="0" w:color="000000"/>
              <w:right w:val="single" w:sz="4" w:space="0" w:color="000000"/>
            </w:tcBorders>
          </w:tcPr>
          <w:p>
            <w:pPr/>
          </w:p>
        </w:tc>
        <w:tc>
          <w:tcPr>
            <w:tcW w:w="1349" w:type="dxa"/>
            <w:vMerge/>
            <w:tcBorders>
              <w:left w:val="single" w:sz="4" w:space="0" w:color="000000"/>
              <w:bottom w:val="single" w:sz="12" w:space="0" w:color="000000"/>
              <w:right w:val="single" w:sz="4" w:space="0" w:color="000000"/>
            </w:tcBorders>
          </w:tcPr>
          <w:p>
            <w:pPr/>
          </w:p>
        </w:tc>
        <w:tc>
          <w:tcPr>
            <w:tcW w:w="1347" w:type="dxa"/>
            <w:vMerge/>
            <w:tcBorders>
              <w:left w:val="single" w:sz="4" w:space="0" w:color="000000"/>
              <w:bottom w:val="single" w:sz="12" w:space="0" w:color="000000"/>
              <w:right w:val="single" w:sz="4" w:space="0" w:color="000000"/>
            </w:tcBorders>
          </w:tcPr>
          <w:p>
            <w:pPr/>
          </w:p>
        </w:tc>
        <w:tc>
          <w:tcPr>
            <w:tcW w:w="1346" w:type="dxa"/>
            <w:vMerge/>
            <w:tcBorders>
              <w:left w:val="single" w:sz="4" w:space="0" w:color="000000"/>
              <w:bottom w:val="single" w:sz="12" w:space="0" w:color="000000"/>
              <w:right w:val="single" w:sz="4" w:space="0" w:color="000000"/>
            </w:tcBorders>
          </w:tcPr>
          <w:p>
            <w:pPr/>
          </w:p>
        </w:tc>
        <w:tc>
          <w:tcPr>
            <w:tcW w:w="850" w:type="dxa"/>
            <w:vMerge/>
            <w:tcBorders>
              <w:left w:val="single" w:sz="4" w:space="0" w:color="000000"/>
              <w:bottom w:val="single" w:sz="12" w:space="0" w:color="000000"/>
              <w:right w:val="single" w:sz="4" w:space="0" w:color="000000"/>
            </w:tcBorders>
          </w:tcPr>
          <w:p>
            <w:pPr/>
          </w:p>
        </w:tc>
        <w:tc>
          <w:tcPr>
            <w:tcW w:w="2482" w:type="dxa"/>
            <w:vMerge/>
            <w:tcBorders>
              <w:left w:val="single" w:sz="4" w:space="0" w:color="000000"/>
              <w:bottom w:val="single" w:sz="12" w:space="0" w:color="000000"/>
              <w:right w:val="single" w:sz="12" w:space="0" w:color="000000"/>
            </w:tcBorders>
          </w:tcPr>
          <w:p>
            <w:pPr/>
          </w:p>
        </w:tc>
      </w:tr>
    </w:tbl>
    <w:p>
      <w:pPr>
        <w:spacing w:line="240" w:lineRule="auto" w:before="6"/>
        <w:rPr>
          <w:rFonts w:ascii="宋体" w:hAnsi="宋体" w:cs="宋体" w:eastAsia="宋体" w:hint="default"/>
          <w:sz w:val="19"/>
          <w:szCs w:val="19"/>
        </w:rPr>
      </w:pPr>
    </w:p>
    <w:p>
      <w:pPr>
        <w:pStyle w:val="Heading4"/>
        <w:spacing w:line="240" w:lineRule="auto" w:before="36"/>
        <w:ind w:right="14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8"/>
          <w:szCs w:val="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560"/>
        <w:gridCol w:w="1417"/>
        <w:gridCol w:w="1135"/>
        <w:gridCol w:w="1419"/>
        <w:gridCol w:w="1417"/>
        <w:gridCol w:w="638"/>
        <w:gridCol w:w="1205"/>
        <w:gridCol w:w="780"/>
      </w:tblGrid>
      <w:tr>
        <w:trPr>
          <w:trHeight w:val="710" w:hRule="exact"/>
        </w:trPr>
        <w:tc>
          <w:tcPr>
            <w:tcW w:w="156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3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4"/>
              <w:ind w:left="115" w:right="108"/>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1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4"/>
              <w:ind w:left="165" w:right="72"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41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z w:val="18"/>
                <w:szCs w:val="18"/>
              </w:rPr>
              <w:t>本期计提的减值</w:t>
            </w:r>
          </w:p>
        </w:tc>
        <w:tc>
          <w:tcPr>
            <w:tcW w:w="63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4"/>
              <w:ind w:left="45" w:right="41"/>
              <w:jc w:val="left"/>
              <w:rPr>
                <w:rFonts w:ascii="宋体" w:hAnsi="宋体" w:cs="宋体" w:eastAsia="宋体" w:hint="default"/>
                <w:sz w:val="18"/>
                <w:szCs w:val="18"/>
              </w:rPr>
            </w:pPr>
            <w:r>
              <w:rPr>
                <w:rFonts w:ascii="宋体" w:hAnsi="宋体" w:cs="宋体" w:eastAsia="宋体" w:hint="default"/>
                <w:sz w:val="18"/>
                <w:szCs w:val="18"/>
              </w:rPr>
              <w:t>本期购 买金额</w:t>
            </w:r>
          </w:p>
        </w:tc>
        <w:tc>
          <w:tcPr>
            <w:tcW w:w="120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78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48" w:hRule="exact"/>
        </w:trPr>
        <w:tc>
          <w:tcPr>
            <w:tcW w:w="156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011" w:type="dxa"/>
            <w:gridSpan w:val="7"/>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79" w:hRule="exact"/>
        </w:trPr>
        <w:tc>
          <w:tcPr>
            <w:tcW w:w="156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17"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77,678,886.61</w:t>
            </w:r>
          </w:p>
        </w:tc>
        <w:tc>
          <w:tcPr>
            <w:tcW w:w="1135" w:type="dxa"/>
            <w:tcBorders>
              <w:top w:val="single" w:sz="12" w:space="0" w:color="D2D2D2"/>
              <w:left w:val="single" w:sz="4" w:space="0" w:color="000000"/>
              <w:bottom w:val="single" w:sz="4" w:space="0" w:color="000000"/>
              <w:right w:val="single" w:sz="4" w:space="0" w:color="000000"/>
            </w:tcBorders>
          </w:tcPr>
          <w:p>
            <w:pPr/>
          </w:p>
        </w:tc>
        <w:tc>
          <w:tcPr>
            <w:tcW w:w="1419" w:type="dxa"/>
            <w:tcBorders>
              <w:top w:val="single" w:sz="12" w:space="0" w:color="D2D2D2"/>
              <w:left w:val="single" w:sz="4" w:space="0" w:color="000000"/>
              <w:bottom w:val="single" w:sz="4" w:space="0" w:color="000000"/>
              <w:right w:val="single" w:sz="4" w:space="0" w:color="000000"/>
            </w:tcBorders>
          </w:tcPr>
          <w:p>
            <w:pPr/>
          </w:p>
        </w:tc>
        <w:tc>
          <w:tcPr>
            <w:tcW w:w="1417"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37,493,875.86</w:t>
            </w:r>
          </w:p>
        </w:tc>
        <w:tc>
          <w:tcPr>
            <w:tcW w:w="638" w:type="dxa"/>
            <w:tcBorders>
              <w:top w:val="single" w:sz="12" w:space="0" w:color="D2D2D2"/>
              <w:left w:val="single" w:sz="4" w:space="0" w:color="000000"/>
              <w:bottom w:val="single" w:sz="4" w:space="0" w:color="000000"/>
              <w:right w:val="single" w:sz="4" w:space="0" w:color="000000"/>
            </w:tcBorders>
          </w:tcPr>
          <w:p>
            <w:pPr/>
          </w:p>
        </w:tc>
        <w:tc>
          <w:tcPr>
            <w:tcW w:w="120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77,678,886.61</w:t>
            </w:r>
          </w:p>
        </w:tc>
        <w:tc>
          <w:tcPr>
            <w:tcW w:w="780" w:type="dxa"/>
            <w:tcBorders>
              <w:top w:val="single" w:sz="12" w:space="0" w:color="D2D2D2"/>
              <w:left w:val="single" w:sz="4" w:space="0" w:color="000000"/>
              <w:bottom w:val="single" w:sz="4" w:space="0" w:color="000000"/>
              <w:right w:val="single" w:sz="12" w:space="0" w:color="000000"/>
            </w:tcBorders>
          </w:tcPr>
          <w:p>
            <w:pPr>
              <w:pStyle w:val="TableParagraph"/>
              <w:spacing w:line="240" w:lineRule="auto" w:before="127"/>
              <w:ind w:right="1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66" w:hRule="exact"/>
        </w:trPr>
        <w:tc>
          <w:tcPr>
            <w:tcW w:w="156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77,678,886.61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37,493,875.86</w:t>
            </w:r>
          </w:p>
        </w:tc>
        <w:tc>
          <w:tcPr>
            <w:tcW w:w="63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77,678,886.61</w:t>
            </w:r>
          </w:p>
        </w:tc>
        <w:tc>
          <w:tcPr>
            <w:tcW w:w="7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73" w:hRule="exact"/>
        </w:trPr>
        <w:tc>
          <w:tcPr>
            <w:tcW w:w="156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12" w:space="0" w:color="000000"/>
              <w:right w:val="single" w:sz="4" w:space="0" w:color="000000"/>
            </w:tcBorders>
          </w:tcPr>
          <w:p>
            <w:pPr/>
          </w:p>
        </w:tc>
        <w:tc>
          <w:tcPr>
            <w:tcW w:w="1419" w:type="dxa"/>
            <w:tcBorders>
              <w:top w:val="single" w:sz="4" w:space="0" w:color="000000"/>
              <w:left w:val="single" w:sz="4" w:space="0" w:color="000000"/>
              <w:bottom w:val="single" w:sz="12" w:space="0" w:color="000000"/>
              <w:right w:val="single" w:sz="4" w:space="0" w:color="000000"/>
            </w:tcBorders>
          </w:tcPr>
          <w:p>
            <w:pP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12" w:space="0" w:color="000000"/>
              <w:right w:val="single" w:sz="4" w:space="0" w:color="000000"/>
            </w:tcBorders>
          </w:tcPr>
          <w:p>
            <w:pPr/>
          </w:p>
        </w:tc>
        <w:tc>
          <w:tcPr>
            <w:tcW w:w="12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66"/>
        <w:ind w:right="140"/>
        <w:jc w:val="left"/>
      </w:pPr>
      <w:r>
        <w:rPr/>
        <w:t>报告期内公司主要资产计量属性是否发生重大变化</w:t>
      </w:r>
    </w:p>
    <w:p>
      <w:pPr>
        <w:spacing w:line="240" w:lineRule="auto" w:before="10"/>
        <w:rPr>
          <w:rFonts w:ascii="宋体" w:hAnsi="宋体" w:cs="宋体" w:eastAsia="宋体" w:hint="default"/>
          <w:sz w:val="14"/>
          <w:szCs w:val="14"/>
        </w:rPr>
      </w:pPr>
    </w:p>
    <w:p>
      <w:pPr>
        <w:pStyle w:val="BodyText"/>
        <w:spacing w:line="240" w:lineRule="auto"/>
        <w:ind w:right="14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8"/>
        <w:rPr>
          <w:rFonts w:ascii="宋体" w:hAnsi="宋体" w:cs="宋体" w:eastAsia="宋体" w:hint="default"/>
          <w:sz w:val="30"/>
          <w:szCs w:val="30"/>
        </w:rPr>
      </w:pPr>
    </w:p>
    <w:p>
      <w:pPr>
        <w:pStyle w:val="Heading4"/>
        <w:spacing w:line="240" w:lineRule="auto"/>
        <w:ind w:right="140"/>
        <w:jc w:val="left"/>
        <w:rPr>
          <w:b w:val="0"/>
          <w:bCs w:val="0"/>
        </w:rPr>
      </w:pPr>
      <w:r>
        <w:rPr>
          <w:rFonts w:ascii="Times New Roman" w:hAnsi="Times New Roman" w:cs="Times New Roman" w:eastAsia="Times New Roman" w:hint="default"/>
        </w:rPr>
        <w:t>4</w:t>
      </w:r>
      <w:r>
        <w:rPr/>
        <w:t>、主要境外资产情况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before="0"/>
        <w:ind w:right="140"/>
        <w:jc w:val="left"/>
        <w:rPr>
          <w:b w:val="0"/>
          <w:bCs w:val="0"/>
        </w:rPr>
      </w:pPr>
      <w:r>
        <w:rPr/>
        <w:t>五、核心竞争力分析</w:t>
      </w:r>
      <w:r>
        <w:rPr>
          <w:b w:val="0"/>
          <w:bCs w:val="0"/>
        </w:rPr>
      </w:r>
    </w:p>
    <w:p>
      <w:pPr>
        <w:spacing w:line="240" w:lineRule="auto" w:before="10"/>
        <w:rPr>
          <w:rFonts w:ascii="宋体" w:hAnsi="宋体" w:cs="宋体" w:eastAsia="宋体" w:hint="default"/>
          <w:b/>
          <w:bCs/>
          <w:sz w:val="30"/>
          <w:szCs w:val="30"/>
        </w:rPr>
      </w:pPr>
    </w:p>
    <w:p>
      <w:pPr>
        <w:pStyle w:val="BodyText"/>
        <w:spacing w:line="391" w:lineRule="auto"/>
        <w:ind w:right="140" w:firstLine="420"/>
        <w:jc w:val="left"/>
      </w:pPr>
      <w:r>
        <w:rPr/>
        <w:t>公司作为我国</w:t>
      </w:r>
      <w:r>
        <w:rPr>
          <w:spacing w:val="-60"/>
        </w:rPr>
        <w:t> </w:t>
      </w:r>
      <w:r>
        <w:rPr>
          <w:rFonts w:ascii="Times New Roman" w:hAnsi="Times New Roman" w:cs="Times New Roman" w:eastAsia="Times New Roman" w:hint="default"/>
        </w:rPr>
        <w:t>IT</w:t>
      </w:r>
      <w:r>
        <w:rPr>
          <w:rFonts w:ascii="Times New Roman" w:hAnsi="Times New Roman" w:cs="Times New Roman" w:eastAsia="Times New Roman" w:hint="default"/>
          <w:spacing w:val="-7"/>
        </w:rPr>
        <w:t> </w:t>
      </w:r>
      <w:r>
        <w:rPr/>
        <w:t>服务产业的领先企业，依托</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t>智慧农村</w:t>
      </w:r>
      <w:r>
        <w:rPr>
          <w:rFonts w:ascii="Times New Roman" w:hAnsi="Times New Roman" w:cs="Times New Roman" w:eastAsia="Times New Roman" w:hint="default"/>
        </w:rPr>
        <w:t>”</w:t>
      </w:r>
      <w:r>
        <w:rPr/>
        <w:t>的整体发展战略，为行业用户提供</w:t>
      </w:r>
      <w:r>
        <w:rPr>
          <w:w w:val="100"/>
        </w:rPr>
        <w:t> </w:t>
      </w:r>
      <w:r>
        <w:rPr/>
        <w:t>专业技术服务、农业信息化、应用软件开发、金融专用设备和集成解决方案等</w:t>
      </w:r>
      <w:r>
        <w:rPr>
          <w:spacing w:val="-55"/>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产品及服务；同时，公</w:t>
      </w:r>
      <w:r>
        <w:rPr>
          <w:w w:val="100"/>
        </w:rPr>
        <w:t> </w:t>
      </w:r>
      <w:r>
        <w:rPr>
          <w:spacing w:val="-2"/>
        </w:rPr>
        <w:t>司也适应网络化计算时代产业互联的发展大势，全力推进云服务、大数据建模分析、平台运营等新业务和</w:t>
      </w:r>
      <w:r>
        <w:rPr>
          <w:spacing w:val="-44"/>
        </w:rPr>
        <w:t> </w:t>
      </w:r>
      <w:r>
        <w:rPr>
          <w:spacing w:val="-44"/>
        </w:rPr>
      </w:r>
      <w:r>
        <w:rPr>
          <w:spacing w:val="-3"/>
        </w:rPr>
        <w:t>新模式的发展，助力我国</w:t>
      </w:r>
      <w:r>
        <w:rPr>
          <w:spacing w:val="-34"/>
        </w:rPr>
        <w:t> </w:t>
      </w:r>
      <w:r>
        <w:rPr>
          <w:rFonts w:ascii="Times New Roman" w:hAnsi="Times New Roman" w:cs="Times New Roman" w:eastAsia="Times New Roman" w:hint="default"/>
        </w:rPr>
        <w:t>ITSS</w:t>
      </w:r>
      <w:r>
        <w:rPr>
          <w:rFonts w:ascii="Times New Roman" w:hAnsi="Times New Roman" w:cs="Times New Roman" w:eastAsia="Times New Roman" w:hint="default"/>
          <w:spacing w:val="16"/>
        </w:rPr>
        <w:t> </w:t>
      </w:r>
      <w:r>
        <w:rPr/>
        <w:t>国家</w:t>
      </w:r>
      <w:r>
        <w:rPr>
          <w:spacing w:val="-34"/>
        </w:rPr>
        <w:t> </w:t>
      </w:r>
      <w:r>
        <w:rPr>
          <w:rFonts w:ascii="Times New Roman" w:hAnsi="Times New Roman" w:cs="Times New Roman" w:eastAsia="Times New Roman" w:hint="default"/>
        </w:rPr>
        <w:t>IT</w:t>
      </w:r>
      <w:r>
        <w:rPr>
          <w:rFonts w:ascii="Times New Roman" w:hAnsi="Times New Roman" w:cs="Times New Roman" w:eastAsia="Times New Roman" w:hint="default"/>
          <w:spacing w:val="19"/>
        </w:rPr>
        <w:t> </w:t>
      </w:r>
      <w:r>
        <w:rPr>
          <w:spacing w:val="-3"/>
        </w:rPr>
        <w:t>服务标准的制定和执行，推动安全可靠计算机信息系统在金融、政</w:t>
      </w:r>
      <w:r>
        <w:rPr>
          <w:spacing w:val="-95"/>
        </w:rPr>
        <w:t> </w:t>
      </w:r>
      <w:r>
        <w:rPr>
          <w:spacing w:val="-95"/>
        </w:rPr>
      </w:r>
      <w:r>
        <w:rPr/>
        <w:t>府等行业的应用推广，为我国国民经济重点行业</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应用水平的持续提升和</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产业的自主自强贡献自己的</w:t>
      </w:r>
    </w:p>
    <w:p>
      <w:pPr>
        <w:spacing w:after="0" w:line="391" w:lineRule="auto"/>
        <w:jc w:val="left"/>
        <w:sectPr>
          <w:footerReference w:type="default" r:id="rId16"/>
          <w:pgSz w:w="11910" w:h="16840"/>
          <w:pgMar w:footer="1227" w:header="0" w:top="1060" w:bottom="1420" w:left="980" w:right="980"/>
          <w:pgNumType w:start="22"/>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力量。公司的核心竞争能力主要体现在以下几个方面：</w:t>
      </w:r>
    </w:p>
    <w:p>
      <w:pPr>
        <w:spacing w:line="240" w:lineRule="auto" w:before="10"/>
        <w:rPr>
          <w:rFonts w:ascii="宋体" w:hAnsi="宋体" w:cs="宋体" w:eastAsia="宋体" w:hint="default"/>
          <w:sz w:val="14"/>
          <w:szCs w:val="14"/>
        </w:rPr>
      </w:pPr>
    </w:p>
    <w:p>
      <w:pPr>
        <w:pStyle w:val="Heading4"/>
        <w:spacing w:line="240" w:lineRule="auto"/>
        <w:ind w:left="575" w:right="140"/>
        <w:jc w:val="left"/>
        <w:rPr>
          <w:b w:val="0"/>
          <w:bCs w:val="0"/>
        </w:rPr>
      </w:pPr>
      <w:r>
        <w:rPr>
          <w:rFonts w:ascii="Times New Roman" w:hAnsi="Times New Roman" w:cs="Times New Roman" w:eastAsia="Times New Roman" w:hint="default"/>
        </w:rPr>
        <w:t>1</w:t>
      </w:r>
      <w:r>
        <w:rPr/>
        <w:t>、大中型行业用户的高性能复杂系统的建设能力和服务经验</w:t>
      </w:r>
      <w:r>
        <w:rPr>
          <w:b w:val="0"/>
          <w:bCs w:val="0"/>
        </w:rPr>
      </w:r>
    </w:p>
    <w:p>
      <w:pPr>
        <w:pStyle w:val="BodyText"/>
        <w:spacing w:line="398" w:lineRule="auto" w:before="177"/>
        <w:ind w:right="140" w:firstLine="420"/>
        <w:jc w:val="left"/>
      </w:pPr>
      <w:r>
        <w:rPr/>
        <w:t>公司是国内最早、最大的整合</w:t>
      </w:r>
      <w:r>
        <w:rPr>
          <w:spacing w:val="-56"/>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服务商之一，在我国金融、运营商、政府、企业等国民经济重点行</w:t>
      </w:r>
      <w:r>
        <w:rPr>
          <w:w w:val="100"/>
        </w:rPr>
        <w:t> </w:t>
      </w:r>
      <w:r>
        <w:rPr>
          <w:spacing w:val="-2"/>
        </w:rPr>
        <w:t>业的大中型用户市场，拥有近三十年的服务经验、大量成功案例和数万家高质量用户，业务积累深厚，客</w:t>
      </w:r>
      <w:r>
        <w:rPr>
          <w:spacing w:val="-48"/>
        </w:rPr>
        <w:t> </w:t>
      </w:r>
      <w:r>
        <w:rPr>
          <w:spacing w:val="-48"/>
        </w:rPr>
      </w:r>
      <w:r>
        <w:rPr/>
        <w:t>户资源丰富，具有领先的行业市场地位和良好的用户口碑。</w:t>
      </w:r>
    </w:p>
    <w:p>
      <w:pPr>
        <w:pStyle w:val="BodyText"/>
        <w:spacing w:line="400" w:lineRule="auto" w:before="54"/>
        <w:ind w:right="146" w:firstLine="420"/>
        <w:jc w:val="both"/>
      </w:pPr>
      <w:r>
        <w:rPr>
          <w:spacing w:val="-2"/>
        </w:rPr>
        <w:t>公司以客户为中心，持续优化组织结构和业务流程，建立了完善的客户服务体系，可为行业用户提供</w:t>
      </w:r>
      <w:r>
        <w:rPr>
          <w:w w:val="100"/>
        </w:rPr>
        <w:t> </w:t>
      </w:r>
      <w:r>
        <w:rPr>
          <w:rFonts w:ascii="Times New Roman" w:hAnsi="Times New Roman" w:cs="Times New Roman" w:eastAsia="Times New Roman" w:hint="default"/>
        </w:rPr>
        <w:t>IT </w:t>
      </w:r>
      <w:r>
        <w:rPr/>
        <w:t>规划咨询、应用软件开发、专业技术服务、系统集成、系统运维管理、</w:t>
      </w:r>
      <w:r>
        <w:rPr>
          <w:rFonts w:ascii="Times New Roman" w:hAnsi="Times New Roman" w:cs="Times New Roman" w:eastAsia="Times New Roman" w:hint="default"/>
        </w:rPr>
        <w:t>IT </w:t>
      </w:r>
      <w:r>
        <w:rPr/>
        <w:t>运营外包等端到端的覆盖</w:t>
      </w:r>
      <w:r>
        <w:rPr>
          <w:spacing w:val="-60"/>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w w:val="100"/>
        </w:rPr>
        <w:t> </w:t>
      </w:r>
      <w:r>
        <w:rPr>
          <w:spacing w:val="-2"/>
        </w:rPr>
        <w:t>全生命周期的服务。公司持续专注行业核心应用软件的开发及服务，在海量业务并发、实时联机处理等高</w:t>
      </w:r>
      <w:r>
        <w:rPr>
          <w:spacing w:val="-44"/>
        </w:rPr>
        <w:t> </w:t>
      </w:r>
      <w:r>
        <w:rPr>
          <w:spacing w:val="-44"/>
        </w:rPr>
      </w:r>
      <w:r>
        <w:rPr/>
        <w:t>性能复杂系统的建设方面技术领先、同步国际。</w:t>
      </w:r>
    </w:p>
    <w:p>
      <w:pPr>
        <w:spacing w:line="386" w:lineRule="auto" w:before="52"/>
        <w:ind w:left="573" w:right="14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、应用技术研发及创新能力</w:t>
      </w:r>
      <w:r>
        <w:rPr>
          <w:rFonts w:ascii="宋体" w:hAnsi="宋体" w:cs="宋体" w:eastAsia="宋体" w:hint="default"/>
          <w:b/>
          <w:bCs/>
          <w:w w:val="100"/>
          <w:sz w:val="21"/>
          <w:szCs w:val="21"/>
        </w:rPr>
        <w:t> </w:t>
      </w:r>
      <w:r>
        <w:rPr>
          <w:rFonts w:ascii="宋体" w:hAnsi="宋体" w:cs="宋体" w:eastAsia="宋体" w:hint="default"/>
          <w:spacing w:val="-2"/>
          <w:sz w:val="21"/>
          <w:szCs w:val="21"/>
        </w:rPr>
        <w:t>公司多年来秉承国际视野、本土服务的发展理念，具备了领先的技术创新和产品研发能力，拥有强大</w:t>
      </w:r>
    </w:p>
    <w:p>
      <w:pPr>
        <w:pStyle w:val="BodyText"/>
        <w:spacing w:line="386" w:lineRule="auto" w:before="65"/>
        <w:ind w:right="146"/>
        <w:jc w:val="both"/>
      </w:pPr>
      <w:r>
        <w:rPr>
          <w:spacing w:val="-3"/>
        </w:rPr>
        <w:t>技术研发队伍，积累了</w:t>
      </w:r>
      <w:r>
        <w:rPr>
          <w:spacing w:val="-42"/>
        </w:rPr>
        <w:t> </w:t>
      </w:r>
      <w:r>
        <w:rPr>
          <w:rFonts w:ascii="Times New Roman" w:hAnsi="Times New Roman" w:cs="Times New Roman" w:eastAsia="Times New Roman" w:hint="default"/>
        </w:rPr>
        <w:t>500</w:t>
      </w:r>
      <w:r>
        <w:rPr>
          <w:rFonts w:ascii="Times New Roman" w:hAnsi="Times New Roman" w:cs="Times New Roman" w:eastAsia="Times New Roman" w:hint="default"/>
          <w:spacing w:val="12"/>
        </w:rPr>
        <w:t> </w:t>
      </w:r>
      <w:r>
        <w:rPr/>
        <w:t>多项自主创新的行业解决方案和</w:t>
      </w:r>
      <w:r>
        <w:rPr>
          <w:spacing w:val="-42"/>
        </w:rPr>
        <w:t> </w:t>
      </w:r>
      <w:r>
        <w:rPr>
          <w:rFonts w:ascii="Times New Roman" w:hAnsi="Times New Roman" w:cs="Times New Roman" w:eastAsia="Times New Roman" w:hint="default"/>
        </w:rPr>
        <w:t>300</w:t>
      </w:r>
      <w:r>
        <w:rPr>
          <w:rFonts w:ascii="Times New Roman" w:hAnsi="Times New Roman" w:cs="Times New Roman" w:eastAsia="Times New Roman" w:hint="default"/>
          <w:spacing w:val="12"/>
        </w:rPr>
        <w:t> </w:t>
      </w:r>
      <w:r>
        <w:rPr>
          <w:spacing w:val="-3"/>
        </w:rPr>
        <w:t>多项软件著作权及技术专利。公司设有高</w:t>
      </w:r>
      <w:r>
        <w:rPr>
          <w:spacing w:val="-100"/>
        </w:rPr>
        <w:t> </w:t>
      </w:r>
      <w:r>
        <w:rPr>
          <w:spacing w:val="-100"/>
        </w:rPr>
      </w:r>
      <w:r>
        <w:rPr>
          <w:spacing w:val="-2"/>
        </w:rPr>
        <w:t>规格的技术研发机构</w:t>
      </w:r>
      <w:r>
        <w:rPr>
          <w:rFonts w:ascii="Times New Roman" w:hAnsi="Times New Roman" w:cs="Times New Roman" w:eastAsia="Times New Roman" w:hint="default"/>
          <w:spacing w:val="-2"/>
        </w:rPr>
        <w:t>——</w:t>
      </w:r>
      <w:r>
        <w:rPr>
          <w:spacing w:val="-2"/>
        </w:rPr>
        <w:t>工程院，并在西安、成都、北京、无锡建立了大规模的软件研发基地，对国内外</w:t>
      </w:r>
      <w:r>
        <w:rPr>
          <w:spacing w:val="-42"/>
        </w:rPr>
        <w:t> </w:t>
      </w:r>
      <w:r>
        <w:rPr>
          <w:spacing w:val="-42"/>
        </w:rPr>
      </w:r>
      <w:r>
        <w:rPr/>
        <w:t>行业技术发展趋势进行前瞻性的跟踪研究，并持续引领我国行业应用的发展方向。</w:t>
      </w:r>
    </w:p>
    <w:p>
      <w:pPr>
        <w:pStyle w:val="BodyText"/>
        <w:spacing w:line="393" w:lineRule="auto" w:before="65"/>
        <w:ind w:right="146" w:firstLine="42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44"/>
        </w:rPr>
        <w:t> </w:t>
      </w:r>
      <w:r>
        <w:rPr>
          <w:spacing w:val="-3"/>
        </w:rPr>
        <w:t>年，公司在智慧城市大数据分析方面发布了</w:t>
      </w:r>
      <w:r>
        <w:rPr>
          <w:rFonts w:ascii="Times New Roman" w:hAnsi="Times New Roman" w:cs="Times New Roman" w:eastAsia="Times New Roman" w:hint="default"/>
          <w:spacing w:val="-3"/>
        </w:rPr>
        <w:t>“</w:t>
      </w:r>
      <w:r>
        <w:rPr>
          <w:spacing w:val="-3"/>
        </w:rPr>
        <w:t>城市多维虚拟映像</w:t>
      </w:r>
      <w:r>
        <w:rPr>
          <w:rFonts w:ascii="Times New Roman" w:hAnsi="Times New Roman" w:cs="Times New Roman" w:eastAsia="Times New Roman" w:hint="default"/>
          <w:spacing w:val="-3"/>
        </w:rPr>
        <w:t>”</w:t>
      </w:r>
      <w:r>
        <w:rPr>
          <w:spacing w:val="-3"/>
        </w:rPr>
        <w:t>理念，突破了城市级大数据建模</w:t>
      </w:r>
      <w:r>
        <w:rPr>
          <w:w w:val="100"/>
        </w:rPr>
        <w:t> </w:t>
      </w:r>
      <w:r>
        <w:rPr>
          <w:spacing w:val="-2"/>
        </w:rPr>
        <w:t>分析的方法论，指导了公司智慧城市数据运营业务的发展，并赢得了国际同行业专家的好评。此外，公司</w:t>
      </w:r>
      <w:r>
        <w:rPr>
          <w:spacing w:val="-47"/>
        </w:rPr>
        <w:t> </w:t>
      </w:r>
      <w:r>
        <w:rPr>
          <w:spacing w:val="-47"/>
        </w:rPr>
      </w:r>
      <w:r>
        <w:rPr/>
        <w:t>在行业云计算平台的技术研发方面也取得了进一步的突破，保持了公司在云计算</w:t>
      </w:r>
      <w:r>
        <w:rPr>
          <w:spacing w:val="-61"/>
        </w:rPr>
        <w:t> </w:t>
      </w:r>
      <w:r>
        <w:rPr>
          <w:rFonts w:ascii="Times New Roman" w:hAnsi="Times New Roman" w:cs="Times New Roman" w:eastAsia="Times New Roman" w:hint="default"/>
        </w:rPr>
        <w:t>PaaS</w:t>
      </w:r>
      <w:r>
        <w:rPr>
          <w:rFonts w:ascii="Times New Roman" w:hAnsi="Times New Roman" w:cs="Times New Roman" w:eastAsia="Times New Roman" w:hint="default"/>
          <w:spacing w:val="-9"/>
        </w:rPr>
        <w:t> </w:t>
      </w:r>
      <w:r>
        <w:rPr/>
        <w:t>及</w:t>
      </w:r>
      <w:r>
        <w:rPr>
          <w:spacing w:val="-59"/>
        </w:rPr>
        <w:t> </w:t>
      </w:r>
      <w:r>
        <w:rPr>
          <w:rFonts w:ascii="Times New Roman" w:hAnsi="Times New Roman" w:cs="Times New Roman" w:eastAsia="Times New Roman" w:hint="default"/>
        </w:rPr>
        <w:t>SaaS</w:t>
      </w:r>
      <w:r>
        <w:rPr>
          <w:rFonts w:ascii="Times New Roman" w:hAnsi="Times New Roman" w:cs="Times New Roman" w:eastAsia="Times New Roman" w:hint="default"/>
          <w:spacing w:val="-6"/>
        </w:rPr>
        <w:t> </w:t>
      </w:r>
      <w:r>
        <w:rPr/>
        <w:t>平台研发上</w:t>
      </w:r>
      <w:r>
        <w:rPr>
          <w:w w:val="100"/>
        </w:rPr>
        <w:t> </w:t>
      </w:r>
      <w:r>
        <w:rPr/>
        <w:t>的领先优势。</w:t>
      </w:r>
    </w:p>
    <w:p>
      <w:pPr>
        <w:pStyle w:val="BodyText"/>
        <w:spacing w:line="398" w:lineRule="auto" w:before="58"/>
        <w:ind w:right="140" w:firstLine="422"/>
        <w:jc w:val="left"/>
      </w:pPr>
      <w:r>
        <w:rPr>
          <w:rFonts w:ascii="Times New Roman" w:hAnsi="Times New Roman" w:cs="Times New Roman" w:eastAsia="Times New Roman" w:hint="default"/>
          <w:b/>
          <w:bCs/>
        </w:rPr>
        <w:t>3</w:t>
      </w:r>
      <w:r>
        <w:rPr>
          <w:rFonts w:ascii="宋体" w:hAnsi="宋体" w:cs="宋体" w:eastAsia="宋体" w:hint="default"/>
          <w:b/>
          <w:bCs/>
        </w:rPr>
        <w:t>、战略布局及业务模式创新能力</w:t>
      </w:r>
      <w:r>
        <w:rPr>
          <w:rFonts w:ascii="宋体" w:hAnsi="宋体" w:cs="宋体" w:eastAsia="宋体" w:hint="default"/>
          <w:b/>
          <w:bCs/>
          <w:w w:val="100"/>
        </w:rPr>
        <w:t> </w:t>
      </w:r>
      <w:r>
        <w:rPr>
          <w:spacing w:val="-2"/>
        </w:rPr>
        <w:t>公司在长期的发展中，秉承</w:t>
      </w:r>
      <w:r>
        <w:rPr>
          <w:rFonts w:ascii="Times New Roman" w:hAnsi="Times New Roman" w:cs="Times New Roman" w:eastAsia="Times New Roman" w:hint="default"/>
          <w:spacing w:val="-2"/>
        </w:rPr>
        <w:t>“</w:t>
      </w:r>
      <w:r>
        <w:rPr>
          <w:spacing w:val="-2"/>
        </w:rPr>
        <w:t>责任、激情、创新</w:t>
      </w:r>
      <w:r>
        <w:rPr>
          <w:rFonts w:ascii="Times New Roman" w:hAnsi="Times New Roman" w:cs="Times New Roman" w:eastAsia="Times New Roman" w:hint="default"/>
          <w:spacing w:val="-2"/>
        </w:rPr>
        <w:t>”</w:t>
      </w:r>
      <w:r>
        <w:rPr>
          <w:spacing w:val="-2"/>
        </w:rPr>
        <w:t>的企业文化，本着为客户、投资人和员工负责的精神，持</w:t>
      </w:r>
      <w:r>
        <w:rPr>
          <w:spacing w:val="-18"/>
        </w:rPr>
        <w:t> </w:t>
      </w:r>
      <w:r>
        <w:rPr>
          <w:spacing w:val="-18"/>
        </w:rPr>
      </w:r>
      <w:r>
        <w:rPr/>
        <w:t>续推进战略布局优化和业务模式创新，保障公司业务的可持续发展和有效增长。</w:t>
      </w:r>
      <w:r>
        <w:rPr>
          <w:w w:val="100"/>
        </w:rPr>
        <w:t> </w:t>
      </w:r>
      <w:r>
        <w:rPr>
          <w:spacing w:val="-2"/>
        </w:rPr>
        <w:t>公司关注行业及业务生命周期的变化，不断寻求低饱和、高成长、高利润的行业及业务，并主动推进新老</w:t>
      </w:r>
      <w:r>
        <w:rPr>
          <w:spacing w:val="-47"/>
        </w:rPr>
        <w:t> </w:t>
      </w:r>
      <w:r>
        <w:rPr>
          <w:spacing w:val="-47"/>
        </w:rPr>
      </w:r>
      <w:r>
        <w:rPr>
          <w:spacing w:val="-3"/>
        </w:rPr>
        <w:t>业务的更替和业务结构优化。</w:t>
      </w:r>
      <w:r>
        <w:rPr>
          <w:rFonts w:ascii="Times New Roman" w:hAnsi="Times New Roman" w:cs="Times New Roman" w:eastAsia="Times New Roman" w:hint="default"/>
          <w:spacing w:val="-3"/>
        </w:rPr>
        <w:t>2014 </w:t>
      </w:r>
      <w:r>
        <w:rPr>
          <w:spacing w:val="-4"/>
        </w:rPr>
        <w:t>年，公司自有高价值业务的占比进一步提升；同时通过并购中农信达进</w:t>
      </w:r>
      <w:r>
        <w:rPr>
          <w:spacing w:val="-61"/>
        </w:rPr>
        <w:t> </w:t>
      </w:r>
      <w:r>
        <w:rPr>
          <w:spacing w:val="-61"/>
        </w:rPr>
      </w:r>
      <w:r>
        <w:rPr/>
        <w:t>入农业信息化这一全面爆发的新兴市场，公司的战略布局能力赢得了业界的普遍认可。</w:t>
      </w:r>
      <w:r>
        <w:rPr>
          <w:w w:val="100"/>
        </w:rPr>
        <w:t> </w:t>
      </w:r>
      <w:r>
        <w:rPr>
          <w:spacing w:val="-2"/>
        </w:rPr>
        <w:t>此外，公司最早探索、持续布局行业软件业务的平台化，积极推进行业公共云平台业务的发展，从根本上</w:t>
      </w:r>
      <w:r>
        <w:rPr>
          <w:spacing w:val="-47"/>
        </w:rPr>
        <w:t> </w:t>
      </w:r>
      <w:r>
        <w:rPr>
          <w:spacing w:val="-47"/>
        </w:rPr>
      </w:r>
      <w:r>
        <w:rPr>
          <w:spacing w:val="-2"/>
        </w:rPr>
        <w:t>改变了传统软件业务的盈利模式和盈利能力；并利用云计算的长尾效应，将公司的客户群由原来的大中型</w:t>
      </w:r>
      <w:r>
        <w:rPr>
          <w:spacing w:val="-43"/>
        </w:rPr>
        <w:t> </w:t>
      </w:r>
      <w:r>
        <w:rPr>
          <w:spacing w:val="-43"/>
        </w:rPr>
      </w:r>
      <w:r>
        <w:rPr>
          <w:spacing w:val="-2"/>
        </w:rPr>
        <w:t>客户延伸到小型客户市场，公司的服务能力和市场覆盖获得显著提升，形成了</w:t>
      </w:r>
      <w:r>
        <w:rPr>
          <w:rFonts w:ascii="Times New Roman" w:hAnsi="Times New Roman" w:cs="Times New Roman" w:eastAsia="Times New Roman" w:hint="default"/>
          <w:spacing w:val="-2"/>
        </w:rPr>
        <w:t>“</w:t>
      </w:r>
      <w:r>
        <w:rPr>
          <w:spacing w:val="-2"/>
        </w:rPr>
        <w:t>大中型客户个性化服务</w:t>
      </w:r>
      <w:r>
        <w:rPr>
          <w:rFonts w:ascii="Times New Roman" w:hAnsi="Times New Roman" w:cs="Times New Roman" w:eastAsia="Times New Roman" w:hint="default"/>
          <w:spacing w:val="-2"/>
        </w:rPr>
        <w:t>+</w:t>
      </w:r>
      <w:r>
        <w:rPr>
          <w:spacing w:val="-2"/>
        </w:rPr>
        <w:t>小</w:t>
      </w:r>
      <w:r>
        <w:rPr>
          <w:spacing w:val="-45"/>
        </w:rPr>
        <w:t> </w:t>
      </w:r>
      <w:r>
        <w:rPr/>
        <w:t>型客户平台化服务</w:t>
      </w:r>
      <w:r>
        <w:rPr>
          <w:rFonts w:ascii="Times New Roman" w:hAnsi="Times New Roman" w:cs="Times New Roman" w:eastAsia="Times New Roman" w:hint="default"/>
        </w:rPr>
        <w:t>”</w:t>
      </w:r>
      <w:r>
        <w:rPr/>
        <w:t>的行业全覆盖模式。</w:t>
      </w:r>
    </w:p>
    <w:p>
      <w:pPr>
        <w:spacing w:after="0" w:line="398" w:lineRule="auto"/>
        <w:jc w:val="left"/>
        <w:sectPr>
          <w:pgSz w:w="11910" w:h="16840"/>
          <w:pgMar w:header="0" w:footer="1227" w:top="1060" w:bottom="1420" w:left="980" w:right="980"/>
        </w:sectPr>
      </w:pPr>
    </w:p>
    <w:p>
      <w:pPr>
        <w:spacing w:line="240" w:lineRule="auto" w:before="8"/>
        <w:rPr>
          <w:rFonts w:ascii="宋体" w:hAnsi="宋体" w:cs="宋体" w:eastAsia="宋体" w:hint="default"/>
          <w:sz w:val="23"/>
          <w:szCs w:val="23"/>
        </w:rPr>
      </w:pPr>
    </w:p>
    <w:p>
      <w:pPr>
        <w:pStyle w:val="Heading2"/>
        <w:spacing w:line="240" w:lineRule="auto"/>
        <w:ind w:right="140"/>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0"/>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188"/>
        <w:gridCol w:w="3759"/>
        <w:gridCol w:w="2624"/>
      </w:tblGrid>
      <w:tr>
        <w:trPr>
          <w:trHeight w:val="457" w:hRule="exact"/>
        </w:trPr>
        <w:tc>
          <w:tcPr>
            <w:tcW w:w="9571" w:type="dxa"/>
            <w:gridSpan w:val="3"/>
            <w:tcBorders>
              <w:top w:val="single" w:sz="12"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4"/>
              <w:ind w:left="1"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30"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77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974"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2624"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0"/>
              <w:ind w:left="1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515" w:hRule="exact"/>
        </w:trPr>
        <w:tc>
          <w:tcPr>
            <w:tcW w:w="3188" w:type="dxa"/>
            <w:tcBorders>
              <w:top w:val="single" w:sz="12" w:space="0" w:color="D2D2D2"/>
              <w:left w:val="single" w:sz="12" w:space="0" w:color="000000"/>
              <w:bottom w:val="single" w:sz="12" w:space="0" w:color="D2D2D2"/>
              <w:right w:val="single" w:sz="4" w:space="0" w:color="000000"/>
            </w:tcBorders>
          </w:tcPr>
          <w:p>
            <w:pPr>
              <w:pStyle w:val="TableParagraph"/>
              <w:spacing w:line="240" w:lineRule="auto" w:before="147"/>
              <w:ind w:left="2020" w:right="0"/>
              <w:jc w:val="left"/>
              <w:rPr>
                <w:rFonts w:ascii="Times New Roman" w:hAnsi="Times New Roman" w:cs="Times New Roman" w:eastAsia="Times New Roman" w:hint="default"/>
                <w:sz w:val="18"/>
                <w:szCs w:val="18"/>
              </w:rPr>
            </w:pPr>
            <w:r>
              <w:rPr>
                <w:rFonts w:ascii="Times New Roman"/>
                <w:sz w:val="18"/>
              </w:rPr>
              <w:t>358,455,474.77</w:t>
            </w:r>
          </w:p>
        </w:tc>
        <w:tc>
          <w:tcPr>
            <w:tcW w:w="3759" w:type="dxa"/>
            <w:tcBorders>
              <w:top w:val="single" w:sz="12" w:space="0" w:color="D2D2D2"/>
              <w:left w:val="single" w:sz="4" w:space="0" w:color="000000"/>
              <w:bottom w:val="single" w:sz="12" w:space="0" w:color="D2D2D2"/>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353,461,129.04</w:t>
            </w:r>
          </w:p>
        </w:tc>
        <w:tc>
          <w:tcPr>
            <w:tcW w:w="2624" w:type="dxa"/>
            <w:tcBorders>
              <w:top w:val="single" w:sz="12" w:space="0" w:color="D2D2D2"/>
              <w:left w:val="single" w:sz="4" w:space="0" w:color="000000"/>
              <w:bottom w:val="single" w:sz="12" w:space="0" w:color="D2D2D2"/>
              <w:right w:val="single" w:sz="12" w:space="0" w:color="000000"/>
            </w:tcBorders>
          </w:tcPr>
          <w:p>
            <w:pPr>
              <w:pStyle w:val="TableParagraph"/>
              <w:spacing w:line="240" w:lineRule="auto" w:before="147"/>
              <w:ind w:right="7"/>
              <w:jc w:val="right"/>
              <w:rPr>
                <w:rFonts w:ascii="Times New Roman" w:hAnsi="Times New Roman" w:cs="Times New Roman" w:eastAsia="Times New Roman" w:hint="default"/>
                <w:sz w:val="18"/>
                <w:szCs w:val="18"/>
              </w:rPr>
            </w:pPr>
            <w:r>
              <w:rPr>
                <w:rFonts w:ascii="Times New Roman"/>
                <w:sz w:val="18"/>
              </w:rPr>
              <w:t>1.41%</w:t>
            </w:r>
          </w:p>
        </w:tc>
      </w:tr>
      <w:tr>
        <w:trPr>
          <w:trHeight w:val="464" w:hRule="exact"/>
        </w:trPr>
        <w:tc>
          <w:tcPr>
            <w:tcW w:w="9571" w:type="dxa"/>
            <w:gridSpan w:val="3"/>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1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4"/>
              <w:ind w:right="8"/>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2624"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4"/>
              <w:ind w:right="34"/>
              <w:jc w:val="righ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749" w:hRule="exact"/>
        </w:trPr>
        <w:tc>
          <w:tcPr>
            <w:tcW w:w="3188" w:type="dxa"/>
            <w:tcBorders>
              <w:top w:val="single" w:sz="12" w:space="0" w:color="D2D2D2"/>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苏州神州数码捷通科技有限公司</w:t>
            </w:r>
          </w:p>
        </w:tc>
        <w:tc>
          <w:tcPr>
            <w:tcW w:w="3759" w:type="dxa"/>
            <w:tcBorders>
              <w:top w:val="single" w:sz="12" w:space="0" w:color="D2D2D2"/>
              <w:left w:val="single" w:sz="4" w:space="0" w:color="000000"/>
              <w:bottom w:val="single" w:sz="4" w:space="0" w:color="000000"/>
              <w:right w:val="single" w:sz="4" w:space="0" w:color="000000"/>
            </w:tcBorders>
          </w:tcPr>
          <w:p>
            <w:pPr>
              <w:pStyle w:val="TableParagraph"/>
              <w:spacing w:line="314" w:lineRule="auto" w:before="74"/>
              <w:ind w:left="23" w:right="20"/>
              <w:jc w:val="left"/>
              <w:rPr>
                <w:rFonts w:ascii="宋体" w:hAnsi="宋体" w:cs="宋体" w:eastAsia="宋体" w:hint="default"/>
                <w:sz w:val="18"/>
                <w:szCs w:val="18"/>
              </w:rPr>
            </w:pPr>
            <w:r>
              <w:rPr>
                <w:rFonts w:ascii="宋体" w:hAnsi="宋体" w:cs="宋体" w:eastAsia="宋体" w:hint="default"/>
                <w:spacing w:val="-4"/>
                <w:sz w:val="18"/>
                <w:szCs w:val="18"/>
              </w:rPr>
              <w:t>研究、开发计算机软件系统；计算机用用系统的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安装和维修</w:t>
            </w:r>
          </w:p>
        </w:tc>
        <w:tc>
          <w:tcPr>
            <w:tcW w:w="2624" w:type="dxa"/>
            <w:tcBorders>
              <w:top w:val="single" w:sz="12" w:space="0" w:color="D2D2D2"/>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49.00%</w:t>
            </w:r>
          </w:p>
        </w:tc>
      </w:tr>
      <w:tr>
        <w:trPr>
          <w:trHeight w:val="715"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平湖神州数码博海科技有限公司</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4"/>
                <w:sz w:val="18"/>
                <w:szCs w:val="18"/>
              </w:rPr>
              <w:t>计算机系统设计、集成、安装、维修及数据处理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服务，信息咨询服务</w:t>
            </w:r>
          </w:p>
        </w:tc>
        <w:tc>
          <w:tcPr>
            <w:tcW w:w="26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47.00%</w:t>
            </w:r>
          </w:p>
        </w:tc>
      </w:tr>
      <w:tr>
        <w:trPr>
          <w:trHeight w:val="71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宁波神州数码宏博信息技术有限公司</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pacing w:val="-4"/>
                <w:sz w:val="18"/>
                <w:szCs w:val="18"/>
              </w:rPr>
              <w:t>信息技术咨询、软件开发、信息系统集成、软硬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件维护等</w:t>
            </w:r>
          </w:p>
        </w:tc>
        <w:tc>
          <w:tcPr>
            <w:tcW w:w="26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47.00%</w:t>
            </w:r>
          </w:p>
        </w:tc>
      </w:tr>
      <w:tr>
        <w:trPr>
          <w:trHeight w:val="723" w:hRule="exact"/>
        </w:trPr>
        <w:tc>
          <w:tcPr>
            <w:tcW w:w="31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c>
          <w:tcPr>
            <w:tcW w:w="3759" w:type="dxa"/>
            <w:tcBorders>
              <w:top w:val="single" w:sz="4" w:space="0" w:color="000000"/>
              <w:left w:val="single" w:sz="4" w:space="0" w:color="000000"/>
              <w:bottom w:val="single" w:sz="12" w:space="0" w:color="000000"/>
              <w:right w:val="single" w:sz="4" w:space="0" w:color="000000"/>
            </w:tcBorders>
          </w:tcPr>
          <w:p>
            <w:pPr>
              <w:pStyle w:val="TableParagraph"/>
              <w:spacing w:line="300" w:lineRule="auto" w:before="49"/>
              <w:ind w:left="23" w:right="243"/>
              <w:jc w:val="left"/>
              <w:rPr>
                <w:rFonts w:ascii="宋体" w:hAnsi="宋体" w:cs="宋体" w:eastAsia="宋体" w:hint="default"/>
                <w:sz w:val="18"/>
                <w:szCs w:val="18"/>
              </w:rPr>
            </w:pPr>
            <w:r>
              <w:rPr>
                <w:rFonts w:ascii="宋体" w:hAnsi="宋体" w:cs="宋体" w:eastAsia="宋体" w:hint="default"/>
                <w:sz w:val="18"/>
                <w:szCs w:val="18"/>
              </w:rPr>
              <w:t>以自制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ERP </w:t>
            </w:r>
            <w:r>
              <w:rPr>
                <w:rFonts w:ascii="宋体" w:hAnsi="宋体" w:cs="宋体" w:eastAsia="宋体" w:hint="default"/>
                <w:sz w:val="18"/>
                <w:szCs w:val="18"/>
              </w:rPr>
              <w:t>软件为核心的企业管理软件的研 发、销售、实施及服务</w:t>
            </w:r>
          </w:p>
        </w:tc>
        <w:tc>
          <w:tcPr>
            <w:tcW w:w="262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17.91%</w:t>
            </w:r>
          </w:p>
        </w:tc>
      </w:tr>
    </w:tbl>
    <w:p>
      <w:pPr>
        <w:spacing w:line="240" w:lineRule="auto" w:before="5"/>
        <w:rPr>
          <w:rFonts w:ascii="宋体" w:hAnsi="宋体" w:cs="宋体" w:eastAsia="宋体" w:hint="default"/>
          <w:sz w:val="19"/>
          <w:szCs w:val="19"/>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right="66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公司报告期未持有金融企业股权。</w:t>
      </w:r>
    </w:p>
    <w:p>
      <w:pPr>
        <w:spacing w:line="240" w:lineRule="auto" w:before="0"/>
        <w:rPr>
          <w:rFonts w:ascii="宋体" w:hAnsi="宋体" w:cs="宋体" w:eastAsia="宋体" w:hint="default"/>
          <w:sz w:val="22"/>
          <w:szCs w:val="22"/>
        </w:rPr>
      </w:pPr>
    </w:p>
    <w:p>
      <w:pPr>
        <w:pStyle w:val="Heading4"/>
        <w:spacing w:line="240" w:lineRule="auto"/>
        <w:ind w:right="140"/>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66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公司报告期不存在证券投资。</w:t>
      </w:r>
    </w:p>
    <w:p>
      <w:pPr>
        <w:spacing w:line="240" w:lineRule="auto" w:before="0"/>
        <w:rPr>
          <w:rFonts w:ascii="宋体" w:hAnsi="宋体" w:cs="宋体" w:eastAsia="宋体" w:hint="default"/>
          <w:sz w:val="22"/>
          <w:szCs w:val="22"/>
        </w:rPr>
      </w:pPr>
    </w:p>
    <w:p>
      <w:pPr>
        <w:pStyle w:val="Heading4"/>
        <w:spacing w:line="240" w:lineRule="auto"/>
        <w:ind w:right="140"/>
        <w:jc w:val="left"/>
        <w:rPr>
          <w:b w:val="0"/>
          <w:bCs w:val="0"/>
        </w:rPr>
      </w:pP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86" w:lineRule="auto" w:before="177"/>
        <w:ind w:right="140" w:firstLine="420"/>
        <w:jc w:val="left"/>
      </w:pPr>
      <w:r>
        <w:rPr>
          <w:spacing w:val="-6"/>
          <w:w w:val="100"/>
        </w:rPr>
        <w:t>鼎捷软件股份有限公司（以下简称“鼎捷公司”）于</w:t>
      </w:r>
      <w:r>
        <w:rPr>
          <w:spacing w:val="-52"/>
          <w:w w:val="100"/>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spacing w:val="1"/>
          <w:w w:val="100"/>
        </w:rPr>
        <w:t> </w:t>
      </w:r>
      <w:r>
        <w:rPr>
          <w:w w:val="100"/>
        </w:rPr>
        <w:t>年</w:t>
      </w:r>
      <w:r>
        <w:rPr>
          <w:spacing w:val="-54"/>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 </w:t>
      </w:r>
      <w:r>
        <w:rPr>
          <w:w w:val="100"/>
        </w:rPr>
        <w:t>月</w:t>
      </w:r>
      <w:r>
        <w:rPr>
          <w:spacing w:val="-54"/>
          <w:w w:val="100"/>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1"/>
          <w:w w:val="100"/>
        </w:rPr>
        <w:t> </w:t>
      </w:r>
      <w:r>
        <w:rPr>
          <w:spacing w:val="-2"/>
          <w:w w:val="100"/>
        </w:rPr>
        <w:t>日首次公开发行上市，导致本公</w:t>
      </w:r>
      <w:r>
        <w:rPr>
          <w:w w:val="100"/>
        </w:rPr>
        <w:t> </w:t>
      </w:r>
      <w:r>
        <w:rPr/>
        <w:t>司之子公司</w:t>
      </w:r>
      <w:r>
        <w:rPr>
          <w:spacing w:val="-55"/>
        </w:rPr>
        <w:t> </w:t>
      </w:r>
      <w:r>
        <w:rPr>
          <w:rFonts w:ascii="Times New Roman" w:hAnsi="Times New Roman" w:cs="Times New Roman" w:eastAsia="Times New Roman" w:hint="default"/>
        </w:rPr>
        <w:t>Digital</w:t>
      </w:r>
      <w:r>
        <w:rPr>
          <w:rFonts w:ascii="Times New Roman" w:hAnsi="Times New Roman" w:cs="Times New Roman" w:eastAsia="Times New Roman" w:hint="default"/>
          <w:spacing w:val="-3"/>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2"/>
        </w:rPr>
        <w:t> </w:t>
      </w:r>
      <w:r>
        <w:rPr>
          <w:rFonts w:ascii="Times New Roman" w:hAnsi="Times New Roman" w:cs="Times New Roman" w:eastAsia="Times New Roman" w:hint="default"/>
        </w:rPr>
        <w:t>Software</w:t>
      </w:r>
      <w:r>
        <w:rPr>
          <w:rFonts w:ascii="Times New Roman" w:hAnsi="Times New Roman" w:cs="Times New Roman" w:eastAsia="Times New Roman" w:hint="default"/>
          <w:spacing w:val="-2"/>
        </w:rPr>
        <w:t> </w:t>
      </w:r>
      <w:r>
        <w:rPr>
          <w:rFonts w:ascii="Times New Roman" w:hAnsi="Times New Roman" w:cs="Times New Roman" w:eastAsia="Times New Roman" w:hint="default"/>
        </w:rPr>
        <w:t>(BVI)</w:t>
      </w:r>
      <w:r>
        <w:rPr>
          <w:rFonts w:ascii="Times New Roman" w:hAnsi="Times New Roman" w:cs="Times New Roman" w:eastAsia="Times New Roman" w:hint="default"/>
          <w:spacing w:val="-3"/>
        </w:rPr>
        <w:t> </w:t>
      </w:r>
      <w:r>
        <w:rPr>
          <w:rFonts w:ascii="Times New Roman" w:hAnsi="Times New Roman" w:cs="Times New Roman" w:eastAsia="Times New Roman" w:hint="default"/>
        </w:rPr>
        <w:t>Ltd</w:t>
      </w:r>
      <w:r>
        <w:rPr>
          <w:rFonts w:ascii="Times New Roman" w:hAnsi="Times New Roman" w:cs="Times New Roman" w:eastAsia="Times New Roman" w:hint="default"/>
          <w:spacing w:val="-1"/>
        </w:rPr>
        <w:t> </w:t>
      </w:r>
      <w:r>
        <w:rPr/>
        <w:t>对其持有的股权比例由</w:t>
      </w:r>
      <w:r>
        <w:rPr>
          <w:spacing w:val="-55"/>
        </w:rPr>
        <w:t> </w:t>
      </w:r>
      <w:r>
        <w:rPr>
          <w:rFonts w:ascii="Times New Roman" w:hAnsi="Times New Roman" w:cs="Times New Roman" w:eastAsia="Times New Roman" w:hint="default"/>
        </w:rPr>
        <w:t>23.96%</w:t>
      </w:r>
      <w:r>
        <w:rPr/>
        <w:t>降至</w:t>
      </w:r>
      <w:r>
        <w:rPr>
          <w:spacing w:val="-57"/>
        </w:rPr>
        <w:t> </w:t>
      </w:r>
      <w:r>
        <w:rPr>
          <w:rFonts w:ascii="Times New Roman" w:hAnsi="Times New Roman" w:cs="Times New Roman" w:eastAsia="Times New Roman" w:hint="default"/>
        </w:rPr>
        <w:t>17.91%</w:t>
      </w:r>
      <w:r>
        <w:rPr/>
        <w:t>，并向公众发售老</w:t>
      </w:r>
    </w:p>
    <w:p>
      <w:pPr>
        <w:spacing w:after="0" w:line="386" w:lineRule="auto"/>
        <w:jc w:val="left"/>
        <w:sectPr>
          <w:pgSz w:w="11910" w:h="16840"/>
          <w:pgMar w:header="0" w:footer="1227" w:top="1060" w:bottom="1420" w:left="980" w:right="98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股</w:t>
      </w:r>
      <w:r>
        <w:rPr>
          <w:spacing w:val="-55"/>
        </w:rPr>
        <w:t> </w:t>
      </w:r>
      <w:r>
        <w:rPr>
          <w:rFonts w:ascii="Times New Roman" w:hAnsi="Times New Roman" w:cs="Times New Roman" w:eastAsia="Times New Roman" w:hint="default"/>
        </w:rPr>
        <w:t>291,136</w:t>
      </w:r>
      <w:r>
        <w:rPr>
          <w:rFonts w:ascii="Times New Roman" w:hAnsi="Times New Roman" w:cs="Times New Roman" w:eastAsia="Times New Roman" w:hint="default"/>
          <w:spacing w:val="-5"/>
        </w:rPr>
        <w:t> </w:t>
      </w:r>
      <w:r>
        <w:rPr/>
        <w:t>股，共形成投资收益</w:t>
      </w:r>
      <w:r>
        <w:rPr>
          <w:spacing w:val="-54"/>
        </w:rPr>
        <w:t> </w:t>
      </w:r>
      <w:r>
        <w:rPr>
          <w:rFonts w:ascii="Times New Roman" w:hAnsi="Times New Roman" w:cs="Times New Roman" w:eastAsia="Times New Roman" w:hint="default"/>
        </w:rPr>
        <w:t>17,276,443.95</w:t>
      </w:r>
      <w:r>
        <w:rPr>
          <w:rFonts w:ascii="Times New Roman" w:hAnsi="Times New Roman" w:cs="Times New Roman" w:eastAsia="Times New Roman" w:hint="default"/>
          <w:spacing w:val="-2"/>
        </w:rPr>
        <w:t> </w:t>
      </w:r>
      <w:r>
        <w:rPr/>
        <w:t>元。根据鼎捷公司</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年度报告中披露的“归属于母公司</w:t>
      </w:r>
    </w:p>
    <w:p>
      <w:pPr>
        <w:pStyle w:val="BodyText"/>
        <w:spacing w:line="240" w:lineRule="auto" w:before="177"/>
        <w:ind w:right="0"/>
        <w:jc w:val="left"/>
      </w:pPr>
      <w:r>
        <w:rPr/>
        <w:t>股东的净利润”为</w:t>
      </w:r>
      <w:r>
        <w:rPr>
          <w:spacing w:val="-55"/>
        </w:rPr>
        <w:t> </w:t>
      </w:r>
      <w:r>
        <w:rPr>
          <w:rFonts w:ascii="Times New Roman" w:hAnsi="Times New Roman" w:cs="Times New Roman" w:eastAsia="Times New Roman" w:hint="default"/>
        </w:rPr>
        <w:t>6,324.51</w:t>
      </w:r>
      <w:r>
        <w:rPr>
          <w:rFonts w:ascii="Times New Roman" w:hAnsi="Times New Roman" w:cs="Times New Roman" w:eastAsia="Times New Roman" w:hint="default"/>
          <w:spacing w:val="-2"/>
        </w:rPr>
        <w:t> </w:t>
      </w:r>
      <w:r>
        <w:rPr/>
        <w:t>万元，形成投资收益</w:t>
      </w:r>
      <w:r>
        <w:rPr>
          <w:spacing w:val="-55"/>
        </w:rPr>
        <w:t> </w:t>
      </w:r>
      <w:r>
        <w:rPr>
          <w:rFonts w:ascii="Times New Roman" w:hAnsi="Times New Roman" w:cs="Times New Roman" w:eastAsia="Times New Roman" w:hint="default"/>
        </w:rPr>
        <w:t>1,132.72</w:t>
      </w:r>
      <w:r>
        <w:rPr>
          <w:rFonts w:ascii="Times New Roman" w:hAnsi="Times New Roman" w:cs="Times New Roman" w:eastAsia="Times New Roman" w:hint="default"/>
          <w:spacing w:val="-5"/>
        </w:rPr>
        <w:t> </w:t>
      </w:r>
      <w:r>
        <w:rPr/>
        <w:t>万元。</w:t>
      </w:r>
    </w:p>
    <w:p>
      <w:pPr>
        <w:pStyle w:val="BodyText"/>
        <w:spacing w:line="386" w:lineRule="auto" w:before="177"/>
        <w:ind w:right="168" w:firstLine="420"/>
        <w:jc w:val="right"/>
      </w:pPr>
      <w:r>
        <w:rPr/>
        <w:t>本公司之子公司</w:t>
      </w:r>
      <w:r>
        <w:rPr>
          <w:spacing w:val="-54"/>
        </w:rPr>
        <w:t> </w:t>
      </w:r>
      <w:r>
        <w:rPr>
          <w:rFonts w:ascii="Times New Roman" w:hAnsi="Times New Roman" w:cs="Times New Roman" w:eastAsia="Times New Roman" w:hint="default"/>
        </w:rPr>
        <w:t>Digital</w:t>
      </w:r>
      <w:r>
        <w:rPr>
          <w:rFonts w:ascii="Times New Roman" w:hAnsi="Times New Roman" w:cs="Times New Roman" w:eastAsia="Times New Roman" w:hint="default"/>
          <w:spacing w:val="-2"/>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1"/>
        </w:rPr>
        <w:t> </w:t>
      </w:r>
      <w:r>
        <w:rPr>
          <w:rFonts w:ascii="Times New Roman" w:hAnsi="Times New Roman" w:cs="Times New Roman" w:eastAsia="Times New Roman" w:hint="default"/>
        </w:rPr>
        <w:t>Software</w:t>
      </w:r>
      <w:r>
        <w:rPr>
          <w:rFonts w:ascii="Times New Roman" w:hAnsi="Times New Roman" w:cs="Times New Roman" w:eastAsia="Times New Roman" w:hint="default"/>
          <w:spacing w:val="-1"/>
        </w:rPr>
        <w:t> </w:t>
      </w:r>
      <w:r>
        <w:rPr>
          <w:rFonts w:ascii="Times New Roman" w:hAnsi="Times New Roman" w:cs="Times New Roman" w:eastAsia="Times New Roman" w:hint="default"/>
        </w:rPr>
        <w:t>(BVI) </w:t>
      </w:r>
      <w:r>
        <w:rPr>
          <w:rFonts w:ascii="Times New Roman" w:hAnsi="Times New Roman" w:cs="Times New Roman" w:eastAsia="Times New Roman" w:hint="default"/>
          <w:spacing w:val="-3"/>
        </w:rPr>
        <w:t>Ltd</w:t>
      </w:r>
      <w:r>
        <w:rPr>
          <w:rFonts w:ascii="Times New Roman" w:hAnsi="Times New Roman" w:cs="Times New Roman" w:eastAsia="Times New Roman" w:hint="default"/>
        </w:rPr>
        <w:t> </w:t>
      </w:r>
      <w:r>
        <w:rPr/>
        <w:t>年初持有的</w:t>
      </w:r>
      <w:r>
        <w:rPr>
          <w:spacing w:val="-54"/>
        </w:rPr>
        <w:t> </w:t>
      </w:r>
      <w:r>
        <w:rPr>
          <w:rFonts w:ascii="Times New Roman" w:hAnsi="Times New Roman" w:cs="Times New Roman" w:eastAsia="Times New Roman" w:hint="default"/>
        </w:rPr>
        <w:t>SJI</w:t>
      </w:r>
      <w:r>
        <w:rPr>
          <w:rFonts w:ascii="Times New Roman" w:hAnsi="Times New Roman" w:cs="Times New Roman" w:eastAsia="Times New Roman" w:hint="default"/>
          <w:spacing w:val="-4"/>
        </w:rPr>
        <w:t> </w:t>
      </w:r>
      <w:r>
        <w:rPr>
          <w:rFonts w:ascii="Times New Roman" w:hAnsi="Times New Roman" w:cs="Times New Roman" w:eastAsia="Times New Roman" w:hint="default"/>
        </w:rPr>
        <w:t>INC.</w:t>
      </w:r>
      <w:r>
        <w:rPr/>
        <w:t>股票</w:t>
      </w:r>
      <w:r>
        <w:rPr>
          <w:spacing w:val="-56"/>
        </w:rPr>
        <w:t> </w:t>
      </w:r>
      <w:r>
        <w:rPr>
          <w:rFonts w:ascii="Times New Roman" w:hAnsi="Times New Roman" w:cs="Times New Roman" w:eastAsia="Times New Roman" w:hint="default"/>
        </w:rPr>
        <w:t>16,200,000</w:t>
      </w:r>
      <w:r>
        <w:rPr>
          <w:rFonts w:ascii="Times New Roman" w:hAnsi="Times New Roman" w:cs="Times New Roman" w:eastAsia="Times New Roman" w:hint="default"/>
          <w:spacing w:val="-4"/>
        </w:rPr>
        <w:t> </w:t>
      </w:r>
      <w:r>
        <w:rPr/>
        <w:t>股，在本报告期</w:t>
      </w:r>
      <w:r>
        <w:rPr>
          <w:w w:val="100"/>
        </w:rPr>
        <w:t> </w:t>
      </w:r>
      <w:r>
        <w:rPr>
          <w:spacing w:val="-3"/>
        </w:rPr>
        <w:t>陆续全部出售完毕，该出售事项对公司净利润的影响为增加亏损 </w:t>
      </w:r>
      <w:r>
        <w:rPr>
          <w:rFonts w:ascii="Times New Roman" w:hAnsi="Times New Roman" w:cs="Times New Roman" w:eastAsia="Times New Roman" w:hint="default"/>
        </w:rPr>
        <w:t>47,982,180.86</w:t>
      </w:r>
      <w:r>
        <w:rPr>
          <w:rFonts w:ascii="Times New Roman" w:hAnsi="Times New Roman" w:cs="Times New Roman" w:eastAsia="Times New Roman" w:hint="default"/>
          <w:spacing w:val="8"/>
        </w:rPr>
        <w:t> </w:t>
      </w:r>
      <w:r>
        <w:rPr>
          <w:spacing w:val="-5"/>
        </w:rPr>
        <w:t>元，并已经公司第六届董事</w:t>
      </w:r>
    </w:p>
    <w:p>
      <w:pPr>
        <w:pStyle w:val="BodyText"/>
        <w:spacing w:line="240" w:lineRule="auto" w:before="35"/>
        <w:ind w:right="0"/>
        <w:jc w:val="left"/>
      </w:pPr>
      <w:r>
        <w:rPr/>
        <w:t>会</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年第十次临时会议审议批准，具体内容详见公司</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日和</w:t>
      </w:r>
      <w:r>
        <w:rPr>
          <w:spacing w:val="-54"/>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日的相关公告。</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before="162"/>
        <w:ind w:left="0" w:right="17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09"/>
        <w:gridCol w:w="809"/>
        <w:gridCol w:w="809"/>
        <w:gridCol w:w="806"/>
        <w:gridCol w:w="809"/>
        <w:gridCol w:w="809"/>
        <w:gridCol w:w="806"/>
        <w:gridCol w:w="809"/>
        <w:gridCol w:w="807"/>
        <w:gridCol w:w="809"/>
        <w:gridCol w:w="809"/>
        <w:gridCol w:w="806"/>
      </w:tblGrid>
      <w:tr>
        <w:trPr>
          <w:trHeight w:val="1037" w:hRule="exact"/>
        </w:trPr>
        <w:tc>
          <w:tcPr>
            <w:tcW w:w="80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0" w:right="38" w:hanging="272"/>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0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0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0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6"/>
              <w:jc w:val="right"/>
              <w:rPr>
                <w:rFonts w:ascii="宋体" w:hAnsi="宋体" w:cs="宋体" w:eastAsia="宋体" w:hint="default"/>
                <w:sz w:val="18"/>
                <w:szCs w:val="18"/>
              </w:rPr>
            </w:pPr>
            <w:r>
              <w:rPr>
                <w:rFonts w:ascii="宋体" w:hAnsi="宋体" w:cs="宋体" w:eastAsia="宋体" w:hint="default"/>
                <w:sz w:val="18"/>
                <w:szCs w:val="18"/>
              </w:rPr>
              <w:t>产品类型</w:t>
            </w:r>
          </w:p>
        </w:tc>
        <w:tc>
          <w:tcPr>
            <w:tcW w:w="80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0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0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80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 w:right="38"/>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 w:right="36"/>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80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80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51"/>
              <w:ind w:left="38" w:right="2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1027"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4.17</w:t>
            </w:r>
          </w:p>
        </w:tc>
      </w:tr>
      <w:tr>
        <w:trPr>
          <w:trHeight w:val="1025"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5.74</w:t>
            </w:r>
          </w:p>
        </w:tc>
      </w:tr>
      <w:tr>
        <w:trPr>
          <w:trHeight w:val="1027"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20.87</w:t>
            </w:r>
          </w:p>
        </w:tc>
      </w:tr>
      <w:tr>
        <w:trPr>
          <w:trHeight w:val="1025"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53.56</w:t>
            </w:r>
          </w:p>
        </w:tc>
      </w:tr>
      <w:tr>
        <w:trPr>
          <w:trHeight w:val="1028"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95.66</w:t>
            </w:r>
          </w:p>
        </w:tc>
      </w:tr>
      <w:tr>
        <w:trPr>
          <w:trHeight w:val="1025"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15.41</w:t>
            </w:r>
          </w:p>
        </w:tc>
      </w:tr>
      <w:tr>
        <w:trPr>
          <w:trHeight w:val="1027"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4.82</w:t>
            </w:r>
          </w:p>
        </w:tc>
      </w:tr>
      <w:tr>
        <w:trPr>
          <w:trHeight w:val="722" w:hRule="exact"/>
        </w:trPr>
        <w:tc>
          <w:tcPr>
            <w:tcW w:w="809"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49"/>
              <w:ind w:left="14" w:right="53"/>
              <w:jc w:val="left"/>
              <w:rPr>
                <w:rFonts w:ascii="宋体" w:hAnsi="宋体" w:cs="宋体" w:eastAsia="宋体" w:hint="default"/>
                <w:sz w:val="18"/>
                <w:szCs w:val="18"/>
              </w:rPr>
            </w:pPr>
            <w:r>
              <w:rPr>
                <w:rFonts w:ascii="宋体" w:hAnsi="宋体" w:cs="宋体" w:eastAsia="宋体" w:hint="default"/>
                <w:sz w:val="18"/>
                <w:szCs w:val="18"/>
              </w:rPr>
              <w:t>华夏基金 公司</w:t>
            </w:r>
          </w:p>
        </w:tc>
        <w:tc>
          <w:tcPr>
            <w:tcW w:w="8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8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tc>
        <w:tc>
          <w:tcPr>
            <w:tcW w:w="8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tc>
        <w:tc>
          <w:tcPr>
            <w:tcW w:w="809"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809" w:type="dxa"/>
            <w:tcBorders>
              <w:top w:val="single" w:sz="4" w:space="0" w:color="000000"/>
              <w:left w:val="single" w:sz="4" w:space="0" w:color="000000"/>
              <w:bottom w:val="single" w:sz="12" w:space="0" w:color="000000"/>
              <w:right w:val="single" w:sz="4" w:space="0" w:color="000000"/>
            </w:tcBorders>
          </w:tcPr>
          <w:p>
            <w:pPr/>
          </w:p>
        </w:tc>
        <w:tc>
          <w:tcPr>
            <w:tcW w:w="809" w:type="dxa"/>
            <w:tcBorders>
              <w:top w:val="single" w:sz="4" w:space="0" w:color="000000"/>
              <w:left w:val="single" w:sz="4" w:space="0" w:color="000000"/>
              <w:bottom w:val="single" w:sz="12" w:space="0" w:color="000000"/>
              <w:right w:val="single" w:sz="4" w:space="0" w:color="000000"/>
            </w:tcBorders>
          </w:tcPr>
          <w:p>
            <w:pPr/>
          </w:p>
        </w:tc>
        <w:tc>
          <w:tcPr>
            <w:tcW w:w="80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3.18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060" w:bottom="1420" w:left="980" w:right="9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09"/>
        <w:gridCol w:w="809"/>
        <w:gridCol w:w="809"/>
        <w:gridCol w:w="806"/>
        <w:gridCol w:w="809"/>
        <w:gridCol w:w="809"/>
        <w:gridCol w:w="806"/>
        <w:gridCol w:w="809"/>
        <w:gridCol w:w="807"/>
        <w:gridCol w:w="809"/>
        <w:gridCol w:w="809"/>
        <w:gridCol w:w="806"/>
      </w:tblGrid>
      <w:tr>
        <w:trPr>
          <w:trHeight w:val="372" w:hRule="exact"/>
        </w:trPr>
        <w:tc>
          <w:tcPr>
            <w:tcW w:w="809" w:type="dxa"/>
            <w:tcBorders>
              <w:top w:val="single" w:sz="12" w:space="0" w:color="000000"/>
              <w:left w:val="single" w:sz="12" w:space="0" w:color="000000"/>
              <w:bottom w:val="single" w:sz="4" w:space="0" w:color="000000"/>
              <w:right w:val="single" w:sz="4" w:space="0" w:color="000000"/>
            </w:tcBorders>
          </w:tcPr>
          <w:p>
            <w:pPr/>
          </w:p>
        </w:tc>
        <w:tc>
          <w:tcPr>
            <w:tcW w:w="809" w:type="dxa"/>
            <w:tcBorders>
              <w:top w:val="single" w:sz="12" w:space="0" w:color="000000"/>
              <w:left w:val="single" w:sz="4" w:space="0" w:color="000000"/>
              <w:bottom w:val="single" w:sz="4" w:space="0" w:color="000000"/>
              <w:right w:val="single" w:sz="4" w:space="0" w:color="000000"/>
            </w:tcBorders>
          </w:tcPr>
          <w:p>
            <w:pPr/>
          </w:p>
        </w:tc>
        <w:tc>
          <w:tcPr>
            <w:tcW w:w="809" w:type="dxa"/>
            <w:tcBorders>
              <w:top w:val="single" w:sz="12" w:space="0" w:color="000000"/>
              <w:left w:val="single" w:sz="4" w:space="0" w:color="000000"/>
              <w:bottom w:val="single" w:sz="4" w:space="0" w:color="000000"/>
              <w:right w:val="single" w:sz="4" w:space="0" w:color="000000"/>
            </w:tcBorders>
          </w:tcPr>
          <w:p>
            <w:pPr/>
          </w:p>
        </w:tc>
        <w:tc>
          <w:tcPr>
            <w:tcW w:w="806" w:type="dxa"/>
            <w:tcBorders>
              <w:top w:val="single" w:sz="12" w:space="0" w:color="000000"/>
              <w:left w:val="single" w:sz="4" w:space="0" w:color="000000"/>
              <w:bottom w:val="single" w:sz="4" w:space="0" w:color="000000"/>
              <w:right w:val="single" w:sz="4" w:space="0" w:color="000000"/>
            </w:tcBorders>
          </w:tcPr>
          <w:p>
            <w:pPr/>
          </w:p>
        </w:tc>
        <w:tc>
          <w:tcPr>
            <w:tcW w:w="809" w:type="dxa"/>
            <w:tcBorders>
              <w:top w:val="single" w:sz="12" w:space="0" w:color="000000"/>
              <w:left w:val="single" w:sz="4" w:space="0" w:color="000000"/>
              <w:bottom w:val="single" w:sz="4" w:space="0" w:color="000000"/>
              <w:right w:val="single" w:sz="4" w:space="0" w:color="000000"/>
            </w:tcBorders>
          </w:tcPr>
          <w:p>
            <w:pPr/>
          </w:p>
        </w:tc>
        <w:tc>
          <w:tcPr>
            <w:tcW w:w="8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12" w:space="0" w:color="000000"/>
              <w:left w:val="single" w:sz="4" w:space="0" w:color="000000"/>
              <w:bottom w:val="single" w:sz="4" w:space="0" w:color="000000"/>
              <w:right w:val="single" w:sz="4" w:space="0" w:color="000000"/>
            </w:tcBorders>
          </w:tcPr>
          <w:p>
            <w:pPr/>
          </w:p>
        </w:tc>
        <w:tc>
          <w:tcPr>
            <w:tcW w:w="807" w:type="dxa"/>
            <w:tcBorders>
              <w:top w:val="single" w:sz="12" w:space="0" w:color="000000"/>
              <w:left w:val="single" w:sz="4" w:space="0" w:color="000000"/>
              <w:bottom w:val="single" w:sz="4" w:space="0" w:color="000000"/>
              <w:right w:val="single" w:sz="4" w:space="0" w:color="000000"/>
            </w:tcBorders>
          </w:tcPr>
          <w:p>
            <w:pPr/>
          </w:p>
        </w:tc>
        <w:tc>
          <w:tcPr>
            <w:tcW w:w="809" w:type="dxa"/>
            <w:tcBorders>
              <w:top w:val="single" w:sz="12" w:space="0" w:color="000000"/>
              <w:left w:val="single" w:sz="4" w:space="0" w:color="000000"/>
              <w:bottom w:val="single" w:sz="4" w:space="0" w:color="000000"/>
              <w:right w:val="single" w:sz="4" w:space="0" w:color="000000"/>
            </w:tcBorders>
          </w:tcPr>
          <w:p>
            <w:pPr/>
          </w:p>
        </w:tc>
        <w:tc>
          <w:tcPr>
            <w:tcW w:w="809" w:type="dxa"/>
            <w:tcBorders>
              <w:top w:val="single" w:sz="12" w:space="0" w:color="000000"/>
              <w:left w:val="single" w:sz="4" w:space="0" w:color="000000"/>
              <w:bottom w:val="single" w:sz="4" w:space="0" w:color="000000"/>
              <w:right w:val="single" w:sz="4" w:space="0" w:color="000000"/>
            </w:tcBorders>
          </w:tcPr>
          <w:p>
            <w:pPr/>
          </w:p>
        </w:tc>
        <w:tc>
          <w:tcPr>
            <w:tcW w:w="806" w:type="dxa"/>
            <w:tcBorders>
              <w:top w:val="single" w:sz="12" w:space="0" w:color="000000"/>
              <w:left w:val="single" w:sz="4" w:space="0" w:color="000000"/>
              <w:bottom w:val="single" w:sz="4" w:space="0" w:color="000000"/>
              <w:right w:val="single" w:sz="12" w:space="0" w:color="000000"/>
            </w:tcBorders>
          </w:tcPr>
          <w:p>
            <w:pPr/>
          </w:p>
        </w:tc>
      </w:tr>
      <w:tr>
        <w:trPr>
          <w:trHeight w:val="1027"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4" w:right="53"/>
              <w:jc w:val="left"/>
              <w:rPr>
                <w:rFonts w:ascii="宋体" w:hAnsi="宋体" w:cs="宋体" w:eastAsia="宋体" w:hint="default"/>
                <w:sz w:val="18"/>
                <w:szCs w:val="18"/>
              </w:rPr>
            </w:pPr>
            <w:r>
              <w:rPr>
                <w:rFonts w:ascii="宋体" w:hAnsi="宋体" w:cs="宋体" w:eastAsia="宋体" w:hint="default"/>
                <w:sz w:val="18"/>
                <w:szCs w:val="18"/>
              </w:rPr>
              <w:t>博时基金 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2.58</w:t>
            </w:r>
          </w:p>
        </w:tc>
      </w:tr>
      <w:tr>
        <w:trPr>
          <w:trHeight w:val="1025"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5.2</w:t>
            </w:r>
          </w:p>
        </w:tc>
      </w:tr>
      <w:tr>
        <w:trPr>
          <w:trHeight w:val="1027"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2.6</w:t>
            </w:r>
          </w:p>
        </w:tc>
      </w:tr>
      <w:tr>
        <w:trPr>
          <w:trHeight w:val="1025"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4"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2.73</w:t>
            </w:r>
          </w:p>
        </w:tc>
      </w:tr>
      <w:tr>
        <w:trPr>
          <w:trHeight w:val="1027"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5.46</w:t>
            </w:r>
          </w:p>
        </w:tc>
      </w:tr>
      <w:tr>
        <w:trPr>
          <w:trHeight w:val="1025"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3.84</w:t>
            </w:r>
          </w:p>
        </w:tc>
      </w:tr>
      <w:tr>
        <w:trPr>
          <w:trHeight w:val="1028"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5.38</w:t>
            </w:r>
          </w:p>
        </w:tc>
      </w:tr>
      <w:tr>
        <w:trPr>
          <w:trHeight w:val="1025"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5.89</w:t>
            </w:r>
          </w:p>
        </w:tc>
      </w:tr>
      <w:tr>
        <w:trPr>
          <w:trHeight w:val="1027"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27.68</w:t>
            </w:r>
          </w:p>
        </w:tc>
      </w:tr>
      <w:tr>
        <w:trPr>
          <w:trHeight w:val="1025"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91.5</w:t>
            </w:r>
          </w:p>
        </w:tc>
      </w:tr>
      <w:tr>
        <w:trPr>
          <w:trHeight w:val="1028"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14.61</w:t>
            </w:r>
          </w:p>
        </w:tc>
      </w:tr>
      <w:tr>
        <w:trPr>
          <w:trHeight w:val="1241" w:hRule="exact"/>
        </w:trPr>
        <w:tc>
          <w:tcPr>
            <w:tcW w:w="809"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152"/>
              <w:ind w:left="14" w:right="53"/>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8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809" w:type="dxa"/>
            <w:tcBorders>
              <w:top w:val="single" w:sz="4" w:space="0" w:color="000000"/>
              <w:left w:val="single" w:sz="4" w:space="0" w:color="000000"/>
              <w:bottom w:val="single" w:sz="12" w:space="0" w:color="000000"/>
              <w:right w:val="single" w:sz="4" w:space="0" w:color="000000"/>
            </w:tcBorders>
          </w:tcPr>
          <w:p>
            <w:pPr/>
          </w:p>
        </w:tc>
        <w:tc>
          <w:tcPr>
            <w:tcW w:w="809" w:type="dxa"/>
            <w:tcBorders>
              <w:top w:val="single" w:sz="4" w:space="0" w:color="000000"/>
              <w:left w:val="single" w:sz="4" w:space="0" w:color="000000"/>
              <w:bottom w:val="single" w:sz="12" w:space="0" w:color="000000"/>
              <w:right w:val="single" w:sz="4" w:space="0" w:color="000000"/>
            </w:tcBorders>
          </w:tcPr>
          <w:p>
            <w:pPr/>
          </w:p>
        </w:tc>
        <w:tc>
          <w:tcPr>
            <w:tcW w:w="80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36.91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060" w:bottom="1420" w:left="980" w:right="9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09"/>
        <w:gridCol w:w="809"/>
        <w:gridCol w:w="809"/>
        <w:gridCol w:w="806"/>
        <w:gridCol w:w="809"/>
        <w:gridCol w:w="809"/>
        <w:gridCol w:w="806"/>
        <w:gridCol w:w="809"/>
        <w:gridCol w:w="807"/>
        <w:gridCol w:w="809"/>
        <w:gridCol w:w="809"/>
        <w:gridCol w:w="806"/>
      </w:tblGrid>
      <w:tr>
        <w:trPr>
          <w:trHeight w:val="1136" w:hRule="exact"/>
        </w:trPr>
        <w:tc>
          <w:tcPr>
            <w:tcW w:w="809" w:type="dxa"/>
            <w:tcBorders>
              <w:top w:val="single" w:sz="12" w:space="0" w:color="000000"/>
              <w:left w:val="single" w:sz="12" w:space="0" w:color="000000"/>
              <w:bottom w:val="single" w:sz="4" w:space="0" w:color="000000"/>
              <w:right w:val="single" w:sz="4" w:space="0" w:color="000000"/>
            </w:tcBorders>
          </w:tcPr>
          <w:p>
            <w:pPr>
              <w:pStyle w:val="TableParagraph"/>
              <w:spacing w:line="316" w:lineRule="auto" w:before="99"/>
              <w:ind w:left="14" w:right="53"/>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8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809" w:type="dxa"/>
            <w:tcBorders>
              <w:top w:val="single" w:sz="12" w:space="0" w:color="000000"/>
              <w:left w:val="single" w:sz="4" w:space="0" w:color="000000"/>
              <w:bottom w:val="single" w:sz="4" w:space="0" w:color="000000"/>
              <w:right w:val="single" w:sz="4" w:space="0" w:color="000000"/>
            </w:tcBorders>
          </w:tcPr>
          <w:p>
            <w:pPr/>
          </w:p>
        </w:tc>
        <w:tc>
          <w:tcPr>
            <w:tcW w:w="809" w:type="dxa"/>
            <w:tcBorders>
              <w:top w:val="single" w:sz="12" w:space="0" w:color="000000"/>
              <w:left w:val="single" w:sz="4" w:space="0" w:color="000000"/>
              <w:bottom w:val="single" w:sz="4" w:space="0" w:color="000000"/>
              <w:right w:val="single" w:sz="4" w:space="0" w:color="000000"/>
            </w:tcBorders>
          </w:tcPr>
          <w:p>
            <w:pPr/>
          </w:p>
        </w:tc>
        <w:tc>
          <w:tcPr>
            <w:tcW w:w="80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8.84</w:t>
            </w:r>
          </w:p>
        </w:tc>
      </w:tr>
      <w:tr>
        <w:trPr>
          <w:trHeight w:val="1080"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14" w:lineRule="auto"/>
              <w:ind w:left="14" w:right="53"/>
              <w:jc w:val="left"/>
              <w:rPr>
                <w:rFonts w:ascii="宋体" w:hAnsi="宋体" w:cs="宋体" w:eastAsia="宋体" w:hint="default"/>
                <w:sz w:val="18"/>
                <w:szCs w:val="18"/>
              </w:rPr>
            </w:pPr>
            <w:r>
              <w:rPr>
                <w:rFonts w:ascii="宋体" w:hAnsi="宋体" w:cs="宋体" w:eastAsia="宋体" w:hint="default"/>
                <w:sz w:val="18"/>
                <w:szCs w:val="18"/>
              </w:rPr>
              <w:t>南方基金 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14"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3.1</w:t>
            </w:r>
          </w:p>
        </w:tc>
      </w:tr>
      <w:tr>
        <w:trPr>
          <w:trHeight w:val="1027"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4" w:right="53"/>
              <w:jc w:val="left"/>
              <w:rPr>
                <w:rFonts w:ascii="宋体" w:hAnsi="宋体" w:cs="宋体" w:eastAsia="宋体" w:hint="default"/>
                <w:sz w:val="18"/>
                <w:szCs w:val="18"/>
              </w:rPr>
            </w:pPr>
            <w:r>
              <w:rPr>
                <w:rFonts w:ascii="宋体" w:hAnsi="宋体" w:cs="宋体" w:eastAsia="宋体" w:hint="default"/>
                <w:sz w:val="18"/>
                <w:szCs w:val="18"/>
              </w:rPr>
              <w:t>南方基金 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2.96</w:t>
            </w:r>
          </w:p>
        </w:tc>
      </w:tr>
      <w:tr>
        <w:trPr>
          <w:trHeight w:val="1025"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4" w:right="53"/>
              <w:jc w:val="left"/>
              <w:rPr>
                <w:rFonts w:ascii="宋体" w:hAnsi="宋体" w:cs="宋体" w:eastAsia="宋体" w:hint="default"/>
                <w:sz w:val="18"/>
                <w:szCs w:val="18"/>
              </w:rPr>
            </w:pPr>
            <w:r>
              <w:rPr>
                <w:rFonts w:ascii="宋体" w:hAnsi="宋体" w:cs="宋体" w:eastAsia="宋体" w:hint="default"/>
                <w:sz w:val="18"/>
                <w:szCs w:val="18"/>
              </w:rPr>
              <w:t>工银瑞信 基金公司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2.92</w:t>
            </w:r>
          </w:p>
        </w:tc>
      </w:tr>
      <w:tr>
        <w:trPr>
          <w:trHeight w:val="1027"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4" w:right="53"/>
              <w:jc w:val="left"/>
              <w:rPr>
                <w:rFonts w:ascii="宋体" w:hAnsi="宋体" w:cs="宋体" w:eastAsia="宋体" w:hint="default"/>
                <w:sz w:val="18"/>
                <w:szCs w:val="18"/>
              </w:rPr>
            </w:pPr>
            <w:r>
              <w:rPr>
                <w:rFonts w:ascii="宋体" w:hAnsi="宋体" w:cs="宋体" w:eastAsia="宋体" w:hint="default"/>
                <w:sz w:val="18"/>
                <w:szCs w:val="18"/>
              </w:rPr>
              <w:t>工银瑞信 基金公司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right"/>
              <w:rPr>
                <w:rFonts w:ascii="宋体" w:hAnsi="宋体" w:cs="宋体" w:eastAsia="宋体" w:hint="default"/>
                <w:sz w:val="18"/>
                <w:szCs w:val="18"/>
              </w:rPr>
            </w:pPr>
            <w:r>
              <w:rPr>
                <w:rFonts w:ascii="宋体" w:hAnsi="宋体" w:cs="宋体" w:eastAsia="宋体" w:hint="default"/>
                <w:sz w:val="18"/>
                <w:szCs w:val="18"/>
              </w:rPr>
              <w:t>货币基金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2.8</w:t>
            </w:r>
          </w:p>
        </w:tc>
      </w:tr>
      <w:tr>
        <w:trPr>
          <w:trHeight w:val="1025"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中国建设 银行北京 古城支行</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银行保本 浮动收益 型理财</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61.16</w:t>
            </w:r>
          </w:p>
        </w:tc>
      </w:tr>
      <w:tr>
        <w:trPr>
          <w:trHeight w:val="1028"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广发银行 奥运村支 行</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银行保本 浮动收益 型理财</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49.86</w:t>
            </w:r>
          </w:p>
        </w:tc>
      </w:tr>
      <w:tr>
        <w:trPr>
          <w:trHeight w:val="1025"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广发银行 奥运村支 行</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银行保本 浮动收益 型理财</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79.69</w:t>
            </w:r>
          </w:p>
        </w:tc>
      </w:tr>
      <w:tr>
        <w:trPr>
          <w:trHeight w:val="1027"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广发银行 奥运村支 行</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银行保本 浮动收益 型理财</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64.2</w:t>
            </w:r>
          </w:p>
        </w:tc>
      </w:tr>
      <w:tr>
        <w:trPr>
          <w:trHeight w:val="1025"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中国建设 银行北京 古城支行</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银行保本 浮动收益 型理财</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50.7</w:t>
            </w:r>
          </w:p>
        </w:tc>
      </w:tr>
      <w:tr>
        <w:trPr>
          <w:trHeight w:val="1028"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广发银行 奥运村支 行</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银行保本 浮动收益 型理财</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9.21</w:t>
            </w:r>
          </w:p>
        </w:tc>
      </w:tr>
      <w:tr>
        <w:trPr>
          <w:trHeight w:val="1025"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中国建设 银行北京 古城支行</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银行保本 浮动收益 型理财</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21.23</w:t>
            </w:r>
          </w:p>
        </w:tc>
      </w:tr>
      <w:tr>
        <w:trPr>
          <w:trHeight w:val="1034" w:hRule="exact"/>
        </w:trPr>
        <w:tc>
          <w:tcPr>
            <w:tcW w:w="809"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招行北京 双榆树支 行</w:t>
            </w:r>
          </w:p>
        </w:tc>
        <w:tc>
          <w:tcPr>
            <w:tcW w:w="8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银行保本 浮动收益 型理财</w:t>
            </w:r>
          </w:p>
        </w:tc>
        <w:tc>
          <w:tcPr>
            <w:tcW w:w="8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09" w:type="dxa"/>
            <w:tcBorders>
              <w:top w:val="single" w:sz="4" w:space="0" w:color="000000"/>
              <w:left w:val="single" w:sz="4" w:space="0" w:color="000000"/>
              <w:bottom w:val="single" w:sz="12" w:space="0" w:color="000000"/>
              <w:right w:val="single" w:sz="4" w:space="0" w:color="000000"/>
            </w:tcBorders>
          </w:tcPr>
          <w:p>
            <w:pPr/>
          </w:p>
        </w:tc>
        <w:tc>
          <w:tcPr>
            <w:tcW w:w="809" w:type="dxa"/>
            <w:tcBorders>
              <w:top w:val="single" w:sz="4" w:space="0" w:color="000000"/>
              <w:left w:val="single" w:sz="4" w:space="0" w:color="000000"/>
              <w:bottom w:val="single" w:sz="12" w:space="0" w:color="000000"/>
              <w:right w:val="single" w:sz="4" w:space="0" w:color="000000"/>
            </w:tcBorders>
          </w:tcPr>
          <w:p>
            <w:pPr/>
          </w:p>
        </w:tc>
        <w:tc>
          <w:tcPr>
            <w:tcW w:w="80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63.29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060" w:bottom="1420" w:left="980" w:right="9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09"/>
        <w:gridCol w:w="259"/>
        <w:gridCol w:w="550"/>
        <w:gridCol w:w="538"/>
        <w:gridCol w:w="272"/>
        <w:gridCol w:w="806"/>
        <w:gridCol w:w="809"/>
        <w:gridCol w:w="269"/>
        <w:gridCol w:w="535"/>
        <w:gridCol w:w="541"/>
        <w:gridCol w:w="271"/>
        <w:gridCol w:w="809"/>
        <w:gridCol w:w="807"/>
        <w:gridCol w:w="269"/>
        <w:gridCol w:w="540"/>
        <w:gridCol w:w="535"/>
        <w:gridCol w:w="274"/>
        <w:gridCol w:w="806"/>
      </w:tblGrid>
      <w:tr>
        <w:trPr>
          <w:trHeight w:val="1136" w:hRule="exact"/>
        </w:trPr>
        <w:tc>
          <w:tcPr>
            <w:tcW w:w="809" w:type="dxa"/>
            <w:tcBorders>
              <w:top w:val="single" w:sz="12" w:space="0" w:color="000000"/>
              <w:left w:val="single" w:sz="12" w:space="0" w:color="000000"/>
              <w:bottom w:val="single" w:sz="4" w:space="0" w:color="000000"/>
              <w:right w:val="single" w:sz="4" w:space="0" w:color="000000"/>
            </w:tcBorders>
          </w:tcPr>
          <w:p>
            <w:pPr>
              <w:pStyle w:val="TableParagraph"/>
              <w:spacing w:line="316" w:lineRule="auto" w:before="99"/>
              <w:ind w:left="14" w:right="53"/>
              <w:jc w:val="both"/>
              <w:rPr>
                <w:rFonts w:ascii="宋体" w:hAnsi="宋体" w:cs="宋体" w:eastAsia="宋体" w:hint="default"/>
                <w:sz w:val="18"/>
                <w:szCs w:val="18"/>
              </w:rPr>
            </w:pPr>
            <w:r>
              <w:rPr>
                <w:rFonts w:ascii="宋体" w:hAnsi="宋体" w:cs="宋体" w:eastAsia="宋体" w:hint="default"/>
                <w:sz w:val="18"/>
                <w:szCs w:val="18"/>
              </w:rPr>
              <w:t>广发银行 奥运村支 行</w:t>
            </w:r>
          </w:p>
        </w:tc>
        <w:tc>
          <w:tcPr>
            <w:tcW w:w="80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99"/>
              <w:ind w:left="23" w:right="50"/>
              <w:jc w:val="both"/>
              <w:rPr>
                <w:rFonts w:ascii="宋体" w:hAnsi="宋体" w:cs="宋体" w:eastAsia="宋体" w:hint="default"/>
                <w:sz w:val="18"/>
                <w:szCs w:val="18"/>
              </w:rPr>
            </w:pPr>
            <w:r>
              <w:rPr>
                <w:rFonts w:ascii="宋体" w:hAnsi="宋体" w:cs="宋体" w:eastAsia="宋体" w:hint="default"/>
                <w:sz w:val="18"/>
                <w:szCs w:val="18"/>
              </w:rPr>
              <w:t>银行保本 浮动收益 型理财</w:t>
            </w:r>
          </w:p>
        </w:tc>
        <w:tc>
          <w:tcPr>
            <w:tcW w:w="8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0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09" w:type="dxa"/>
            <w:gridSpan w:val="2"/>
            <w:tcBorders>
              <w:top w:val="single" w:sz="12" w:space="0" w:color="000000"/>
              <w:left w:val="single" w:sz="4" w:space="0" w:color="000000"/>
              <w:bottom w:val="single" w:sz="4" w:space="0" w:color="000000"/>
              <w:right w:val="single" w:sz="4" w:space="0" w:color="000000"/>
            </w:tcBorders>
          </w:tcPr>
          <w:p>
            <w:pPr/>
          </w:p>
        </w:tc>
        <w:tc>
          <w:tcPr>
            <w:tcW w:w="809" w:type="dxa"/>
            <w:gridSpan w:val="2"/>
            <w:tcBorders>
              <w:top w:val="single" w:sz="12" w:space="0" w:color="000000"/>
              <w:left w:val="single" w:sz="4" w:space="0" w:color="000000"/>
              <w:bottom w:val="single" w:sz="4" w:space="0" w:color="000000"/>
              <w:right w:val="single" w:sz="4" w:space="0" w:color="000000"/>
            </w:tcBorders>
          </w:tcPr>
          <w:p>
            <w:pPr/>
          </w:p>
        </w:tc>
        <w:tc>
          <w:tcPr>
            <w:tcW w:w="80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65.53</w:t>
            </w:r>
          </w:p>
        </w:tc>
      </w:tr>
      <w:tr>
        <w:trPr>
          <w:trHeight w:val="1171"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121"/>
              <w:ind w:left="14" w:right="53"/>
              <w:jc w:val="both"/>
              <w:rPr>
                <w:rFonts w:ascii="宋体" w:hAnsi="宋体" w:cs="宋体" w:eastAsia="宋体" w:hint="default"/>
                <w:sz w:val="18"/>
                <w:szCs w:val="18"/>
              </w:rPr>
            </w:pPr>
            <w:r>
              <w:rPr>
                <w:rFonts w:ascii="宋体" w:hAnsi="宋体" w:cs="宋体" w:eastAsia="宋体" w:hint="default"/>
                <w:sz w:val="18"/>
                <w:szCs w:val="18"/>
              </w:rPr>
              <w:t>中国建设 银行北京 古城支行</w:t>
            </w:r>
          </w:p>
        </w:tc>
        <w:tc>
          <w:tcPr>
            <w:tcW w:w="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1"/>
              <w:ind w:left="23" w:right="50"/>
              <w:jc w:val="both"/>
              <w:rPr>
                <w:rFonts w:ascii="宋体" w:hAnsi="宋体" w:cs="宋体" w:eastAsia="宋体" w:hint="default"/>
                <w:sz w:val="18"/>
                <w:szCs w:val="18"/>
              </w:rPr>
            </w:pPr>
            <w:r>
              <w:rPr>
                <w:rFonts w:ascii="宋体" w:hAnsi="宋体" w:cs="宋体" w:eastAsia="宋体" w:hint="default"/>
                <w:sz w:val="18"/>
                <w:szCs w:val="18"/>
              </w:rPr>
              <w:t>银行保本 浮动收益 型理财</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8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809" w:type="dxa"/>
            <w:gridSpan w:val="2"/>
            <w:tcBorders>
              <w:top w:val="single" w:sz="4" w:space="0" w:color="000000"/>
              <w:left w:val="single" w:sz="4" w:space="0" w:color="000000"/>
              <w:bottom w:val="single" w:sz="4" w:space="0" w:color="000000"/>
              <w:right w:val="single" w:sz="4" w:space="0" w:color="000000"/>
            </w:tcBorders>
          </w:tcPr>
          <w:p>
            <w:pPr/>
          </w:p>
        </w:tc>
        <w:tc>
          <w:tcPr>
            <w:tcW w:w="809" w:type="dxa"/>
            <w:gridSpan w:val="2"/>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73.53</w:t>
            </w:r>
          </w:p>
        </w:tc>
      </w:tr>
      <w:tr>
        <w:trPr>
          <w:trHeight w:val="1025"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中国建设 银行北京 古城支行</w:t>
            </w:r>
          </w:p>
        </w:tc>
        <w:tc>
          <w:tcPr>
            <w:tcW w:w="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银行保本 浮动收益 型理财</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6,500</w:t>
            </w:r>
          </w:p>
        </w:tc>
        <w:tc>
          <w:tcPr>
            <w:tcW w:w="8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6,500</w:t>
            </w:r>
          </w:p>
        </w:tc>
        <w:tc>
          <w:tcPr>
            <w:tcW w:w="809" w:type="dxa"/>
            <w:gridSpan w:val="2"/>
            <w:tcBorders>
              <w:top w:val="single" w:sz="4" w:space="0" w:color="000000"/>
              <w:left w:val="single" w:sz="4" w:space="0" w:color="000000"/>
              <w:bottom w:val="single" w:sz="4" w:space="0" w:color="000000"/>
              <w:right w:val="single" w:sz="4" w:space="0" w:color="000000"/>
            </w:tcBorders>
          </w:tcPr>
          <w:p>
            <w:pPr/>
          </w:p>
        </w:tc>
        <w:tc>
          <w:tcPr>
            <w:tcW w:w="809" w:type="dxa"/>
            <w:gridSpan w:val="2"/>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95.59</w:t>
            </w:r>
          </w:p>
        </w:tc>
      </w:tr>
      <w:tr>
        <w:trPr>
          <w:trHeight w:val="1028"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广发银行 奥运村支 行</w:t>
            </w:r>
          </w:p>
        </w:tc>
        <w:tc>
          <w:tcPr>
            <w:tcW w:w="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银行保本 浮动收益 型理财</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09" w:type="dxa"/>
            <w:gridSpan w:val="2"/>
            <w:tcBorders>
              <w:top w:val="single" w:sz="4" w:space="0" w:color="000000"/>
              <w:left w:val="single" w:sz="4" w:space="0" w:color="000000"/>
              <w:bottom w:val="single" w:sz="4" w:space="0" w:color="000000"/>
              <w:right w:val="single" w:sz="4" w:space="0" w:color="000000"/>
            </w:tcBorders>
          </w:tcPr>
          <w:p>
            <w:pPr/>
          </w:p>
        </w:tc>
        <w:tc>
          <w:tcPr>
            <w:tcW w:w="809" w:type="dxa"/>
            <w:gridSpan w:val="2"/>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131.1</w:t>
            </w:r>
          </w:p>
        </w:tc>
      </w:tr>
      <w:tr>
        <w:trPr>
          <w:trHeight w:val="1025"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广发银行 奥运村支 行</w:t>
            </w:r>
          </w:p>
        </w:tc>
        <w:tc>
          <w:tcPr>
            <w:tcW w:w="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银行保本 浮动收益 型理财</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8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809" w:type="dxa"/>
            <w:gridSpan w:val="2"/>
            <w:tcBorders>
              <w:top w:val="single" w:sz="4" w:space="0" w:color="000000"/>
              <w:left w:val="single" w:sz="4" w:space="0" w:color="000000"/>
              <w:bottom w:val="single" w:sz="4" w:space="0" w:color="000000"/>
              <w:right w:val="single" w:sz="4" w:space="0" w:color="000000"/>
            </w:tcBorders>
          </w:tcPr>
          <w:p>
            <w:pPr/>
          </w:p>
        </w:tc>
        <w:tc>
          <w:tcPr>
            <w:tcW w:w="809" w:type="dxa"/>
            <w:gridSpan w:val="2"/>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281.1</w:t>
            </w:r>
          </w:p>
        </w:tc>
      </w:tr>
      <w:tr>
        <w:trPr>
          <w:trHeight w:val="1027"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广发银行 奥运村支 行</w:t>
            </w:r>
          </w:p>
        </w:tc>
        <w:tc>
          <w:tcPr>
            <w:tcW w:w="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银行保本 浮动收益 型理财</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
        </w:tc>
        <w:tc>
          <w:tcPr>
            <w:tcW w:w="809" w:type="dxa"/>
            <w:gridSpan w:val="2"/>
            <w:tcBorders>
              <w:top w:val="single" w:sz="4" w:space="0" w:color="000000"/>
              <w:left w:val="single" w:sz="4" w:space="0" w:color="000000"/>
              <w:bottom w:val="single" w:sz="4" w:space="0" w:color="000000"/>
              <w:right w:val="single" w:sz="4" w:space="0" w:color="000000"/>
            </w:tcBorders>
          </w:tcPr>
          <w:p>
            <w:pPr/>
          </w:p>
        </w:tc>
        <w:tc>
          <w:tcPr>
            <w:tcW w:w="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191.66</w:t>
            </w:r>
          </w:p>
        </w:tc>
        <w:tc>
          <w:tcPr>
            <w:tcW w:w="806" w:type="dxa"/>
            <w:tcBorders>
              <w:top w:val="single" w:sz="4" w:space="0" w:color="000000"/>
              <w:left w:val="single" w:sz="4" w:space="0" w:color="000000"/>
              <w:bottom w:val="single" w:sz="4" w:space="0" w:color="000000"/>
              <w:right w:val="single" w:sz="12" w:space="0" w:color="000000"/>
            </w:tcBorders>
          </w:tcPr>
          <w:p>
            <w:pPr/>
          </w:p>
        </w:tc>
      </w:tr>
      <w:tr>
        <w:trPr>
          <w:trHeight w:val="1025"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both"/>
              <w:rPr>
                <w:rFonts w:ascii="宋体" w:hAnsi="宋体" w:cs="宋体" w:eastAsia="宋体" w:hint="default"/>
                <w:sz w:val="18"/>
                <w:szCs w:val="18"/>
              </w:rPr>
            </w:pPr>
            <w:r>
              <w:rPr>
                <w:rFonts w:ascii="宋体" w:hAnsi="宋体" w:cs="宋体" w:eastAsia="宋体" w:hint="default"/>
                <w:sz w:val="18"/>
                <w:szCs w:val="18"/>
              </w:rPr>
              <w:t>广发银行 奥运村支 行</w:t>
            </w:r>
          </w:p>
        </w:tc>
        <w:tc>
          <w:tcPr>
            <w:tcW w:w="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银行保本 浮动收益 型理财</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53"/>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7" w:type="dxa"/>
            <w:tcBorders>
              <w:top w:val="single" w:sz="4" w:space="0" w:color="000000"/>
              <w:left w:val="single" w:sz="4" w:space="0" w:color="000000"/>
              <w:bottom w:val="single" w:sz="4" w:space="0" w:color="000000"/>
              <w:right w:val="single" w:sz="4" w:space="0" w:color="000000"/>
            </w:tcBorders>
          </w:tcPr>
          <w:p>
            <w:pPr/>
          </w:p>
        </w:tc>
        <w:tc>
          <w:tcPr>
            <w:tcW w:w="809" w:type="dxa"/>
            <w:gridSpan w:val="2"/>
            <w:tcBorders>
              <w:top w:val="single" w:sz="4" w:space="0" w:color="000000"/>
              <w:left w:val="single" w:sz="4" w:space="0" w:color="000000"/>
              <w:bottom w:val="single" w:sz="4" w:space="0" w:color="000000"/>
              <w:right w:val="single" w:sz="4" w:space="0" w:color="000000"/>
            </w:tcBorders>
          </w:tcPr>
          <w:p>
            <w:pPr/>
          </w:p>
        </w:tc>
        <w:tc>
          <w:tcPr>
            <w:tcW w:w="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191.66</w:t>
            </w:r>
          </w:p>
        </w:tc>
        <w:tc>
          <w:tcPr>
            <w:tcW w:w="80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068"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58" w:right="0"/>
              <w:jc w:val="left"/>
              <w:rPr>
                <w:rFonts w:ascii="Times New Roman" w:hAnsi="Times New Roman" w:cs="Times New Roman" w:eastAsia="Times New Roman" w:hint="default"/>
                <w:sz w:val="18"/>
                <w:szCs w:val="18"/>
              </w:rPr>
            </w:pPr>
            <w:r>
              <w:rPr>
                <w:rFonts w:ascii="Times New Roman"/>
                <w:sz w:val="18"/>
              </w:rPr>
              <w:t>260,500</w:t>
            </w:r>
          </w:p>
        </w:tc>
        <w:tc>
          <w:tcPr>
            <w:tcW w:w="10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0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240,500</w:t>
            </w:r>
          </w:p>
        </w:tc>
        <w:tc>
          <w:tcPr>
            <w:tcW w:w="1076" w:type="dxa"/>
            <w:gridSpan w:val="2"/>
            <w:tcBorders>
              <w:top w:val="single" w:sz="4" w:space="0" w:color="000000"/>
              <w:left w:val="single" w:sz="4" w:space="0" w:color="000000"/>
              <w:bottom w:val="single" w:sz="4" w:space="0" w:color="000000"/>
              <w:right w:val="single" w:sz="4" w:space="0" w:color="000000"/>
            </w:tcBorders>
          </w:tcPr>
          <w:p>
            <w:pP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9" w:right="0"/>
              <w:jc w:val="left"/>
              <w:rPr>
                <w:rFonts w:ascii="Times New Roman" w:hAnsi="Times New Roman" w:cs="Times New Roman" w:eastAsia="Times New Roman" w:hint="default"/>
                <w:sz w:val="18"/>
                <w:szCs w:val="18"/>
              </w:rPr>
            </w:pPr>
            <w:r>
              <w:rPr>
                <w:rFonts w:ascii="Times New Roman"/>
                <w:sz w:val="18"/>
              </w:rPr>
              <w:t>383.32</w:t>
            </w:r>
          </w:p>
        </w:tc>
        <w:tc>
          <w:tcPr>
            <w:tcW w:w="108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506" w:right="0"/>
              <w:jc w:val="left"/>
              <w:rPr>
                <w:rFonts w:ascii="Times New Roman" w:hAnsi="Times New Roman" w:cs="Times New Roman" w:eastAsia="Times New Roman" w:hint="default"/>
                <w:sz w:val="18"/>
                <w:szCs w:val="18"/>
              </w:rPr>
            </w:pPr>
            <w:r>
              <w:rPr>
                <w:rFonts w:ascii="Times New Roman"/>
                <w:sz w:val="18"/>
              </w:rPr>
              <w:t>1,474.6</w:t>
            </w:r>
          </w:p>
        </w:tc>
      </w:tr>
      <w:tr>
        <w:trPr>
          <w:trHeight w:val="401" w:hRule="exact"/>
        </w:trPr>
        <w:tc>
          <w:tcPr>
            <w:tcW w:w="4846" w:type="dxa"/>
            <w:gridSpan w:val="9"/>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4852" w:type="dxa"/>
            <w:gridSpan w:val="9"/>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自筹资金</w:t>
            </w:r>
          </w:p>
        </w:tc>
      </w:tr>
      <w:tr>
        <w:trPr>
          <w:trHeight w:val="403" w:hRule="exact"/>
        </w:trPr>
        <w:tc>
          <w:tcPr>
            <w:tcW w:w="4846" w:type="dxa"/>
            <w:gridSpan w:val="9"/>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4852" w:type="dxa"/>
            <w:gridSpan w:val="9"/>
            <w:tcBorders>
              <w:top w:val="single" w:sz="4" w:space="0" w:color="000000"/>
              <w:left w:val="single" w:sz="10" w:space="0" w:color="D2D2D2"/>
              <w:bottom w:val="single" w:sz="4"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846" w:type="dxa"/>
            <w:gridSpan w:val="9"/>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委托理财审批董事会公告披露日期</w:t>
            </w:r>
          </w:p>
        </w:tc>
        <w:tc>
          <w:tcPr>
            <w:tcW w:w="4852" w:type="dxa"/>
            <w:gridSpan w:val="9"/>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10" w:hRule="exact"/>
        </w:trPr>
        <w:tc>
          <w:tcPr>
            <w:tcW w:w="4846" w:type="dxa"/>
            <w:gridSpan w:val="9"/>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委托理财审批股东会公告披露日期</w:t>
            </w:r>
          </w:p>
        </w:tc>
        <w:tc>
          <w:tcPr>
            <w:tcW w:w="4852" w:type="dxa"/>
            <w:gridSpan w:val="9"/>
            <w:tcBorders>
              <w:top w:val="single" w:sz="4" w:space="0" w:color="000000"/>
              <w:left w:val="single" w:sz="10" w:space="0" w:color="D2D2D2"/>
              <w:bottom w:val="single" w:sz="12" w:space="0" w:color="000000"/>
              <w:right w:val="single" w:sz="12"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bl>
    <w:p>
      <w:pPr>
        <w:spacing w:line="240" w:lineRule="auto" w:before="1"/>
        <w:rPr>
          <w:rFonts w:ascii="Times New Roman" w:hAnsi="Times New Roman" w:cs="Times New Roman" w:eastAsia="Times New Roman" w:hint="default"/>
          <w:sz w:val="22"/>
          <w:szCs w:val="22"/>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right="56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公司报告期不存在衍生品投资。</w:t>
      </w: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56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公司报告期不存在委托贷款。</w:t>
      </w:r>
    </w:p>
    <w:p>
      <w:pPr>
        <w:spacing w:after="0" w:line="386" w:lineRule="auto"/>
        <w:jc w:val="left"/>
        <w:sectPr>
          <w:pgSz w:w="11910" w:h="16840"/>
          <w:pgMar w:header="0" w:footer="1227" w:top="1060" w:bottom="1420" w:left="980" w:right="960"/>
        </w:sectPr>
      </w:pPr>
    </w:p>
    <w:p>
      <w:pPr>
        <w:spacing w:line="240" w:lineRule="auto" w:before="10"/>
        <w:rPr>
          <w:rFonts w:ascii="宋体" w:hAnsi="宋体" w:cs="宋体" w:eastAsia="宋体" w:hint="default"/>
          <w:sz w:val="24"/>
          <w:szCs w:val="24"/>
        </w:rPr>
      </w:pPr>
    </w:p>
    <w:p>
      <w:pPr>
        <w:pStyle w:val="Heading4"/>
        <w:spacing w:line="240" w:lineRule="auto" w:before="36"/>
        <w:ind w:right="140"/>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0"/>
          <w:szCs w:val="30"/>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8"/>
          <w:szCs w:val="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4102"/>
        <w:gridCol w:w="5469"/>
      </w:tblGrid>
      <w:tr>
        <w:trPr>
          <w:trHeight w:val="490" w:hRule="exact"/>
        </w:trPr>
        <w:tc>
          <w:tcPr>
            <w:tcW w:w="410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3"/>
              <w:ind w:right="9"/>
              <w:jc w:val="right"/>
              <w:rPr>
                <w:rFonts w:ascii="Times New Roman" w:hAnsi="Times New Roman" w:cs="Times New Roman" w:eastAsia="Times New Roman" w:hint="default"/>
                <w:sz w:val="18"/>
                <w:szCs w:val="18"/>
              </w:rPr>
            </w:pPr>
            <w:r>
              <w:rPr>
                <w:rFonts w:ascii="Times New Roman"/>
                <w:spacing w:val="-1"/>
                <w:sz w:val="18"/>
              </w:rPr>
              <w:t>42,666.67</w:t>
            </w:r>
          </w:p>
        </w:tc>
      </w:tr>
      <w:tr>
        <w:trPr>
          <w:trHeight w:val="448" w:hRule="exact"/>
        </w:trPr>
        <w:tc>
          <w:tcPr>
            <w:tcW w:w="410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6"/>
              <w:ind w:right="9"/>
              <w:jc w:val="right"/>
              <w:rPr>
                <w:rFonts w:ascii="Times New Roman" w:hAnsi="Times New Roman" w:cs="Times New Roman" w:eastAsia="Times New Roman" w:hint="default"/>
                <w:sz w:val="18"/>
                <w:szCs w:val="18"/>
              </w:rPr>
            </w:pPr>
            <w:r>
              <w:rPr>
                <w:rFonts w:ascii="Times New Roman"/>
                <w:spacing w:val="-1"/>
                <w:sz w:val="18"/>
              </w:rPr>
              <w:t>21,792.24</w:t>
            </w:r>
          </w:p>
        </w:tc>
      </w:tr>
      <w:tr>
        <w:trPr>
          <w:trHeight w:val="466" w:hRule="exact"/>
        </w:trPr>
        <w:tc>
          <w:tcPr>
            <w:tcW w:w="410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39,034.29</w:t>
            </w:r>
          </w:p>
        </w:tc>
      </w:tr>
      <w:tr>
        <w:trPr>
          <w:trHeight w:val="463" w:hRule="exact"/>
        </w:trPr>
        <w:tc>
          <w:tcPr>
            <w:tcW w:w="410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9"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63" w:hRule="exact"/>
        </w:trPr>
        <w:tc>
          <w:tcPr>
            <w:tcW w:w="410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9"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86" w:hRule="exact"/>
        </w:trPr>
        <w:tc>
          <w:tcPr>
            <w:tcW w:w="410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69" w:type="dxa"/>
            <w:tcBorders>
              <w:top w:val="single" w:sz="4" w:space="0" w:color="000000"/>
              <w:left w:val="single" w:sz="12" w:space="0" w:color="D2D2D2"/>
              <w:bottom w:val="single" w:sz="16" w:space="0" w:color="D2D2D2"/>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0.00%</w:t>
            </w:r>
          </w:p>
        </w:tc>
      </w:tr>
      <w:tr>
        <w:trPr>
          <w:trHeight w:val="427" w:hRule="exact"/>
        </w:trPr>
        <w:tc>
          <w:tcPr>
            <w:tcW w:w="9571" w:type="dxa"/>
            <w:gridSpan w:val="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9"/>
              <w:ind w:left="-1"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38" w:hRule="exact"/>
        </w:trPr>
        <w:tc>
          <w:tcPr>
            <w:tcW w:w="9571" w:type="dxa"/>
            <w:gridSpan w:val="2"/>
            <w:tcBorders>
              <w:top w:val="single" w:sz="12" w:space="0" w:color="D2D2D2"/>
              <w:left w:val="single" w:sz="12" w:space="0" w:color="000000"/>
              <w:bottom w:val="single" w:sz="12" w:space="0" w:color="000000"/>
              <w:right w:val="single" w:sz="12" w:space="0" w:color="000000"/>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本公司募集资金总额为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42,666.67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万元，累计投入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39,034.29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万元，其中本报告期投入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21,792.24 </w:t>
            </w:r>
            <w:r>
              <w:rPr>
                <w:rFonts w:ascii="宋体" w:hAnsi="宋体" w:cs="宋体" w:eastAsia="宋体" w:hint="default"/>
                <w:sz w:val="18"/>
                <w:szCs w:val="18"/>
              </w:rPr>
              <w:t>万元，分别为支付中农信</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达原股东股权款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21,300.00 </w:t>
            </w:r>
            <w:r>
              <w:rPr>
                <w:rFonts w:ascii="宋体" w:hAnsi="宋体" w:cs="宋体" w:eastAsia="宋体" w:hint="default"/>
                <w:sz w:val="18"/>
                <w:szCs w:val="18"/>
              </w:rPr>
              <w:t>万元，中介机构费用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417.77 </w:t>
            </w:r>
            <w:r>
              <w:rPr>
                <w:rFonts w:ascii="宋体" w:hAnsi="宋体" w:cs="宋体" w:eastAsia="宋体" w:hint="default"/>
                <w:sz w:val="18"/>
                <w:szCs w:val="18"/>
              </w:rPr>
              <w:t>万元，其他费用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74.47 </w:t>
            </w:r>
            <w:r>
              <w:rPr>
                <w:rFonts w:ascii="宋体" w:hAnsi="宋体" w:cs="宋体" w:eastAsia="宋体" w:hint="default"/>
                <w:sz w:val="18"/>
                <w:szCs w:val="18"/>
              </w:rPr>
              <w:t>万元。</w:t>
            </w:r>
          </w:p>
        </w:tc>
      </w:tr>
    </w:tbl>
    <w:p>
      <w:pPr>
        <w:spacing w:before="10"/>
        <w:ind w:left="153" w:right="0"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注：①截至报告期末，本公司以自筹资金投入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3,453.69</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万元中，已有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3,216.92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万元从募集配套资金中置换完毕，尚有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236.77</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万元未置换完毕；②经公司第六届董事会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年第一次临时会议审议通过，董事会同意公司以非公开发行股票募集配套资</w:t>
      </w:r>
    </w:p>
    <w:p>
      <w:pPr>
        <w:spacing w:before="63"/>
        <w:ind w:left="153" w:right="140" w:firstLine="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236.77 </w:t>
      </w:r>
      <w:r>
        <w:rPr>
          <w:rFonts w:ascii="宋体" w:hAnsi="宋体" w:cs="宋体" w:eastAsia="宋体" w:hint="default"/>
          <w:sz w:val="18"/>
          <w:szCs w:val="18"/>
        </w:rPr>
        <w:t>万元置换预先投入募集配套资金使用项目的自筹资金。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日，募集资金已完成置换。</w:t>
      </w:r>
    </w:p>
    <w:p>
      <w:pPr>
        <w:spacing w:line="240" w:lineRule="auto" w:before="2"/>
        <w:rPr>
          <w:rFonts w:ascii="宋体" w:hAnsi="宋体" w:cs="宋体" w:eastAsia="宋体" w:hint="default"/>
          <w:sz w:val="26"/>
          <w:szCs w:val="26"/>
        </w:rPr>
      </w:pPr>
    </w:p>
    <w:p>
      <w:pPr>
        <w:pStyle w:val="Heading4"/>
        <w:spacing w:line="240" w:lineRule="auto"/>
        <w:ind w:right="14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before="16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560"/>
        <w:gridCol w:w="992"/>
        <w:gridCol w:w="780"/>
        <w:gridCol w:w="780"/>
        <w:gridCol w:w="778"/>
        <w:gridCol w:w="780"/>
        <w:gridCol w:w="780"/>
        <w:gridCol w:w="781"/>
        <w:gridCol w:w="780"/>
        <w:gridCol w:w="780"/>
        <w:gridCol w:w="780"/>
      </w:tblGrid>
      <w:tr>
        <w:trPr>
          <w:trHeight w:val="1349" w:hRule="exact"/>
        </w:trPr>
        <w:tc>
          <w:tcPr>
            <w:tcW w:w="156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16" w:right="53"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99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100" w:right="39" w:hanging="6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是否已变更 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8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2"/>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6"/>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49"/>
              <w:ind w:left="26" w:right="12"/>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63" w:hRule="exact"/>
        </w:trPr>
        <w:tc>
          <w:tcPr>
            <w:tcW w:w="9571" w:type="dxa"/>
            <w:gridSpan w:val="11"/>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84"/>
              <w:jc w:val="both"/>
              <w:rPr>
                <w:rFonts w:ascii="宋体" w:hAnsi="宋体" w:cs="宋体" w:eastAsia="宋体" w:hint="default"/>
                <w:sz w:val="18"/>
                <w:szCs w:val="18"/>
              </w:rPr>
            </w:pPr>
            <w:r>
              <w:rPr>
                <w:rFonts w:ascii="宋体" w:hAnsi="宋体" w:cs="宋体" w:eastAsia="宋体" w:hint="default"/>
                <w:sz w:val="18"/>
                <w:szCs w:val="18"/>
              </w:rPr>
              <w:t>偿还欠付昆山开发 区国投控股有限公 司债务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13,830.42</w:t>
            </w:r>
          </w:p>
        </w:tc>
        <w:tc>
          <w:tcPr>
            <w:tcW w:w="78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14,240.6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102.97%</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314" w:lineRule="auto" w:before="49"/>
              <w:ind w:left="14" w:right="84"/>
              <w:jc w:val="left"/>
              <w:rPr>
                <w:rFonts w:ascii="宋体" w:hAnsi="宋体" w:cs="宋体" w:eastAsia="宋体" w:hint="default"/>
                <w:sz w:val="18"/>
                <w:szCs w:val="18"/>
              </w:rPr>
            </w:pPr>
            <w:r>
              <w:rPr>
                <w:rFonts w:ascii="宋体" w:hAnsi="宋体" w:cs="宋体" w:eastAsia="宋体" w:hint="default"/>
                <w:sz w:val="18"/>
                <w:szCs w:val="18"/>
              </w:rPr>
              <w:t>支付中农信达原股 东股权款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21,300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3" w:hRule="exact"/>
        </w:trPr>
        <w:tc>
          <w:tcPr>
            <w:tcW w:w="156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w w:val="95"/>
                <w:sz w:val="18"/>
              </w:rPr>
              <w:t>3,946.67</w:t>
            </w:r>
          </w:p>
        </w:tc>
        <w:tc>
          <w:tcPr>
            <w:tcW w:w="780" w:type="dxa"/>
            <w:tcBorders>
              <w:top w:val="single" w:sz="4" w:space="0" w:color="000000"/>
              <w:left w:val="single" w:sz="4" w:space="0" w:color="000000"/>
              <w:bottom w:val="single" w:sz="12" w:space="0" w:color="000000"/>
              <w:right w:val="single" w:sz="4" w:space="0" w:color="000000"/>
            </w:tcBorders>
          </w:tcPr>
          <w:p>
            <w:pPr/>
          </w:p>
        </w:tc>
        <w:tc>
          <w:tcPr>
            <w:tcW w:w="7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417.77</w:t>
            </w:r>
          </w:p>
        </w:tc>
        <w:tc>
          <w:tcPr>
            <w:tcW w:w="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w w:val="95"/>
                <w:sz w:val="18"/>
              </w:rPr>
              <w:t>3,158.99</w:t>
            </w:r>
          </w:p>
        </w:tc>
        <w:tc>
          <w:tcPr>
            <w:tcW w:w="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80.04%</w:t>
            </w:r>
          </w:p>
        </w:tc>
        <w:tc>
          <w:tcPr>
            <w:tcW w:w="781" w:type="dxa"/>
            <w:tcBorders>
              <w:top w:val="single" w:sz="4" w:space="0" w:color="000000"/>
              <w:left w:val="single" w:sz="4" w:space="0" w:color="000000"/>
              <w:bottom w:val="single" w:sz="12" w:space="0" w:color="000000"/>
              <w:right w:val="single" w:sz="4" w:space="0" w:color="000000"/>
            </w:tcBorders>
          </w:tcPr>
          <w:p>
            <w:pPr/>
          </w:p>
        </w:tc>
        <w:tc>
          <w:tcPr>
            <w:tcW w:w="780" w:type="dxa"/>
            <w:tcBorders>
              <w:top w:val="single" w:sz="4" w:space="0" w:color="000000"/>
              <w:left w:val="single" w:sz="4" w:space="0" w:color="000000"/>
              <w:bottom w:val="single" w:sz="12" w:space="0" w:color="000000"/>
              <w:right w:val="single" w:sz="4" w:space="0" w:color="000000"/>
            </w:tcBorders>
          </w:tcPr>
          <w:p>
            <w:pPr/>
          </w:p>
        </w:tc>
        <w:tc>
          <w:tcPr>
            <w:tcW w:w="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1227" w:top="1060" w:bottom="1420" w:left="980" w:right="98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560"/>
        <w:gridCol w:w="131"/>
        <w:gridCol w:w="855"/>
        <w:gridCol w:w="786"/>
        <w:gridCol w:w="780"/>
        <w:gridCol w:w="778"/>
        <w:gridCol w:w="781"/>
        <w:gridCol w:w="779"/>
        <w:gridCol w:w="781"/>
        <w:gridCol w:w="780"/>
        <w:gridCol w:w="780"/>
        <w:gridCol w:w="780"/>
      </w:tblGrid>
      <w:tr>
        <w:trPr>
          <w:trHeight w:val="476" w:hRule="exact"/>
        </w:trPr>
        <w:tc>
          <w:tcPr>
            <w:tcW w:w="156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迁址费用</w:t>
            </w:r>
          </w:p>
        </w:tc>
        <w:tc>
          <w:tcPr>
            <w:tcW w:w="98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12" w:space="0" w:color="000000"/>
              <w:left w:val="single" w:sz="4" w:space="0" w:color="000000"/>
              <w:bottom w:val="single" w:sz="4" w:space="0" w:color="000000"/>
              <w:right w:val="single" w:sz="4" w:space="0" w:color="000000"/>
            </w:tcBorders>
          </w:tcPr>
          <w:p>
            <w:pPr/>
          </w:p>
        </w:tc>
        <w:tc>
          <w:tcPr>
            <w:tcW w:w="7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12" w:space="0" w:color="000000"/>
              <w:left w:val="single" w:sz="4" w:space="0" w:color="000000"/>
              <w:bottom w:val="single" w:sz="4" w:space="0" w:color="000000"/>
              <w:right w:val="single" w:sz="4" w:space="0" w:color="000000"/>
            </w:tcBorders>
          </w:tcPr>
          <w:p>
            <w:pPr/>
          </w:p>
        </w:tc>
        <w:tc>
          <w:tcPr>
            <w:tcW w:w="780" w:type="dxa"/>
            <w:tcBorders>
              <w:top w:val="single" w:sz="12" w:space="0" w:color="000000"/>
              <w:left w:val="single" w:sz="4" w:space="0" w:color="000000"/>
              <w:bottom w:val="single" w:sz="4" w:space="0" w:color="000000"/>
              <w:right w:val="single" w:sz="4" w:space="0" w:color="000000"/>
            </w:tcBorders>
          </w:tcPr>
          <w:p>
            <w:pPr/>
          </w:p>
        </w:tc>
        <w:tc>
          <w:tcPr>
            <w:tcW w:w="7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人员安置费用</w:t>
            </w:r>
          </w:p>
        </w:tc>
        <w:tc>
          <w:tcPr>
            <w:tcW w:w="9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z w:val="18"/>
              </w:rPr>
              <w:t>400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226.17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56.54%</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其他并购整合费用</w:t>
            </w:r>
          </w:p>
        </w:tc>
        <w:tc>
          <w:tcPr>
            <w:tcW w:w="9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689.58</w:t>
            </w:r>
          </w:p>
        </w:tc>
        <w:tc>
          <w:tcPr>
            <w:tcW w:w="78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74.47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108.53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15.74%</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56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9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42,666.67</w:t>
            </w:r>
          </w:p>
        </w:tc>
        <w:tc>
          <w:tcPr>
            <w:tcW w:w="78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21,792.24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39,034.29</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324"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22"/>
              <w:ind w:right="312"/>
              <w:jc w:val="right"/>
              <w:rPr>
                <w:rFonts w:ascii="Times New Roman" w:hAnsi="Times New Roman" w:cs="Times New Roman" w:eastAsia="Times New Roman" w:hint="default"/>
                <w:sz w:val="18"/>
                <w:szCs w:val="18"/>
              </w:rPr>
            </w:pPr>
            <w:r>
              <w:rPr>
                <w:rFonts w:ascii="Times New Roman"/>
                <w:sz w:val="18"/>
              </w:rPr>
              <w:t>--</w:t>
            </w:r>
          </w:p>
        </w:tc>
      </w:tr>
      <w:tr>
        <w:trPr>
          <w:trHeight w:val="438" w:hRule="exact"/>
        </w:trPr>
        <w:tc>
          <w:tcPr>
            <w:tcW w:w="9571" w:type="dxa"/>
            <w:gridSpan w:val="1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75"/>
              <w:ind w:left="1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84" w:hRule="exact"/>
        </w:trPr>
        <w:tc>
          <w:tcPr>
            <w:tcW w:w="1691"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16"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16" w:space="0" w:color="D2D2D2"/>
              <w:left w:val="single" w:sz="13"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42,666.67</w:t>
            </w:r>
          </w:p>
        </w:tc>
        <w:tc>
          <w:tcPr>
            <w:tcW w:w="78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21,792.24</w:t>
            </w:r>
          </w:p>
        </w:tc>
        <w:tc>
          <w:tcPr>
            <w:tcW w:w="781"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39,034.29</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1"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324"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42"/>
              <w:ind w:right="312"/>
              <w:jc w:val="right"/>
              <w:rPr>
                <w:rFonts w:ascii="Times New Roman" w:hAnsi="Times New Roman" w:cs="Times New Roman" w:eastAsia="Times New Roman" w:hint="default"/>
                <w:sz w:val="18"/>
                <w:szCs w:val="18"/>
              </w:rPr>
            </w:pPr>
            <w:r>
              <w:rPr>
                <w:rFonts w:ascii="Times New Roman"/>
                <w:sz w:val="18"/>
              </w:rPr>
              <w:t>--</w:t>
            </w:r>
          </w:p>
        </w:tc>
      </w:tr>
      <w:tr>
        <w:trPr>
          <w:trHeight w:val="1028" w:hRule="exact"/>
        </w:trPr>
        <w:tc>
          <w:tcPr>
            <w:tcW w:w="1691"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4" w:right="3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1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80" w:type="dxa"/>
            <w:gridSpan w:val="10"/>
            <w:tcBorders>
              <w:top w:val="single" w:sz="12" w:space="0" w:color="D2D2D2"/>
              <w:left w:val="single" w:sz="12" w:space="0" w:color="D2D2D2"/>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691"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4" w:right="3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80" w:type="dxa"/>
            <w:gridSpan w:val="10"/>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691"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4" w:right="35"/>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80" w:type="dxa"/>
            <w:gridSpan w:val="10"/>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691"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4" w:right="3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80" w:type="dxa"/>
            <w:gridSpan w:val="10"/>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691"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4" w:right="3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80" w:type="dxa"/>
            <w:gridSpan w:val="10"/>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91" w:type="dxa"/>
            <w:gridSpan w:val="2"/>
            <w:vMerge w:val="restart"/>
            <w:tcBorders>
              <w:top w:val="single" w:sz="4" w:space="0" w:color="000000"/>
              <w:left w:val="single" w:sz="12" w:space="0" w:color="000000"/>
              <w:right w:val="single" w:sz="4" w:space="0" w:color="000000"/>
            </w:tcBorders>
            <w:shd w:val="clear" w:color="auto" w:fill="D2D2D2"/>
          </w:tcPr>
          <w:p>
            <w:pPr/>
          </w:p>
        </w:tc>
        <w:tc>
          <w:tcPr>
            <w:tcW w:w="7880"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3" w:hRule="exact"/>
        </w:trPr>
        <w:tc>
          <w:tcPr>
            <w:tcW w:w="1691" w:type="dxa"/>
            <w:gridSpan w:val="2"/>
            <w:vMerge/>
            <w:tcBorders>
              <w:left w:val="single" w:sz="12" w:space="0" w:color="000000"/>
              <w:bottom w:val="nil" w:sz="6" w:space="0" w:color="auto"/>
              <w:right w:val="single" w:sz="4" w:space="0" w:color="000000"/>
            </w:tcBorders>
            <w:shd w:val="clear" w:color="auto" w:fill="D2D2D2"/>
          </w:tcPr>
          <w:p>
            <w:pPr/>
          </w:p>
        </w:tc>
        <w:tc>
          <w:tcPr>
            <w:tcW w:w="7880" w:type="dxa"/>
            <w:gridSpan w:val="10"/>
            <w:vMerge w:val="restart"/>
            <w:tcBorders>
              <w:top w:val="single" w:sz="4" w:space="0" w:color="000000"/>
              <w:left w:val="single" w:sz="9" w:space="0" w:color="D2D2D2"/>
              <w:right w:val="single" w:sz="12"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、截至报告期末，本公司以自筹资金投入</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3,453.69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万元中，已有</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3,216.92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万元从募集配套资金中置</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换完毕，尚有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236.77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万元未置换完毕；</w:t>
            </w:r>
          </w:p>
          <w:p>
            <w:pPr>
              <w:pStyle w:val="TableParagraph"/>
              <w:spacing w:line="240" w:lineRule="auto" w:before="10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、经公司第六届董事会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年第一次临时会议审议通过，董事会同意公司以非公开发行股票募集</w:t>
            </w:r>
          </w:p>
          <w:p>
            <w:pPr>
              <w:pStyle w:val="TableParagraph"/>
              <w:spacing w:line="300" w:lineRule="auto" w:before="63"/>
              <w:ind w:left="28" w:right="82"/>
              <w:jc w:val="left"/>
              <w:rPr>
                <w:rFonts w:ascii="宋体" w:hAnsi="宋体" w:cs="宋体" w:eastAsia="宋体" w:hint="default"/>
                <w:sz w:val="18"/>
                <w:szCs w:val="18"/>
              </w:rPr>
            </w:pPr>
            <w:r>
              <w:rPr>
                <w:rFonts w:ascii="宋体" w:hAnsi="宋体" w:cs="宋体" w:eastAsia="宋体" w:hint="default"/>
                <w:sz w:val="18"/>
                <w:szCs w:val="18"/>
              </w:rPr>
              <w:t>配套资金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236.77 </w:t>
            </w:r>
            <w:r>
              <w:rPr>
                <w:rFonts w:ascii="宋体" w:hAnsi="宋体" w:cs="宋体" w:eastAsia="宋体" w:hint="default"/>
                <w:sz w:val="18"/>
                <w:szCs w:val="18"/>
              </w:rPr>
              <w:t>万元置换预先投入募集配套资金使用项目的自筹资金。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 金已完成置换。</w:t>
            </w:r>
          </w:p>
        </w:tc>
      </w:tr>
      <w:tr>
        <w:trPr>
          <w:trHeight w:val="703" w:hRule="exact"/>
        </w:trPr>
        <w:tc>
          <w:tcPr>
            <w:tcW w:w="1691" w:type="dxa"/>
            <w:gridSpan w:val="2"/>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316" w:lineRule="auto" w:before="49"/>
              <w:ind w:left="14" w:right="3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80" w:type="dxa"/>
            <w:gridSpan w:val="10"/>
            <w:vMerge/>
            <w:tcBorders>
              <w:left w:val="single" w:sz="9" w:space="0" w:color="D2D2D2"/>
              <w:right w:val="single" w:sz="12" w:space="0" w:color="000000"/>
            </w:tcBorders>
          </w:tcPr>
          <w:p>
            <w:pPr/>
          </w:p>
        </w:tc>
      </w:tr>
      <w:tr>
        <w:trPr>
          <w:trHeight w:val="694" w:hRule="exact"/>
        </w:trPr>
        <w:tc>
          <w:tcPr>
            <w:tcW w:w="1691" w:type="dxa"/>
            <w:gridSpan w:val="2"/>
            <w:tcBorders>
              <w:top w:val="nil" w:sz="6" w:space="0" w:color="auto"/>
              <w:left w:val="single" w:sz="12" w:space="0" w:color="000000"/>
              <w:bottom w:val="single" w:sz="4" w:space="0" w:color="000000"/>
              <w:right w:val="single" w:sz="4" w:space="0" w:color="000000"/>
            </w:tcBorders>
            <w:shd w:val="clear" w:color="auto" w:fill="D2D2D2"/>
          </w:tcPr>
          <w:p>
            <w:pPr/>
          </w:p>
        </w:tc>
        <w:tc>
          <w:tcPr>
            <w:tcW w:w="7880" w:type="dxa"/>
            <w:gridSpan w:val="10"/>
            <w:vMerge/>
            <w:tcBorders>
              <w:left w:val="single" w:sz="9" w:space="0" w:color="D2D2D2"/>
              <w:bottom w:val="single" w:sz="4" w:space="0" w:color="000000"/>
              <w:right w:val="single" w:sz="12" w:space="0" w:color="000000"/>
            </w:tcBorders>
          </w:tcPr>
          <w:p>
            <w:pPr/>
          </w:p>
        </w:tc>
      </w:tr>
      <w:tr>
        <w:trPr>
          <w:trHeight w:val="715" w:hRule="exact"/>
        </w:trPr>
        <w:tc>
          <w:tcPr>
            <w:tcW w:w="1691"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51"/>
              <w:ind w:left="14" w:right="3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80" w:type="dxa"/>
            <w:gridSpan w:val="10"/>
            <w:tcBorders>
              <w:top w:val="single" w:sz="4" w:space="0" w:color="000000"/>
              <w:left w:val="single" w:sz="12" w:space="0" w:color="D2D2D2"/>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91" w:type="dxa"/>
            <w:gridSpan w:val="2"/>
            <w:vMerge w:val="restart"/>
            <w:tcBorders>
              <w:top w:val="single" w:sz="4" w:space="0" w:color="000000"/>
              <w:left w:val="single" w:sz="12" w:space="0" w:color="000000"/>
              <w:right w:val="single" w:sz="4" w:space="0" w:color="000000"/>
            </w:tcBorders>
            <w:shd w:val="clear" w:color="auto" w:fill="D2D2D2"/>
          </w:tcPr>
          <w:p>
            <w:pPr>
              <w:pStyle w:val="TableParagraph"/>
              <w:spacing w:line="316" w:lineRule="auto" w:before="94"/>
              <w:ind w:left="14" w:right="3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80" w:type="dxa"/>
            <w:gridSpan w:val="10"/>
            <w:tcBorders>
              <w:top w:val="single" w:sz="4" w:space="0" w:color="000000"/>
              <w:left w:val="single" w:sz="12" w:space="0" w:color="D2D2D2"/>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691" w:type="dxa"/>
            <w:gridSpan w:val="2"/>
            <w:vMerge/>
            <w:tcBorders>
              <w:left w:val="single" w:sz="12" w:space="0" w:color="000000"/>
              <w:bottom w:val="single" w:sz="4" w:space="0" w:color="000000"/>
              <w:right w:val="single" w:sz="4" w:space="0" w:color="000000"/>
            </w:tcBorders>
            <w:shd w:val="clear" w:color="auto" w:fill="D2D2D2"/>
          </w:tcPr>
          <w:p>
            <w:pPr/>
          </w:p>
        </w:tc>
        <w:tc>
          <w:tcPr>
            <w:tcW w:w="7880" w:type="dxa"/>
            <w:gridSpan w:val="10"/>
            <w:tcBorders>
              <w:top w:val="single" w:sz="4" w:space="0" w:color="000000"/>
              <w:left w:val="single" w:sz="12" w:space="0" w:color="D2D2D2"/>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截止报告期末，募集资金节余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3,632.38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万元，募投项目尚未全部实施完毕。</w:t>
            </w:r>
          </w:p>
        </w:tc>
      </w:tr>
      <w:tr>
        <w:trPr>
          <w:trHeight w:val="713" w:hRule="exact"/>
        </w:trPr>
        <w:tc>
          <w:tcPr>
            <w:tcW w:w="1691"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49"/>
              <w:ind w:left="14" w:right="3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80" w:type="dxa"/>
            <w:gridSpan w:val="10"/>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依原募集资金用途继续使用</w:t>
            </w:r>
          </w:p>
        </w:tc>
      </w:tr>
      <w:tr>
        <w:trPr>
          <w:trHeight w:val="1034" w:hRule="exact"/>
        </w:trPr>
        <w:tc>
          <w:tcPr>
            <w:tcW w:w="1691" w:type="dxa"/>
            <w:gridSpan w:val="2"/>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1"/>
              <w:ind w:left="14" w:right="3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80" w:type="dxa"/>
            <w:gridSpan w:val="10"/>
            <w:tcBorders>
              <w:top w:val="single" w:sz="4" w:space="0" w:color="000000"/>
              <w:left w:val="single" w:sz="12" w:space="0" w:color="D2D2D2"/>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宋体" w:hAnsi="宋体" w:cs="宋体" w:eastAsia="宋体" w:hint="default"/>
          <w:sz w:val="19"/>
          <w:szCs w:val="19"/>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right="45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公司报告期不存在募集资金变更项目情况。</w:t>
      </w:r>
    </w:p>
    <w:p>
      <w:pPr>
        <w:spacing w:after="0" w:line="386" w:lineRule="auto"/>
        <w:jc w:val="left"/>
        <w:sectPr>
          <w:pgSz w:w="11910" w:h="16840"/>
          <w:pgMar w:header="0" w:footer="1227" w:top="1060" w:bottom="1420" w:left="980" w:right="980"/>
        </w:sectPr>
      </w:pPr>
    </w:p>
    <w:p>
      <w:pPr>
        <w:spacing w:line="240" w:lineRule="auto" w:before="0"/>
        <w:rPr>
          <w:rFonts w:ascii="宋体" w:hAnsi="宋体" w:cs="宋体" w:eastAsia="宋体" w:hint="default"/>
          <w:sz w:val="24"/>
          <w:szCs w:val="24"/>
        </w:rPr>
      </w:pPr>
    </w:p>
    <w:p>
      <w:pPr>
        <w:pStyle w:val="Heading4"/>
        <w:spacing w:line="240" w:lineRule="auto"/>
        <w:ind w:left="160" w:right="-6"/>
        <w:jc w:val="left"/>
        <w:rPr>
          <w:b w:val="0"/>
          <w:bCs w:val="0"/>
        </w:rPr>
      </w:pPr>
      <w:r>
        <w:rPr/>
        <w:pict>
          <v:group style="position:absolute;margin-left:70.559998pt;margin-top:-.456309pt;width:700.9pt;height:.1pt;mso-position-horizontal-relative:page;mso-position-vertical-relative:paragraph;z-index:1216" coordorigin="1411,-9" coordsize="14018,2">
            <v:shape style="position:absolute;left:1411;top:-9;width:14018;height:2" coordorigin="1411,-9" coordsize="14018,0" path="m1411,-9l15429,-9e" filled="false" stroked="true" strokeweight=".72pt" strokecolor="#000000">
              <v:path arrowok="t"/>
            </v:shape>
            <w10:wrap type="none"/>
          </v:group>
        </w:pict>
      </w:r>
      <w:r>
        <w:rPr>
          <w:rFonts w:ascii="Times New Roman" w:hAnsi="Times New Roman" w:cs="Times New Roman" w:eastAsia="Times New Roman" w:hint="default"/>
          <w:spacing w:val="-1"/>
        </w:rPr>
        <w:t>4</w:t>
      </w:r>
      <w:r>
        <w:rPr>
          <w:spacing w:val="-1"/>
        </w:rPr>
        <w:t>、主要子公司、参股公司分析</w:t>
      </w:r>
      <w:r>
        <w:rPr>
          <w:b w:val="0"/>
          <w:bCs w:val="0"/>
          <w:spacing w:val="-1"/>
        </w:rPr>
      </w:r>
    </w:p>
    <w:p>
      <w:pPr>
        <w:spacing w:line="240" w:lineRule="auto" w:before="8"/>
        <w:rPr>
          <w:rFonts w:ascii="宋体" w:hAnsi="宋体" w:cs="宋体" w:eastAsia="宋体" w:hint="default"/>
          <w:b/>
          <w:bCs/>
          <w:sz w:val="30"/>
          <w:szCs w:val="30"/>
        </w:rPr>
      </w:pPr>
    </w:p>
    <w:p>
      <w:pPr>
        <w:pStyle w:val="BodyText"/>
        <w:spacing w:line="386" w:lineRule="auto"/>
        <w:ind w:left="160" w:right="-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主要子公司、参股公司情况</w:t>
      </w:r>
    </w:p>
    <w:p>
      <w:pPr>
        <w:spacing w:before="15"/>
        <w:ind w:left="16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17"/>
          <w:footerReference w:type="default" r:id="rId18"/>
          <w:pgSz w:w="16840" w:h="11910" w:orient="landscape"/>
          <w:pgMar w:header="0" w:footer="0" w:top="800" w:bottom="280" w:left="1280" w:right="1280"/>
          <w:cols w:num="2" w:equalWidth="0">
            <w:col w:w="3007" w:space="6722"/>
            <w:col w:w="4551"/>
          </w:cols>
        </w:sectPr>
      </w:pPr>
    </w:p>
    <w:p>
      <w:pPr>
        <w:spacing w:before="49"/>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394"/>
        <w:gridCol w:w="902"/>
        <w:gridCol w:w="1135"/>
        <w:gridCol w:w="1985"/>
        <w:gridCol w:w="1702"/>
        <w:gridCol w:w="1419"/>
        <w:gridCol w:w="1416"/>
        <w:gridCol w:w="1419"/>
        <w:gridCol w:w="1418"/>
        <w:gridCol w:w="1226"/>
      </w:tblGrid>
      <w:tr>
        <w:trPr>
          <w:trHeight w:val="399" w:hRule="exact"/>
        </w:trPr>
        <w:tc>
          <w:tcPr>
            <w:tcW w:w="139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7"/>
              <w:ind w:left="32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86"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13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203"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198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357"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17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48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1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43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43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41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34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34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2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7"/>
              <w:ind w:left="33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139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49"/>
              <w:ind w:left="13" w:right="99"/>
              <w:jc w:val="left"/>
              <w:rPr>
                <w:rFonts w:ascii="宋体" w:hAnsi="宋体" w:cs="宋体" w:eastAsia="宋体" w:hint="default"/>
                <w:sz w:val="18"/>
                <w:szCs w:val="18"/>
              </w:rPr>
            </w:pPr>
            <w:r>
              <w:rPr>
                <w:rFonts w:ascii="宋体" w:hAnsi="宋体" w:cs="宋体" w:eastAsia="宋体" w:hint="default"/>
                <w:sz w:val="18"/>
                <w:szCs w:val="18"/>
              </w:rPr>
              <w:t>神州数码系统集 成服务有限公司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9"/>
              <w:jc w:val="left"/>
              <w:rPr>
                <w:rFonts w:ascii="宋体" w:hAnsi="宋体" w:cs="宋体" w:eastAsia="宋体" w:hint="default"/>
                <w:sz w:val="18"/>
                <w:szCs w:val="18"/>
              </w:rPr>
            </w:pPr>
            <w:r>
              <w:rPr>
                <w:rFonts w:ascii="宋体" w:hAnsi="宋体" w:cs="宋体" w:eastAsia="宋体" w:hint="default"/>
                <w:sz w:val="18"/>
                <w:szCs w:val="18"/>
              </w:rPr>
              <w:t>软件与信息 技术服务业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5"/>
                <w:sz w:val="18"/>
                <w:szCs w:val="18"/>
              </w:rPr>
              <w:t>解决方案、软件、技术服</w:t>
            </w:r>
            <w:r>
              <w:rPr>
                <w:rFonts w:ascii="宋体" w:hAnsi="宋体" w:cs="宋体" w:eastAsia="宋体" w:hint="default"/>
                <w:sz w:val="18"/>
                <w:szCs w:val="18"/>
              </w:rPr>
              <w:t> 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3,199,142,168.41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974,159,027.22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4,351,116,279.79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281,193,910.78</w:t>
            </w:r>
          </w:p>
        </w:tc>
        <w:tc>
          <w:tcPr>
            <w:tcW w:w="1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248,793,872.81</w:t>
            </w:r>
          </w:p>
        </w:tc>
      </w:tr>
      <w:tr>
        <w:trPr>
          <w:trHeight w:val="713" w:hRule="exact"/>
        </w:trPr>
        <w:tc>
          <w:tcPr>
            <w:tcW w:w="139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49"/>
              <w:ind w:left="13" w:right="99"/>
              <w:jc w:val="left"/>
              <w:rPr>
                <w:rFonts w:ascii="宋体" w:hAnsi="宋体" w:cs="宋体" w:eastAsia="宋体" w:hint="default"/>
                <w:sz w:val="18"/>
                <w:szCs w:val="18"/>
              </w:rPr>
            </w:pPr>
            <w:r>
              <w:rPr>
                <w:rFonts w:ascii="宋体" w:hAnsi="宋体" w:cs="宋体" w:eastAsia="宋体" w:hint="default"/>
                <w:sz w:val="18"/>
                <w:szCs w:val="18"/>
              </w:rPr>
              <w:t>神州数码信息系 统有限公司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9"/>
              <w:jc w:val="left"/>
              <w:rPr>
                <w:rFonts w:ascii="宋体" w:hAnsi="宋体" w:cs="宋体" w:eastAsia="宋体" w:hint="default"/>
                <w:sz w:val="18"/>
                <w:szCs w:val="18"/>
              </w:rPr>
            </w:pPr>
            <w:r>
              <w:rPr>
                <w:rFonts w:ascii="宋体" w:hAnsi="宋体" w:cs="宋体" w:eastAsia="宋体" w:hint="default"/>
                <w:sz w:val="18"/>
                <w:szCs w:val="18"/>
              </w:rPr>
              <w:t>软件与信息 技术服务业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5"/>
                <w:sz w:val="18"/>
                <w:szCs w:val="18"/>
              </w:rPr>
              <w:t>解决方案、软件、技术服</w:t>
            </w:r>
            <w:r>
              <w:rPr>
                <w:rFonts w:ascii="宋体" w:hAnsi="宋体" w:cs="宋体" w:eastAsia="宋体" w:hint="default"/>
                <w:sz w:val="18"/>
                <w:szCs w:val="18"/>
              </w:rPr>
              <w:t> 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51,907,000.00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473,692,384.74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75,540,509.57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610,884,654.86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1,146,830.40</w:t>
            </w:r>
          </w:p>
        </w:tc>
        <w:tc>
          <w:tcPr>
            <w:tcW w:w="1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20,171,483.68</w:t>
            </w:r>
          </w:p>
        </w:tc>
      </w:tr>
      <w:tr>
        <w:trPr>
          <w:trHeight w:val="716" w:hRule="exact"/>
        </w:trPr>
        <w:tc>
          <w:tcPr>
            <w:tcW w:w="139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49"/>
              <w:ind w:left="13" w:right="99"/>
              <w:jc w:val="left"/>
              <w:rPr>
                <w:rFonts w:ascii="宋体" w:hAnsi="宋体" w:cs="宋体" w:eastAsia="宋体" w:hint="default"/>
                <w:sz w:val="18"/>
                <w:szCs w:val="18"/>
              </w:rPr>
            </w:pPr>
            <w:r>
              <w:rPr>
                <w:rFonts w:ascii="宋体" w:hAnsi="宋体" w:cs="宋体" w:eastAsia="宋体" w:hint="default"/>
                <w:sz w:val="18"/>
                <w:szCs w:val="18"/>
              </w:rPr>
              <w:t>神州数码融信软 件有限公司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9"/>
              <w:jc w:val="left"/>
              <w:rPr>
                <w:rFonts w:ascii="宋体" w:hAnsi="宋体" w:cs="宋体" w:eastAsia="宋体" w:hint="default"/>
                <w:sz w:val="18"/>
                <w:szCs w:val="18"/>
              </w:rPr>
            </w:pPr>
            <w:r>
              <w:rPr>
                <w:rFonts w:ascii="宋体" w:hAnsi="宋体" w:cs="宋体" w:eastAsia="宋体" w:hint="default"/>
                <w:sz w:val="18"/>
                <w:szCs w:val="18"/>
              </w:rPr>
              <w:t>软件与信息 技术服务业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5"/>
                <w:sz w:val="18"/>
                <w:szCs w:val="18"/>
              </w:rPr>
              <w:t>解决方案、软件、技术服</w:t>
            </w:r>
            <w:r>
              <w:rPr>
                <w:rFonts w:ascii="宋体" w:hAnsi="宋体" w:cs="宋体" w:eastAsia="宋体" w:hint="default"/>
                <w:sz w:val="18"/>
                <w:szCs w:val="18"/>
              </w:rPr>
              <w:t> 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100,000,000.00 </w:t>
            </w:r>
            <w:r>
              <w:rPr>
                <w:rFonts w:ascii="宋体" w:hAnsi="宋体" w:cs="宋体" w:eastAsia="宋体" w:hint="default"/>
                <w:sz w:val="18"/>
                <w:szCs w:val="18"/>
              </w:rPr>
              <w:t>港币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584,477,635.33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430,135,710.33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361,524,600.16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54,854,944.71</w:t>
            </w:r>
          </w:p>
        </w:tc>
        <w:tc>
          <w:tcPr>
            <w:tcW w:w="1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51,002,429.10</w:t>
            </w:r>
          </w:p>
        </w:tc>
      </w:tr>
      <w:tr>
        <w:trPr>
          <w:trHeight w:val="1025" w:hRule="exact"/>
        </w:trPr>
        <w:tc>
          <w:tcPr>
            <w:tcW w:w="139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62" w:lineRule="auto" w:before="91"/>
              <w:ind w:left="13" w:right="279"/>
              <w:jc w:val="left"/>
              <w:rPr>
                <w:rFonts w:ascii="Times New Roman" w:hAnsi="Times New Roman" w:cs="Times New Roman" w:eastAsia="Times New Roman" w:hint="default"/>
                <w:sz w:val="18"/>
                <w:szCs w:val="18"/>
              </w:rPr>
            </w:pPr>
            <w:r>
              <w:rPr>
                <w:rFonts w:ascii="Times New Roman"/>
                <w:sz w:val="18"/>
              </w:rPr>
              <w:t>Digital China Software(BVI)</w:t>
            </w:r>
            <w:r>
              <w:rPr>
                <w:rFonts w:ascii="Times New Roman"/>
                <w:w w:val="99"/>
                <w:sz w:val="18"/>
              </w:rPr>
              <w:t> </w:t>
            </w:r>
            <w:r>
              <w:rPr>
                <w:rFonts w:ascii="Times New Roman"/>
                <w:sz w:val="18"/>
              </w:rPr>
              <w:t>Limited</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9"/>
              <w:jc w:val="left"/>
              <w:rPr>
                <w:rFonts w:ascii="宋体" w:hAnsi="宋体" w:cs="宋体" w:eastAsia="宋体" w:hint="default"/>
                <w:sz w:val="18"/>
                <w:szCs w:val="18"/>
              </w:rPr>
            </w:pPr>
            <w:r>
              <w:rPr>
                <w:rFonts w:ascii="宋体" w:hAnsi="宋体" w:cs="宋体" w:eastAsia="宋体" w:hint="default"/>
                <w:sz w:val="18"/>
                <w:szCs w:val="18"/>
              </w:rPr>
              <w:t>软件与信息 技术服务业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50,000,000.00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美元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340,365,996.56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339,781,996.56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-31,716,369.08</w:t>
            </w:r>
          </w:p>
        </w:tc>
        <w:tc>
          <w:tcPr>
            <w:tcW w:w="1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-32,354,434.25</w:t>
            </w:r>
          </w:p>
        </w:tc>
      </w:tr>
      <w:tr>
        <w:trPr>
          <w:trHeight w:val="715" w:hRule="exact"/>
        </w:trPr>
        <w:tc>
          <w:tcPr>
            <w:tcW w:w="139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49"/>
              <w:ind w:left="13" w:right="99"/>
              <w:jc w:val="left"/>
              <w:rPr>
                <w:rFonts w:ascii="宋体" w:hAnsi="宋体" w:cs="宋体" w:eastAsia="宋体" w:hint="default"/>
                <w:sz w:val="18"/>
                <w:szCs w:val="18"/>
              </w:rPr>
            </w:pPr>
            <w:r>
              <w:rPr>
                <w:rFonts w:ascii="宋体" w:hAnsi="宋体" w:cs="宋体" w:eastAsia="宋体" w:hint="default"/>
                <w:sz w:val="18"/>
                <w:szCs w:val="18"/>
              </w:rPr>
              <w:t>神州数码金信科 技股份有限公司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9"/>
              <w:jc w:val="left"/>
              <w:rPr>
                <w:rFonts w:ascii="宋体" w:hAnsi="宋体" w:cs="宋体" w:eastAsia="宋体" w:hint="default"/>
                <w:sz w:val="18"/>
                <w:szCs w:val="18"/>
              </w:rPr>
            </w:pPr>
            <w:r>
              <w:rPr>
                <w:rFonts w:ascii="宋体" w:hAnsi="宋体" w:cs="宋体" w:eastAsia="宋体" w:hint="default"/>
                <w:sz w:val="18"/>
                <w:szCs w:val="18"/>
              </w:rPr>
              <w:t>软件与信息 技术服务业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及相关业务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60,060,000.00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387,215,192.00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171,782,112.13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427,910,001.68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108,899,750.00</w:t>
            </w:r>
          </w:p>
        </w:tc>
        <w:tc>
          <w:tcPr>
            <w:tcW w:w="1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103,633,824.80</w:t>
            </w:r>
          </w:p>
        </w:tc>
      </w:tr>
      <w:tr>
        <w:trPr>
          <w:trHeight w:val="1025" w:hRule="exact"/>
        </w:trPr>
        <w:tc>
          <w:tcPr>
            <w:tcW w:w="139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62" w:lineRule="auto" w:before="91"/>
              <w:ind w:left="13" w:right="147"/>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sz w:val="18"/>
              </w:rPr>
              <w:t> Advanced Systems</w:t>
            </w:r>
            <w:r>
              <w:rPr>
                <w:rFonts w:ascii="Times New Roman"/>
                <w:spacing w:val="-9"/>
                <w:sz w:val="18"/>
              </w:rPr>
              <w:t> </w:t>
            </w:r>
            <w:r>
              <w:rPr>
                <w:rFonts w:ascii="Times New Roman"/>
                <w:sz w:val="18"/>
              </w:rPr>
              <w:t>Limited</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9"/>
              <w:jc w:val="left"/>
              <w:rPr>
                <w:rFonts w:ascii="宋体" w:hAnsi="宋体" w:cs="宋体" w:eastAsia="宋体" w:hint="default"/>
                <w:sz w:val="18"/>
                <w:szCs w:val="18"/>
              </w:rPr>
            </w:pPr>
            <w:r>
              <w:rPr>
                <w:rFonts w:ascii="宋体" w:hAnsi="宋体" w:cs="宋体" w:eastAsia="宋体" w:hint="default"/>
                <w:sz w:val="18"/>
                <w:szCs w:val="18"/>
              </w:rPr>
              <w:t>软件与信息 技术服务业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49"/>
              <w:jc w:val="left"/>
              <w:rPr>
                <w:rFonts w:ascii="宋体" w:hAnsi="宋体" w:cs="宋体" w:eastAsia="宋体" w:hint="default"/>
                <w:sz w:val="18"/>
                <w:szCs w:val="18"/>
              </w:rPr>
            </w:pPr>
            <w:r>
              <w:rPr>
                <w:rFonts w:ascii="宋体" w:hAnsi="宋体" w:cs="宋体" w:eastAsia="宋体" w:hint="default"/>
                <w:sz w:val="18"/>
                <w:szCs w:val="18"/>
              </w:rPr>
              <w:t>系统集成及进出口设备 集中采购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532,500,000.00 </w:t>
            </w:r>
            <w:r>
              <w:rPr>
                <w:rFonts w:ascii="宋体" w:hAnsi="宋体" w:cs="宋体" w:eastAsia="宋体" w:hint="default"/>
                <w:sz w:val="18"/>
                <w:szCs w:val="18"/>
              </w:rPr>
              <w:t>港元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1,215,942,758.48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284,125,880.24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708,803,618.96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36,656,505.89</w:t>
            </w:r>
          </w:p>
        </w:tc>
        <w:tc>
          <w:tcPr>
            <w:tcW w:w="1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36,820,108.90</w:t>
            </w:r>
          </w:p>
        </w:tc>
      </w:tr>
      <w:tr>
        <w:trPr>
          <w:trHeight w:val="715" w:hRule="exact"/>
        </w:trPr>
        <w:tc>
          <w:tcPr>
            <w:tcW w:w="139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49"/>
              <w:ind w:left="13" w:right="99"/>
              <w:jc w:val="left"/>
              <w:rPr>
                <w:rFonts w:ascii="宋体" w:hAnsi="宋体" w:cs="宋体" w:eastAsia="宋体" w:hint="default"/>
                <w:sz w:val="18"/>
                <w:szCs w:val="18"/>
              </w:rPr>
            </w:pPr>
            <w:r>
              <w:rPr>
                <w:rFonts w:ascii="宋体" w:hAnsi="宋体" w:cs="宋体" w:eastAsia="宋体" w:hint="default"/>
                <w:sz w:val="18"/>
                <w:szCs w:val="18"/>
              </w:rPr>
              <w:t>北京中农信达信 息技术有限公司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9"/>
              <w:jc w:val="left"/>
              <w:rPr>
                <w:rFonts w:ascii="宋体" w:hAnsi="宋体" w:cs="宋体" w:eastAsia="宋体" w:hint="default"/>
                <w:sz w:val="18"/>
                <w:szCs w:val="18"/>
              </w:rPr>
            </w:pPr>
            <w:r>
              <w:rPr>
                <w:rFonts w:ascii="宋体" w:hAnsi="宋体" w:cs="宋体" w:eastAsia="宋体" w:hint="default"/>
                <w:sz w:val="18"/>
                <w:szCs w:val="18"/>
              </w:rPr>
              <w:t>软件与信息 技术服务业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测绘服务软件销售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184,228,188.77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74,002,841.52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30,335,167.40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11,767,832.16</w:t>
            </w:r>
          </w:p>
        </w:tc>
        <w:tc>
          <w:tcPr>
            <w:tcW w:w="1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10,015,833.24</w:t>
            </w:r>
          </w:p>
        </w:tc>
      </w:tr>
      <w:tr>
        <w:trPr>
          <w:trHeight w:val="1035" w:hRule="exact"/>
        </w:trPr>
        <w:tc>
          <w:tcPr>
            <w:tcW w:w="1394"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3" w:right="99"/>
              <w:jc w:val="left"/>
              <w:rPr>
                <w:rFonts w:ascii="宋体" w:hAnsi="宋体" w:cs="宋体" w:eastAsia="宋体" w:hint="default"/>
                <w:sz w:val="18"/>
                <w:szCs w:val="18"/>
              </w:rPr>
            </w:pPr>
            <w:r>
              <w:rPr>
                <w:rFonts w:ascii="宋体" w:hAnsi="宋体" w:cs="宋体" w:eastAsia="宋体" w:hint="default"/>
                <w:sz w:val="18"/>
                <w:szCs w:val="18"/>
              </w:rPr>
              <w:t>鼎捷软件股份有 限公司</w:t>
            </w:r>
          </w:p>
        </w:tc>
        <w:tc>
          <w:tcPr>
            <w:tcW w:w="9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85" w:type="dxa"/>
            <w:tcBorders>
              <w:top w:val="single" w:sz="4" w:space="0" w:color="000000"/>
              <w:left w:val="single" w:sz="4" w:space="0" w:color="000000"/>
              <w:bottom w:val="single" w:sz="12" w:space="0" w:color="000000"/>
              <w:right w:val="single" w:sz="13" w:space="0" w:color="FFFFFF"/>
            </w:tcBorders>
          </w:tcPr>
          <w:p>
            <w:pPr>
              <w:pStyle w:val="TableParagraph"/>
              <w:spacing w:line="309"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以自制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软件为核心 的企业管理软件的研发、 销售、实施及服务</w:t>
            </w:r>
          </w:p>
        </w:tc>
        <w:tc>
          <w:tcPr>
            <w:tcW w:w="1702" w:type="dxa"/>
            <w:tcBorders>
              <w:top w:val="single" w:sz="4" w:space="0" w:color="000000"/>
              <w:left w:val="single" w:sz="13" w:space="0" w:color="FFFFFF"/>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154,420,100.00</w:t>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1,475,810,409.22</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1,146,750,180.31</w:t>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1,053,186,652.15</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53,845,088.75</w:t>
            </w:r>
          </w:p>
        </w:tc>
        <w:tc>
          <w:tcPr>
            <w:tcW w:w="12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62,972,888.61</w:t>
            </w:r>
          </w:p>
        </w:tc>
      </w:tr>
    </w:tbl>
    <w:p>
      <w:pPr>
        <w:spacing w:line="240" w:lineRule="auto" w:before="8"/>
        <w:rPr>
          <w:rFonts w:ascii="宋体" w:hAnsi="宋体" w:cs="宋体" w:eastAsia="宋体" w:hint="default"/>
          <w:sz w:val="15"/>
          <w:szCs w:val="15"/>
        </w:rPr>
      </w:pPr>
    </w:p>
    <w:p>
      <w:pPr>
        <w:spacing w:before="76"/>
        <w:ind w:left="4821" w:right="4819" w:firstLine="0"/>
        <w:jc w:val="center"/>
        <w:rPr>
          <w:rFonts w:ascii="Times New Roman" w:hAnsi="Times New Roman" w:cs="Times New Roman" w:eastAsia="Times New Roman" w:hint="default"/>
          <w:sz w:val="18"/>
          <w:szCs w:val="18"/>
        </w:rPr>
      </w:pPr>
      <w:r>
        <w:rPr>
          <w:rFonts w:ascii="Times New Roman"/>
          <w:sz w:val="18"/>
        </w:rPr>
        <w:t>31</w:t>
      </w:r>
    </w:p>
    <w:p>
      <w:pPr>
        <w:spacing w:after="0"/>
        <w:jc w:val="center"/>
        <w:rPr>
          <w:rFonts w:ascii="Times New Roman" w:hAnsi="Times New Roman" w:cs="Times New Roman" w:eastAsia="Times New Roman" w:hint="default"/>
          <w:sz w:val="18"/>
          <w:szCs w:val="18"/>
        </w:rPr>
        <w:sectPr>
          <w:type w:val="continuous"/>
          <w:pgSz w:w="16840" w:h="11910" w:orient="landscape"/>
          <w:pgMar w:top="1060" w:bottom="1420" w:left="128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8"/>
          <w:szCs w:val="18"/>
        </w:rPr>
      </w:pPr>
    </w:p>
    <w:p>
      <w:pPr>
        <w:pStyle w:val="BodyText"/>
        <w:spacing w:line="240" w:lineRule="auto"/>
        <w:ind w:right="140"/>
        <w:jc w:val="left"/>
      </w:pPr>
      <w:r>
        <w:rPr/>
        <w:t>主要子公司、参股公司情况说明</w:t>
      </w:r>
    </w:p>
    <w:p>
      <w:pPr>
        <w:spacing w:line="240" w:lineRule="auto" w:before="10"/>
        <w:rPr>
          <w:rFonts w:ascii="宋体" w:hAnsi="宋体" w:cs="宋体" w:eastAsia="宋体" w:hint="default"/>
          <w:sz w:val="14"/>
          <w:szCs w:val="14"/>
        </w:rPr>
      </w:pPr>
    </w:p>
    <w:p>
      <w:pPr>
        <w:pStyle w:val="BodyText"/>
        <w:spacing w:line="398" w:lineRule="auto"/>
        <w:ind w:right="140" w:firstLine="420"/>
        <w:jc w:val="left"/>
      </w:pPr>
      <w:r>
        <w:rPr>
          <w:rFonts w:ascii="Times New Roman" w:hAnsi="Times New Roman" w:cs="Times New Roman" w:eastAsia="Times New Roman" w:hint="default"/>
        </w:rPr>
        <w:t>1</w:t>
      </w:r>
      <w:r>
        <w:rPr/>
        <w:t>、神州数码系统集成服务有限公司的净利润较去年同期增长较多，主要原因首先是公司加大应收账</w:t>
      </w:r>
      <w:r>
        <w:rPr>
          <w:w w:val="100"/>
        </w:rPr>
        <w:t> </w:t>
      </w:r>
      <w:r>
        <w:rPr>
          <w:spacing w:val="-2"/>
        </w:rPr>
        <w:t>款的催收力度，特别是超长期部分的应收账款，导致报告期内资产减值损失冲回较多，其次是子公司分红</w:t>
      </w:r>
      <w:r>
        <w:rPr>
          <w:spacing w:val="-45"/>
        </w:rPr>
        <w:t> </w:t>
      </w:r>
      <w:r>
        <w:rPr>
          <w:spacing w:val="-45"/>
        </w:rPr>
      </w:r>
      <w:r>
        <w:rPr/>
        <w:t>导致报告期投资收益增长较多所致；</w:t>
      </w:r>
    </w:p>
    <w:p>
      <w:pPr>
        <w:pStyle w:val="BodyText"/>
        <w:spacing w:line="386" w:lineRule="auto" w:before="54"/>
        <w:ind w:right="140" w:firstLine="420"/>
        <w:jc w:val="left"/>
      </w:pPr>
      <w:r>
        <w:rPr>
          <w:rFonts w:ascii="Times New Roman" w:hAnsi="Times New Roman" w:cs="Times New Roman" w:eastAsia="Times New Roman" w:hint="default"/>
          <w:spacing w:val="-2"/>
        </w:rPr>
        <w:t>2</w:t>
      </w:r>
      <w:r>
        <w:rPr>
          <w:spacing w:val="-2"/>
        </w:rPr>
        <w:t>、神州数码信息系统有限公司的净利润较去年同期增长较多，主要原因是公司加大应收账款的催收</w:t>
      </w:r>
      <w:r>
        <w:rPr>
          <w:w w:val="100"/>
        </w:rPr>
        <w:t> </w:t>
      </w:r>
      <w:r>
        <w:rPr/>
        <w:t>力度，特别是超长期部分的应收账款，导致报告期内资产减值损失冲回较多所致；</w:t>
      </w:r>
    </w:p>
    <w:p>
      <w:pPr>
        <w:pStyle w:val="BodyText"/>
        <w:spacing w:line="386" w:lineRule="auto" w:before="65"/>
        <w:ind w:right="140" w:firstLine="42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DigitalChina Software(BVI)</w:t>
      </w:r>
      <w:r>
        <w:rPr>
          <w:rFonts w:ascii="Times New Roman" w:hAnsi="Times New Roman" w:cs="Times New Roman" w:eastAsia="Times New Roman" w:hint="default"/>
          <w:spacing w:val="-15"/>
        </w:rPr>
        <w:t> </w:t>
      </w:r>
      <w:r>
        <w:rPr>
          <w:rFonts w:ascii="Times New Roman" w:hAnsi="Times New Roman" w:cs="Times New Roman" w:eastAsia="Times New Roman" w:hint="default"/>
        </w:rPr>
        <w:t>Limited</w:t>
      </w:r>
      <w:r>
        <w:rPr/>
        <w:t>的净利润较去年同期减少较多，主要原因是公司持有的</w:t>
      </w:r>
      <w:r>
        <w:rPr>
          <w:rFonts w:ascii="Times New Roman" w:hAnsi="Times New Roman" w:cs="Times New Roman" w:eastAsia="Times New Roman" w:hint="default"/>
        </w:rPr>
        <w:t>SJI</w:t>
      </w:r>
      <w:r>
        <w:rPr/>
        <w:t>公司</w:t>
      </w:r>
      <w:r>
        <w:rPr>
          <w:w w:val="100"/>
        </w:rPr>
        <w:t> </w:t>
      </w:r>
      <w:r>
        <w:rPr/>
        <w:t>股票在本报告期计提减值，导致报告期内资产减值损失增长较多所致；</w:t>
      </w:r>
    </w:p>
    <w:p>
      <w:pPr>
        <w:pStyle w:val="BodyText"/>
        <w:spacing w:line="386" w:lineRule="auto" w:before="65"/>
        <w:ind w:right="140" w:firstLine="420"/>
        <w:jc w:val="left"/>
      </w:pPr>
      <w:r>
        <w:rPr>
          <w:rFonts w:ascii="Times New Roman" w:hAnsi="Times New Roman" w:cs="Times New Roman" w:eastAsia="Times New Roman" w:hint="default"/>
          <w:spacing w:val="-2"/>
        </w:rPr>
        <w:t>4</w:t>
      </w:r>
      <w:r>
        <w:rPr>
          <w:spacing w:val="-2"/>
        </w:rPr>
        <w:t>、神州数码金信科技股份有限公司的净利润较去年同期增长较多，主要原因是公司报告期内子公司</w:t>
      </w:r>
      <w:r>
        <w:rPr>
          <w:w w:val="100"/>
        </w:rPr>
        <w:t> </w:t>
      </w:r>
      <w:r>
        <w:rPr/>
        <w:t>分红导致报告期投资收益增长较多所致；</w:t>
      </w:r>
    </w:p>
    <w:p>
      <w:pPr>
        <w:pStyle w:val="BodyText"/>
        <w:spacing w:line="386" w:lineRule="auto" w:before="65"/>
        <w:ind w:right="140" w:firstLine="42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Digital China Advanced Systems Limited</w:t>
      </w:r>
      <w:r>
        <w:rPr>
          <w:rFonts w:ascii="Times New Roman" w:hAnsi="Times New Roman" w:cs="Times New Roman" w:eastAsia="Times New Roman" w:hint="default"/>
          <w:spacing w:val="-27"/>
        </w:rPr>
        <w:t> </w:t>
      </w:r>
      <w:r>
        <w:rPr/>
        <w:t>净利润较去年同期下降较多，主要原因是外部金融市场汇</w:t>
      </w:r>
      <w:r>
        <w:rPr>
          <w:w w:val="100"/>
        </w:rPr>
        <w:t> </w:t>
      </w:r>
      <w:r>
        <w:rPr/>
        <w:t>率变动导致公司在报告期内汇兑损失增加，公司财务费用增加较多所致。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right="140"/>
        <w:jc w:val="left"/>
      </w:pPr>
      <w:r>
        <w:rPr/>
        <w:t>报告期内取得和处置子公司的情况</w:t>
      </w:r>
    </w:p>
    <w:p>
      <w:pPr>
        <w:spacing w:line="240" w:lineRule="auto" w:before="10"/>
        <w:rPr>
          <w:rFonts w:ascii="宋体" w:hAnsi="宋体" w:cs="宋体" w:eastAsia="宋体" w:hint="default"/>
          <w:sz w:val="14"/>
          <w:szCs w:val="14"/>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835"/>
        <w:gridCol w:w="1702"/>
        <w:gridCol w:w="3121"/>
        <w:gridCol w:w="1913"/>
      </w:tblGrid>
      <w:tr>
        <w:trPr>
          <w:trHeight w:val="749" w:hRule="exact"/>
        </w:trPr>
        <w:tc>
          <w:tcPr>
            <w:tcW w:w="283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7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34"/>
              <w:ind w:left="216" w:right="214"/>
              <w:jc w:val="left"/>
              <w:rPr>
                <w:rFonts w:ascii="宋体" w:hAnsi="宋体" w:cs="宋体" w:eastAsia="宋体" w:hint="default"/>
                <w:sz w:val="18"/>
                <w:szCs w:val="18"/>
              </w:rPr>
            </w:pPr>
            <w:r>
              <w:rPr>
                <w:rFonts w:ascii="宋体" w:hAnsi="宋体" w:cs="宋体" w:eastAsia="宋体" w:hint="default"/>
                <w:sz w:val="18"/>
                <w:szCs w:val="18"/>
              </w:rPr>
              <w:t>报告期内取得和 处置子公司目的</w:t>
            </w:r>
          </w:p>
        </w:tc>
        <w:tc>
          <w:tcPr>
            <w:tcW w:w="312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34"/>
              <w:ind w:left="923" w:right="926"/>
              <w:jc w:val="left"/>
              <w:rPr>
                <w:rFonts w:ascii="宋体" w:hAnsi="宋体" w:cs="宋体" w:eastAsia="宋体" w:hint="default"/>
                <w:sz w:val="18"/>
                <w:szCs w:val="18"/>
              </w:rPr>
            </w:pPr>
            <w:r>
              <w:rPr>
                <w:rFonts w:ascii="宋体" w:hAnsi="宋体" w:cs="宋体" w:eastAsia="宋体" w:hint="default"/>
                <w:sz w:val="18"/>
                <w:szCs w:val="18"/>
              </w:rPr>
              <w:t>报告期内取得和 处置子公司方式</w:t>
            </w:r>
          </w:p>
        </w:tc>
        <w:tc>
          <w:tcPr>
            <w:tcW w:w="191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60" w:lineRule="auto" w:before="34"/>
              <w:ind w:left="501" w:right="399" w:hanging="89"/>
              <w:jc w:val="left"/>
              <w:rPr>
                <w:rFonts w:ascii="宋体" w:hAnsi="宋体" w:cs="宋体" w:eastAsia="宋体" w:hint="default"/>
                <w:sz w:val="18"/>
                <w:szCs w:val="18"/>
              </w:rPr>
            </w:pPr>
            <w:r>
              <w:rPr>
                <w:rFonts w:ascii="宋体" w:hAnsi="宋体" w:cs="宋体" w:eastAsia="宋体" w:hint="default"/>
                <w:sz w:val="18"/>
                <w:szCs w:val="18"/>
              </w:rPr>
              <w:t>对整体生产和 业绩的影响</w:t>
            </w:r>
          </w:p>
        </w:tc>
      </w:tr>
      <w:tr>
        <w:trPr>
          <w:trHeight w:val="473" w:hRule="exact"/>
        </w:trPr>
        <w:tc>
          <w:tcPr>
            <w:tcW w:w="283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北京中农信达信息技术有限公司</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经营发展需要</w:t>
            </w:r>
          </w:p>
        </w:tc>
        <w:tc>
          <w:tcPr>
            <w:tcW w:w="31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非公开发行股份及支付现金方式购买</w:t>
            </w:r>
          </w:p>
        </w:tc>
        <w:tc>
          <w:tcPr>
            <w:tcW w:w="19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4"/>
              <w:ind w:left="844" w:right="0"/>
              <w:jc w:val="left"/>
              <w:rPr>
                <w:rFonts w:ascii="Times New Roman" w:hAnsi="Times New Roman" w:cs="Times New Roman" w:eastAsia="Times New Roman" w:hint="default"/>
                <w:sz w:val="18"/>
                <w:szCs w:val="18"/>
              </w:rPr>
            </w:pPr>
            <w:r>
              <w:rPr>
                <w:rFonts w:ascii="Times New Roman"/>
                <w:sz w:val="18"/>
              </w:rPr>
              <w:t>10,015,833.24</w:t>
            </w:r>
          </w:p>
        </w:tc>
      </w:tr>
    </w:tbl>
    <w:p>
      <w:pPr>
        <w:spacing w:line="240" w:lineRule="auto" w:before="5"/>
        <w:rPr>
          <w:rFonts w:ascii="宋体" w:hAnsi="宋体" w:cs="宋体" w:eastAsia="宋体" w:hint="default"/>
          <w:sz w:val="19"/>
          <w:szCs w:val="19"/>
        </w:rPr>
      </w:pPr>
    </w:p>
    <w:p>
      <w:pPr>
        <w:pStyle w:val="Heading4"/>
        <w:spacing w:line="240" w:lineRule="auto" w:before="36"/>
        <w:ind w:right="140"/>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8"/>
          <w:szCs w:val="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408"/>
        <w:gridCol w:w="1175"/>
        <w:gridCol w:w="1164"/>
        <w:gridCol w:w="1164"/>
        <w:gridCol w:w="1044"/>
        <w:gridCol w:w="709"/>
        <w:gridCol w:w="1560"/>
        <w:gridCol w:w="1347"/>
      </w:tblGrid>
      <w:tr>
        <w:trPr>
          <w:trHeight w:val="161" w:hRule="exact"/>
        </w:trPr>
        <w:tc>
          <w:tcPr>
            <w:tcW w:w="1408" w:type="dxa"/>
            <w:vMerge w:val="restart"/>
            <w:tcBorders>
              <w:top w:val="single" w:sz="12" w:space="0" w:color="000000"/>
              <w:left w:val="single" w:sz="12" w:space="0" w:color="000000"/>
              <w:right w:val="single" w:sz="4" w:space="0" w:color="000000"/>
            </w:tcBorders>
            <w:shd w:val="clear" w:color="auto" w:fill="D9D9D9"/>
          </w:tcPr>
          <w:p>
            <w:pPr/>
          </w:p>
        </w:tc>
        <w:tc>
          <w:tcPr>
            <w:tcW w:w="1175" w:type="dxa"/>
            <w:vMerge w:val="restart"/>
            <w:tcBorders>
              <w:top w:val="single" w:sz="12" w:space="0" w:color="000000"/>
              <w:left w:val="single" w:sz="4" w:space="0" w:color="000000"/>
              <w:right w:val="single" w:sz="4" w:space="0" w:color="000000"/>
            </w:tcBorders>
            <w:shd w:val="clear" w:color="auto" w:fill="D9D9D9"/>
          </w:tcPr>
          <w:p>
            <w:pPr/>
          </w:p>
        </w:tc>
        <w:tc>
          <w:tcPr>
            <w:tcW w:w="1164" w:type="dxa"/>
            <w:tcBorders>
              <w:top w:val="single" w:sz="12" w:space="0" w:color="000000"/>
              <w:left w:val="single" w:sz="4" w:space="0" w:color="000000"/>
              <w:bottom w:val="nil" w:sz="6" w:space="0" w:color="auto"/>
              <w:right w:val="single" w:sz="4" w:space="0" w:color="000000"/>
            </w:tcBorders>
            <w:shd w:val="clear" w:color="auto" w:fill="D9D9D9"/>
          </w:tcPr>
          <w:p>
            <w:pPr/>
          </w:p>
        </w:tc>
        <w:tc>
          <w:tcPr>
            <w:tcW w:w="1164" w:type="dxa"/>
            <w:vMerge w:val="restart"/>
            <w:tcBorders>
              <w:top w:val="single" w:sz="12" w:space="0" w:color="000000"/>
              <w:left w:val="single" w:sz="4" w:space="0" w:color="000000"/>
              <w:right w:val="single" w:sz="4" w:space="0" w:color="000000"/>
            </w:tcBorders>
            <w:shd w:val="clear" w:color="auto" w:fill="D9D9D9"/>
          </w:tcPr>
          <w:p>
            <w:pPr>
              <w:pStyle w:val="TableParagraph"/>
              <w:spacing w:line="316" w:lineRule="auto" w:before="50"/>
              <w:ind w:left="38" w:right="34"/>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044" w:type="dxa"/>
            <w:vMerge w:val="restart"/>
            <w:tcBorders>
              <w:top w:val="single" w:sz="12" w:space="0" w:color="000000"/>
              <w:left w:val="single" w:sz="4" w:space="0" w:color="000000"/>
              <w:right w:val="single" w:sz="4" w:space="0" w:color="000000"/>
            </w:tcBorders>
            <w:shd w:val="clear" w:color="auto" w:fill="D9D9D9"/>
          </w:tcPr>
          <w:p>
            <w:pPr/>
          </w:p>
        </w:tc>
        <w:tc>
          <w:tcPr>
            <w:tcW w:w="709" w:type="dxa"/>
            <w:tcBorders>
              <w:top w:val="single" w:sz="12" w:space="0" w:color="000000"/>
              <w:left w:val="single" w:sz="4" w:space="0" w:color="000000"/>
              <w:bottom w:val="nil" w:sz="6" w:space="0" w:color="auto"/>
              <w:right w:val="single" w:sz="4" w:space="0" w:color="000000"/>
            </w:tcBorders>
            <w:shd w:val="clear" w:color="auto" w:fill="D9D9D9"/>
          </w:tcPr>
          <w:p>
            <w:pPr/>
          </w:p>
        </w:tc>
        <w:tc>
          <w:tcPr>
            <w:tcW w:w="1560" w:type="dxa"/>
            <w:vMerge w:val="restart"/>
            <w:tcBorders>
              <w:top w:val="single" w:sz="12" w:space="0" w:color="000000"/>
              <w:left w:val="single" w:sz="4" w:space="0" w:color="000000"/>
              <w:right w:val="single" w:sz="4" w:space="0" w:color="000000"/>
            </w:tcBorders>
            <w:shd w:val="clear" w:color="auto" w:fill="D9D9D9"/>
          </w:tcPr>
          <w:p>
            <w:pPr/>
          </w:p>
        </w:tc>
        <w:tc>
          <w:tcPr>
            <w:tcW w:w="1347" w:type="dxa"/>
            <w:vMerge w:val="restart"/>
            <w:tcBorders>
              <w:top w:val="single" w:sz="12" w:space="0" w:color="000000"/>
              <w:left w:val="single" w:sz="4" w:space="0" w:color="000000"/>
              <w:right w:val="single" w:sz="12" w:space="0" w:color="000000"/>
            </w:tcBorders>
            <w:shd w:val="clear" w:color="auto" w:fill="D9D9D9"/>
          </w:tcPr>
          <w:p>
            <w:pPr/>
          </w:p>
        </w:tc>
      </w:tr>
      <w:tr>
        <w:trPr>
          <w:trHeight w:val="167" w:hRule="exact"/>
        </w:trPr>
        <w:tc>
          <w:tcPr>
            <w:tcW w:w="1408" w:type="dxa"/>
            <w:vMerge/>
            <w:tcBorders>
              <w:left w:val="single" w:sz="12" w:space="0" w:color="000000"/>
              <w:bottom w:val="nil" w:sz="6" w:space="0" w:color="auto"/>
              <w:right w:val="single" w:sz="4" w:space="0" w:color="000000"/>
            </w:tcBorders>
            <w:shd w:val="clear" w:color="auto" w:fill="D9D9D9"/>
          </w:tcPr>
          <w:p>
            <w:pPr/>
          </w:p>
        </w:tc>
        <w:tc>
          <w:tcPr>
            <w:tcW w:w="1175" w:type="dxa"/>
            <w:vMerge/>
            <w:tcBorders>
              <w:left w:val="single" w:sz="4" w:space="0" w:color="000000"/>
              <w:bottom w:val="nil" w:sz="6" w:space="0" w:color="auto"/>
              <w:right w:val="single" w:sz="4" w:space="0" w:color="000000"/>
            </w:tcBorders>
            <w:shd w:val="clear" w:color="auto" w:fill="D9D9D9"/>
          </w:tcPr>
          <w:p>
            <w:pPr/>
          </w:p>
        </w:tc>
        <w:tc>
          <w:tcPr>
            <w:tcW w:w="1164" w:type="dxa"/>
            <w:vMerge w:val="restart"/>
            <w:tcBorders>
              <w:top w:val="nil" w:sz="6" w:space="0" w:color="auto"/>
              <w:left w:val="single" w:sz="4" w:space="0" w:color="000000"/>
              <w:right w:val="single" w:sz="4" w:space="0" w:color="000000"/>
            </w:tcBorders>
            <w:shd w:val="clear" w:color="auto" w:fill="D9D9D9"/>
          </w:tcPr>
          <w:p>
            <w:pPr>
              <w:pStyle w:val="TableParagraph"/>
              <w:spacing w:line="360" w:lineRule="auto" w:before="38"/>
              <w:ind w:left="218" w:right="215"/>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164" w:type="dxa"/>
            <w:vMerge/>
            <w:tcBorders>
              <w:left w:val="single" w:sz="4" w:space="0" w:color="000000"/>
              <w:right w:val="single" w:sz="4" w:space="0" w:color="000000"/>
            </w:tcBorders>
            <w:shd w:val="clear" w:color="auto" w:fill="D9D9D9"/>
          </w:tcPr>
          <w:p>
            <w:pPr/>
          </w:p>
        </w:tc>
        <w:tc>
          <w:tcPr>
            <w:tcW w:w="1044" w:type="dxa"/>
            <w:vMerge/>
            <w:tcBorders>
              <w:left w:val="single" w:sz="4" w:space="0" w:color="000000"/>
              <w:bottom w:val="nil" w:sz="6" w:space="0" w:color="auto"/>
              <w:right w:val="single" w:sz="4" w:space="0" w:color="000000"/>
            </w:tcBorders>
            <w:shd w:val="clear" w:color="auto" w:fill="D9D9D9"/>
          </w:tcPr>
          <w:p>
            <w:pPr/>
          </w:p>
        </w:tc>
        <w:tc>
          <w:tcPr>
            <w:tcW w:w="709" w:type="dxa"/>
            <w:vMerge w:val="restart"/>
            <w:tcBorders>
              <w:top w:val="nil" w:sz="6" w:space="0" w:color="auto"/>
              <w:left w:val="single" w:sz="4" w:space="0" w:color="000000"/>
              <w:right w:val="single" w:sz="4" w:space="0" w:color="000000"/>
            </w:tcBorders>
            <w:shd w:val="clear" w:color="auto" w:fill="D9D9D9"/>
          </w:tcPr>
          <w:p>
            <w:pPr>
              <w:pStyle w:val="TableParagraph"/>
              <w:spacing w:line="316" w:lineRule="auto" w:before="59"/>
              <w:ind w:left="79" w:right="77"/>
              <w:jc w:val="left"/>
              <w:rPr>
                <w:rFonts w:ascii="宋体" w:hAnsi="宋体" w:cs="宋体" w:eastAsia="宋体" w:hint="default"/>
                <w:sz w:val="18"/>
                <w:szCs w:val="18"/>
              </w:rPr>
            </w:pPr>
            <w:r>
              <w:rPr>
                <w:rFonts w:ascii="宋体" w:hAnsi="宋体" w:cs="宋体" w:eastAsia="宋体" w:hint="default"/>
                <w:sz w:val="18"/>
                <w:szCs w:val="18"/>
              </w:rPr>
              <w:t>项目收 益情况</w:t>
            </w:r>
          </w:p>
        </w:tc>
        <w:tc>
          <w:tcPr>
            <w:tcW w:w="1560" w:type="dxa"/>
            <w:vMerge/>
            <w:tcBorders>
              <w:left w:val="single" w:sz="4" w:space="0" w:color="000000"/>
              <w:bottom w:val="nil" w:sz="6" w:space="0" w:color="auto"/>
              <w:right w:val="single" w:sz="4" w:space="0" w:color="000000"/>
            </w:tcBorders>
            <w:shd w:val="clear" w:color="auto" w:fill="D9D9D9"/>
          </w:tcPr>
          <w:p>
            <w:pPr/>
          </w:p>
        </w:tc>
        <w:tc>
          <w:tcPr>
            <w:tcW w:w="1347" w:type="dxa"/>
            <w:vMerge/>
            <w:tcBorders>
              <w:left w:val="single" w:sz="4" w:space="0" w:color="000000"/>
              <w:bottom w:val="nil" w:sz="6" w:space="0" w:color="auto"/>
              <w:right w:val="single" w:sz="12" w:space="0" w:color="000000"/>
            </w:tcBorders>
            <w:shd w:val="clear" w:color="auto" w:fill="D9D9D9"/>
          </w:tcPr>
          <w:p>
            <w:pPr/>
          </w:p>
        </w:tc>
      </w:tr>
      <w:tr>
        <w:trPr>
          <w:trHeight w:val="391" w:hRule="exact"/>
        </w:trPr>
        <w:tc>
          <w:tcPr>
            <w:tcW w:w="1408" w:type="dxa"/>
            <w:tcBorders>
              <w:top w:val="nil" w:sz="6" w:space="0" w:color="auto"/>
              <w:left w:val="single" w:sz="12" w:space="0" w:color="000000"/>
              <w:bottom w:val="nil" w:sz="6" w:space="0" w:color="auto"/>
              <w:right w:val="single" w:sz="4" w:space="0" w:color="000000"/>
            </w:tcBorders>
            <w:shd w:val="clear" w:color="auto" w:fill="D9D9D9"/>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7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49"/>
              <w:ind w:right="34"/>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64" w:type="dxa"/>
            <w:vMerge/>
            <w:tcBorders>
              <w:left w:val="single" w:sz="4" w:space="0" w:color="000000"/>
              <w:right w:val="single" w:sz="4" w:space="0" w:color="000000"/>
            </w:tcBorders>
            <w:shd w:val="clear" w:color="auto" w:fill="D9D9D9"/>
          </w:tcPr>
          <w:p>
            <w:pPr/>
          </w:p>
        </w:tc>
        <w:tc>
          <w:tcPr>
            <w:tcW w:w="1164" w:type="dxa"/>
            <w:vMerge/>
            <w:tcBorders>
              <w:left w:val="single" w:sz="4" w:space="0" w:color="000000"/>
              <w:right w:val="single" w:sz="4" w:space="0" w:color="000000"/>
            </w:tcBorders>
            <w:shd w:val="clear" w:color="auto" w:fill="D9D9D9"/>
          </w:tcPr>
          <w:p>
            <w:pPr/>
          </w:p>
        </w:tc>
        <w:tc>
          <w:tcPr>
            <w:tcW w:w="104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709" w:type="dxa"/>
            <w:vMerge/>
            <w:tcBorders>
              <w:left w:val="single" w:sz="4" w:space="0" w:color="000000"/>
              <w:right w:val="single" w:sz="4" w:space="0" w:color="000000"/>
            </w:tcBorders>
            <w:shd w:val="clear" w:color="auto" w:fill="D9D9D9"/>
          </w:tcPr>
          <w:p>
            <w:pPr/>
          </w:p>
        </w:tc>
        <w:tc>
          <w:tcPr>
            <w:tcW w:w="156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347" w:type="dxa"/>
            <w:tcBorders>
              <w:top w:val="nil" w:sz="6" w:space="0" w:color="auto"/>
              <w:left w:val="single" w:sz="4" w:space="0" w:color="000000"/>
              <w:bottom w:val="nil" w:sz="6" w:space="0" w:color="auto"/>
              <w:right w:val="single" w:sz="12" w:space="0" w:color="000000"/>
            </w:tcBorders>
            <w:shd w:val="clear" w:color="auto" w:fill="D9D9D9"/>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6" w:hRule="exact"/>
        </w:trPr>
        <w:tc>
          <w:tcPr>
            <w:tcW w:w="1408" w:type="dxa"/>
            <w:vMerge w:val="restart"/>
            <w:tcBorders>
              <w:top w:val="nil" w:sz="6" w:space="0" w:color="auto"/>
              <w:left w:val="single" w:sz="12" w:space="0" w:color="000000"/>
              <w:right w:val="single" w:sz="4" w:space="0" w:color="000000"/>
            </w:tcBorders>
            <w:shd w:val="clear" w:color="auto" w:fill="D9D9D9"/>
          </w:tcPr>
          <w:p>
            <w:pPr/>
          </w:p>
        </w:tc>
        <w:tc>
          <w:tcPr>
            <w:tcW w:w="1175" w:type="dxa"/>
            <w:vMerge w:val="restart"/>
            <w:tcBorders>
              <w:top w:val="nil" w:sz="6" w:space="0" w:color="auto"/>
              <w:left w:val="single" w:sz="4" w:space="0" w:color="000000"/>
              <w:right w:val="single" w:sz="4" w:space="0" w:color="000000"/>
            </w:tcBorders>
            <w:shd w:val="clear" w:color="auto" w:fill="D9D9D9"/>
          </w:tcPr>
          <w:p>
            <w:pPr/>
          </w:p>
        </w:tc>
        <w:tc>
          <w:tcPr>
            <w:tcW w:w="1164" w:type="dxa"/>
            <w:vMerge/>
            <w:tcBorders>
              <w:left w:val="single" w:sz="4" w:space="0" w:color="000000"/>
              <w:bottom w:val="nil" w:sz="6" w:space="0" w:color="auto"/>
              <w:right w:val="single" w:sz="4" w:space="0" w:color="000000"/>
            </w:tcBorders>
            <w:shd w:val="clear" w:color="auto" w:fill="D9D9D9"/>
          </w:tcPr>
          <w:p>
            <w:pPr/>
          </w:p>
        </w:tc>
        <w:tc>
          <w:tcPr>
            <w:tcW w:w="1164" w:type="dxa"/>
            <w:vMerge/>
            <w:tcBorders>
              <w:left w:val="single" w:sz="4" w:space="0" w:color="000000"/>
              <w:right w:val="single" w:sz="4" w:space="0" w:color="000000"/>
            </w:tcBorders>
            <w:shd w:val="clear" w:color="auto" w:fill="D9D9D9"/>
          </w:tcPr>
          <w:p>
            <w:pPr/>
          </w:p>
        </w:tc>
        <w:tc>
          <w:tcPr>
            <w:tcW w:w="1044" w:type="dxa"/>
            <w:vMerge w:val="restart"/>
            <w:tcBorders>
              <w:top w:val="nil" w:sz="6" w:space="0" w:color="auto"/>
              <w:left w:val="single" w:sz="4" w:space="0" w:color="000000"/>
              <w:right w:val="single" w:sz="4" w:space="0" w:color="000000"/>
            </w:tcBorders>
            <w:shd w:val="clear" w:color="auto" w:fill="D9D9D9"/>
          </w:tcPr>
          <w:p>
            <w:pPr/>
          </w:p>
        </w:tc>
        <w:tc>
          <w:tcPr>
            <w:tcW w:w="709" w:type="dxa"/>
            <w:vMerge/>
            <w:tcBorders>
              <w:left w:val="single" w:sz="4" w:space="0" w:color="000000"/>
              <w:bottom w:val="nil" w:sz="6" w:space="0" w:color="auto"/>
              <w:right w:val="single" w:sz="4" w:space="0" w:color="000000"/>
            </w:tcBorders>
            <w:shd w:val="clear" w:color="auto" w:fill="D9D9D9"/>
          </w:tcPr>
          <w:p>
            <w:pPr/>
          </w:p>
        </w:tc>
        <w:tc>
          <w:tcPr>
            <w:tcW w:w="1560" w:type="dxa"/>
            <w:vMerge w:val="restart"/>
            <w:tcBorders>
              <w:top w:val="nil" w:sz="6" w:space="0" w:color="auto"/>
              <w:left w:val="single" w:sz="4" w:space="0" w:color="000000"/>
              <w:right w:val="single" w:sz="4" w:space="0" w:color="000000"/>
            </w:tcBorders>
            <w:shd w:val="clear" w:color="auto" w:fill="D9D9D9"/>
          </w:tcPr>
          <w:p>
            <w:pPr/>
          </w:p>
        </w:tc>
        <w:tc>
          <w:tcPr>
            <w:tcW w:w="1347" w:type="dxa"/>
            <w:vMerge w:val="restart"/>
            <w:tcBorders>
              <w:top w:val="nil" w:sz="6" w:space="0" w:color="auto"/>
              <w:left w:val="single" w:sz="4" w:space="0" w:color="000000"/>
              <w:right w:val="single" w:sz="12" w:space="0" w:color="000000"/>
            </w:tcBorders>
            <w:shd w:val="clear" w:color="auto" w:fill="D9D9D9"/>
          </w:tcPr>
          <w:p>
            <w:pPr/>
          </w:p>
        </w:tc>
      </w:tr>
      <w:tr>
        <w:trPr>
          <w:trHeight w:val="151" w:hRule="exact"/>
        </w:trPr>
        <w:tc>
          <w:tcPr>
            <w:tcW w:w="1408" w:type="dxa"/>
            <w:vMerge/>
            <w:tcBorders>
              <w:left w:val="single" w:sz="12" w:space="0" w:color="000000"/>
              <w:bottom w:val="single" w:sz="4" w:space="0" w:color="000000"/>
              <w:right w:val="single" w:sz="4" w:space="0" w:color="000000"/>
            </w:tcBorders>
            <w:shd w:val="clear" w:color="auto" w:fill="D9D9D9"/>
          </w:tcPr>
          <w:p>
            <w:pPr/>
          </w:p>
        </w:tc>
        <w:tc>
          <w:tcPr>
            <w:tcW w:w="1175" w:type="dxa"/>
            <w:vMerge/>
            <w:tcBorders>
              <w:left w:val="single" w:sz="4" w:space="0" w:color="000000"/>
              <w:bottom w:val="single" w:sz="4" w:space="0" w:color="000000"/>
              <w:right w:val="single" w:sz="4" w:space="0" w:color="000000"/>
            </w:tcBorders>
            <w:shd w:val="clear" w:color="auto" w:fill="D9D9D9"/>
          </w:tcPr>
          <w:p>
            <w:pPr/>
          </w:p>
        </w:tc>
        <w:tc>
          <w:tcPr>
            <w:tcW w:w="1164" w:type="dxa"/>
            <w:tcBorders>
              <w:top w:val="nil" w:sz="6" w:space="0" w:color="auto"/>
              <w:left w:val="single" w:sz="4" w:space="0" w:color="000000"/>
              <w:bottom w:val="single" w:sz="4" w:space="0" w:color="000000"/>
              <w:right w:val="single" w:sz="4" w:space="0" w:color="000000"/>
            </w:tcBorders>
            <w:shd w:val="clear" w:color="auto" w:fill="D9D9D9"/>
          </w:tcPr>
          <w:p>
            <w:pPr/>
          </w:p>
        </w:tc>
        <w:tc>
          <w:tcPr>
            <w:tcW w:w="1164" w:type="dxa"/>
            <w:vMerge/>
            <w:tcBorders>
              <w:left w:val="single" w:sz="4" w:space="0" w:color="000000"/>
              <w:bottom w:val="single" w:sz="4" w:space="0" w:color="000000"/>
              <w:right w:val="single" w:sz="4" w:space="0" w:color="000000"/>
            </w:tcBorders>
            <w:shd w:val="clear" w:color="auto" w:fill="D9D9D9"/>
          </w:tcPr>
          <w:p>
            <w:pPr/>
          </w:p>
        </w:tc>
        <w:tc>
          <w:tcPr>
            <w:tcW w:w="1044" w:type="dxa"/>
            <w:vMerge/>
            <w:tcBorders>
              <w:left w:val="single" w:sz="4" w:space="0" w:color="000000"/>
              <w:bottom w:val="single" w:sz="4" w:space="0" w:color="000000"/>
              <w:right w:val="single" w:sz="4" w:space="0" w:color="000000"/>
            </w:tcBorders>
            <w:shd w:val="clear" w:color="auto" w:fill="D9D9D9"/>
          </w:tcPr>
          <w:p>
            <w:pPr/>
          </w:p>
        </w:tc>
        <w:tc>
          <w:tcPr>
            <w:tcW w:w="709" w:type="dxa"/>
            <w:tcBorders>
              <w:top w:val="nil" w:sz="6" w:space="0" w:color="auto"/>
              <w:left w:val="single" w:sz="4" w:space="0" w:color="000000"/>
              <w:bottom w:val="single" w:sz="4" w:space="0" w:color="000000"/>
              <w:right w:val="single" w:sz="4" w:space="0" w:color="000000"/>
            </w:tcBorders>
            <w:shd w:val="clear" w:color="auto" w:fill="D9D9D9"/>
          </w:tcPr>
          <w:p>
            <w:pPr/>
          </w:p>
        </w:tc>
        <w:tc>
          <w:tcPr>
            <w:tcW w:w="1560" w:type="dxa"/>
            <w:vMerge/>
            <w:tcBorders>
              <w:left w:val="single" w:sz="4" w:space="0" w:color="000000"/>
              <w:bottom w:val="single" w:sz="4" w:space="0" w:color="000000"/>
              <w:right w:val="single" w:sz="4" w:space="0" w:color="000000"/>
            </w:tcBorders>
            <w:shd w:val="clear" w:color="auto" w:fill="D9D9D9"/>
          </w:tcPr>
          <w:p>
            <w:pPr/>
          </w:p>
        </w:tc>
        <w:tc>
          <w:tcPr>
            <w:tcW w:w="1347" w:type="dxa"/>
            <w:vMerge/>
            <w:tcBorders>
              <w:left w:val="single" w:sz="4" w:space="0" w:color="000000"/>
              <w:bottom w:val="single" w:sz="4" w:space="0" w:color="000000"/>
              <w:right w:val="single" w:sz="12" w:space="0" w:color="000000"/>
            </w:tcBorders>
            <w:shd w:val="clear" w:color="auto" w:fill="D9D9D9"/>
          </w:tcPr>
          <w:p>
            <w:pPr/>
          </w:p>
        </w:tc>
      </w:tr>
      <w:tr>
        <w:trPr>
          <w:trHeight w:val="1337" w:hRule="exact"/>
        </w:trPr>
        <w:tc>
          <w:tcPr>
            <w:tcW w:w="140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49"/>
              <w:ind w:left="14" w:right="111"/>
              <w:jc w:val="both"/>
              <w:rPr>
                <w:rFonts w:ascii="宋体" w:hAnsi="宋体" w:cs="宋体" w:eastAsia="宋体" w:hint="default"/>
                <w:sz w:val="18"/>
                <w:szCs w:val="18"/>
              </w:rPr>
            </w:pPr>
            <w:r>
              <w:rPr>
                <w:rFonts w:ascii="宋体" w:hAnsi="宋体" w:cs="宋体" w:eastAsia="宋体" w:hint="default"/>
                <w:sz w:val="18"/>
                <w:szCs w:val="18"/>
              </w:rPr>
              <w:t>向特定对象发行 股份购买北京中 农信达信息技术 有限公司</w:t>
            </w:r>
          </w:p>
        </w:tc>
        <w:tc>
          <w:tcPr>
            <w:tcW w:w="1175"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14"/>
              <w:jc w:val="right"/>
              <w:rPr>
                <w:rFonts w:ascii="宋体" w:hAnsi="宋体" w:cs="宋体" w:eastAsia="宋体" w:hint="default"/>
                <w:sz w:val="18"/>
                <w:szCs w:val="18"/>
              </w:rPr>
            </w:pPr>
            <w:r>
              <w:rPr>
                <w:rFonts w:ascii="宋体" w:hAnsi="宋体" w:cs="宋体" w:eastAsia="宋体" w:hint="default"/>
                <w:sz w:val="18"/>
                <w:szCs w:val="18"/>
              </w:rPr>
              <w:t>良好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23" w:right="5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 nfo.com.cn</w:t>
            </w:r>
            <w:r>
              <w:rPr>
                <w:rFonts w:ascii="宋体" w:hAnsi="宋体" w:cs="宋体" w:eastAsia="宋体" w:hint="default"/>
                <w:sz w:val="18"/>
                <w:szCs w:val="18"/>
              </w:rPr>
              <w:t>）</w:t>
            </w:r>
          </w:p>
        </w:tc>
      </w:tr>
      <w:tr>
        <w:trPr>
          <w:trHeight w:val="473" w:hRule="exact"/>
        </w:trPr>
        <w:tc>
          <w:tcPr>
            <w:tcW w:w="1408"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5" w:type="dxa"/>
            <w:tcBorders>
              <w:top w:val="single" w:sz="4" w:space="0" w:color="000000"/>
              <w:left w:val="single" w:sz="12" w:space="0" w:color="D9D9D9"/>
              <w:bottom w:val="single" w:sz="12"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71,000</w:t>
            </w:r>
          </w:p>
        </w:tc>
        <w:tc>
          <w:tcPr>
            <w:tcW w:w="11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71,000</w:t>
            </w:r>
          </w:p>
        </w:tc>
        <w:tc>
          <w:tcPr>
            <w:tcW w:w="11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71,000</w:t>
            </w:r>
          </w:p>
        </w:tc>
        <w:tc>
          <w:tcPr>
            <w:tcW w:w="10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286"/>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w:t>
            </w:r>
          </w:p>
        </w:tc>
        <w:tc>
          <w:tcPr>
            <w:tcW w:w="134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4"/>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19"/>
          <w:pgSz w:w="11910" w:h="16840"/>
          <w:pgMar w:footer="1227" w:header="0" w:top="1060" w:bottom="1420" w:left="980" w:right="980"/>
          <w:pgNumType w:start="32"/>
        </w:sectPr>
      </w:pPr>
    </w:p>
    <w:p>
      <w:pPr>
        <w:spacing w:line="240" w:lineRule="auto" w:before="8"/>
        <w:rPr>
          <w:rFonts w:ascii="宋体" w:hAnsi="宋体" w:cs="宋体" w:eastAsia="宋体" w:hint="default"/>
          <w:sz w:val="23"/>
          <w:szCs w:val="23"/>
        </w:rPr>
      </w:pPr>
    </w:p>
    <w:p>
      <w:pPr>
        <w:pStyle w:val="Heading2"/>
        <w:spacing w:line="240" w:lineRule="auto"/>
        <w:ind w:right="0"/>
        <w:jc w:val="both"/>
        <w:rPr>
          <w:b w:val="0"/>
          <w:bCs w:val="0"/>
        </w:rPr>
      </w:pPr>
      <w:r>
        <w:rPr/>
        <w:t>七、</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60"/>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月经营业绩的预计</w:t>
      </w:r>
      <w:r>
        <w:rPr>
          <w:b w:val="0"/>
          <w:bCs w:val="0"/>
        </w:rPr>
      </w:r>
    </w:p>
    <w:p>
      <w:pPr>
        <w:spacing w:line="240" w:lineRule="auto" w:before="5"/>
        <w:rPr>
          <w:rFonts w:ascii="宋体" w:hAnsi="宋体" w:cs="宋体" w:eastAsia="宋体" w:hint="default"/>
          <w:b/>
          <w:bCs/>
          <w:sz w:val="29"/>
          <w:szCs w:val="29"/>
        </w:rPr>
      </w:pPr>
    </w:p>
    <w:p>
      <w:pPr>
        <w:pStyle w:val="BodyText"/>
        <w:spacing w:line="408" w:lineRule="auto"/>
        <w:ind w:right="98"/>
        <w:jc w:val="left"/>
      </w:pPr>
      <w:r>
        <w:rPr>
          <w:spacing w:val="-2"/>
        </w:rPr>
        <w:t>预测年初至下一报告期期末的累计净利润可能为亏损或者与上年同期相比发生大幅度变动的警示及原因</w:t>
      </w:r>
      <w:r>
        <w:rPr>
          <w:spacing w:val="-21"/>
        </w:rPr>
        <w:t> </w:t>
      </w:r>
      <w:r>
        <w:rPr>
          <w:spacing w:val="-21"/>
        </w:rPr>
      </w:r>
      <w:r>
        <w:rPr/>
        <w:t>说明</w:t>
      </w:r>
    </w:p>
    <w:p>
      <w:pPr>
        <w:pStyle w:val="BodyText"/>
        <w:spacing w:line="240" w:lineRule="auto" w:before="46"/>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before="0"/>
        <w:ind w:right="0"/>
        <w:jc w:val="both"/>
        <w:rPr>
          <w:b w:val="0"/>
          <w:bCs w:val="0"/>
        </w:rPr>
      </w:pPr>
      <w:r>
        <w:rPr/>
        <w:t>八、公司控制的特殊目的主体情况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before="0"/>
        <w:ind w:right="0"/>
        <w:jc w:val="both"/>
        <w:rPr>
          <w:b w:val="0"/>
          <w:bCs w:val="0"/>
        </w:rPr>
      </w:pPr>
      <w:r>
        <w:rPr/>
        <w:t>九、公司未来发展的展望</w:t>
      </w:r>
      <w:r>
        <w:rPr>
          <w:b w:val="0"/>
          <w:bCs w:val="0"/>
        </w:rPr>
      </w:r>
    </w:p>
    <w:p>
      <w:pPr>
        <w:spacing w:line="240" w:lineRule="auto" w:before="10"/>
        <w:rPr>
          <w:rFonts w:ascii="宋体" w:hAnsi="宋体" w:cs="宋体" w:eastAsia="宋体" w:hint="default"/>
          <w:b/>
          <w:bCs/>
          <w:sz w:val="30"/>
          <w:szCs w:val="30"/>
        </w:rPr>
      </w:pPr>
    </w:p>
    <w:p>
      <w:pPr>
        <w:pStyle w:val="Heading4"/>
        <w:spacing w:line="386" w:lineRule="auto"/>
        <w:ind w:left="575" w:right="311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行业竞争格局和发展趋势</w:t>
      </w:r>
      <w:r>
        <w:rPr>
          <w:w w:val="100"/>
        </w:rPr>
        <w:t> </w:t>
      </w:r>
      <w:r>
        <w:rPr>
          <w:rFonts w:ascii="Times New Roman" w:hAnsi="Times New Roman" w:cs="Times New Roman" w:eastAsia="Times New Roman" w:hint="default"/>
          <w:spacing w:val="-1"/>
        </w:rPr>
        <w:t>1</w:t>
      </w:r>
      <w:r>
        <w:rPr>
          <w:spacing w:val="-1"/>
        </w:rPr>
        <w:t>、新型城镇化及智慧城市建设持续升温</w:t>
      </w:r>
      <w:r>
        <w:rPr>
          <w:b w:val="0"/>
          <w:bCs w:val="0"/>
          <w:spacing w:val="-1"/>
        </w:rPr>
      </w:r>
    </w:p>
    <w:p>
      <w:pPr>
        <w:pStyle w:val="BodyText"/>
        <w:spacing w:line="398" w:lineRule="auto" w:before="35"/>
        <w:ind w:right="206"/>
        <w:jc w:val="both"/>
      </w:pPr>
      <w:r>
        <w:rPr>
          <w:spacing w:val="-4"/>
          <w:w w:val="100"/>
        </w:rPr>
        <w:t>随着《国家新型城镇化发展规划（</w:t>
      </w:r>
      <w:r>
        <w:rPr>
          <w:rFonts w:ascii="Times New Roman" w:hAnsi="Times New Roman" w:cs="Times New Roman" w:eastAsia="Times New Roman" w:hint="default"/>
          <w:spacing w:val="-4"/>
          <w:w w:val="100"/>
        </w:rPr>
        <w:t>2014-2020</w:t>
      </w:r>
      <w:r>
        <w:rPr>
          <w:spacing w:val="-4"/>
          <w:w w:val="100"/>
        </w:rPr>
        <w:t>）》的颁布，以及《国家新型城镇化综合试点方案》</w:t>
      </w:r>
      <w:r>
        <w:rPr>
          <w:rFonts w:ascii="Times New Roman" w:hAnsi="Times New Roman" w:cs="Times New Roman" w:eastAsia="Times New Roman" w:hint="default"/>
          <w:spacing w:val="-4"/>
          <w:w w:val="100"/>
        </w:rPr>
        <w:t>“62+2”</w:t>
      </w:r>
      <w:r>
        <w:rPr>
          <w:spacing w:val="-4"/>
          <w:w w:val="100"/>
        </w:rPr>
        <w:t>试</w:t>
      </w:r>
      <w:r>
        <w:rPr>
          <w:spacing w:val="-60"/>
          <w:w w:val="100"/>
        </w:rPr>
        <w:t> </w:t>
      </w:r>
      <w:r>
        <w:rPr>
          <w:spacing w:val="-2"/>
        </w:rPr>
        <w:t>点名单的公布，持续推进以人为核心的新型城镇化建设，已经成为我国经济社会发展的重要课题，而智慧</w:t>
      </w:r>
      <w:r>
        <w:rPr>
          <w:spacing w:val="-45"/>
        </w:rPr>
        <w:t> </w:t>
      </w:r>
      <w:r>
        <w:rPr>
          <w:spacing w:val="-45"/>
        </w:rPr>
      </w:r>
      <w:r>
        <w:rPr/>
        <w:t>城市也成为建设新型城市的重要举措。</w:t>
      </w:r>
    </w:p>
    <w:p>
      <w:pPr>
        <w:pStyle w:val="BodyText"/>
        <w:spacing w:line="400" w:lineRule="auto" w:before="54"/>
        <w:ind w:right="98" w:firstLine="434"/>
        <w:jc w:val="left"/>
      </w:pPr>
      <w:r>
        <w:rPr/>
        <w:t>公司 </w:t>
      </w:r>
      <w:r>
        <w:rPr>
          <w:rFonts w:ascii="Times New Roman" w:hAnsi="Times New Roman" w:cs="Times New Roman" w:eastAsia="Times New Roman" w:hint="default"/>
        </w:rPr>
        <w:t>2010</w:t>
      </w:r>
      <w:r>
        <w:rPr>
          <w:rFonts w:ascii="Times New Roman" w:hAnsi="Times New Roman" w:cs="Times New Roman" w:eastAsia="Times New Roman" w:hint="default"/>
          <w:spacing w:val="-18"/>
        </w:rPr>
        <w:t> </w:t>
      </w:r>
      <w:r>
        <w:rPr>
          <w:spacing w:val="-5"/>
        </w:rPr>
        <w:t>年发布的</w:t>
      </w:r>
      <w:r>
        <w:rPr>
          <w:rFonts w:ascii="Times New Roman" w:hAnsi="Times New Roman" w:cs="Times New Roman" w:eastAsia="Times New Roman" w:hint="default"/>
          <w:spacing w:val="-5"/>
        </w:rPr>
        <w:t>“</w:t>
      </w:r>
      <w:r>
        <w:rPr>
          <w:spacing w:val="-5"/>
        </w:rPr>
        <w:t>智慧城市</w:t>
      </w:r>
      <w:r>
        <w:rPr>
          <w:rFonts w:ascii="Times New Roman" w:hAnsi="Times New Roman" w:cs="Times New Roman" w:eastAsia="Times New Roman" w:hint="default"/>
          <w:spacing w:val="-5"/>
        </w:rPr>
        <w:t>”</w:t>
      </w:r>
      <w:r>
        <w:rPr>
          <w:spacing w:val="-5"/>
        </w:rPr>
        <w:t>战略，超越交通、医疗、安防等垂直行业信息化的传统电子政务模式，</w:t>
      </w:r>
      <w:r>
        <w:rPr>
          <w:w w:val="100"/>
        </w:rPr>
        <w:t> </w:t>
      </w:r>
      <w:r>
        <w:rPr/>
        <w:t>倡导打破政府部门藩篱、实现城市融合服务的先进理念，并逐步得到国家政策的印证及各级政府的认同，</w:t>
      </w:r>
      <w:r>
        <w:rPr>
          <w:spacing w:val="-31"/>
        </w:rPr>
        <w:t> </w:t>
      </w:r>
      <w:r>
        <w:rPr>
          <w:spacing w:val="-31"/>
        </w:rPr>
      </w:r>
      <w:r>
        <w:rPr>
          <w:spacing w:val="-2"/>
        </w:rPr>
        <w:t>成为智慧城市规划建设的最主要趋势。公司在我国智慧城市建设理念、技术及实践方面处于领先地位，随</w:t>
      </w:r>
      <w:r>
        <w:rPr>
          <w:spacing w:val="-42"/>
        </w:rPr>
        <w:t> </w:t>
      </w:r>
      <w:r>
        <w:rPr>
          <w:spacing w:val="-42"/>
        </w:rPr>
      </w:r>
      <w:r>
        <w:rPr/>
        <w:t>着河北省等整省建设模式的推广，公司将进一步扩大合作规模和市场份额。</w:t>
      </w:r>
    </w:p>
    <w:p>
      <w:pPr>
        <w:pStyle w:val="BodyText"/>
        <w:spacing w:line="398" w:lineRule="auto" w:before="52"/>
        <w:ind w:right="98" w:firstLine="422"/>
        <w:jc w:val="left"/>
      </w:pPr>
      <w:r>
        <w:rPr>
          <w:rFonts w:ascii="Times New Roman" w:hAnsi="Times New Roman" w:cs="Times New Roman" w:eastAsia="Times New Roman" w:hint="default"/>
          <w:b/>
          <w:bCs/>
        </w:rPr>
        <w:t>2</w:t>
      </w:r>
      <w:r>
        <w:rPr>
          <w:rFonts w:ascii="宋体" w:hAnsi="宋体" w:cs="宋体" w:eastAsia="宋体" w:hint="default"/>
          <w:b/>
          <w:bCs/>
        </w:rPr>
        <w:t>、农业现代化提速，现代科技成为农业增产增收的重要支撑</w:t>
      </w:r>
      <w:r>
        <w:rPr>
          <w:rFonts w:ascii="宋体" w:hAnsi="宋体" w:cs="宋体" w:eastAsia="宋体" w:hint="default"/>
          <w:b/>
          <w:bCs/>
          <w:w w:val="100"/>
        </w:rPr>
        <w:t> </w:t>
      </w:r>
      <w:r>
        <w:rPr>
          <w:spacing w:val="-2"/>
        </w:rPr>
        <w:t>推进现代农业的发展，坚守耕地红线，提高耕种质量，促进农民增产增收，增强农业综合生产能力，转变</w:t>
      </w:r>
      <w:r>
        <w:rPr>
          <w:spacing w:val="-43"/>
        </w:rPr>
        <w:t> </w:t>
      </w:r>
      <w:r>
        <w:rPr>
          <w:spacing w:val="-43"/>
        </w:rPr>
      </w:r>
      <w:r>
        <w:rPr>
          <w:spacing w:val="-4"/>
        </w:rPr>
        <w:t>农业发展方式，保障国家粮食及食品安全，已上升为我国的国家战略。</w:t>
      </w:r>
      <w:r>
        <w:rPr>
          <w:rFonts w:ascii="Times New Roman" w:hAnsi="Times New Roman" w:cs="Times New Roman" w:eastAsia="Times New Roman" w:hint="default"/>
          <w:spacing w:val="-4"/>
        </w:rPr>
        <w:t>2013 </w:t>
      </w:r>
      <w:r>
        <w:rPr/>
        <w:t>年中央一号文件已明确提出五</w:t>
      </w:r>
      <w:r>
        <w:rPr>
          <w:spacing w:val="-97"/>
        </w:rPr>
        <w:t> </w:t>
      </w:r>
      <w:r>
        <w:rPr>
          <w:spacing w:val="-97"/>
        </w:rPr>
      </w:r>
      <w:r>
        <w:rPr>
          <w:spacing w:val="-2"/>
        </w:rPr>
        <w:t>年内完成农村土地承包经营权的确权颁证工作，并推动土地承包经营权的有序流转，这是我国农村进一步</w:t>
      </w:r>
      <w:r>
        <w:rPr>
          <w:spacing w:val="-44"/>
        </w:rPr>
        <w:t> </w:t>
      </w:r>
      <w:r>
        <w:rPr>
          <w:spacing w:val="-44"/>
        </w:rPr>
      </w:r>
      <w:r>
        <w:rPr/>
        <w:t>深化改革的起点和出发点。</w:t>
      </w:r>
    </w:p>
    <w:p>
      <w:pPr>
        <w:pStyle w:val="BodyText"/>
        <w:spacing w:line="408" w:lineRule="auto" w:before="55"/>
        <w:ind w:right="98" w:firstLine="434"/>
        <w:jc w:val="left"/>
      </w:pPr>
      <w:r>
        <w:rPr>
          <w:spacing w:val="-3"/>
        </w:rPr>
        <w:t>公司通过并购中农信达，具备了进入农业信息化领域的能力。后续，公司将进一步将其他行业所积累</w:t>
      </w:r>
      <w:r>
        <w:rPr>
          <w:w w:val="100"/>
        </w:rPr>
        <w:t> </w:t>
      </w:r>
      <w:r>
        <w:rPr>
          <w:spacing w:val="-2"/>
        </w:rPr>
        <w:t>的丰富的信息技术和经验快速复制到农业领域，实现对农业信息化的全面布局，提升信息技术对现代农业</w:t>
      </w:r>
      <w:r>
        <w:rPr>
          <w:spacing w:val="-44"/>
        </w:rPr>
        <w:t> </w:t>
      </w:r>
      <w:r>
        <w:rPr>
          <w:spacing w:val="-44"/>
        </w:rPr>
      </w:r>
      <w:r>
        <w:rPr/>
        <w:t>生产、经营、管理的支撑作用，为我国农村产权交易、农村金融服务、农业技术应用、农产品安全溯源、</w:t>
      </w:r>
      <w:r>
        <w:rPr>
          <w:spacing w:val="-31"/>
        </w:rPr>
        <w:t> </w:t>
      </w:r>
      <w:r>
        <w:rPr>
          <w:spacing w:val="-31"/>
        </w:rPr>
      </w:r>
      <w:r>
        <w:rPr/>
        <w:t>农资及农产品流通等提供专业高效的服务。</w:t>
      </w:r>
    </w:p>
    <w:p>
      <w:pPr>
        <w:spacing w:line="386" w:lineRule="auto" w:before="46"/>
        <w:ind w:left="153" w:right="203" w:firstLine="42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、信息技术安全可靠持续推进，国内</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IT</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产业格局面临重塑</w:t>
      </w:r>
      <w:r>
        <w:rPr>
          <w:rFonts w:ascii="宋体" w:hAnsi="宋体" w:cs="宋体" w:eastAsia="宋体" w:hint="default"/>
          <w:b/>
          <w:bCs/>
          <w:w w:val="100"/>
          <w:sz w:val="21"/>
          <w:szCs w:val="21"/>
        </w:rPr>
        <w:t> </w:t>
      </w:r>
      <w:r>
        <w:rPr>
          <w:rFonts w:ascii="宋体" w:hAnsi="宋体" w:cs="宋体" w:eastAsia="宋体" w:hint="default"/>
          <w:spacing w:val="-4"/>
          <w:sz w:val="21"/>
          <w:szCs w:val="21"/>
        </w:rPr>
        <w:t>国家信息安全战略及安全可靠信息技术的推广，为我国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29"/>
          <w:sz w:val="21"/>
          <w:szCs w:val="21"/>
        </w:rPr>
        <w:t> </w:t>
      </w:r>
      <w:r>
        <w:rPr>
          <w:rFonts w:ascii="宋体" w:hAnsi="宋体" w:cs="宋体" w:eastAsia="宋体" w:hint="default"/>
          <w:spacing w:val="-5"/>
          <w:sz w:val="21"/>
          <w:szCs w:val="21"/>
        </w:rPr>
        <w:t>产业的发展带来了重要机遇，将重塑产业格局，</w:t>
      </w:r>
    </w:p>
    <w:p>
      <w:pPr>
        <w:spacing w:after="0" w:line="386" w:lineRule="auto"/>
        <w:jc w:val="left"/>
        <w:rPr>
          <w:rFonts w:ascii="宋体" w:hAnsi="宋体" w:cs="宋体" w:eastAsia="宋体" w:hint="default"/>
          <w:sz w:val="21"/>
          <w:szCs w:val="21"/>
        </w:rPr>
        <w:sectPr>
          <w:pgSz w:w="11910" w:h="16840"/>
          <w:pgMar w:header="0" w:footer="1227" w:top="1060" w:bottom="1420" w:left="980" w:right="920"/>
        </w:sectPr>
      </w:pPr>
    </w:p>
    <w:p>
      <w:pPr>
        <w:spacing w:line="240" w:lineRule="auto" w:before="0"/>
        <w:rPr>
          <w:rFonts w:ascii="宋体" w:hAnsi="宋体" w:cs="宋体" w:eastAsia="宋体" w:hint="default"/>
          <w:sz w:val="20"/>
          <w:szCs w:val="20"/>
        </w:rPr>
      </w:pPr>
    </w:p>
    <w:p>
      <w:pPr>
        <w:pStyle w:val="BodyText"/>
        <w:spacing w:line="386" w:lineRule="auto" w:before="175"/>
        <w:ind w:right="98"/>
        <w:jc w:val="left"/>
      </w:pPr>
      <w:r>
        <w:rPr/>
        <w:t>推动我国 </w:t>
      </w:r>
      <w:r>
        <w:rPr>
          <w:rFonts w:ascii="Times New Roman" w:hAnsi="Times New Roman" w:cs="Times New Roman" w:eastAsia="Times New Roman" w:hint="default"/>
        </w:rPr>
        <w:t>IT </w:t>
      </w:r>
      <w:r>
        <w:rPr>
          <w:spacing w:val="-5"/>
        </w:rPr>
        <w:t>产业实现自主自强的发展。随着金融、军队等行业安全可靠发展规范的颁布，预计未来几年，</w:t>
      </w:r>
      <w:r>
        <w:rPr>
          <w:spacing w:val="-80"/>
        </w:rPr>
        <w:t> </w:t>
      </w:r>
      <w:r>
        <w:rPr>
          <w:spacing w:val="-80"/>
        </w:rPr>
      </w:r>
      <w:r>
        <w:rPr/>
        <w:t>安全可靠将成为我国很多重要行业的信息化建设主题。</w:t>
      </w:r>
    </w:p>
    <w:p>
      <w:pPr>
        <w:pStyle w:val="BodyText"/>
        <w:spacing w:line="386" w:lineRule="auto" w:before="65"/>
        <w:ind w:right="98"/>
        <w:jc w:val="left"/>
      </w:pPr>
      <w:r>
        <w:rPr/>
        <w:t>占公司利润贡献最大份额的</w:t>
      </w:r>
      <w:r>
        <w:rPr>
          <w:spacing w:val="-55"/>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规划咨询、行业应用软件开发、专业技术服务等自有业务，在国内均处于</w:t>
      </w:r>
      <w:r>
        <w:rPr>
          <w:w w:val="100"/>
        </w:rPr>
        <w:t> </w:t>
      </w:r>
      <w:r>
        <w:rPr>
          <w:spacing w:val="-6"/>
        </w:rPr>
        <w:t>领先地位，并在以往与国际知名 </w:t>
      </w:r>
      <w:r>
        <w:rPr>
          <w:rFonts w:ascii="Times New Roman" w:hAnsi="Times New Roman" w:cs="Times New Roman" w:eastAsia="Times New Roman" w:hint="default"/>
        </w:rPr>
        <w:t>IT </w:t>
      </w:r>
      <w:r>
        <w:rPr>
          <w:spacing w:val="-4"/>
        </w:rPr>
        <w:t>企业的竞争中形成了明显的优势。随着国家信息安全战略的持续落地，</w:t>
      </w:r>
      <w:r>
        <w:rPr>
          <w:spacing w:val="-68"/>
        </w:rPr>
        <w:t> </w:t>
      </w:r>
      <w:r>
        <w:rPr>
          <w:spacing w:val="-68"/>
        </w:rPr>
      </w:r>
      <w:r>
        <w:rPr/>
        <w:t>公司相关自有业务将迎来前所未有的发展机遇。</w:t>
      </w:r>
    </w:p>
    <w:p>
      <w:pPr>
        <w:pStyle w:val="Heading4"/>
        <w:spacing w:line="240" w:lineRule="auto" w:before="65"/>
        <w:ind w:left="575" w:right="98"/>
        <w:jc w:val="left"/>
        <w:rPr>
          <w:b w:val="0"/>
          <w:bCs w:val="0"/>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产业发展升级，以应用为主导的管理和服务创新时代来临</w:t>
      </w:r>
      <w:r>
        <w:rPr>
          <w:b w:val="0"/>
          <w:bCs w:val="0"/>
        </w:rPr>
      </w:r>
    </w:p>
    <w:p>
      <w:pPr>
        <w:pStyle w:val="BodyText"/>
        <w:spacing w:line="398" w:lineRule="auto" w:before="177"/>
        <w:ind w:right="211"/>
        <w:jc w:val="both"/>
      </w:pPr>
      <w:r>
        <w:rPr/>
        <w:t>我国</w:t>
      </w:r>
      <w:r>
        <w:rPr>
          <w:spacing w:val="-57"/>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产业经历了三十余年的发展，已开始由以硬件为主的</w:t>
      </w:r>
      <w:r>
        <w:rPr>
          <w:spacing w:val="-57"/>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基础设施大规模采购和建设阶段，逐步向</w:t>
      </w:r>
      <w:r>
        <w:rPr>
          <w:w w:val="100"/>
        </w:rPr>
        <w:t> </w:t>
      </w:r>
      <w:r>
        <w:rPr>
          <w:spacing w:val="-2"/>
        </w:rPr>
        <w:t>以软件、服务为主的应用创新、管理创新和服务创新升级，并将最终实现硬件、服务和软件市场份额的均</w:t>
      </w:r>
      <w:r>
        <w:rPr>
          <w:spacing w:val="-50"/>
        </w:rPr>
        <w:t> </w:t>
      </w:r>
      <w:r>
        <w:rPr>
          <w:spacing w:val="-50"/>
        </w:rPr>
      </w:r>
      <w:r>
        <w:rPr/>
        <w:t>衡发展。</w:t>
      </w:r>
    </w:p>
    <w:p>
      <w:pPr>
        <w:pStyle w:val="BodyText"/>
        <w:spacing w:line="398" w:lineRule="auto" w:before="54"/>
        <w:ind w:right="98"/>
        <w:jc w:val="left"/>
      </w:pPr>
      <w:r>
        <w:rPr/>
        <w:t>公司自</w:t>
      </w:r>
      <w:r>
        <w:rPr>
          <w:spacing w:val="-5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年代初便重点布局了行业软件及服务业务，经过十余年的精心培育和发展，如今，公司在我</w:t>
      </w:r>
      <w:r>
        <w:rPr>
          <w:w w:val="100"/>
        </w:rPr>
        <w:t> </w:t>
      </w:r>
      <w:r>
        <w:rPr>
          <w:spacing w:val="-2"/>
        </w:rPr>
        <w:t>国金融、电信、政企、城市等主要细分市场的软件服务领域均名列前茅。而依托软件服务能力建立的行业</w:t>
      </w:r>
      <w:r>
        <w:rPr>
          <w:spacing w:val="-44"/>
        </w:rPr>
        <w:t> </w:t>
      </w:r>
      <w:r>
        <w:rPr>
          <w:spacing w:val="-44"/>
        </w:rPr>
      </w:r>
      <w:r>
        <w:rPr/>
        <w:t>公共云服务平台，将进一步提升公司在各细分市场的占有率、竞争力和客户粘性。</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4"/>
        <w:spacing w:line="240" w:lineRule="auto"/>
        <w:ind w:left="575" w:right="98"/>
        <w:jc w:val="left"/>
        <w:rPr>
          <w:b w:val="0"/>
          <w:bCs w:val="0"/>
        </w:rPr>
      </w:pPr>
      <w:r>
        <w:rPr/>
        <w:t>（二）未来发展战略</w:t>
      </w:r>
      <w:r>
        <w:rPr>
          <w:b w:val="0"/>
          <w:bCs w:val="0"/>
        </w:rPr>
      </w:r>
    </w:p>
    <w:p>
      <w:pPr>
        <w:spacing w:line="240" w:lineRule="auto" w:before="10"/>
        <w:rPr>
          <w:rFonts w:ascii="宋体" w:hAnsi="宋体" w:cs="宋体" w:eastAsia="宋体" w:hint="default"/>
          <w:b/>
          <w:bCs/>
          <w:sz w:val="14"/>
          <w:szCs w:val="14"/>
        </w:rPr>
      </w:pPr>
    </w:p>
    <w:p>
      <w:pPr>
        <w:pStyle w:val="BodyText"/>
        <w:spacing w:line="400" w:lineRule="auto"/>
        <w:ind w:right="98" w:firstLine="420"/>
        <w:jc w:val="left"/>
      </w:pPr>
      <w:r>
        <w:rPr>
          <w:spacing w:val="-1"/>
          <w:w w:val="100"/>
        </w:rPr>
        <w:t>按照公司所制定的《</w:t>
      </w:r>
      <w:r>
        <w:rPr>
          <w:rFonts w:ascii="Times New Roman" w:hAnsi="Times New Roman" w:cs="Times New Roman" w:eastAsia="Times New Roman" w:hint="default"/>
          <w:spacing w:val="-1"/>
          <w:w w:val="100"/>
        </w:rPr>
        <w:t>2015-2017</w:t>
      </w:r>
      <w:r>
        <w:rPr>
          <w:rFonts w:ascii="Times New Roman" w:hAnsi="Times New Roman" w:cs="Times New Roman" w:eastAsia="Times New Roman" w:hint="default"/>
          <w:spacing w:val="1"/>
          <w:w w:val="100"/>
        </w:rPr>
        <w:t> </w:t>
      </w:r>
      <w:r>
        <w:rPr>
          <w:spacing w:val="-5"/>
          <w:w w:val="100"/>
        </w:rPr>
        <w:t>战略规划》，公司将围绕</w:t>
      </w:r>
      <w:r>
        <w:rPr>
          <w:rFonts w:ascii="Times New Roman" w:hAnsi="Times New Roman" w:cs="Times New Roman" w:eastAsia="Times New Roman" w:hint="default"/>
          <w:spacing w:val="-5"/>
          <w:w w:val="100"/>
        </w:rPr>
        <w:t>“</w:t>
      </w:r>
      <w:r>
        <w:rPr>
          <w:spacing w:val="-5"/>
          <w:w w:val="100"/>
        </w:rPr>
        <w:t>智慧城市</w:t>
      </w:r>
      <w:r>
        <w:rPr>
          <w:rFonts w:ascii="Times New Roman" w:hAnsi="Times New Roman" w:cs="Times New Roman" w:eastAsia="Times New Roman" w:hint="default"/>
          <w:spacing w:val="-5"/>
          <w:w w:val="100"/>
        </w:rPr>
        <w:t>+</w:t>
      </w:r>
      <w:r>
        <w:rPr>
          <w:spacing w:val="-5"/>
          <w:w w:val="100"/>
        </w:rPr>
        <w:t>智慧农村</w:t>
      </w:r>
      <w:r>
        <w:rPr>
          <w:rFonts w:ascii="Times New Roman" w:hAnsi="Times New Roman" w:cs="Times New Roman" w:eastAsia="Times New Roman" w:hint="default"/>
          <w:spacing w:val="-5"/>
          <w:w w:val="100"/>
        </w:rPr>
        <w:t>”</w:t>
      </w:r>
      <w:r>
        <w:rPr>
          <w:spacing w:val="-5"/>
          <w:w w:val="100"/>
        </w:rPr>
        <w:t>的总体战略方向，充分</w:t>
      </w:r>
      <w:r>
        <w:rPr>
          <w:w w:val="100"/>
        </w:rPr>
        <w:t> </w:t>
      </w:r>
      <w:r>
        <w:rPr>
          <w:spacing w:val="-7"/>
        </w:rPr>
        <w:t>发挥行业客户覆盖优势，大力发展需求可持续、服务可规模化的自有业务，减少项目型业务，提升产品型、</w:t>
      </w:r>
      <w:r>
        <w:rPr>
          <w:spacing w:val="-20"/>
        </w:rPr>
        <w:t> </w:t>
      </w:r>
      <w:r>
        <w:rPr>
          <w:spacing w:val="-20"/>
        </w:rPr>
      </w:r>
      <w:r>
        <w:rPr>
          <w:spacing w:val="-2"/>
        </w:rPr>
        <w:t>平台型业务的占比；改变公司的发展模式，建立面向客户的整合营销体系，探索软硬融合的运营及运维发</w:t>
      </w:r>
      <w:r>
        <w:rPr>
          <w:spacing w:val="-43"/>
        </w:rPr>
        <w:t> </w:t>
      </w:r>
      <w:r>
        <w:rPr>
          <w:spacing w:val="-43"/>
        </w:rPr>
      </w:r>
      <w:r>
        <w:rPr/>
        <w:t>展模式。</w:t>
      </w:r>
    </w:p>
    <w:p>
      <w:pPr>
        <w:pStyle w:val="BodyText"/>
        <w:spacing w:line="403" w:lineRule="auto" w:before="52"/>
        <w:ind w:right="98" w:firstLine="420"/>
        <w:jc w:val="left"/>
      </w:pPr>
      <w:r>
        <w:rPr/>
        <w:t>针对公司各类业务布局，适应我国</w:t>
      </w:r>
      <w:r>
        <w:rPr>
          <w:spacing w:val="-56"/>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产业需求升级、专业技术服务快速增长的市场趋势，大力发展</w:t>
      </w:r>
      <w:r>
        <w:rPr>
          <w:w w:val="100"/>
        </w:rPr>
        <w:t> </w:t>
      </w:r>
      <w:r>
        <w:rPr>
          <w:spacing w:val="-2"/>
        </w:rPr>
        <w:t>自有技术服务等支撑性业务，确保公司当期持续稳定的发展；把握应用软件引领行业管理及服务创新的发</w:t>
      </w:r>
      <w:r>
        <w:rPr>
          <w:spacing w:val="-43"/>
        </w:rPr>
        <w:t> </w:t>
      </w:r>
      <w:r>
        <w:rPr>
          <w:spacing w:val="-43"/>
        </w:rPr>
      </w:r>
      <w:r>
        <w:rPr>
          <w:spacing w:val="-2"/>
        </w:rPr>
        <w:t>展机遇，持续优化自有软件和产品等发展性业务，提升业务规模和盈利贡献；顺应云计算、大数据等新的</w:t>
      </w:r>
      <w:r>
        <w:rPr>
          <w:spacing w:val="-47"/>
        </w:rPr>
        <w:t> </w:t>
      </w:r>
      <w:r>
        <w:rPr>
          <w:spacing w:val="-47"/>
        </w:rPr>
      </w:r>
      <w:r>
        <w:rPr>
          <w:spacing w:val="-2"/>
        </w:rPr>
        <w:t>产业发展趋势，快速推进行业云平台等战略性业务，加强用户数及业务流量的累积，运用大数据技术创新</w:t>
      </w:r>
      <w:r>
        <w:rPr>
          <w:spacing w:val="-44"/>
        </w:rPr>
        <w:t> </w:t>
      </w:r>
      <w:r>
        <w:rPr>
          <w:spacing w:val="-44"/>
        </w:rPr>
      </w:r>
      <w:r>
        <w:rPr/>
        <w:t>应用，推动平台业务模式的全面落地和逐步成熟。</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4"/>
        <w:spacing w:line="240" w:lineRule="auto"/>
        <w:ind w:left="575" w:right="98"/>
        <w:jc w:val="left"/>
        <w:rPr>
          <w:b w:val="0"/>
          <w:bCs w:val="0"/>
        </w:rPr>
      </w:pPr>
      <w:r>
        <w:rPr/>
        <w:t>（三）下一年度经营计划</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ind w:right="98" w:firstLine="42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spacing w:val="-4"/>
        </w:rPr>
        <w:t>年，是公司新三年战略规划的开局之年，为确保年度战略目标的实现，公司制定的年度重点工作</w:t>
      </w:r>
      <w:r>
        <w:rPr>
          <w:w w:val="100"/>
        </w:rPr>
        <w:t> </w:t>
      </w:r>
      <w:r>
        <w:rPr/>
        <w:t>及经营计划是：</w:t>
      </w:r>
    </w:p>
    <w:p>
      <w:pPr>
        <w:spacing w:line="386" w:lineRule="auto" w:before="65"/>
        <w:ind w:left="573" w:right="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、跨部门的营销模式整合</w:t>
      </w:r>
      <w:r>
        <w:rPr>
          <w:rFonts w:ascii="宋体" w:hAnsi="宋体" w:cs="宋体" w:eastAsia="宋体" w:hint="default"/>
          <w:b/>
          <w:bCs/>
          <w:w w:val="100"/>
          <w:sz w:val="21"/>
          <w:szCs w:val="21"/>
        </w:rPr>
        <w:t> </w:t>
      </w:r>
      <w:r>
        <w:rPr>
          <w:rFonts w:ascii="宋体" w:hAnsi="宋体" w:cs="宋体" w:eastAsia="宋体" w:hint="default"/>
          <w:sz w:val="21"/>
          <w:szCs w:val="21"/>
        </w:rPr>
        <w:t>为全面推动公司自有软件等产品的市场规模和盈利贡献，梳理和明确公司的产品系列及发展路线图，</w:t>
      </w:r>
    </w:p>
    <w:p>
      <w:pPr>
        <w:spacing w:after="0" w:line="386" w:lineRule="auto"/>
        <w:jc w:val="left"/>
        <w:rPr>
          <w:rFonts w:ascii="宋体" w:hAnsi="宋体" w:cs="宋体" w:eastAsia="宋体" w:hint="default"/>
          <w:sz w:val="21"/>
          <w:szCs w:val="21"/>
        </w:rPr>
        <w:sectPr>
          <w:pgSz w:w="11910" w:h="16840"/>
          <w:pgMar w:header="0" w:footer="1227" w:top="1060" w:bottom="1420" w:left="980" w:right="920"/>
        </w:sectPr>
      </w:pPr>
    </w:p>
    <w:p>
      <w:pPr>
        <w:spacing w:line="240" w:lineRule="auto" w:before="0"/>
        <w:rPr>
          <w:rFonts w:ascii="宋体" w:hAnsi="宋体" w:cs="宋体" w:eastAsia="宋体" w:hint="default"/>
          <w:sz w:val="20"/>
          <w:szCs w:val="20"/>
        </w:rPr>
      </w:pPr>
    </w:p>
    <w:p>
      <w:pPr>
        <w:pStyle w:val="BodyText"/>
        <w:spacing w:line="386" w:lineRule="auto" w:before="175"/>
        <w:ind w:right="98"/>
        <w:jc w:val="left"/>
      </w:pPr>
      <w:r>
        <w:rPr>
          <w:spacing w:val="-2"/>
        </w:rPr>
        <w:t>全面推进</w:t>
      </w:r>
      <w:r>
        <w:rPr>
          <w:rFonts w:ascii="Times New Roman" w:hAnsi="Times New Roman" w:cs="Times New Roman" w:eastAsia="Times New Roman" w:hint="default"/>
          <w:spacing w:val="-2"/>
        </w:rPr>
        <w:t>“</w:t>
      </w:r>
      <w:r>
        <w:rPr>
          <w:spacing w:val="-2"/>
        </w:rPr>
        <w:t>自有、通用</w:t>
      </w:r>
      <w:r>
        <w:rPr>
          <w:rFonts w:ascii="Times New Roman" w:hAnsi="Times New Roman" w:cs="Times New Roman" w:eastAsia="Times New Roman" w:hint="default"/>
          <w:spacing w:val="-2"/>
        </w:rPr>
        <w:t>”</w:t>
      </w:r>
      <w:r>
        <w:rPr>
          <w:spacing w:val="-2"/>
        </w:rPr>
        <w:t>软件产品的规划与布局，统一内部产品资源供给体系，整合跨部门的客户营销，完</w:t>
      </w:r>
      <w:r>
        <w:rPr>
          <w:spacing w:val="-19"/>
        </w:rPr>
        <w:t> </w:t>
      </w:r>
      <w:r>
        <w:rPr>
          <w:spacing w:val="-19"/>
        </w:rPr>
      </w:r>
      <w:r>
        <w:rPr/>
        <w:t>善面向客户的产品化生产及营销体系。</w:t>
      </w:r>
    </w:p>
    <w:p>
      <w:pPr>
        <w:pStyle w:val="BodyText"/>
        <w:spacing w:line="386" w:lineRule="auto" w:before="65"/>
        <w:ind w:left="573" w:right="98" w:firstLine="2"/>
        <w:jc w:val="left"/>
      </w:pPr>
      <w:r>
        <w:rPr>
          <w:rFonts w:ascii="Times New Roman" w:hAnsi="Times New Roman" w:cs="Times New Roman" w:eastAsia="Times New Roman" w:hint="default"/>
          <w:b/>
          <w:bCs/>
        </w:rPr>
        <w:t>2</w:t>
      </w:r>
      <w:r>
        <w:rPr>
          <w:rFonts w:ascii="宋体" w:hAnsi="宋体" w:cs="宋体" w:eastAsia="宋体" w:hint="default"/>
          <w:b/>
          <w:bCs/>
        </w:rPr>
        <w:t>、加强内控体系建设</w:t>
      </w:r>
      <w:r>
        <w:rPr>
          <w:rFonts w:ascii="宋体" w:hAnsi="宋体" w:cs="宋体" w:eastAsia="宋体" w:hint="default"/>
          <w:b/>
          <w:bCs/>
          <w:w w:val="100"/>
        </w:rPr>
        <w:t> </w:t>
      </w:r>
      <w:r>
        <w:rPr>
          <w:spacing w:val="-2"/>
        </w:rPr>
        <w:t>按照上市公司的内控合规要求，从战略管理、业务流程控制、营销管理等方面进一步细化和完善公司</w:t>
      </w:r>
    </w:p>
    <w:p>
      <w:pPr>
        <w:pStyle w:val="BodyText"/>
        <w:spacing w:line="408" w:lineRule="auto" w:before="65"/>
        <w:ind w:right="98"/>
        <w:jc w:val="left"/>
      </w:pPr>
      <w:r>
        <w:rPr>
          <w:spacing w:val="-2"/>
        </w:rPr>
        <w:t>的内控体系建设，健全风险管控机制，规范企业运作及员工行为，提升公司的管理水平和抗风险能力，夯</w:t>
      </w:r>
      <w:r>
        <w:rPr>
          <w:spacing w:val="-47"/>
        </w:rPr>
        <w:t> </w:t>
      </w:r>
      <w:r>
        <w:rPr>
          <w:spacing w:val="-47"/>
        </w:rPr>
      </w:r>
      <w:r>
        <w:rPr/>
        <w:t>实发展基础，确保公司及业务健康规范地发展。</w:t>
      </w:r>
    </w:p>
    <w:p>
      <w:pPr>
        <w:spacing w:line="386" w:lineRule="auto" w:before="46"/>
        <w:ind w:left="573" w:right="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、组织建设及激励机制优化</w:t>
      </w:r>
      <w:r>
        <w:rPr>
          <w:rFonts w:ascii="宋体" w:hAnsi="宋体" w:cs="宋体" w:eastAsia="宋体" w:hint="default"/>
          <w:b/>
          <w:bCs/>
          <w:w w:val="100"/>
          <w:sz w:val="21"/>
          <w:szCs w:val="21"/>
        </w:rPr>
        <w:t> </w:t>
      </w:r>
      <w:r>
        <w:rPr>
          <w:rFonts w:ascii="宋体" w:hAnsi="宋体" w:cs="宋体" w:eastAsia="宋体" w:hint="default"/>
          <w:spacing w:val="-5"/>
          <w:sz w:val="21"/>
          <w:szCs w:val="21"/>
        </w:rPr>
        <w:t>适应战略规划及业务布局对组织建设及人员培养的要求，进一步强化积极向上、充满活力的组织氛围，</w:t>
      </w:r>
    </w:p>
    <w:p>
      <w:pPr>
        <w:pStyle w:val="BodyText"/>
        <w:spacing w:line="408" w:lineRule="auto" w:before="65"/>
        <w:ind w:right="98"/>
        <w:jc w:val="left"/>
      </w:pPr>
      <w:r>
        <w:rPr>
          <w:spacing w:val="-7"/>
        </w:rPr>
        <w:t>鼓励创新与创造。同时，细化和优化公司当期、中期及长期的考核激励机制，让公司员工与企业共同成长，</w:t>
      </w:r>
      <w:r>
        <w:rPr>
          <w:spacing w:val="-19"/>
        </w:rPr>
        <w:t> </w:t>
      </w:r>
      <w:r>
        <w:rPr>
          <w:spacing w:val="-19"/>
        </w:rPr>
      </w:r>
      <w:r>
        <w:rPr/>
        <w:t>提升专业能力和价值创造；重点优化技术人员效能提升的有效方法，提高公司技术发展的驱动力。</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left="573" w:right="283" w:firstLine="2"/>
        <w:jc w:val="left"/>
      </w:pPr>
      <w:r>
        <w:rPr>
          <w:rFonts w:ascii="宋体" w:hAnsi="宋体" w:cs="宋体" w:eastAsia="宋体" w:hint="default"/>
          <w:b/>
          <w:bCs/>
        </w:rPr>
        <w:t>（四）资金需求</w:t>
      </w:r>
      <w:r>
        <w:rPr>
          <w:rFonts w:ascii="宋体" w:hAnsi="宋体" w:cs="宋体" w:eastAsia="宋体" w:hint="default"/>
          <w:b/>
          <w:bCs/>
          <w:w w:val="100"/>
        </w:rPr>
        <w:t> </w:t>
      </w:r>
      <w:r>
        <w:rPr/>
        <w:t>为确保公司新三年战略规划的有效推进和资源保障，保持公司现有业务的正常开展并实现</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年经</w:t>
      </w:r>
    </w:p>
    <w:p>
      <w:pPr>
        <w:pStyle w:val="BodyText"/>
        <w:spacing w:line="240" w:lineRule="auto" w:before="14"/>
        <w:ind w:right="98"/>
        <w:jc w:val="left"/>
      </w:pPr>
      <w:r>
        <w:rPr/>
        <w:t>营目标，公司需要一定的资金支持，本公司拟通过融资、自筹及经营积累等多种方式解决资金需要。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8"/>
        <w:ind w:left="575" w:right="98"/>
        <w:jc w:val="left"/>
        <w:rPr>
          <w:b w:val="0"/>
          <w:bCs w:val="0"/>
        </w:rPr>
      </w:pPr>
      <w:r>
        <w:rPr/>
        <w:t>（五）未来面对的风险</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ind w:left="573" w:right="98" w:firstLine="2"/>
        <w:jc w:val="left"/>
      </w:pPr>
      <w:r>
        <w:rPr>
          <w:rFonts w:ascii="Times New Roman" w:hAnsi="Times New Roman" w:cs="Times New Roman" w:eastAsia="Times New Roman" w:hint="default"/>
          <w:b/>
          <w:bCs/>
        </w:rPr>
        <w:t>1</w:t>
      </w:r>
      <w:r>
        <w:rPr>
          <w:rFonts w:ascii="宋体" w:hAnsi="宋体" w:cs="宋体" w:eastAsia="宋体" w:hint="default"/>
          <w:b/>
          <w:bCs/>
        </w:rPr>
        <w:t>、市场风险</w:t>
      </w:r>
      <w:r>
        <w:rPr>
          <w:rFonts w:ascii="宋体" w:hAnsi="宋体" w:cs="宋体" w:eastAsia="宋体" w:hint="default"/>
          <w:b/>
          <w:bCs/>
          <w:w w:val="100"/>
        </w:rPr>
        <w:t> </w:t>
      </w:r>
      <w:r>
        <w:rPr>
          <w:spacing w:val="-2"/>
        </w:rPr>
        <w:t>随着近年来行业客户需求的增长以及虚拟化、云计算、移动互联等新技术和模式的出现，我国的软件</w:t>
      </w:r>
    </w:p>
    <w:p>
      <w:pPr>
        <w:pStyle w:val="BodyText"/>
        <w:spacing w:line="386" w:lineRule="auto" w:before="65"/>
        <w:ind w:right="98"/>
        <w:jc w:val="left"/>
      </w:pPr>
      <w:r>
        <w:rPr>
          <w:spacing w:val="-3"/>
        </w:rPr>
        <w:t>与信息技术服务市场规模不断扩大，市场竞争也不断加剧。</w:t>
      </w:r>
      <w:r>
        <w:rPr>
          <w:rFonts w:ascii="Times New Roman" w:hAnsi="Times New Roman" w:cs="Times New Roman" w:eastAsia="Times New Roman" w:hint="default"/>
          <w:spacing w:val="-3"/>
        </w:rPr>
        <w:t>2014 </w:t>
      </w:r>
      <w:r>
        <w:rPr>
          <w:spacing w:val="-3"/>
        </w:rPr>
        <w:t>年，公司依旧面临着现有产品及服务市场</w:t>
      </w:r>
      <w:r>
        <w:rPr>
          <w:spacing w:val="-93"/>
        </w:rPr>
        <w:t> </w:t>
      </w:r>
      <w:r>
        <w:rPr>
          <w:spacing w:val="-93"/>
        </w:rPr>
      </w:r>
      <w:r>
        <w:rPr/>
        <w:t>竞争加剧的风险，在个别细分市场或者项目上可能出现价格战等不规范竞争。</w:t>
      </w:r>
    </w:p>
    <w:p>
      <w:pPr>
        <w:pStyle w:val="Heading4"/>
        <w:spacing w:line="240" w:lineRule="auto" w:before="65"/>
        <w:ind w:left="575" w:right="98"/>
        <w:jc w:val="left"/>
        <w:rPr>
          <w:b w:val="0"/>
          <w:bCs w:val="0"/>
        </w:rPr>
      </w:pPr>
      <w:r>
        <w:rPr>
          <w:rFonts w:ascii="Times New Roman" w:hAnsi="Times New Roman" w:cs="Times New Roman" w:eastAsia="Times New Roman" w:hint="default"/>
        </w:rPr>
        <w:t>2</w:t>
      </w:r>
      <w:r>
        <w:rPr/>
        <w:t>、产品技术风险</w:t>
      </w:r>
      <w:r>
        <w:rPr>
          <w:b w:val="0"/>
          <w:bCs w:val="0"/>
        </w:rPr>
      </w:r>
    </w:p>
    <w:p>
      <w:pPr>
        <w:pStyle w:val="BodyText"/>
        <w:spacing w:line="403" w:lineRule="auto" w:before="177"/>
        <w:ind w:right="206" w:firstLine="420"/>
        <w:jc w:val="both"/>
      </w:pPr>
      <w:r>
        <w:rPr>
          <w:spacing w:val="-4"/>
        </w:rPr>
        <w:t>神州信息十分注重技术产品开发的质量，并依据 </w:t>
      </w:r>
      <w:r>
        <w:rPr>
          <w:rFonts w:ascii="Times New Roman" w:hAnsi="Times New Roman" w:cs="Times New Roman" w:eastAsia="Times New Roman" w:hint="default"/>
        </w:rPr>
        <w:t>GB/T19001-2000 idt</w:t>
      </w:r>
      <w:r>
        <w:rPr/>
        <w:t>、 </w:t>
      </w:r>
      <w:r>
        <w:rPr>
          <w:rFonts w:ascii="Times New Roman" w:hAnsi="Times New Roman" w:cs="Times New Roman" w:eastAsia="Times New Roman" w:hint="default"/>
        </w:rPr>
        <w:t>ISO9000 </w:t>
      </w:r>
      <w:r>
        <w:rPr/>
        <w:t>和 </w:t>
      </w:r>
      <w:r>
        <w:rPr>
          <w:rFonts w:ascii="Times New Roman" w:hAnsi="Times New Roman" w:cs="Times New Roman" w:eastAsia="Times New Roman" w:hint="default"/>
        </w:rPr>
        <w:t>CMMI</w:t>
      </w:r>
      <w:r>
        <w:rPr>
          <w:rFonts w:ascii="Times New Roman" w:hAnsi="Times New Roman" w:cs="Times New Roman" w:eastAsia="Times New Roman" w:hint="default"/>
          <w:spacing w:val="40"/>
        </w:rPr>
        <w:t> </w:t>
      </w:r>
      <w:r>
        <w:rPr/>
        <w:t>等系列标</w:t>
      </w:r>
      <w:r>
        <w:rPr>
          <w:w w:val="100"/>
        </w:rPr>
        <w:t> </w:t>
      </w:r>
      <w:r>
        <w:rPr>
          <w:spacing w:val="-2"/>
        </w:rPr>
        <w:t>准，结合自身丰富的技术开发经验，形成了有效的技术管理体系和质量控制标准。但是由于软件开发具有</w:t>
      </w:r>
      <w:r>
        <w:rPr>
          <w:spacing w:val="-44"/>
        </w:rPr>
        <w:t> </w:t>
      </w:r>
      <w:r>
        <w:rPr>
          <w:spacing w:val="-44"/>
        </w:rPr>
      </w:r>
      <w:r>
        <w:rPr>
          <w:spacing w:val="-2"/>
        </w:rPr>
        <w:t>高度的复杂性，公司无法完全避免开发的软件和技术产品存在缺陷的可能。如果公司开发的软件技术产品</w:t>
      </w:r>
      <w:r>
        <w:rPr>
          <w:spacing w:val="-42"/>
        </w:rPr>
        <w:t> </w:t>
      </w:r>
      <w:r>
        <w:rPr>
          <w:spacing w:val="-42"/>
        </w:rPr>
      </w:r>
      <w:r>
        <w:rPr>
          <w:spacing w:val="-2"/>
        </w:rPr>
        <w:t>出现质量问题，可能将对客户的业务运作产生不利影响，并可能因此额外增加公司的成本。此外，产品质</w:t>
      </w:r>
      <w:r>
        <w:rPr>
          <w:spacing w:val="-47"/>
        </w:rPr>
        <w:t> </w:t>
      </w:r>
      <w:r>
        <w:rPr>
          <w:spacing w:val="-47"/>
        </w:rPr>
      </w:r>
      <w:r>
        <w:rPr/>
        <w:t>量问题引发的纠纷、索赔或诉讼，也将对神州信息的市场信誉或市场地位产生负面影响。</w:t>
      </w:r>
    </w:p>
    <w:p>
      <w:pPr>
        <w:pStyle w:val="BodyText"/>
        <w:spacing w:line="386" w:lineRule="auto" w:before="50"/>
        <w:ind w:left="573" w:right="98" w:firstLine="2"/>
        <w:jc w:val="left"/>
      </w:pPr>
      <w:r>
        <w:rPr>
          <w:rFonts w:ascii="Times New Roman" w:hAnsi="Times New Roman" w:cs="Times New Roman" w:eastAsia="Times New Roman" w:hint="default"/>
          <w:b/>
          <w:bCs/>
        </w:rPr>
        <w:t>3</w:t>
      </w:r>
      <w:r>
        <w:rPr>
          <w:rFonts w:ascii="宋体" w:hAnsi="宋体" w:cs="宋体" w:eastAsia="宋体" w:hint="default"/>
          <w:b/>
          <w:bCs/>
        </w:rPr>
        <w:t>、人才流失风险</w:t>
      </w:r>
      <w:r>
        <w:rPr>
          <w:rFonts w:ascii="宋体" w:hAnsi="宋体" w:cs="宋体" w:eastAsia="宋体" w:hint="default"/>
          <w:b/>
          <w:bCs/>
          <w:w w:val="100"/>
        </w:rPr>
        <w:t> </w:t>
      </w:r>
      <w:r>
        <w:rPr>
          <w:spacing w:val="-2"/>
        </w:rPr>
        <w:t>神州信息是一家技术密集的高科技创新型企业，技术研发和创新对核心技术人员和关键管理人员的依</w:t>
      </w:r>
    </w:p>
    <w:p>
      <w:pPr>
        <w:pStyle w:val="BodyText"/>
        <w:spacing w:line="240" w:lineRule="auto" w:before="65"/>
        <w:ind w:right="98"/>
        <w:jc w:val="left"/>
      </w:pPr>
      <w:r>
        <w:rPr/>
        <w:t>赖性较大。多年来，公司通过提供有竞争力的薪酬、福利，建立公平的晋升机制，创造开放、协作的工作</w:t>
      </w:r>
    </w:p>
    <w:p>
      <w:pPr>
        <w:spacing w:after="0" w:line="240" w:lineRule="auto"/>
        <w:jc w:val="left"/>
        <w:sectPr>
          <w:pgSz w:w="11910" w:h="16840"/>
          <w:pgMar w:header="0" w:footer="1227" w:top="1060" w:bottom="1420" w:left="980" w:right="920"/>
        </w:sectPr>
      </w:pPr>
    </w:p>
    <w:p>
      <w:pPr>
        <w:spacing w:line="240" w:lineRule="auto" w:before="0"/>
        <w:rPr>
          <w:rFonts w:ascii="宋体" w:hAnsi="宋体" w:cs="宋体" w:eastAsia="宋体" w:hint="default"/>
          <w:sz w:val="20"/>
          <w:szCs w:val="20"/>
        </w:rPr>
      </w:pPr>
    </w:p>
    <w:p>
      <w:pPr>
        <w:pStyle w:val="BodyText"/>
        <w:spacing w:line="408" w:lineRule="auto" w:before="175"/>
        <w:ind w:left="233" w:right="146"/>
        <w:jc w:val="both"/>
      </w:pPr>
      <w:r>
        <w:rPr>
          <w:spacing w:val="-2"/>
        </w:rPr>
        <w:t>环境和企业文化氛围，来努力吸引人才、培养人才和保留人才。但面对日益激烈的人才竞争，仍存在着因</w:t>
      </w:r>
      <w:r>
        <w:rPr>
          <w:spacing w:val="-50"/>
        </w:rPr>
        <w:t> </w:t>
      </w:r>
      <w:r>
        <w:rPr>
          <w:spacing w:val="-50"/>
        </w:rPr>
      </w:r>
      <w:r>
        <w:rPr>
          <w:spacing w:val="-2"/>
        </w:rPr>
        <w:t>关键人才流失而对公司的经营管理造成一定困难的可能。因此，神州信息面临着如何提高核心技术人员的</w:t>
      </w:r>
      <w:r>
        <w:rPr>
          <w:spacing w:val="-42"/>
        </w:rPr>
        <w:t> </w:t>
      </w:r>
      <w:r>
        <w:rPr>
          <w:spacing w:val="-42"/>
        </w:rPr>
      </w:r>
      <w:r>
        <w:rPr/>
        <w:t>忠诚度和归属感，有效保留和吸引人才的风险。</w:t>
      </w:r>
    </w:p>
    <w:p>
      <w:pPr>
        <w:spacing w:line="240" w:lineRule="auto" w:before="8"/>
        <w:rPr>
          <w:rFonts w:ascii="宋体" w:hAnsi="宋体" w:cs="宋体" w:eastAsia="宋体" w:hint="default"/>
          <w:sz w:val="18"/>
          <w:szCs w:val="18"/>
        </w:rPr>
      </w:pPr>
    </w:p>
    <w:p>
      <w:pPr>
        <w:pStyle w:val="Heading2"/>
        <w:spacing w:line="240" w:lineRule="auto" w:before="0"/>
        <w:ind w:left="233" w:right="0"/>
        <w:jc w:val="both"/>
        <w:rPr>
          <w:b w:val="0"/>
          <w:bCs w:val="0"/>
        </w:rPr>
      </w:pPr>
      <w:r>
        <w:rPr/>
        <w:t>十、董事会、监事会对会计师事务所本报告期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5"/>
        <w:rPr>
          <w:rFonts w:ascii="宋体" w:hAnsi="宋体" w:cs="宋体" w:eastAsia="宋体" w:hint="default"/>
          <w:b/>
          <w:bCs/>
          <w:sz w:val="29"/>
          <w:szCs w:val="29"/>
        </w:rPr>
      </w:pPr>
    </w:p>
    <w:p>
      <w:pPr>
        <w:pStyle w:val="BodyText"/>
        <w:spacing w:line="240" w:lineRule="auto"/>
        <w:ind w:left="2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before="0"/>
        <w:ind w:left="233" w:right="0"/>
        <w:jc w:val="both"/>
        <w:rPr>
          <w:b w:val="0"/>
          <w:bCs w:val="0"/>
        </w:rPr>
      </w:pPr>
      <w:r>
        <w:rPr/>
        <w:t>十一、与上年度财务报告相比，会计政策、会计估计和核算方法发生变化的情况说明</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2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7099"/>
        <w:gridCol w:w="1610"/>
        <w:gridCol w:w="982"/>
      </w:tblGrid>
      <w:tr>
        <w:trPr>
          <w:trHeight w:val="474" w:hRule="exact"/>
        </w:trPr>
        <w:tc>
          <w:tcPr>
            <w:tcW w:w="7099"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50"/>
              <w:ind w:right="11"/>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610"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39"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982"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50"/>
              <w:ind w:right="295"/>
              <w:jc w:val="right"/>
              <w:rPr>
                <w:rFonts w:ascii="宋体" w:hAnsi="宋体" w:cs="宋体" w:eastAsia="宋体" w:hint="default"/>
                <w:sz w:val="18"/>
                <w:szCs w:val="18"/>
              </w:rPr>
            </w:pPr>
            <w:r>
              <w:rPr>
                <w:rFonts w:ascii="宋体" w:hAnsi="宋体" w:cs="宋体" w:eastAsia="宋体" w:hint="default"/>
                <w:sz w:val="18"/>
                <w:szCs w:val="18"/>
              </w:rPr>
              <w:t>备注</w:t>
            </w:r>
          </w:p>
        </w:tc>
      </w:tr>
      <w:tr>
        <w:trPr>
          <w:trHeight w:val="1970" w:hRule="exact"/>
        </w:trPr>
        <w:tc>
          <w:tcPr>
            <w:tcW w:w="7099" w:type="dxa"/>
            <w:tcBorders>
              <w:top w:val="single" w:sz="4" w:space="0" w:color="000000"/>
              <w:left w:val="single" w:sz="12" w:space="0" w:color="000000"/>
              <w:bottom w:val="single" w:sz="12" w:space="0" w:color="000000"/>
              <w:right w:val="single" w:sz="4" w:space="0" w:color="000000"/>
            </w:tcBorders>
          </w:tcPr>
          <w:p>
            <w:pPr>
              <w:pStyle w:val="TableParagraph"/>
              <w:spacing w:line="300" w:lineRule="auto" w:before="49"/>
              <w:ind w:left="94" w:right="9"/>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年</w:t>
            </w:r>
            <w:r>
              <w:rPr>
                <w:rFonts w:ascii="宋体" w:hAnsi="宋体" w:cs="宋体" w:eastAsia="宋体" w:hint="default"/>
                <w:spacing w:val="-27"/>
                <w:sz w:val="18"/>
                <w:szCs w:val="18"/>
              </w:rPr>
              <w:t>，</w:t>
            </w:r>
            <w:r>
              <w:rPr>
                <w:rFonts w:ascii="宋体" w:hAnsi="宋体" w:cs="宋体" w:eastAsia="宋体" w:hint="default"/>
                <w:sz w:val="18"/>
                <w:szCs w:val="18"/>
              </w:rPr>
              <w:t>财政部修订</w:t>
            </w:r>
            <w:r>
              <w:rPr>
                <w:rFonts w:ascii="宋体" w:hAnsi="宋体" w:cs="宋体" w:eastAsia="宋体" w:hint="default"/>
                <w:spacing w:val="-27"/>
                <w:sz w:val="18"/>
                <w:szCs w:val="18"/>
              </w:rPr>
              <w:t>了</w:t>
            </w:r>
            <w:r>
              <w:rPr>
                <w:rFonts w:ascii="宋体" w:hAnsi="宋体" w:cs="宋体" w:eastAsia="宋体" w:hint="default"/>
                <w:sz w:val="18"/>
                <w:szCs w:val="18"/>
              </w:rPr>
              <w:t>《企</w:t>
            </w:r>
            <w:r>
              <w:rPr>
                <w:rFonts w:ascii="宋体" w:hAnsi="宋体" w:cs="宋体" w:eastAsia="宋体" w:hint="default"/>
                <w:spacing w:val="-3"/>
                <w:sz w:val="18"/>
                <w:szCs w:val="18"/>
              </w:rPr>
              <w:t>业</w:t>
            </w:r>
            <w:r>
              <w:rPr>
                <w:rFonts w:ascii="宋体" w:hAnsi="宋体" w:cs="宋体" w:eastAsia="宋体" w:hint="default"/>
                <w:sz w:val="18"/>
                <w:szCs w:val="18"/>
              </w:rPr>
              <w:t>会计准则第</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r>
              <w:rPr>
                <w:rFonts w:ascii="宋体" w:hAnsi="宋体" w:cs="宋体" w:eastAsia="宋体" w:hint="default"/>
                <w:spacing w:val="-92"/>
                <w:sz w:val="18"/>
                <w:szCs w:val="18"/>
              </w:rPr>
              <w:t>》</w:t>
            </w:r>
            <w:r>
              <w:rPr>
                <w:rFonts w:ascii="宋体" w:hAnsi="宋体" w:cs="宋体" w:eastAsia="宋体" w:hint="default"/>
                <w:spacing w:val="-118"/>
                <w:sz w:val="18"/>
                <w:szCs w:val="18"/>
              </w:rPr>
              <w:t>、</w:t>
            </w:r>
            <w:r>
              <w:rPr>
                <w:rFonts w:ascii="宋体" w:hAnsi="宋体" w:cs="宋体" w:eastAsia="宋体" w:hint="default"/>
                <w:sz w:val="18"/>
                <w:szCs w:val="18"/>
              </w:rPr>
              <w:t>《企业会计准则第</w:t>
            </w:r>
            <w:r>
              <w:rPr>
                <w:rFonts w:ascii="Times New Roman" w:hAnsi="Times New Roman" w:cs="Times New Roman" w:eastAsia="Times New Roman" w:hint="default"/>
                <w:spacing w:val="1"/>
                <w:sz w:val="18"/>
                <w:szCs w:val="18"/>
              </w:rPr>
              <w:t>9</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 薪酬</w:t>
            </w:r>
            <w:r>
              <w:rPr>
                <w:rFonts w:ascii="宋体" w:hAnsi="宋体" w:cs="宋体" w:eastAsia="宋体" w:hint="default"/>
                <w:spacing w:val="-89"/>
                <w:sz w:val="18"/>
                <w:szCs w:val="18"/>
              </w:rPr>
              <w:t>》、</w:t>
            </w:r>
            <w:r>
              <w:rPr>
                <w:rFonts w:ascii="宋体" w:hAnsi="宋体" w:cs="宋体" w:eastAsia="宋体" w:hint="default"/>
                <w:sz w:val="18"/>
                <w:szCs w:val="18"/>
              </w:rPr>
              <w:t>《企业会计准则</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宋体" w:hAnsi="宋体" w:cs="宋体" w:eastAsia="宋体" w:hint="default"/>
                <w:spacing w:val="-89"/>
                <w:sz w:val="18"/>
                <w:szCs w:val="18"/>
              </w:rPr>
              <w:t>》、</w:t>
            </w:r>
            <w:r>
              <w:rPr>
                <w:rFonts w:ascii="宋体" w:hAnsi="宋体" w:cs="宋体" w:eastAsia="宋体" w:hint="default"/>
                <w:sz w:val="18"/>
                <w:szCs w:val="18"/>
              </w:rPr>
              <w:t>《企业会计</w:t>
            </w:r>
            <w:r>
              <w:rPr>
                <w:rFonts w:ascii="宋体" w:hAnsi="宋体" w:cs="宋体" w:eastAsia="宋体" w:hint="default"/>
                <w:spacing w:val="2"/>
                <w:sz w:val="18"/>
                <w:szCs w:val="18"/>
              </w:rPr>
              <w:t>准</w:t>
            </w:r>
            <w:r>
              <w:rPr>
                <w:rFonts w:ascii="宋体" w:hAnsi="宋体" w:cs="宋体" w:eastAsia="宋体" w:hint="default"/>
                <w:sz w:val="18"/>
                <w:szCs w:val="18"/>
              </w:rPr>
              <w:t>则第</w:t>
            </w:r>
            <w:r>
              <w:rPr>
                <w:rFonts w:ascii="Times New Roman" w:hAnsi="Times New Roman" w:cs="Times New Roman" w:eastAsia="Times New Roman" w:hint="default"/>
                <w:spacing w:val="1"/>
                <w:sz w:val="18"/>
                <w:szCs w:val="18"/>
              </w:rPr>
              <w:t>33</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pacing w:val="2"/>
                <w:sz w:val="18"/>
                <w:szCs w:val="18"/>
              </w:rPr>
              <w:t>以及颁布了《企业会计准则</w:t>
            </w:r>
            <w:r>
              <w:rPr>
                <w:rFonts w:ascii="宋体" w:hAnsi="宋体" w:cs="宋体" w:eastAsia="宋体" w:hint="default"/>
                <w:spacing w:val="5"/>
                <w:sz w:val="18"/>
                <w:szCs w:val="18"/>
              </w:rPr>
              <w:t>第</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3"/>
                <w:sz w:val="18"/>
                <w:szCs w:val="18"/>
              </w:rPr>
              <w:t>9</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公允价值计量</w:t>
            </w:r>
            <w:r>
              <w:rPr>
                <w:rFonts w:ascii="宋体" w:hAnsi="宋体" w:cs="宋体" w:eastAsia="宋体" w:hint="default"/>
                <w:spacing w:val="-87"/>
                <w:sz w:val="18"/>
                <w:szCs w:val="18"/>
              </w:rPr>
              <w:t>》、</w:t>
            </w:r>
            <w:r>
              <w:rPr>
                <w:rFonts w:ascii="宋体" w:hAnsi="宋体" w:cs="宋体" w:eastAsia="宋体" w:hint="default"/>
                <w:spacing w:val="2"/>
                <w:sz w:val="18"/>
                <w:szCs w:val="18"/>
              </w:rPr>
              <w:t>《企业</w:t>
            </w:r>
            <w:r>
              <w:rPr>
                <w:rFonts w:ascii="宋体" w:hAnsi="宋体" w:cs="宋体" w:eastAsia="宋体" w:hint="default"/>
                <w:sz w:val="18"/>
                <w:szCs w:val="18"/>
              </w:rPr>
              <w:t>会</w:t>
            </w:r>
            <w:r>
              <w:rPr>
                <w:rFonts w:ascii="宋体" w:hAnsi="宋体" w:cs="宋体" w:eastAsia="宋体" w:hint="default"/>
                <w:spacing w:val="2"/>
                <w:sz w:val="18"/>
                <w:szCs w:val="18"/>
              </w:rPr>
              <w:t>计准则</w:t>
            </w:r>
            <w:r>
              <w:rPr>
                <w:rFonts w:ascii="宋体" w:hAnsi="宋体" w:cs="宋体" w:eastAsia="宋体" w:hint="default"/>
                <w:spacing w:val="5"/>
                <w:sz w:val="18"/>
                <w:szCs w:val="18"/>
              </w:rPr>
              <w:t>第</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3"/>
                <w:sz w:val="18"/>
                <w:szCs w:val="18"/>
              </w:rPr>
              <w:t>0</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合营安排</w:t>
            </w:r>
            <w:r>
              <w:rPr>
                <w:rFonts w:ascii="宋体" w:hAnsi="宋体" w:cs="宋体" w:eastAsia="宋体" w:hint="default"/>
                <w:spacing w:val="-87"/>
                <w:sz w:val="18"/>
                <w:szCs w:val="18"/>
              </w:rPr>
              <w:t>》</w:t>
            </w:r>
            <w:r>
              <w:rPr>
                <w:rFonts w:ascii="宋体" w:hAnsi="宋体" w:cs="宋体" w:eastAsia="宋体" w:hint="default"/>
                <w:sz w:val="18"/>
                <w:szCs w:val="18"/>
              </w:rPr>
              <w:t>、</w:t>
            </w:r>
          </w:p>
          <w:p>
            <w:pPr>
              <w:pStyle w:val="TableParagraph"/>
              <w:spacing w:line="300" w:lineRule="auto" w:before="13"/>
              <w:ind w:left="94" w:right="99"/>
              <w:jc w:val="both"/>
              <w:rPr>
                <w:rFonts w:ascii="宋体" w:hAnsi="宋体" w:cs="宋体" w:eastAsia="宋体" w:hint="default"/>
                <w:sz w:val="18"/>
                <w:szCs w:val="18"/>
              </w:rPr>
            </w:pPr>
            <w:r>
              <w:rPr>
                <w:rFonts w:ascii="宋体" w:hAnsi="宋体" w:cs="宋体" w:eastAsia="宋体" w:hint="default"/>
                <w:spacing w:val="-1"/>
                <w:sz w:val="18"/>
                <w:szCs w:val="18"/>
              </w:rPr>
              <w:t>《企业会计准则第</w:t>
            </w:r>
            <w:r>
              <w:rPr>
                <w:rFonts w:ascii="Times New Roman" w:hAnsi="Times New Roman" w:cs="Times New Roman" w:eastAsia="Times New Roman" w:hint="default"/>
                <w:spacing w:val="-1"/>
                <w:sz w:val="18"/>
                <w:szCs w:val="18"/>
              </w:rPr>
              <w:t>41</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在其他主体中权益的披露》等具体准则，并自</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日起施</w:t>
            </w:r>
            <w:r>
              <w:rPr>
                <w:rFonts w:ascii="宋体" w:hAnsi="宋体" w:cs="宋体" w:eastAsia="宋体" w:hint="default"/>
                <w:spacing w:val="-69"/>
                <w:sz w:val="18"/>
                <w:szCs w:val="18"/>
              </w:rPr>
              <w:t> </w:t>
            </w:r>
            <w:r>
              <w:rPr>
                <w:rFonts w:ascii="宋体" w:hAnsi="宋体" w:cs="宋体" w:eastAsia="宋体" w:hint="default"/>
                <w:sz w:val="18"/>
                <w:szCs w:val="18"/>
              </w:rPr>
              <w:t>行。根据规定，本公司于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日起执行上述企业会计准则，并对期初数相关项目</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及其金额做出相应调整。</w:t>
            </w:r>
          </w:p>
        </w:tc>
        <w:tc>
          <w:tcPr>
            <w:tcW w:w="1610"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49"/>
              <w:ind w:left="103" w:right="104"/>
              <w:jc w:val="both"/>
              <w:rPr>
                <w:rFonts w:ascii="宋体" w:hAnsi="宋体" w:cs="宋体" w:eastAsia="宋体" w:hint="default"/>
                <w:sz w:val="18"/>
                <w:szCs w:val="18"/>
              </w:rPr>
            </w:pPr>
            <w:r>
              <w:rPr>
                <w:rFonts w:ascii="宋体" w:hAnsi="宋体" w:cs="宋体" w:eastAsia="宋体" w:hint="default"/>
                <w:spacing w:val="14"/>
                <w:sz w:val="18"/>
                <w:szCs w:val="18"/>
              </w:rPr>
              <w:t>相关会</w:t>
            </w:r>
            <w:r>
              <w:rPr>
                <w:rFonts w:ascii="宋体" w:hAnsi="宋体" w:cs="宋体" w:eastAsia="宋体" w:hint="default"/>
                <w:spacing w:val="-66"/>
                <w:sz w:val="18"/>
                <w:szCs w:val="18"/>
              </w:rPr>
              <w:t> </w:t>
            </w:r>
            <w:r>
              <w:rPr>
                <w:rFonts w:ascii="宋体" w:hAnsi="宋体" w:cs="宋体" w:eastAsia="宋体" w:hint="default"/>
                <w:spacing w:val="15"/>
                <w:sz w:val="18"/>
                <w:szCs w:val="18"/>
              </w:rPr>
              <w:t>计政策变</w:t>
            </w:r>
            <w:r>
              <w:rPr>
                <w:rFonts w:ascii="宋体" w:hAnsi="宋体" w:cs="宋体" w:eastAsia="宋体" w:hint="default"/>
                <w:sz w:val="18"/>
                <w:szCs w:val="18"/>
              </w:rPr>
              <w:t> </w:t>
            </w:r>
            <w:r>
              <w:rPr>
                <w:rFonts w:ascii="宋体" w:hAnsi="宋体" w:cs="宋体" w:eastAsia="宋体" w:hint="default"/>
                <w:spacing w:val="14"/>
                <w:sz w:val="18"/>
                <w:szCs w:val="18"/>
              </w:rPr>
              <w:t>更已经</w:t>
            </w:r>
            <w:r>
              <w:rPr>
                <w:rFonts w:ascii="宋体" w:hAnsi="宋体" w:cs="宋体" w:eastAsia="宋体" w:hint="default"/>
                <w:spacing w:val="-66"/>
                <w:sz w:val="18"/>
                <w:szCs w:val="18"/>
              </w:rPr>
              <w:t> </w:t>
            </w:r>
            <w:r>
              <w:rPr>
                <w:rFonts w:ascii="宋体" w:hAnsi="宋体" w:cs="宋体" w:eastAsia="宋体" w:hint="default"/>
                <w:spacing w:val="15"/>
                <w:sz w:val="18"/>
                <w:szCs w:val="18"/>
              </w:rPr>
              <w:t>本公司第</w:t>
            </w:r>
            <w:r>
              <w:rPr>
                <w:rFonts w:ascii="宋体" w:hAnsi="宋体" w:cs="宋体" w:eastAsia="宋体" w:hint="default"/>
                <w:sz w:val="18"/>
                <w:szCs w:val="18"/>
              </w:rPr>
              <w:t> </w:t>
            </w:r>
            <w:r>
              <w:rPr>
                <w:rFonts w:ascii="宋体" w:hAnsi="宋体" w:cs="宋体" w:eastAsia="宋体" w:hint="default"/>
                <w:spacing w:val="14"/>
                <w:sz w:val="18"/>
                <w:szCs w:val="18"/>
              </w:rPr>
              <w:t>六届董</w:t>
            </w:r>
            <w:r>
              <w:rPr>
                <w:rFonts w:ascii="宋体" w:hAnsi="宋体" w:cs="宋体" w:eastAsia="宋体" w:hint="default"/>
                <w:spacing w:val="-66"/>
                <w:sz w:val="18"/>
                <w:szCs w:val="18"/>
              </w:rPr>
              <w:t> </w:t>
            </w:r>
            <w:r>
              <w:rPr>
                <w:rFonts w:ascii="宋体" w:hAnsi="宋体" w:cs="宋体" w:eastAsia="宋体" w:hint="default"/>
                <w:spacing w:val="15"/>
                <w:sz w:val="18"/>
                <w:szCs w:val="18"/>
              </w:rPr>
              <w:t>事会第六</w:t>
            </w:r>
            <w:r>
              <w:rPr>
                <w:rFonts w:ascii="宋体" w:hAnsi="宋体" w:cs="宋体" w:eastAsia="宋体" w:hint="default"/>
                <w:sz w:val="18"/>
                <w:szCs w:val="18"/>
              </w:rPr>
              <w:t> 次会议批准。</w:t>
            </w:r>
          </w:p>
        </w:tc>
        <w:tc>
          <w:tcPr>
            <w:tcW w:w="9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9"/>
              <w:ind w:right="251"/>
              <w:jc w:val="righ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1</w:t>
            </w:r>
          </w:p>
        </w:tc>
      </w:tr>
    </w:tbl>
    <w:p>
      <w:pPr>
        <w:spacing w:line="316" w:lineRule="auto" w:before="10"/>
        <w:ind w:left="233" w:right="138" w:firstLine="360"/>
        <w:jc w:val="left"/>
        <w:rPr>
          <w:rFonts w:ascii="宋体" w:hAnsi="宋体" w:cs="宋体" w:eastAsia="宋体" w:hint="default"/>
          <w:sz w:val="18"/>
          <w:szCs w:val="18"/>
        </w:rPr>
      </w:pPr>
      <w:r>
        <w:rPr>
          <w:rFonts w:ascii="宋体" w:hAnsi="宋体" w:cs="宋体" w:eastAsia="宋体" w:hint="default"/>
          <w:sz w:val="18"/>
          <w:szCs w:val="18"/>
        </w:rPr>
        <w:t>说明</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z w:val="18"/>
          <w:szCs w:val="18"/>
        </w:rPr>
        <w:t>：在</w:t>
      </w:r>
      <w:r>
        <w:rPr>
          <w:rFonts w:ascii="宋体" w:hAnsi="宋体" w:cs="宋体" w:eastAsia="宋体" w:hint="default"/>
          <w:spacing w:val="-47"/>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年以前，本公司对于被投资单位不具有共同控制或重大影响，并且在活跃市场中没有报价、公允价值 不能可靠计量的权益性投资采用成本法核算，确认为长期股权投资。根据修订的《企业会计准则第</w:t>
      </w:r>
      <w:r>
        <w:rPr>
          <w:rFonts w:ascii="宋体" w:hAnsi="宋体" w:cs="宋体" w:eastAsia="宋体" w:hint="default"/>
          <w:spacing w:val="-72"/>
          <w:sz w:val="18"/>
          <w:szCs w:val="18"/>
        </w:rPr>
        <w:t> </w:t>
      </w:r>
      <w:r>
        <w:rPr>
          <w:rFonts w:ascii="宋体" w:hAnsi="宋体" w:cs="宋体" w:eastAsia="宋体" w:hint="default"/>
          <w:sz w:val="18"/>
          <w:szCs w:val="18"/>
        </w:rPr>
        <w:t>2</w:t>
      </w:r>
      <w:r>
        <w:rPr>
          <w:rFonts w:ascii="宋体" w:hAnsi="宋体" w:cs="宋体" w:eastAsia="宋体" w:hint="default"/>
          <w:spacing w:val="-73"/>
          <w:sz w:val="18"/>
          <w:szCs w:val="18"/>
        </w:rPr>
        <w:t> </w:t>
      </w:r>
      <w:r>
        <w:rPr>
          <w:rFonts w:ascii="宋体" w:hAnsi="宋体" w:cs="宋体" w:eastAsia="宋体" w:hint="default"/>
          <w:spacing w:val="-3"/>
          <w:sz w:val="18"/>
          <w:szCs w:val="18"/>
        </w:rPr>
        <w:t>号—长期股权投资》规</w:t>
      </w:r>
    </w:p>
    <w:p>
      <w:pPr>
        <w:spacing w:line="316" w:lineRule="auto" w:before="19"/>
        <w:ind w:left="233" w:right="141" w:firstLine="0"/>
        <w:jc w:val="left"/>
        <w:rPr>
          <w:rFonts w:ascii="宋体" w:hAnsi="宋体" w:cs="宋体" w:eastAsia="宋体" w:hint="default"/>
          <w:sz w:val="18"/>
          <w:szCs w:val="18"/>
        </w:rPr>
      </w:pPr>
      <w:r>
        <w:rPr>
          <w:rFonts w:ascii="宋体" w:hAnsi="宋体" w:cs="宋体" w:eastAsia="宋体" w:hint="default"/>
          <w:spacing w:val="-3"/>
          <w:sz w:val="18"/>
          <w:szCs w:val="18"/>
        </w:rPr>
        <w:t>定，对上述权益性投资应适用于《企业会计准则第</w:t>
      </w:r>
      <w:r>
        <w:rPr>
          <w:rFonts w:ascii="宋体" w:hAnsi="宋体" w:cs="宋体" w:eastAsia="宋体" w:hint="default"/>
          <w:spacing w:val="-38"/>
          <w:sz w:val="18"/>
          <w:szCs w:val="18"/>
        </w:rPr>
        <w:t> </w:t>
      </w:r>
      <w:r>
        <w:rPr>
          <w:rFonts w:ascii="宋体" w:hAnsi="宋体" w:cs="宋体" w:eastAsia="宋体" w:hint="default"/>
          <w:spacing w:val="-1"/>
          <w:sz w:val="18"/>
          <w:szCs w:val="18"/>
        </w:rPr>
        <w:t>22</w:t>
      </w:r>
      <w:r>
        <w:rPr>
          <w:rFonts w:ascii="宋体" w:hAnsi="宋体" w:cs="宋体" w:eastAsia="宋体" w:hint="default"/>
          <w:spacing w:val="-38"/>
          <w:sz w:val="18"/>
          <w:szCs w:val="18"/>
        </w:rPr>
        <w:t> </w:t>
      </w:r>
      <w:r>
        <w:rPr>
          <w:rFonts w:ascii="宋体" w:hAnsi="宋体" w:cs="宋体" w:eastAsia="宋体" w:hint="default"/>
          <w:spacing w:val="-4"/>
          <w:sz w:val="18"/>
          <w:szCs w:val="18"/>
        </w:rPr>
        <w:t>号—金融工具确认和计量》。本公司对该项会计政策变更采用追溯调整</w:t>
      </w:r>
      <w:r>
        <w:rPr>
          <w:rFonts w:ascii="宋体" w:hAnsi="宋体" w:cs="宋体" w:eastAsia="宋体" w:hint="default"/>
          <w:sz w:val="18"/>
          <w:szCs w:val="18"/>
        </w:rPr>
        <w:t> 法，</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年比较报表已重新表述，</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年资产负债表调减长期股权投资</w:t>
      </w:r>
      <w:r>
        <w:rPr>
          <w:rFonts w:ascii="宋体" w:hAnsi="宋体" w:cs="宋体" w:eastAsia="宋体" w:hint="default"/>
          <w:spacing w:val="-46"/>
          <w:sz w:val="18"/>
          <w:szCs w:val="18"/>
        </w:rPr>
        <w:t> </w:t>
      </w:r>
      <w:r>
        <w:rPr>
          <w:rFonts w:ascii="宋体" w:hAnsi="宋体" w:cs="宋体" w:eastAsia="宋体" w:hint="default"/>
          <w:sz w:val="18"/>
          <w:szCs w:val="18"/>
        </w:rPr>
        <w:t>7,696,485.95</w:t>
      </w:r>
      <w:r>
        <w:rPr>
          <w:rFonts w:ascii="宋体" w:hAnsi="宋体" w:cs="宋体" w:eastAsia="宋体" w:hint="default"/>
          <w:spacing w:val="-43"/>
          <w:sz w:val="18"/>
          <w:szCs w:val="18"/>
        </w:rPr>
        <w:t> </w:t>
      </w:r>
      <w:r>
        <w:rPr>
          <w:rFonts w:ascii="宋体" w:hAnsi="宋体" w:cs="宋体" w:eastAsia="宋体" w:hint="default"/>
          <w:sz w:val="18"/>
          <w:szCs w:val="18"/>
        </w:rPr>
        <w:t>元，调增可供出售金融资产 </w:t>
      </w:r>
      <w:r>
        <w:rPr>
          <w:rFonts w:ascii="宋体" w:hAnsi="宋体" w:cs="宋体" w:eastAsia="宋体" w:hint="default"/>
          <w:sz w:val="18"/>
          <w:szCs w:val="18"/>
        </w:rPr>
        <w:t>7,696,485.95</w:t>
      </w:r>
      <w:r>
        <w:rPr>
          <w:rFonts w:ascii="宋体" w:hAnsi="宋体" w:cs="宋体" w:eastAsia="宋体" w:hint="default"/>
          <w:spacing w:val="-50"/>
          <w:sz w:val="18"/>
          <w:szCs w:val="18"/>
        </w:rPr>
        <w:t> </w:t>
      </w:r>
      <w:r>
        <w:rPr>
          <w:rFonts w:ascii="宋体" w:hAnsi="宋体" w:cs="宋体" w:eastAsia="宋体" w:hint="default"/>
          <w:sz w:val="18"/>
          <w:szCs w:val="18"/>
        </w:rPr>
        <w:t>元，资产总额无影响。</w:t>
      </w:r>
    </w:p>
    <w:p>
      <w:pPr>
        <w:spacing w:before="19"/>
        <w:ind w:left="593" w:right="0" w:firstLine="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7"/>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年度及本期财务报表中关于职工薪酬、财务报表列报、合并财务报表、公允价值计量、合营安排及与在其</w:t>
      </w:r>
    </w:p>
    <w:p>
      <w:pPr>
        <w:spacing w:line="316" w:lineRule="auto" w:before="76"/>
        <w:ind w:left="233" w:right="143" w:firstLine="0"/>
        <w:jc w:val="left"/>
        <w:rPr>
          <w:rFonts w:ascii="宋体" w:hAnsi="宋体" w:cs="宋体" w:eastAsia="宋体" w:hint="default"/>
          <w:sz w:val="18"/>
          <w:szCs w:val="18"/>
        </w:rPr>
      </w:pPr>
      <w:r>
        <w:rPr>
          <w:rFonts w:ascii="宋体" w:hAnsi="宋体" w:cs="宋体" w:eastAsia="宋体" w:hint="default"/>
          <w:sz w:val="18"/>
          <w:szCs w:val="18"/>
        </w:rPr>
        <w:t>他主体中权益的相关业务及事项，已按上述准则的规定进行核算与披露，新准则的实施不会对本公司</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年度及本期财务 报表产生影响。</w:t>
      </w:r>
    </w:p>
    <w:p>
      <w:pPr>
        <w:spacing w:line="240" w:lineRule="auto" w:before="11"/>
        <w:rPr>
          <w:rFonts w:ascii="宋体" w:hAnsi="宋体" w:cs="宋体" w:eastAsia="宋体" w:hint="default"/>
          <w:sz w:val="20"/>
          <w:szCs w:val="20"/>
        </w:rPr>
      </w:pPr>
    </w:p>
    <w:p>
      <w:pPr>
        <w:pStyle w:val="Heading2"/>
        <w:spacing w:line="240" w:lineRule="auto" w:before="0"/>
        <w:ind w:left="233" w:right="138"/>
        <w:jc w:val="left"/>
        <w:rPr>
          <w:b w:val="0"/>
          <w:bCs w:val="0"/>
        </w:rPr>
      </w:pPr>
      <w:r>
        <w:rPr/>
        <w:t>十二、报告期内发生重大会计差错更正需追溯重述的情况说明</w:t>
      </w:r>
      <w:r>
        <w:rPr>
          <w:b w:val="0"/>
          <w:bCs w:val="0"/>
        </w:rPr>
      </w:r>
    </w:p>
    <w:p>
      <w:pPr>
        <w:spacing w:line="240" w:lineRule="auto" w:before="8"/>
        <w:rPr>
          <w:rFonts w:ascii="宋体" w:hAnsi="宋体" w:cs="宋体" w:eastAsia="宋体" w:hint="default"/>
          <w:b/>
          <w:bCs/>
          <w:sz w:val="30"/>
          <w:szCs w:val="30"/>
        </w:rPr>
      </w:pPr>
    </w:p>
    <w:p>
      <w:pPr>
        <w:pStyle w:val="BodyText"/>
        <w:spacing w:line="420" w:lineRule="auto"/>
        <w:ind w:left="233" w:right="35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公司报告期无重大会计差错更正需追溯重述的情况。</w:t>
      </w:r>
    </w:p>
    <w:p>
      <w:pPr>
        <w:spacing w:line="240" w:lineRule="auto" w:before="11"/>
        <w:rPr>
          <w:rFonts w:ascii="宋体" w:hAnsi="宋体" w:cs="宋体" w:eastAsia="宋体" w:hint="default"/>
          <w:sz w:val="17"/>
          <w:szCs w:val="17"/>
        </w:rPr>
      </w:pPr>
    </w:p>
    <w:p>
      <w:pPr>
        <w:pStyle w:val="Heading2"/>
        <w:spacing w:line="240" w:lineRule="auto" w:before="0"/>
        <w:ind w:left="233" w:right="138"/>
        <w:jc w:val="left"/>
        <w:rPr>
          <w:b w:val="0"/>
          <w:bCs w:val="0"/>
        </w:rPr>
      </w:pPr>
      <w:r>
        <w:rPr/>
        <w:t>十三、与上年度财务报告相比，合并报表范围发生变化的情况说明</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left="653" w:right="138" w:hanging="4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4"/>
          <w:w w:val="100"/>
        </w:rPr>
        <w:t>与上年度财务报告相比，新增子公司中农信达信息技术有限公司（以下简称“中农信达”）及神州数</w:t>
      </w:r>
    </w:p>
    <w:p>
      <w:pPr>
        <w:pStyle w:val="BodyText"/>
        <w:spacing w:line="408" w:lineRule="auto" w:before="65"/>
        <w:ind w:left="233" w:right="138"/>
        <w:jc w:val="left"/>
      </w:pPr>
      <w:r>
        <w:rPr>
          <w:spacing w:val="-7"/>
          <w:w w:val="100"/>
        </w:rPr>
        <w:t>码锐行快捷信息技术服务有限公司（以下简称“锐行快捷”）。中农信达为本年非同一控制下企业合并取得</w:t>
      </w:r>
      <w:r>
        <w:rPr>
          <w:spacing w:val="-73"/>
          <w:w w:val="100"/>
        </w:rPr>
        <w:t> </w:t>
      </w:r>
      <w:r>
        <w:rPr>
          <w:spacing w:val="-73"/>
          <w:w w:val="100"/>
        </w:rPr>
      </w:r>
      <w:r>
        <w:rPr>
          <w:spacing w:val="-2"/>
        </w:rPr>
        <w:t>的子公司，收购完成后公司对其持股比例为</w:t>
      </w:r>
      <w:r>
        <w:rPr>
          <w:spacing w:val="34"/>
        </w:rPr>
        <w:t> </w:t>
      </w:r>
      <w:r>
        <w:rPr>
          <w:rFonts w:ascii="Times New Roman" w:hAnsi="Times New Roman" w:cs="Times New Roman" w:eastAsia="Times New Roman" w:hint="default"/>
          <w:spacing w:val="-2"/>
        </w:rPr>
        <w:t>100%</w:t>
      </w:r>
      <w:r>
        <w:rPr>
          <w:spacing w:val="-2"/>
        </w:rPr>
        <w:t>；锐行快捷为本公司之子公司神州数码系统集成服务有</w:t>
      </w:r>
    </w:p>
    <w:p>
      <w:pPr>
        <w:spacing w:after="0" w:line="408" w:lineRule="auto"/>
        <w:jc w:val="left"/>
        <w:sectPr>
          <w:pgSz w:w="11910" w:h="16840"/>
          <w:pgMar w:header="0" w:footer="1227" w:top="1060" w:bottom="1420" w:left="900" w:right="980"/>
        </w:sectPr>
      </w:pPr>
    </w:p>
    <w:p>
      <w:pPr>
        <w:spacing w:line="240" w:lineRule="auto" w:before="0"/>
        <w:rPr>
          <w:rFonts w:ascii="宋体" w:hAnsi="宋体" w:cs="宋体" w:eastAsia="宋体" w:hint="default"/>
          <w:sz w:val="20"/>
          <w:szCs w:val="20"/>
        </w:rPr>
      </w:pPr>
    </w:p>
    <w:p>
      <w:pPr>
        <w:pStyle w:val="BodyText"/>
        <w:spacing w:line="408" w:lineRule="auto" w:before="175"/>
        <w:ind w:right="140"/>
        <w:jc w:val="left"/>
      </w:pPr>
      <w:r>
        <w:rPr>
          <w:spacing w:val="-2"/>
        </w:rPr>
        <w:t>限公司与成都文化博雅投资有限公司、成都勤智数码科技股份有限公司共同组建成立，神州数码系统集成</w:t>
      </w:r>
      <w:r>
        <w:rPr>
          <w:spacing w:val="-43"/>
        </w:rPr>
        <w:t> </w:t>
      </w:r>
      <w:r>
        <w:rPr>
          <w:spacing w:val="-43"/>
        </w:rPr>
      </w:r>
      <w:r>
        <w:rPr>
          <w:spacing w:val="-2"/>
        </w:rPr>
        <w:t>服务有限公司出资比例为</w:t>
      </w:r>
      <w:r>
        <w:rPr>
          <w:spacing w:val="-1"/>
        </w:rPr>
        <w:t> </w:t>
      </w:r>
      <w:r>
        <w:rPr>
          <w:rFonts w:ascii="Times New Roman" w:hAnsi="Times New Roman" w:cs="Times New Roman" w:eastAsia="Times New Roman" w:hint="default"/>
          <w:spacing w:val="-2"/>
        </w:rPr>
        <w:t>65%</w:t>
      </w:r>
      <w:r>
        <w:rPr>
          <w:spacing w:val="-2"/>
        </w:rPr>
        <w:t>，按照出资比例行使表决权比例。</w:t>
      </w:r>
    </w:p>
    <w:p>
      <w:pPr>
        <w:pStyle w:val="BodyText"/>
        <w:spacing w:line="240" w:lineRule="auto" w:before="14"/>
        <w:ind w:left="573" w:right="140"/>
        <w:jc w:val="left"/>
      </w:pPr>
      <w:r>
        <w:rPr>
          <w:w w:val="100"/>
        </w:rPr>
        <w:t>具体</w:t>
      </w:r>
      <w:r>
        <w:rPr>
          <w:spacing w:val="-3"/>
          <w:w w:val="100"/>
        </w:rPr>
        <w:t>请</w:t>
      </w:r>
      <w:r>
        <w:rPr>
          <w:w w:val="100"/>
        </w:rPr>
        <w:t>参</w:t>
      </w:r>
      <w:r>
        <w:rPr>
          <w:spacing w:val="-3"/>
          <w:w w:val="100"/>
        </w:rPr>
        <w:t>考</w:t>
      </w:r>
      <w:r>
        <w:rPr>
          <w:w w:val="100"/>
        </w:rPr>
        <w:t>第</w:t>
      </w:r>
      <w:r>
        <w:rPr>
          <w:spacing w:val="-3"/>
          <w:w w:val="100"/>
        </w:rPr>
        <w:t>十</w:t>
      </w:r>
      <w:r>
        <w:rPr>
          <w:w w:val="100"/>
        </w:rPr>
        <w:t>一</w:t>
      </w:r>
      <w:r>
        <w:rPr>
          <w:spacing w:val="-3"/>
          <w:w w:val="100"/>
        </w:rPr>
        <w:t>节</w:t>
      </w:r>
      <w:r>
        <w:rPr>
          <w:w w:val="100"/>
        </w:rPr>
        <w:t>财</w:t>
      </w:r>
      <w:r>
        <w:rPr>
          <w:spacing w:val="-3"/>
          <w:w w:val="100"/>
        </w:rPr>
        <w:t>务</w:t>
      </w:r>
      <w:r>
        <w:rPr>
          <w:w w:val="100"/>
        </w:rPr>
        <w:t>报告</w:t>
      </w:r>
      <w:r>
        <w:rPr>
          <w:spacing w:val="-3"/>
          <w:w w:val="100"/>
        </w:rPr>
        <w:t>章</w:t>
      </w:r>
      <w:r>
        <w:rPr>
          <w:w w:val="100"/>
        </w:rPr>
        <w:t>节</w:t>
      </w:r>
      <w:r>
        <w:rPr>
          <w:spacing w:val="-3"/>
          <w:w w:val="100"/>
        </w:rPr>
        <w:t>中</w:t>
      </w:r>
      <w:r>
        <w:rPr>
          <w:w w:val="100"/>
        </w:rPr>
        <w:t>附</w:t>
      </w:r>
      <w:r>
        <w:rPr>
          <w:spacing w:val="-3"/>
          <w:w w:val="100"/>
        </w:rPr>
        <w:t>注</w:t>
      </w:r>
      <w:r>
        <w:rPr>
          <w:w w:val="100"/>
        </w:rPr>
        <w:t>“</w:t>
      </w:r>
      <w:r>
        <w:rPr>
          <w:spacing w:val="-3"/>
          <w:w w:val="100"/>
        </w:rPr>
        <w:t>八</w:t>
      </w:r>
      <w:r>
        <w:rPr>
          <w:w w:val="100"/>
        </w:rPr>
        <w:t>、</w:t>
      </w:r>
      <w:r>
        <w:rPr>
          <w:spacing w:val="-3"/>
          <w:w w:val="100"/>
        </w:rPr>
        <w:t>合</w:t>
      </w:r>
      <w:r>
        <w:rPr>
          <w:w w:val="100"/>
        </w:rPr>
        <w:t>并范</w:t>
      </w:r>
      <w:r>
        <w:rPr>
          <w:spacing w:val="-3"/>
          <w:w w:val="100"/>
        </w:rPr>
        <w:t>围</w:t>
      </w:r>
      <w:r>
        <w:rPr>
          <w:w w:val="100"/>
        </w:rPr>
        <w:t>的</w:t>
      </w:r>
      <w:r>
        <w:rPr>
          <w:spacing w:val="-3"/>
          <w:w w:val="100"/>
        </w:rPr>
        <w:t>变</w:t>
      </w:r>
      <w:r>
        <w:rPr>
          <w:w w:val="100"/>
        </w:rPr>
        <w:t>更</w:t>
      </w:r>
      <w:r>
        <w:rPr>
          <w:spacing w:val="-108"/>
          <w:w w:val="100"/>
        </w:rPr>
        <w:t>”</w:t>
      </w:r>
      <w:r>
        <w:rPr>
          <w:w w:val="100"/>
        </w:rPr>
        <w:t>。</w:t>
      </w:r>
    </w:p>
    <w:p>
      <w:pPr>
        <w:spacing w:line="240" w:lineRule="auto" w:before="11"/>
        <w:rPr>
          <w:rFonts w:ascii="宋体" w:hAnsi="宋体" w:cs="宋体" w:eastAsia="宋体" w:hint="default"/>
          <w:sz w:val="29"/>
          <w:szCs w:val="29"/>
        </w:rPr>
      </w:pPr>
    </w:p>
    <w:p>
      <w:pPr>
        <w:pStyle w:val="Heading2"/>
        <w:spacing w:line="240" w:lineRule="auto" w:before="0"/>
        <w:ind w:right="140"/>
        <w:jc w:val="left"/>
        <w:rPr>
          <w:b w:val="0"/>
          <w:bCs w:val="0"/>
        </w:rPr>
      </w:pPr>
      <w:r>
        <w:rPr/>
        <w:t>十四、公司利润分配及分红派息情况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140"/>
        <w:jc w:val="left"/>
      </w:pPr>
      <w:r>
        <w:rPr/>
        <w:t>报告期内利润分配政策的制定、执行或调整情况</w:t>
      </w:r>
    </w:p>
    <w:p>
      <w:pPr>
        <w:spacing w:line="240" w:lineRule="auto" w:before="9"/>
        <w:rPr>
          <w:rFonts w:ascii="宋体" w:hAnsi="宋体" w:cs="宋体" w:eastAsia="宋体" w:hint="default"/>
          <w:sz w:val="17"/>
          <w:szCs w:val="17"/>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6"/>
          <w:szCs w:val="16"/>
        </w:rPr>
      </w:pPr>
    </w:p>
    <w:p>
      <w:pPr>
        <w:pStyle w:val="BodyText"/>
        <w:spacing w:line="240" w:lineRule="auto"/>
        <w:ind w:left="573" w:right="140"/>
        <w:jc w:val="left"/>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2012</w:t>
      </w:r>
      <w:r>
        <w:rPr>
          <w:rFonts w:ascii="Times New Roman" w:hAnsi="Times New Roman" w:cs="Times New Roman" w:eastAsia="Times New Roman" w:hint="default"/>
        </w:rPr>
        <w:t> </w:t>
      </w:r>
      <w:r>
        <w:rPr>
          <w:rFonts w:ascii="Times New Roman" w:hAnsi="Times New Roman" w:cs="Times New Roman" w:eastAsia="Times New Roman" w:hint="default"/>
          <w:spacing w:val="28"/>
        </w:rPr>
        <w:t> </w:t>
      </w:r>
      <w:r>
        <w:rPr>
          <w:spacing w:val="-2"/>
        </w:rPr>
        <w:t>年度，公司为完善和健全公司的分红机制和监督机制，积极回报投资者，制定了《未来三年</w:t>
      </w:r>
    </w:p>
    <w:p>
      <w:pPr>
        <w:pStyle w:val="BodyText"/>
        <w:spacing w:line="386" w:lineRule="auto" w:before="178"/>
        <w:ind w:right="140"/>
        <w:jc w:val="left"/>
      </w:pPr>
      <w:r>
        <w:rPr>
          <w:spacing w:val="-1"/>
          <w:w w:val="100"/>
        </w:rPr>
        <w:t>（</w:t>
      </w:r>
      <w:r>
        <w:rPr>
          <w:rFonts w:ascii="Times New Roman" w:hAnsi="Times New Roman" w:cs="Times New Roman" w:eastAsia="Times New Roman" w:hint="default"/>
          <w:spacing w:val="-1"/>
          <w:w w:val="100"/>
        </w:rPr>
        <w:t>2012-2014</w:t>
      </w:r>
      <w:r>
        <w:rPr>
          <w:rFonts w:ascii="Times New Roman" w:hAnsi="Times New Roman" w:cs="Times New Roman" w:eastAsia="Times New Roman" w:hint="default"/>
          <w:spacing w:val="4"/>
          <w:w w:val="100"/>
        </w:rPr>
        <w:t> </w:t>
      </w:r>
      <w:r>
        <w:rPr>
          <w:spacing w:val="-5"/>
          <w:w w:val="100"/>
        </w:rPr>
        <w:t>年）股东回报规划》，修订了《公司章程》中关于利润分配的相关条款，并经</w:t>
      </w:r>
      <w:r>
        <w:rPr>
          <w:spacing w:val="-45"/>
          <w:w w:val="100"/>
        </w:rPr>
        <w:t> </w:t>
      </w:r>
      <w:r>
        <w:rPr>
          <w:rFonts w:ascii="Times New Roman" w:hAnsi="Times New Roman" w:cs="Times New Roman" w:eastAsia="Times New Roman" w:hint="default"/>
          <w:spacing w:val="-1"/>
          <w:w w:val="100"/>
        </w:rPr>
        <w:t>2012</w:t>
      </w:r>
      <w:r>
        <w:rPr>
          <w:rFonts w:ascii="Times New Roman" w:hAnsi="Times New Roman" w:cs="Times New Roman" w:eastAsia="Times New Roman" w:hint="default"/>
          <w:spacing w:val="7"/>
          <w:w w:val="100"/>
        </w:rPr>
        <w:t> </w:t>
      </w:r>
      <w:r>
        <w:rPr>
          <w:spacing w:val="-2"/>
          <w:w w:val="100"/>
        </w:rPr>
        <w:t>年度第三</w:t>
      </w:r>
      <w:r>
        <w:rPr>
          <w:spacing w:val="-103"/>
          <w:w w:val="100"/>
        </w:rPr>
        <w:t> </w:t>
      </w:r>
      <w:r>
        <w:rPr>
          <w:spacing w:val="-103"/>
          <w:w w:val="100"/>
        </w:rPr>
      </w:r>
      <w:r>
        <w:rPr/>
        <w:t>次临时股东大会审议通过。</w:t>
      </w:r>
    </w:p>
    <w:p>
      <w:pPr>
        <w:pStyle w:val="BodyText"/>
        <w:spacing w:line="240" w:lineRule="auto" w:before="106"/>
        <w:ind w:left="573" w:right="140"/>
        <w:jc w:val="left"/>
      </w:pPr>
      <w:r>
        <w:rPr/>
        <w:t>报告期内，公司利润分配政策符合《公司章程》的相关规定。</w:t>
      </w:r>
    </w:p>
    <w:p>
      <w:pPr>
        <w:spacing w:line="240" w:lineRule="auto" w:before="9"/>
        <w:rPr>
          <w:rFonts w:ascii="宋体" w:hAnsi="宋体" w:cs="宋体" w:eastAsia="宋体" w:hint="default"/>
          <w:sz w:val="17"/>
          <w:szCs w:val="17"/>
        </w:rPr>
      </w:pPr>
    </w:p>
    <w:p>
      <w:pPr>
        <w:pStyle w:val="BodyText"/>
        <w:spacing w:line="386" w:lineRule="auto"/>
        <w:ind w:right="150" w:firstLine="42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 </w:t>
      </w:r>
      <w:r>
        <w:rPr/>
        <w:t>年</w:t>
      </w:r>
      <w:r>
        <w:rPr>
          <w:spacing w:val="-55"/>
        </w:rPr>
        <w:t> </w:t>
      </w:r>
      <w:r>
        <w:rPr>
          <w:rFonts w:ascii="Times New Roman" w:hAnsi="Times New Roman" w:cs="Times New Roman" w:eastAsia="Times New Roman" w:hint="default"/>
        </w:rPr>
        <w:t>3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日，公司第六届董事会第八次会议审议通过了《未来三年（</w:t>
      </w:r>
      <w:r>
        <w:rPr>
          <w:rFonts w:ascii="Times New Roman" w:hAnsi="Times New Roman" w:cs="Times New Roman" w:eastAsia="Times New Roman" w:hint="default"/>
        </w:rPr>
        <w:t>2015-2017</w:t>
      </w:r>
      <w:r>
        <w:rPr>
          <w:rFonts w:ascii="Times New Roman" w:hAnsi="Times New Roman" w:cs="Times New Roman" w:eastAsia="Times New Roman" w:hint="default"/>
          <w:spacing w:val="-3"/>
        </w:rPr>
        <w:t> </w:t>
      </w:r>
      <w:r>
        <w:rPr/>
        <w:t>年）股东回</w:t>
      </w:r>
      <w:r>
        <w:rPr>
          <w:w w:val="100"/>
        </w:rPr>
        <w:t> </w:t>
      </w:r>
      <w:r>
        <w:rPr>
          <w:spacing w:val="-5"/>
          <w:w w:val="100"/>
        </w:rPr>
        <w:t>报规划》，并修订了《公司章程》中关于利润分配的相关条款。上述议案尚需提交公司</w:t>
      </w:r>
      <w:r>
        <w:rPr>
          <w:spacing w:val="-48"/>
          <w:w w:val="100"/>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spacing w:val="1"/>
          <w:w w:val="100"/>
        </w:rPr>
        <w:t> </w:t>
      </w:r>
      <w:r>
        <w:rPr>
          <w:spacing w:val="-2"/>
          <w:w w:val="100"/>
        </w:rPr>
        <w:t>年年度股东大</w:t>
      </w:r>
      <w:r>
        <w:rPr>
          <w:spacing w:val="-104"/>
          <w:w w:val="100"/>
        </w:rPr>
        <w:t> </w:t>
      </w:r>
      <w:r>
        <w:rPr>
          <w:spacing w:val="-104"/>
          <w:w w:val="100"/>
        </w:rPr>
      </w:r>
      <w:r>
        <w:rPr/>
        <w:t>会进行审议。</w:t>
      </w:r>
    </w:p>
    <w:p>
      <w:pPr>
        <w:spacing w:line="240" w:lineRule="auto" w:before="5"/>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6522"/>
        <w:gridCol w:w="3049"/>
      </w:tblGrid>
      <w:tr>
        <w:trPr>
          <w:trHeight w:val="460" w:hRule="exact"/>
        </w:trPr>
        <w:tc>
          <w:tcPr>
            <w:tcW w:w="9571" w:type="dxa"/>
            <w:gridSpan w:val="2"/>
            <w:tcBorders>
              <w:top w:val="single" w:sz="12"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64" w:hRule="exact"/>
        </w:trPr>
        <w:tc>
          <w:tcPr>
            <w:tcW w:w="65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049" w:type="dxa"/>
            <w:tcBorders>
              <w:top w:val="single" w:sz="12" w:space="0" w:color="D2D2D2"/>
              <w:left w:val="single" w:sz="10" w:space="0" w:color="D2D2D2"/>
              <w:bottom w:val="single" w:sz="4" w:space="0" w:color="000000"/>
              <w:right w:val="single" w:sz="12" w:space="0" w:color="000000"/>
            </w:tcBorders>
          </w:tcPr>
          <w:p>
            <w:pPr>
              <w:pStyle w:val="TableParagraph"/>
              <w:spacing w:line="240" w:lineRule="auto" w:before="69"/>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65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0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6" w:hRule="exact"/>
        </w:trPr>
        <w:tc>
          <w:tcPr>
            <w:tcW w:w="65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0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65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0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65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0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3" w:hRule="exact"/>
        </w:trPr>
        <w:tc>
          <w:tcPr>
            <w:tcW w:w="652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04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6"/>
        <w:rPr>
          <w:rFonts w:ascii="宋体" w:hAnsi="宋体" w:cs="宋体" w:eastAsia="宋体" w:hint="default"/>
          <w:sz w:val="5"/>
          <w:szCs w:val="5"/>
        </w:rPr>
      </w:pPr>
    </w:p>
    <w:p>
      <w:pPr>
        <w:pStyle w:val="BodyText"/>
        <w:spacing w:line="240" w:lineRule="auto" w:before="36"/>
        <w:ind w:right="140"/>
        <w:jc w:val="left"/>
      </w:pPr>
      <w:r>
        <w:rPr/>
        <w:t>公司近</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年（含报告期）的利润分配预案或方案及资本公积金转增股本预案或方案情况</w:t>
      </w:r>
    </w:p>
    <w:p>
      <w:pPr>
        <w:spacing w:line="240" w:lineRule="auto" w:before="7"/>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w w:val="100"/>
        </w:rPr>
        <w:t>2014</w:t>
      </w:r>
      <w:r>
        <w:rPr>
          <w:rFonts w:ascii="Times New Roman" w:hAnsi="Times New Roman" w:cs="Times New Roman" w:eastAsia="Times New Roman" w:hint="default"/>
          <w:spacing w:val="-27"/>
        </w:rPr>
        <w:t> </w:t>
      </w:r>
      <w:r>
        <w:rPr>
          <w:w w:val="100"/>
        </w:rPr>
        <w:t>年</w:t>
      </w:r>
      <w:r>
        <w:rPr>
          <w:spacing w:val="-3"/>
          <w:w w:val="100"/>
        </w:rPr>
        <w:t>度</w:t>
      </w:r>
      <w:r>
        <w:rPr>
          <w:spacing w:val="-106"/>
          <w:w w:val="100"/>
        </w:rPr>
        <w:t>：</w:t>
      </w:r>
      <w:r>
        <w:rPr>
          <w:spacing w:val="-3"/>
          <w:w w:val="100"/>
        </w:rPr>
        <w:t>公</w:t>
      </w:r>
      <w:r>
        <w:rPr>
          <w:w w:val="100"/>
        </w:rPr>
        <w:t>司</w:t>
      </w:r>
      <w:r>
        <w:rPr>
          <w:spacing w:val="-3"/>
          <w:w w:val="100"/>
        </w:rPr>
        <w:t>利</w:t>
      </w:r>
      <w:r>
        <w:rPr>
          <w:w w:val="100"/>
        </w:rPr>
        <w:t>润</w:t>
      </w:r>
      <w:r>
        <w:rPr>
          <w:spacing w:val="-3"/>
          <w:w w:val="100"/>
        </w:rPr>
        <w:t>分</w:t>
      </w:r>
      <w:r>
        <w:rPr>
          <w:w w:val="100"/>
        </w:rPr>
        <w:t>配</w:t>
      </w:r>
      <w:r>
        <w:rPr>
          <w:spacing w:val="-3"/>
          <w:w w:val="100"/>
        </w:rPr>
        <w:t>预</w:t>
      </w:r>
      <w:r>
        <w:rPr>
          <w:w w:val="100"/>
        </w:rPr>
        <w:t>案为</w:t>
      </w:r>
      <w:r>
        <w:rPr>
          <w:spacing w:val="-3"/>
          <w:w w:val="100"/>
        </w:rPr>
        <w:t>拟</w:t>
      </w:r>
      <w:r>
        <w:rPr>
          <w:w w:val="100"/>
        </w:rPr>
        <w:t>以</w:t>
      </w:r>
      <w:r>
        <w:rPr>
          <w:spacing w:val="-3"/>
          <w:w w:val="100"/>
        </w:rPr>
        <w:t>未</w:t>
      </w:r>
      <w:r>
        <w:rPr>
          <w:w w:val="100"/>
        </w:rPr>
        <w:t>来</w:t>
      </w:r>
      <w:r>
        <w:rPr>
          <w:spacing w:val="-3"/>
          <w:w w:val="100"/>
        </w:rPr>
        <w:t>实</w:t>
      </w:r>
      <w:r>
        <w:rPr>
          <w:w w:val="100"/>
        </w:rPr>
        <w:t>施</w:t>
      </w:r>
      <w:r>
        <w:rPr>
          <w:spacing w:val="-79"/>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4</w:t>
      </w:r>
      <w:r>
        <w:rPr>
          <w:rFonts w:ascii="Times New Roman" w:hAnsi="Times New Roman" w:cs="Times New Roman" w:eastAsia="Times New Roman" w:hint="default"/>
          <w:spacing w:val="-24"/>
        </w:rPr>
        <w:t> </w:t>
      </w:r>
      <w:r>
        <w:rPr>
          <w:spacing w:val="-3"/>
          <w:w w:val="100"/>
        </w:rPr>
        <w:t>年</w:t>
      </w:r>
      <w:r>
        <w:rPr>
          <w:w w:val="100"/>
        </w:rPr>
        <w:t>度权</w:t>
      </w:r>
      <w:r>
        <w:rPr>
          <w:spacing w:val="-3"/>
          <w:w w:val="100"/>
        </w:rPr>
        <w:t>益</w:t>
      </w:r>
      <w:r>
        <w:rPr>
          <w:w w:val="100"/>
        </w:rPr>
        <w:t>分</w:t>
      </w:r>
      <w:r>
        <w:rPr>
          <w:spacing w:val="-3"/>
          <w:w w:val="100"/>
        </w:rPr>
        <w:t>配</w:t>
      </w:r>
      <w:r>
        <w:rPr>
          <w:w w:val="100"/>
        </w:rPr>
        <w:t>方</w:t>
      </w:r>
      <w:r>
        <w:rPr>
          <w:spacing w:val="-3"/>
          <w:w w:val="100"/>
        </w:rPr>
        <w:t>案</w:t>
      </w:r>
      <w:r>
        <w:rPr>
          <w:w w:val="100"/>
        </w:rPr>
        <w:t>时</w:t>
      </w:r>
      <w:r>
        <w:rPr>
          <w:spacing w:val="-3"/>
          <w:w w:val="100"/>
        </w:rPr>
        <w:t>股</w:t>
      </w:r>
      <w:r>
        <w:rPr>
          <w:w w:val="100"/>
        </w:rPr>
        <w:t>权</w:t>
      </w:r>
      <w:r>
        <w:rPr>
          <w:spacing w:val="-3"/>
          <w:w w:val="100"/>
        </w:rPr>
        <w:t>登</w:t>
      </w:r>
      <w:r>
        <w:rPr>
          <w:w w:val="100"/>
        </w:rPr>
        <w:t>记日</w:t>
      </w:r>
      <w:r>
        <w:rPr>
          <w:spacing w:val="-3"/>
          <w:w w:val="100"/>
        </w:rPr>
        <w:t>的</w:t>
      </w:r>
      <w:r>
        <w:rPr>
          <w:w w:val="100"/>
        </w:rPr>
        <w:t>总</w:t>
      </w:r>
      <w:r>
        <w:rPr>
          <w:spacing w:val="-3"/>
          <w:w w:val="100"/>
        </w:rPr>
        <w:t>股</w:t>
      </w:r>
      <w:r>
        <w:rPr>
          <w:w w:val="100"/>
        </w:rPr>
        <w:t>本</w:t>
      </w:r>
      <w:r>
        <w:rPr>
          <w:spacing w:val="-3"/>
          <w:w w:val="100"/>
        </w:rPr>
        <w:t>为</w:t>
      </w:r>
      <w:r>
        <w:rPr>
          <w:w w:val="100"/>
        </w:rPr>
        <w:t>基</w:t>
      </w:r>
      <w:r>
        <w:rPr>
          <w:spacing w:val="-3"/>
          <w:w w:val="100"/>
        </w:rPr>
        <w:t>数</w:t>
      </w:r>
      <w:r>
        <w:rPr>
          <w:w w:val="100"/>
        </w:rPr>
        <w:t>，</w:t>
      </w:r>
    </w:p>
    <w:p>
      <w:pPr>
        <w:pStyle w:val="BodyText"/>
        <w:spacing w:line="240" w:lineRule="auto" w:before="177"/>
        <w:ind w:right="0"/>
        <w:jc w:val="left"/>
      </w:pPr>
      <w:r>
        <w:rPr>
          <w:w w:val="100"/>
        </w:rPr>
        <w:t>向全</w:t>
      </w:r>
      <w:r>
        <w:rPr>
          <w:spacing w:val="-3"/>
          <w:w w:val="100"/>
        </w:rPr>
        <w:t>体</w:t>
      </w:r>
      <w:r>
        <w:rPr>
          <w:w w:val="100"/>
        </w:rPr>
        <w:t>股</w:t>
      </w:r>
      <w:r>
        <w:rPr>
          <w:spacing w:val="-3"/>
          <w:w w:val="100"/>
        </w:rPr>
        <w:t>东</w:t>
      </w:r>
      <w:r>
        <w:rPr>
          <w:w w:val="100"/>
        </w:rPr>
        <w:t>每</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股</w:t>
      </w:r>
      <w:r>
        <w:rPr>
          <w:w w:val="100"/>
        </w:rPr>
        <w:t>派</w:t>
      </w:r>
      <w:r>
        <w:rPr>
          <w:spacing w:val="-3"/>
          <w:w w:val="100"/>
        </w:rPr>
        <w:t>发现</w:t>
      </w:r>
      <w:r>
        <w:rPr>
          <w:w w:val="100"/>
        </w:rPr>
        <w:t>金</w:t>
      </w:r>
      <w:r>
        <w:rPr>
          <w:spacing w:val="-3"/>
          <w:w w:val="100"/>
        </w:rPr>
        <w:t>红</w:t>
      </w:r>
      <w:r>
        <w:rPr>
          <w:w w:val="100"/>
        </w:rPr>
        <w:t>利</w:t>
      </w:r>
      <w:r>
        <w:rPr>
          <w:spacing w:val="-52"/>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20"/>
          <w:w w:val="100"/>
        </w:rPr>
        <w:t>元</w:t>
      </w:r>
      <w:r>
        <w:rPr>
          <w:spacing w:val="-3"/>
          <w:w w:val="100"/>
        </w:rPr>
        <w:t>（</w:t>
      </w:r>
      <w:r>
        <w:rPr>
          <w:w w:val="100"/>
        </w:rPr>
        <w:t>含</w:t>
      </w:r>
      <w:r>
        <w:rPr>
          <w:spacing w:val="-3"/>
          <w:w w:val="100"/>
        </w:rPr>
        <w:t>税</w:t>
      </w:r>
      <w:r>
        <w:rPr>
          <w:spacing w:val="-106"/>
          <w:w w:val="100"/>
        </w:rPr>
        <w:t>）</w:t>
      </w:r>
      <w:r>
        <w:rPr>
          <w:spacing w:val="-20"/>
          <w:w w:val="100"/>
        </w:rPr>
        <w:t>，</w:t>
      </w:r>
      <w:r>
        <w:rPr>
          <w:spacing w:val="-3"/>
          <w:w w:val="100"/>
        </w:rPr>
        <w:t>不</w:t>
      </w:r>
      <w:r>
        <w:rPr>
          <w:w w:val="100"/>
        </w:rPr>
        <w:t>送红</w:t>
      </w:r>
      <w:r>
        <w:rPr>
          <w:spacing w:val="-3"/>
          <w:w w:val="100"/>
        </w:rPr>
        <w:t>股</w:t>
      </w:r>
      <w:r>
        <w:rPr>
          <w:spacing w:val="-20"/>
          <w:w w:val="100"/>
        </w:rPr>
        <w:t>，</w:t>
      </w:r>
      <w:r>
        <w:rPr>
          <w:spacing w:val="-3"/>
          <w:w w:val="100"/>
        </w:rPr>
        <w:t>不</w:t>
      </w:r>
      <w:r>
        <w:rPr>
          <w:w w:val="100"/>
        </w:rPr>
        <w:t>以</w:t>
      </w:r>
      <w:r>
        <w:rPr>
          <w:spacing w:val="-3"/>
          <w:w w:val="100"/>
        </w:rPr>
        <w:t>公</w:t>
      </w:r>
      <w:r>
        <w:rPr>
          <w:w w:val="100"/>
        </w:rPr>
        <w:t>积</w:t>
      </w:r>
      <w:r>
        <w:rPr>
          <w:spacing w:val="-3"/>
          <w:w w:val="100"/>
        </w:rPr>
        <w:t>金</w:t>
      </w:r>
      <w:r>
        <w:rPr>
          <w:w w:val="100"/>
        </w:rPr>
        <w:t>转</w:t>
      </w:r>
      <w:r>
        <w:rPr>
          <w:spacing w:val="-3"/>
          <w:w w:val="100"/>
        </w:rPr>
        <w:t>增</w:t>
      </w:r>
      <w:r>
        <w:rPr>
          <w:w w:val="100"/>
        </w:rPr>
        <w:t>股本</w:t>
      </w:r>
      <w:r>
        <w:rPr>
          <w:spacing w:val="-22"/>
          <w:w w:val="100"/>
        </w:rPr>
        <w:t>。</w:t>
      </w:r>
      <w:r>
        <w:rPr>
          <w:w w:val="100"/>
        </w:rPr>
        <w:t>以</w:t>
      </w:r>
      <w:r>
        <w:rPr>
          <w:spacing w:val="-3"/>
          <w:w w:val="100"/>
        </w:rPr>
        <w:t>上</w:t>
      </w:r>
      <w:r>
        <w:rPr>
          <w:w w:val="100"/>
        </w:rPr>
        <w:t>预</w:t>
      </w:r>
      <w:r>
        <w:rPr>
          <w:spacing w:val="-3"/>
          <w:w w:val="100"/>
        </w:rPr>
        <w:t>案</w:t>
      </w:r>
      <w:r>
        <w:rPr>
          <w:w w:val="100"/>
        </w:rPr>
        <w:t>将</w:t>
      </w:r>
      <w:r>
        <w:rPr>
          <w:spacing w:val="-3"/>
          <w:w w:val="100"/>
        </w:rPr>
        <w:t>提</w:t>
      </w:r>
      <w:r>
        <w:rPr>
          <w:w w:val="100"/>
        </w:rPr>
        <w:t>交</w:t>
      </w:r>
      <w:r>
        <w:rPr>
          <w:spacing w:val="-3"/>
          <w:w w:val="100"/>
        </w:rPr>
        <w:t>公</w:t>
      </w:r>
      <w:r>
        <w:rPr>
          <w:w w:val="100"/>
        </w:rPr>
        <w:t>司</w:t>
      </w:r>
    </w:p>
    <w:p>
      <w:pPr>
        <w:pStyle w:val="BodyText"/>
        <w:spacing w:line="240" w:lineRule="auto" w:before="177"/>
        <w:ind w:right="14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年年度股东大会进行审议。</w:t>
      </w:r>
    </w:p>
    <w:p>
      <w:pPr>
        <w:spacing w:line="240" w:lineRule="auto" w:before="9"/>
        <w:rPr>
          <w:rFonts w:ascii="宋体" w:hAnsi="宋体" w:cs="宋体" w:eastAsia="宋体" w:hint="default"/>
          <w:sz w:val="16"/>
          <w:szCs w:val="16"/>
        </w:rPr>
      </w:pPr>
    </w:p>
    <w:p>
      <w:pPr>
        <w:pStyle w:val="BodyText"/>
        <w:spacing w:line="240" w:lineRule="auto"/>
        <w:ind w:left="573" w:right="140"/>
        <w:jc w:val="left"/>
      </w:pPr>
      <w:r>
        <w:rPr>
          <w:rFonts w:ascii="Times New Roman" w:hAnsi="Times New Roman" w:cs="Times New Roman" w:eastAsia="Times New Roman" w:hint="default"/>
        </w:rPr>
        <w:t>2013 </w:t>
      </w:r>
      <w:r>
        <w:rPr>
          <w:rFonts w:ascii="Times New Roman" w:hAnsi="Times New Roman" w:cs="Times New Roman" w:eastAsia="Times New Roman" w:hint="default"/>
          <w:spacing w:val="21"/>
        </w:rPr>
        <w:t> </w:t>
      </w:r>
      <w:r>
        <w:rPr>
          <w:spacing w:val="-2"/>
        </w:rPr>
        <w:t>年度：经信永中和会计师事务所（特殊普通合伙）审计，母公司累计可供股东分配的利润为</w:t>
      </w:r>
    </w:p>
    <w:p>
      <w:pPr>
        <w:pStyle w:val="BodyText"/>
        <w:spacing w:line="240" w:lineRule="auto" w:before="177"/>
        <w:ind w:right="0"/>
        <w:jc w:val="left"/>
      </w:pPr>
      <w:r>
        <w:rPr>
          <w:rFonts w:ascii="Times New Roman" w:hAnsi="Times New Roman" w:cs="Times New Roman" w:eastAsia="Times New Roman" w:hint="default"/>
        </w:rPr>
        <w:t>-28,182.12 </w:t>
      </w:r>
      <w:r>
        <w:rPr/>
        <w:t>万元。尚不满足分红条件，因此，</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年度不进行利润分配，也不进行资本公积金转增股本。</w:t>
      </w:r>
    </w:p>
    <w:p>
      <w:pPr>
        <w:spacing w:line="240" w:lineRule="auto" w:before="9"/>
        <w:rPr>
          <w:rFonts w:ascii="宋体" w:hAnsi="宋体" w:cs="宋体" w:eastAsia="宋体" w:hint="default"/>
          <w:sz w:val="16"/>
          <w:szCs w:val="16"/>
        </w:rPr>
      </w:pPr>
    </w:p>
    <w:p>
      <w:pPr>
        <w:pStyle w:val="BodyText"/>
        <w:spacing w:line="386" w:lineRule="auto"/>
        <w:ind w:right="148" w:firstLine="422"/>
        <w:jc w:val="left"/>
        <w:rPr>
          <w:rFonts w:ascii="Times New Roman" w:hAnsi="Times New Roman" w:cs="Times New Roman" w:eastAsia="Times New Roman" w:hint="default"/>
        </w:rPr>
      </w:pPr>
      <w:r>
        <w:rPr>
          <w:rFonts w:ascii="Times New Roman" w:hAnsi="Times New Roman" w:cs="Times New Roman" w:eastAsia="Times New Roman" w:hint="default"/>
        </w:rPr>
        <w:t>2012 </w:t>
      </w:r>
      <w:r>
        <w:rPr>
          <w:spacing w:val="-3"/>
        </w:rPr>
        <w:t>年度：经中磊会计师事务所有限责任公司审计，公司 </w:t>
      </w:r>
      <w:r>
        <w:rPr>
          <w:rFonts w:ascii="Times New Roman" w:hAnsi="Times New Roman" w:cs="Times New Roman" w:eastAsia="Times New Roman" w:hint="default"/>
        </w:rPr>
        <w:t>2012 </w:t>
      </w:r>
      <w:r>
        <w:rPr/>
        <w:t>年度实现净利润为</w:t>
      </w:r>
      <w:r>
        <w:rPr>
          <w:rFonts w:ascii="Times New Roman" w:hAnsi="Times New Roman" w:cs="Times New Roman" w:eastAsia="Times New Roman" w:hint="default"/>
        </w:rPr>
        <w:t>-829.61</w:t>
      </w:r>
      <w:r>
        <w:rPr>
          <w:rFonts w:ascii="Times New Roman" w:hAnsi="Times New Roman" w:cs="Times New Roman" w:eastAsia="Times New Roman" w:hint="default"/>
          <w:spacing w:val="-16"/>
        </w:rPr>
        <w:t> </w:t>
      </w:r>
      <w:r>
        <w:rPr>
          <w:spacing w:val="-5"/>
        </w:rPr>
        <w:t>万元，累计</w:t>
      </w:r>
      <w:r>
        <w:rPr>
          <w:w w:val="100"/>
        </w:rPr>
        <w:t> </w:t>
      </w:r>
      <w:r>
        <w:rPr>
          <w:spacing w:val="-1"/>
          <w:w w:val="100"/>
        </w:rPr>
        <w:t>可供股东分配的利润为</w:t>
      </w:r>
      <w:r>
        <w:rPr>
          <w:rFonts w:ascii="Times New Roman" w:hAnsi="Times New Roman" w:cs="Times New Roman" w:eastAsia="Times New Roman" w:hint="default"/>
          <w:spacing w:val="-1"/>
          <w:w w:val="100"/>
        </w:rPr>
        <w:t>-28,461.95</w:t>
      </w:r>
      <w:r>
        <w:rPr>
          <w:rFonts w:ascii="Times New Roman" w:hAnsi="Times New Roman" w:cs="Times New Roman" w:eastAsia="Times New Roman" w:hint="default"/>
          <w:spacing w:val="-7"/>
          <w:w w:val="100"/>
        </w:rPr>
        <w:t> </w:t>
      </w:r>
      <w:r>
        <w:rPr>
          <w:spacing w:val="-17"/>
          <w:w w:val="100"/>
        </w:rPr>
        <w:t>万元。鉴于公司</w:t>
      </w:r>
      <w:r>
        <w:rPr>
          <w:spacing w:val="-61"/>
          <w:w w:val="100"/>
        </w:rPr>
        <w:t> </w:t>
      </w:r>
      <w:r>
        <w:rPr>
          <w:rFonts w:ascii="Times New Roman" w:hAnsi="Times New Roman" w:cs="Times New Roman" w:eastAsia="Times New Roman" w:hint="default"/>
          <w:spacing w:val="-2"/>
          <w:w w:val="100"/>
        </w:rPr>
        <w:t>2012</w:t>
      </w:r>
      <w:r>
        <w:rPr>
          <w:rFonts w:ascii="Times New Roman" w:hAnsi="Times New Roman" w:cs="Times New Roman" w:eastAsia="Times New Roman" w:hint="default"/>
          <w:spacing w:val="-8"/>
          <w:w w:val="100"/>
        </w:rPr>
        <w:t> </w:t>
      </w:r>
      <w:r>
        <w:rPr>
          <w:spacing w:val="-6"/>
          <w:w w:val="100"/>
        </w:rPr>
        <w:t>年度亏损，且累计可供股东分配的利润为负数，</w:t>
      </w:r>
      <w:r>
        <w:rPr>
          <w:rFonts w:ascii="Times New Roman" w:hAnsi="Times New Roman" w:cs="Times New Roman" w:eastAsia="Times New Roman" w:hint="default"/>
          <w:spacing w:val="-6"/>
          <w:w w:val="100"/>
        </w:rPr>
        <w:t>2012</w:t>
      </w:r>
    </w:p>
    <w:p>
      <w:pPr>
        <w:spacing w:after="0" w:line="386" w:lineRule="auto"/>
        <w:jc w:val="left"/>
        <w:rPr>
          <w:rFonts w:ascii="Times New Roman" w:hAnsi="Times New Roman" w:cs="Times New Roman" w:eastAsia="Times New Roman" w:hint="default"/>
        </w:rPr>
        <w:sectPr>
          <w:footerReference w:type="default" r:id="rId20"/>
          <w:pgSz w:w="11910" w:h="16840"/>
          <w:pgMar w:footer="1227" w:header="0" w:top="1060" w:bottom="1420" w:left="980" w:right="980"/>
          <w:pgNumType w:start="3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8"/>
          <w:szCs w:val="18"/>
        </w:rPr>
      </w:pPr>
    </w:p>
    <w:p>
      <w:pPr>
        <w:pStyle w:val="BodyText"/>
        <w:spacing w:line="240" w:lineRule="auto"/>
        <w:ind w:right="140"/>
        <w:jc w:val="left"/>
      </w:pPr>
      <w:r>
        <w:rPr/>
        <w:t>年度不进行利润分配，也不进行资本公积金转增股本。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right="140"/>
        <w:jc w:val="left"/>
      </w:pPr>
      <w:r>
        <w:rPr/>
        <w:t>公司近三年现金分红情况表</w:t>
      </w:r>
    </w:p>
    <w:p>
      <w:pPr>
        <w:spacing w:line="240" w:lineRule="auto" w:before="3"/>
        <w:rPr>
          <w:rFonts w:ascii="宋体" w:hAnsi="宋体" w:cs="宋体" w:eastAsia="宋体" w:hint="default"/>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1020" w:hRule="exact"/>
        </w:trPr>
        <w:tc>
          <w:tcPr>
            <w:tcW w:w="159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5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4"/>
              <w:ind w:left="71" w:right="72"/>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4"/>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4"/>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34"/>
              <w:ind w:left="71" w:right="63"/>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466"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28" w:right="0"/>
              <w:jc w:val="left"/>
              <w:rPr>
                <w:rFonts w:ascii="Times New Roman" w:hAnsi="Times New Roman" w:cs="Times New Roman" w:eastAsia="Times New Roman" w:hint="default"/>
                <w:sz w:val="18"/>
                <w:szCs w:val="18"/>
              </w:rPr>
            </w:pPr>
            <w:r>
              <w:rPr>
                <w:rFonts w:ascii="Times New Roman"/>
                <w:sz w:val="18"/>
              </w:rPr>
              <w:t>27,534,357.48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279,531,140.01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9.85%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254,718,777.19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12" w:space="0" w:color="000000"/>
            </w:tcBorders>
          </w:tcPr>
          <w:p>
            <w:pPr/>
          </w:p>
        </w:tc>
      </w:tr>
      <w:tr>
        <w:trPr>
          <w:trHeight w:val="473" w:hRule="exact"/>
        </w:trPr>
        <w:tc>
          <w:tcPr>
            <w:tcW w:w="159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12" w:space="0" w:color="000000"/>
              <w:right w:val="single" w:sz="4" w:space="0" w:color="000000"/>
            </w:tcBorders>
          </w:tcPr>
          <w:p>
            <w:pPr/>
          </w:p>
        </w:tc>
        <w:tc>
          <w:tcPr>
            <w:tcW w:w="1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308,117,155.97</w:t>
            </w:r>
          </w:p>
        </w:tc>
        <w:tc>
          <w:tcPr>
            <w:tcW w:w="1594"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tcPr>
          <w:p>
            <w:pPr/>
          </w:p>
        </w:tc>
        <w:tc>
          <w:tcPr>
            <w:tcW w:w="1596"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6"/>
        <w:rPr>
          <w:rFonts w:ascii="宋体" w:hAnsi="宋体" w:cs="宋体" w:eastAsia="宋体" w:hint="default"/>
          <w:sz w:val="5"/>
          <w:szCs w:val="5"/>
        </w:rPr>
      </w:pPr>
    </w:p>
    <w:p>
      <w:pPr>
        <w:pStyle w:val="BodyText"/>
        <w:spacing w:line="240" w:lineRule="auto" w:before="36"/>
        <w:ind w:right="140"/>
        <w:jc w:val="left"/>
      </w:pPr>
      <w:r>
        <w:rPr/>
        <w:t>公司报告期内盈利且母公司未分配利润为正但未提出现金红利分配预案</w:t>
      </w:r>
    </w:p>
    <w:p>
      <w:pPr>
        <w:spacing w:line="240" w:lineRule="auto" w:before="9"/>
        <w:rPr>
          <w:rFonts w:ascii="宋体" w:hAnsi="宋体" w:cs="宋体" w:eastAsia="宋体" w:hint="default"/>
          <w:sz w:val="17"/>
          <w:szCs w:val="17"/>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before="0"/>
        <w:ind w:right="140"/>
        <w:jc w:val="left"/>
        <w:rPr>
          <w:b w:val="0"/>
          <w:bCs w:val="0"/>
        </w:rPr>
      </w:pPr>
      <w:r>
        <w:rPr/>
        <w:t>十五、本报告期利润分配及资本公积金转增股本预案</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3716"/>
        <w:gridCol w:w="5855"/>
      </w:tblGrid>
      <w:tr>
        <w:trPr>
          <w:trHeight w:val="456" w:hRule="exact"/>
        </w:trPr>
        <w:tc>
          <w:tcPr>
            <w:tcW w:w="371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1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1"/>
              <w:ind w:right="13"/>
              <w:jc w:val="right"/>
              <w:rPr>
                <w:rFonts w:ascii="Times New Roman" w:hAnsi="Times New Roman" w:cs="Times New Roman" w:eastAsia="Times New Roman" w:hint="default"/>
                <w:sz w:val="18"/>
                <w:szCs w:val="18"/>
              </w:rPr>
            </w:pPr>
            <w:r>
              <w:rPr>
                <w:rFonts w:ascii="Times New Roman"/>
                <w:sz w:val="18"/>
              </w:rPr>
              <w:t>0</w:t>
            </w:r>
          </w:p>
        </w:tc>
      </w:tr>
      <w:tr>
        <w:trPr>
          <w:trHeight w:val="497" w:hRule="exact"/>
        </w:trPr>
        <w:tc>
          <w:tcPr>
            <w:tcW w:w="37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6"/>
              <w:ind w:left="1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8"/>
              <w:ind w:right="11"/>
              <w:jc w:val="right"/>
              <w:rPr>
                <w:rFonts w:ascii="Times New Roman" w:hAnsi="Times New Roman" w:cs="Times New Roman" w:eastAsia="Times New Roman" w:hint="default"/>
                <w:sz w:val="18"/>
                <w:szCs w:val="18"/>
              </w:rPr>
            </w:pPr>
            <w:r>
              <w:rPr>
                <w:rFonts w:ascii="Times New Roman"/>
                <w:spacing w:val="-1"/>
                <w:sz w:val="18"/>
              </w:rPr>
              <w:t>0.60</w:t>
            </w:r>
          </w:p>
        </w:tc>
      </w:tr>
      <w:tr>
        <w:trPr>
          <w:trHeight w:val="448" w:hRule="exact"/>
        </w:trPr>
        <w:tc>
          <w:tcPr>
            <w:tcW w:w="37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pacing w:val="-1"/>
                <w:sz w:val="18"/>
              </w:rPr>
              <w:t>458,905,958</w:t>
            </w:r>
          </w:p>
        </w:tc>
      </w:tr>
      <w:tr>
        <w:trPr>
          <w:trHeight w:val="448" w:hRule="exact"/>
        </w:trPr>
        <w:tc>
          <w:tcPr>
            <w:tcW w:w="37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2"/>
              <w:jc w:val="right"/>
              <w:rPr>
                <w:rFonts w:ascii="Times New Roman" w:hAnsi="Times New Roman" w:cs="Times New Roman" w:eastAsia="Times New Roman" w:hint="default"/>
                <w:sz w:val="18"/>
                <w:szCs w:val="18"/>
              </w:rPr>
            </w:pPr>
            <w:r>
              <w:rPr>
                <w:rFonts w:ascii="Times New Roman"/>
                <w:spacing w:val="-1"/>
                <w:sz w:val="18"/>
              </w:rPr>
              <w:t>27,534,357.48</w:t>
            </w:r>
          </w:p>
        </w:tc>
      </w:tr>
      <w:tr>
        <w:trPr>
          <w:trHeight w:val="497" w:hRule="exact"/>
        </w:trPr>
        <w:tc>
          <w:tcPr>
            <w:tcW w:w="37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8"/>
              <w:ind w:right="12"/>
              <w:jc w:val="right"/>
              <w:rPr>
                <w:rFonts w:ascii="Times New Roman" w:hAnsi="Times New Roman" w:cs="Times New Roman" w:eastAsia="Times New Roman" w:hint="default"/>
                <w:sz w:val="18"/>
                <w:szCs w:val="18"/>
              </w:rPr>
            </w:pPr>
            <w:r>
              <w:rPr>
                <w:rFonts w:ascii="Times New Roman"/>
                <w:spacing w:val="-1"/>
                <w:sz w:val="18"/>
              </w:rPr>
              <w:t>69,660,498.76</w:t>
            </w:r>
          </w:p>
        </w:tc>
      </w:tr>
      <w:tr>
        <w:trPr>
          <w:trHeight w:val="463" w:hRule="exact"/>
        </w:trPr>
        <w:tc>
          <w:tcPr>
            <w:tcW w:w="37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5" w:type="dxa"/>
            <w:tcBorders>
              <w:top w:val="single" w:sz="4" w:space="0" w:color="000000"/>
              <w:left w:val="single" w:sz="10" w:space="0" w:color="D2D2D2"/>
              <w:bottom w:val="single" w:sz="16" w:space="0" w:color="D2D2D2"/>
              <w:right w:val="single" w:sz="12" w:space="0" w:color="000000"/>
            </w:tcBorders>
          </w:tcPr>
          <w:p>
            <w:pPr>
              <w:pStyle w:val="TableParagraph"/>
              <w:spacing w:line="240" w:lineRule="auto" w:before="106"/>
              <w:ind w:right="1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32" w:hRule="exact"/>
        </w:trPr>
        <w:tc>
          <w:tcPr>
            <w:tcW w:w="9571" w:type="dxa"/>
            <w:gridSpan w:val="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现金分红政策：</w:t>
            </w:r>
          </w:p>
        </w:tc>
      </w:tr>
      <w:tr>
        <w:trPr>
          <w:trHeight w:val="497" w:hRule="exact"/>
        </w:trPr>
        <w:tc>
          <w:tcPr>
            <w:tcW w:w="9571" w:type="dxa"/>
            <w:gridSpan w:val="2"/>
            <w:tcBorders>
              <w:top w:val="single" w:sz="16" w:space="0" w:color="D2D2D2"/>
              <w:left w:val="single" w:sz="12" w:space="0" w:color="000000"/>
              <w:bottom w:val="single" w:sz="12" w:space="0" w:color="D2D2D2"/>
              <w:right w:val="single" w:sz="12"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48" w:hRule="exact"/>
        </w:trPr>
        <w:tc>
          <w:tcPr>
            <w:tcW w:w="9571" w:type="dxa"/>
            <w:gridSpan w:val="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5"/>
              <w:ind w:left="288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99" w:hRule="exact"/>
        </w:trPr>
        <w:tc>
          <w:tcPr>
            <w:tcW w:w="9571" w:type="dxa"/>
            <w:gridSpan w:val="2"/>
            <w:tcBorders>
              <w:top w:val="single" w:sz="4" w:space="0" w:color="000000"/>
              <w:left w:val="single" w:sz="12" w:space="0" w:color="000000"/>
              <w:bottom w:val="single" w:sz="12" w:space="0" w:color="000000"/>
              <w:right w:val="single" w:sz="12" w:space="0" w:color="000000"/>
            </w:tcBorders>
          </w:tcPr>
          <w:p>
            <w:pPr>
              <w:pStyle w:val="TableParagraph"/>
              <w:spacing w:line="300" w:lineRule="auto" w:before="49"/>
              <w:ind w:left="14" w:right="1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、经信永中和会计师事务所（特殊普通合伙）审计，本公司母公司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359,221,710.16 </w:t>
            </w:r>
            <w:r>
              <w:rPr>
                <w:rFonts w:ascii="宋体" w:hAnsi="宋体" w:cs="宋体" w:eastAsia="宋体" w:hint="default"/>
                <w:sz w:val="18"/>
                <w:szCs w:val="18"/>
              </w:rPr>
              <w:t>元，根据《公 司法》及《公司章程》的有关规定，按母公司弥补亏损后的净利润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7,740,055.42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元，加上母公司 年初未分配利润</w:t>
            </w:r>
            <w:r>
              <w:rPr>
                <w:rFonts w:ascii="Times New Roman" w:hAnsi="Times New Roman" w:cs="Times New Roman" w:eastAsia="Times New Roman" w:hint="default"/>
                <w:sz w:val="18"/>
                <w:szCs w:val="18"/>
              </w:rPr>
              <w:t>-281,821,155.98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年度本公司母公司实际可供股东分配的未分配利润为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69,660,498.76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51"/>
              <w:ind w:left="14"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日，公司第六届董事会第八次会议审议通过的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年度利润分配预案为：以未来实施</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年度权益分</w:t>
            </w:r>
          </w:p>
          <w:p>
            <w:pPr>
              <w:pStyle w:val="TableParagraph"/>
              <w:spacing w:line="240" w:lineRule="auto" w:before="63"/>
              <w:ind w:left="14" w:right="0"/>
              <w:jc w:val="both"/>
              <w:rPr>
                <w:rFonts w:ascii="宋体" w:hAnsi="宋体" w:cs="宋体" w:eastAsia="宋体" w:hint="default"/>
                <w:sz w:val="18"/>
                <w:szCs w:val="18"/>
              </w:rPr>
            </w:pPr>
            <w:r>
              <w:rPr>
                <w:rFonts w:ascii="宋体" w:hAnsi="宋体" w:cs="宋体" w:eastAsia="宋体" w:hint="default"/>
                <w:sz w:val="18"/>
                <w:szCs w:val="18"/>
              </w:rPr>
              <w:t>配方案时股权登记日的总股本为基数，向全体股东每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派</w:t>
            </w:r>
            <w:r>
              <w:rPr>
                <w:rFonts w:ascii="宋体" w:hAnsi="宋体" w:cs="宋体" w:eastAsia="宋体" w:hint="default"/>
                <w:sz w:val="18"/>
                <w:szCs w:val="18"/>
              </w:rPr>
              <w:t>发现金红利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after="0" w:line="240" w:lineRule="auto"/>
        <w:jc w:val="both"/>
        <w:rPr>
          <w:rFonts w:ascii="宋体" w:hAnsi="宋体" w:cs="宋体" w:eastAsia="宋体" w:hint="default"/>
          <w:sz w:val="18"/>
          <w:szCs w:val="18"/>
        </w:rPr>
        <w:sectPr>
          <w:pgSz w:w="11910" w:h="16840"/>
          <w:pgMar w:header="0" w:footer="1227" w:top="1060" w:bottom="1420" w:left="980" w:right="980"/>
        </w:sectPr>
      </w:pPr>
    </w:p>
    <w:p>
      <w:pPr>
        <w:spacing w:line="240" w:lineRule="auto" w:before="8"/>
        <w:rPr>
          <w:rFonts w:ascii="宋体" w:hAnsi="宋体" w:cs="宋体" w:eastAsia="宋体" w:hint="default"/>
          <w:sz w:val="23"/>
          <w:szCs w:val="23"/>
        </w:rPr>
      </w:pPr>
    </w:p>
    <w:p>
      <w:pPr>
        <w:pStyle w:val="Heading2"/>
        <w:spacing w:line="240" w:lineRule="auto"/>
        <w:ind w:right="0"/>
        <w:jc w:val="both"/>
        <w:rPr>
          <w:b w:val="0"/>
          <w:bCs w:val="0"/>
        </w:rPr>
      </w:pPr>
      <w:r>
        <w:rPr/>
        <w:t>十六、社会责任情况</w:t>
      </w:r>
      <w:r>
        <w:rPr>
          <w:b w:val="0"/>
          <w:bCs w:val="0"/>
        </w:rPr>
      </w:r>
    </w:p>
    <w:p>
      <w:pPr>
        <w:spacing w:line="240" w:lineRule="auto" w:before="10"/>
        <w:rPr>
          <w:rFonts w:ascii="宋体" w:hAnsi="宋体" w:cs="宋体" w:eastAsia="宋体" w:hint="default"/>
          <w:b/>
          <w:bCs/>
          <w:sz w:val="30"/>
          <w:szCs w:val="30"/>
        </w:rPr>
      </w:pPr>
    </w:p>
    <w:p>
      <w:pPr>
        <w:pStyle w:val="BodyText"/>
        <w:spacing w:line="417" w:lineRule="auto"/>
        <w:ind w:left="573" w:right="140" w:hanging="4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7"/>
        </w:rPr>
        <w:t>报告期内，公司高度重视履行社会责任，在业务经营和发展的过程中，努力做到经济效益与社会效益、</w:t>
      </w:r>
    </w:p>
    <w:p>
      <w:pPr>
        <w:pStyle w:val="BodyText"/>
        <w:spacing w:line="240" w:lineRule="auto" w:before="37"/>
        <w:ind w:right="0"/>
        <w:jc w:val="both"/>
      </w:pPr>
      <w:r>
        <w:rPr/>
        <w:t>短期利益与长远利益共同兼顾，实现公司与社会的健康和谐发展。</w:t>
      </w:r>
    </w:p>
    <w:p>
      <w:pPr>
        <w:spacing w:line="240" w:lineRule="auto" w:before="12"/>
        <w:rPr>
          <w:rFonts w:ascii="宋体" w:hAnsi="宋体" w:cs="宋体" w:eastAsia="宋体" w:hint="default"/>
          <w:sz w:val="17"/>
          <w:szCs w:val="17"/>
        </w:rPr>
      </w:pPr>
    </w:p>
    <w:p>
      <w:pPr>
        <w:spacing w:line="444" w:lineRule="auto" w:before="0"/>
        <w:ind w:left="573" w:right="140" w:firstLine="2"/>
        <w:jc w:val="left"/>
        <w:rPr>
          <w:rFonts w:ascii="宋体" w:hAnsi="宋体" w:cs="宋体" w:eastAsia="宋体" w:hint="default"/>
          <w:sz w:val="21"/>
          <w:szCs w:val="21"/>
        </w:rPr>
      </w:pPr>
      <w:r>
        <w:rPr>
          <w:rFonts w:ascii="宋体" w:hAnsi="宋体" w:cs="宋体" w:eastAsia="宋体" w:hint="default"/>
          <w:b/>
          <w:bCs/>
          <w:sz w:val="21"/>
          <w:szCs w:val="21"/>
        </w:rPr>
        <w:t>（一）维护股东权益，提升股东价值</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本年度，公司按照《公司法》、《证券法》等有关法律法规的规定，进一步健全公司治理机制，完善公</w:t>
      </w:r>
    </w:p>
    <w:p>
      <w:pPr>
        <w:pStyle w:val="BodyText"/>
        <w:spacing w:line="398" w:lineRule="auto" w:before="14"/>
        <w:ind w:right="148"/>
        <w:jc w:val="both"/>
      </w:pPr>
      <w:r>
        <w:rPr>
          <w:spacing w:val="-4"/>
        </w:rPr>
        <w:t>司治理结构，在保护股东权益的同时，实现股东价值的增长。</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27"/>
        </w:rPr>
        <w:t> </w:t>
      </w:r>
      <w:r>
        <w:rPr/>
        <w:t>年公司通过资本运作成功并购了中农信</w:t>
      </w:r>
      <w:r>
        <w:rPr>
          <w:spacing w:val="-94"/>
        </w:rPr>
        <w:t> </w:t>
      </w:r>
      <w:r>
        <w:rPr>
          <w:spacing w:val="-94"/>
        </w:rPr>
      </w:r>
      <w:r>
        <w:rPr>
          <w:spacing w:val="-2"/>
        </w:rPr>
        <w:t>达，扩展了行业业务范围，进入了全新的蓝海市场，为公司发展注入了活力；并购也赢得了资本市场的高</w:t>
      </w:r>
      <w:r>
        <w:rPr>
          <w:spacing w:val="-50"/>
        </w:rPr>
        <w:t> </w:t>
      </w:r>
      <w:r>
        <w:rPr>
          <w:spacing w:val="-50"/>
        </w:rPr>
      </w:r>
      <w:r>
        <w:rPr/>
        <w:t>度认可，推动了公司市值的持续攀升，股东价值得到了提高。</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line="444" w:lineRule="auto" w:before="0"/>
        <w:ind w:left="573" w:right="140" w:firstLine="2"/>
        <w:jc w:val="left"/>
        <w:rPr>
          <w:rFonts w:ascii="宋体" w:hAnsi="宋体" w:cs="宋体" w:eastAsia="宋体" w:hint="default"/>
          <w:sz w:val="21"/>
          <w:szCs w:val="21"/>
        </w:rPr>
      </w:pPr>
      <w:r>
        <w:rPr>
          <w:rFonts w:ascii="宋体" w:hAnsi="宋体" w:cs="宋体" w:eastAsia="宋体" w:hint="default"/>
          <w:b/>
          <w:bCs/>
          <w:sz w:val="21"/>
          <w:szCs w:val="21"/>
        </w:rPr>
        <w:t>（二）改善城市公共管理与服务，推动信息惠民</w:t>
      </w:r>
      <w:r>
        <w:rPr>
          <w:rFonts w:ascii="宋体" w:hAnsi="宋体" w:cs="宋体" w:eastAsia="宋体" w:hint="default"/>
          <w:b/>
          <w:bCs/>
          <w:w w:val="100"/>
          <w:sz w:val="21"/>
          <w:szCs w:val="21"/>
        </w:rPr>
        <w:t> </w:t>
      </w:r>
      <w:r>
        <w:rPr>
          <w:rFonts w:ascii="宋体" w:hAnsi="宋体" w:cs="宋体" w:eastAsia="宋体" w:hint="default"/>
          <w:spacing w:val="-2"/>
          <w:sz w:val="21"/>
          <w:szCs w:val="21"/>
        </w:rPr>
        <w:t>公司结合智慧城市建设，大力推动面向市民的融合服务创新，通过城市公共信息服务平台，推动城市</w:t>
      </w:r>
    </w:p>
    <w:p>
      <w:pPr>
        <w:pStyle w:val="BodyText"/>
        <w:spacing w:line="408" w:lineRule="auto" w:before="14"/>
        <w:ind w:right="146"/>
        <w:jc w:val="both"/>
      </w:pPr>
      <w:r>
        <w:rPr>
          <w:spacing w:val="-2"/>
        </w:rPr>
        <w:t>交通、医疗、社保、行政审批、便民服务等的网络化和便捷化，让老百姓足不出户即可享受到各项政府公</w:t>
      </w:r>
      <w:r>
        <w:rPr>
          <w:spacing w:val="-42"/>
        </w:rPr>
        <w:t> </w:t>
      </w:r>
      <w:r>
        <w:rPr>
          <w:spacing w:val="-42"/>
        </w:rPr>
      </w:r>
      <w:r>
        <w:rPr/>
        <w:t>共服务，卓有成效地提升了我国城市公共管理及服务水平。</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441" w:lineRule="auto" w:before="0"/>
        <w:ind w:left="573" w:right="145" w:firstLine="2"/>
        <w:jc w:val="left"/>
        <w:rPr>
          <w:rFonts w:ascii="宋体" w:hAnsi="宋体" w:cs="宋体" w:eastAsia="宋体" w:hint="default"/>
          <w:sz w:val="21"/>
          <w:szCs w:val="21"/>
        </w:rPr>
      </w:pPr>
      <w:r>
        <w:rPr>
          <w:rFonts w:ascii="宋体" w:hAnsi="宋体" w:cs="宋体" w:eastAsia="宋体" w:hint="default"/>
          <w:b/>
          <w:bCs/>
          <w:sz w:val="21"/>
          <w:szCs w:val="21"/>
        </w:rPr>
        <w:t>（三）利用信息技术保障广大农民的根本权益</w:t>
      </w:r>
      <w:r>
        <w:rPr>
          <w:rFonts w:ascii="宋体" w:hAnsi="宋体" w:cs="宋体" w:eastAsia="宋体" w:hint="default"/>
          <w:b/>
          <w:bCs/>
          <w:w w:val="100"/>
          <w:sz w:val="21"/>
          <w:szCs w:val="21"/>
        </w:rPr>
        <w:t> </w:t>
      </w:r>
      <w:r>
        <w:rPr>
          <w:rFonts w:ascii="宋体" w:hAnsi="宋体" w:cs="宋体" w:eastAsia="宋体" w:hint="default"/>
          <w:spacing w:val="-3"/>
          <w:sz w:val="21"/>
          <w:szCs w:val="21"/>
        </w:rPr>
        <w:t>公司通过并购中农信达，开展农村土地承包经营权确权及颁证工作，运用 </w:t>
      </w: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等先进的信息技术帮助</w:t>
      </w:r>
    </w:p>
    <w:p>
      <w:pPr>
        <w:pStyle w:val="BodyText"/>
        <w:spacing w:line="257" w:lineRule="exact"/>
        <w:ind w:right="0"/>
        <w:jc w:val="both"/>
      </w:pPr>
      <w:r>
        <w:rPr/>
        <w:t>农民精准测量承包地的位置及面积，建立国家统一的农民承包地数据库，避免农民土地承包权在流转中被</w:t>
      </w:r>
    </w:p>
    <w:p>
      <w:pPr>
        <w:spacing w:line="240" w:lineRule="auto" w:before="10"/>
        <w:rPr>
          <w:rFonts w:ascii="宋体" w:hAnsi="宋体" w:cs="宋体" w:eastAsia="宋体" w:hint="default"/>
          <w:sz w:val="14"/>
          <w:szCs w:val="14"/>
        </w:rPr>
      </w:pPr>
    </w:p>
    <w:p>
      <w:pPr>
        <w:pStyle w:val="BodyText"/>
        <w:spacing w:line="240" w:lineRule="auto"/>
        <w:ind w:right="0"/>
        <w:jc w:val="both"/>
      </w:pPr>
      <w:r>
        <w:rPr/>
        <w:t>剥夺，保障了农民的根本权益。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441" w:lineRule="auto" w:before="0"/>
        <w:ind w:left="573" w:right="140" w:firstLine="2"/>
        <w:jc w:val="left"/>
        <w:rPr>
          <w:rFonts w:ascii="宋体" w:hAnsi="宋体" w:cs="宋体" w:eastAsia="宋体" w:hint="default"/>
          <w:sz w:val="21"/>
          <w:szCs w:val="21"/>
        </w:rPr>
      </w:pPr>
      <w:r>
        <w:rPr>
          <w:rFonts w:ascii="宋体" w:hAnsi="宋体" w:cs="宋体" w:eastAsia="宋体" w:hint="default"/>
          <w:b/>
          <w:bCs/>
          <w:sz w:val="21"/>
          <w:szCs w:val="21"/>
        </w:rPr>
        <w:t>（四）加强联合研发，支持和保障国家的信息安全</w:t>
      </w:r>
      <w:r>
        <w:rPr>
          <w:rFonts w:ascii="宋体" w:hAnsi="宋体" w:cs="宋体" w:eastAsia="宋体" w:hint="default"/>
          <w:b/>
          <w:bCs/>
          <w:w w:val="100"/>
          <w:sz w:val="21"/>
          <w:szCs w:val="21"/>
        </w:rPr>
        <w:t> </w:t>
      </w:r>
      <w:r>
        <w:rPr>
          <w:rFonts w:ascii="宋体" w:hAnsi="宋体" w:cs="宋体" w:eastAsia="宋体" w:hint="default"/>
          <w:spacing w:val="-2"/>
          <w:sz w:val="21"/>
          <w:szCs w:val="21"/>
        </w:rPr>
        <w:t>国家的信息安全形势日益严峻，公司联合国内软硬件厂商，成立安全可靠产业联盟，加强安全可靠信</w:t>
      </w:r>
    </w:p>
    <w:p>
      <w:pPr>
        <w:pStyle w:val="BodyText"/>
        <w:spacing w:line="408" w:lineRule="auto" w:before="17"/>
        <w:ind w:right="148"/>
        <w:jc w:val="both"/>
      </w:pPr>
      <w:r>
        <w:rPr>
          <w:spacing w:val="-2"/>
        </w:rPr>
        <w:t>息系统的联合研发及应用推广，积极推动我国各行业的信息安全水平，并在金融、军队、政府等部门的信</w:t>
      </w:r>
      <w:r>
        <w:rPr>
          <w:spacing w:val="-47"/>
        </w:rPr>
        <w:t> </w:t>
      </w:r>
      <w:r>
        <w:rPr>
          <w:spacing w:val="-47"/>
        </w:rPr>
      </w:r>
      <w:r>
        <w:rPr/>
        <w:t>息系统建设中取得了一定成果。</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line="417" w:lineRule="auto" w:before="0"/>
        <w:ind w:left="573" w:right="14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加强人员培训，提升员工的公民素养</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公司重视员工的职业发展规划和专业技能培训，注重员工专业才能与良好品行的兼顾培养，每年组织</w:t>
      </w:r>
    </w:p>
    <w:p>
      <w:pPr>
        <w:pStyle w:val="BodyText"/>
        <w:spacing w:line="240" w:lineRule="auto" w:before="37"/>
        <w:ind w:right="0"/>
        <w:jc w:val="both"/>
      </w:pPr>
      <w:r>
        <w:rPr/>
        <w:t>员工开展植树、爱心义卖、支贫赈灾等各类公益活动，提升企业及员工的社会责任感和感恩回报意识。加</w:t>
      </w:r>
    </w:p>
    <w:p>
      <w:pPr>
        <w:spacing w:after="0" w:line="240" w:lineRule="auto"/>
        <w:jc w:val="both"/>
        <w:sectPr>
          <w:pgSz w:w="11910" w:h="16840"/>
          <w:pgMar w:header="0" w:footer="1227" w:top="1060" w:bottom="1420" w:left="980" w:right="98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spacing w:val="-2"/>
        </w:rPr>
        <w:t>强对员工的心理辅导，引导员工建立爱国敬业、积极向上的健康心理心态和生活追求，推动企业与社会的</w:t>
      </w:r>
      <w:r>
        <w:rPr>
          <w:spacing w:val="-45"/>
        </w:rPr>
        <w:t> </w:t>
      </w:r>
      <w:r>
        <w:rPr>
          <w:spacing w:val="-45"/>
        </w:rPr>
      </w:r>
      <w:r>
        <w:rPr/>
        <w:t>和谐发展以及员工的个人进步。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ind w:right="0"/>
        <w:jc w:val="left"/>
      </w:pPr>
      <w:r>
        <w:rPr/>
        <w:t>上市公司及其子公司是否属于国家环境保护部门规定的重污染行业</w:t>
      </w:r>
    </w:p>
    <w:p>
      <w:pPr>
        <w:spacing w:line="240" w:lineRule="auto" w:before="12"/>
        <w:rPr>
          <w:rFonts w:ascii="宋体" w:hAnsi="宋体" w:cs="宋体" w:eastAsia="宋体" w:hint="default"/>
          <w:sz w:val="17"/>
          <w:szCs w:val="17"/>
        </w:rPr>
      </w:pPr>
    </w:p>
    <w:p>
      <w:pPr>
        <w:pStyle w:val="BodyText"/>
        <w:spacing w:line="417" w:lineRule="auto"/>
        <w:ind w:right="316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spacing w:val="-101"/>
        </w:rPr>
        <w:t> </w:t>
      </w:r>
      <w:r>
        <w:rPr>
          <w:spacing w:val="-101"/>
        </w:rPr>
      </w:r>
      <w:r>
        <w:rPr>
          <w:spacing w:val="-2"/>
        </w:rPr>
        <w:t>上市公司及其子公司是否存在其他重大社会安全问题</w:t>
      </w:r>
    </w:p>
    <w:p>
      <w:pPr>
        <w:pStyle w:val="BodyText"/>
        <w:spacing w:line="420" w:lineRule="auto" w:before="79"/>
        <w:ind w:right="565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r>
        <w:rPr>
          <w:spacing w:val="-103"/>
        </w:rPr>
        <w:t> </w:t>
      </w:r>
      <w:r>
        <w:rPr>
          <w:spacing w:val="-103"/>
        </w:rPr>
      </w:r>
      <w:r>
        <w:rPr>
          <w:spacing w:val="-2"/>
        </w:rPr>
        <w:t>报告期内是否被行政处罚</w:t>
      </w:r>
    </w:p>
    <w:p>
      <w:pPr>
        <w:pStyle w:val="BodyText"/>
        <w:spacing w:line="240" w:lineRule="auto" w:before="7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9"/>
        <w:rPr>
          <w:rFonts w:ascii="宋体" w:hAnsi="宋体" w:cs="宋体" w:eastAsia="宋体" w:hint="default"/>
          <w:sz w:val="28"/>
          <w:szCs w:val="28"/>
        </w:rPr>
      </w:pPr>
    </w:p>
    <w:p>
      <w:pPr>
        <w:pStyle w:val="Heading2"/>
        <w:spacing w:line="240" w:lineRule="auto" w:before="0"/>
        <w:ind w:right="0"/>
        <w:jc w:val="left"/>
        <w:rPr>
          <w:b w:val="0"/>
          <w:bCs w:val="0"/>
        </w:rPr>
      </w:pPr>
      <w:r>
        <w:rPr/>
        <w:t>十七、报告期内接待调研、沟通、采访等活动登记表</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618"/>
        <w:gridCol w:w="1618"/>
        <w:gridCol w:w="1191"/>
        <w:gridCol w:w="1274"/>
        <w:gridCol w:w="1275"/>
        <w:gridCol w:w="2722"/>
      </w:tblGrid>
      <w:tr>
        <w:trPr>
          <w:trHeight w:val="437" w:hRule="exact"/>
        </w:trPr>
        <w:tc>
          <w:tcPr>
            <w:tcW w:w="161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61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1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27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127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272"/>
              <w:jc w:val="right"/>
              <w:rPr>
                <w:rFonts w:ascii="宋体" w:hAnsi="宋体" w:cs="宋体" w:eastAsia="宋体" w:hint="default"/>
                <w:sz w:val="18"/>
                <w:szCs w:val="18"/>
              </w:rPr>
            </w:pPr>
            <w:r>
              <w:rPr>
                <w:rFonts w:ascii="宋体" w:hAnsi="宋体" w:cs="宋体" w:eastAsia="宋体" w:hint="default"/>
                <w:sz w:val="18"/>
                <w:szCs w:val="18"/>
              </w:rPr>
              <w:t>接待对象</w:t>
            </w:r>
          </w:p>
        </w:tc>
        <w:tc>
          <w:tcPr>
            <w:tcW w:w="272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0"/>
              <w:ind w:left="184"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502" w:hRule="exact"/>
        </w:trPr>
        <w:tc>
          <w:tcPr>
            <w:tcW w:w="1618" w:type="dxa"/>
            <w:tcBorders>
              <w:top w:val="single" w:sz="12" w:space="0" w:color="D2D2D2"/>
              <w:left w:val="single" w:sz="12" w:space="0" w:color="000000"/>
              <w:bottom w:val="single" w:sz="4" w:space="0" w:color="000000"/>
              <w:right w:val="single" w:sz="4" w:space="0" w:color="000000"/>
            </w:tcBorders>
          </w:tcPr>
          <w:p>
            <w:pPr>
              <w:pStyle w:val="TableParagraph"/>
              <w:spacing w:line="240" w:lineRule="auto" w:before="105"/>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1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right="2"/>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9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right="272"/>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2722" w:type="dxa"/>
            <w:tcBorders>
              <w:top w:val="single" w:sz="12" w:space="0" w:color="D2D2D2"/>
              <w:left w:val="single" w:sz="4" w:space="0" w:color="000000"/>
              <w:bottom w:val="single" w:sz="4" w:space="0" w:color="000000"/>
              <w:right w:val="single" w:sz="12" w:space="0" w:color="000000"/>
            </w:tcBorders>
          </w:tcPr>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关于公司何时变更股票简称</w:t>
            </w:r>
          </w:p>
        </w:tc>
      </w:tr>
      <w:tr>
        <w:trPr>
          <w:trHeight w:val="463"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72"/>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关于公司工商变更的进展</w:t>
            </w:r>
          </w:p>
        </w:tc>
      </w:tr>
      <w:tr>
        <w:trPr>
          <w:trHeight w:val="463"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72"/>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关于公司何时变更股票简称</w:t>
            </w:r>
          </w:p>
        </w:tc>
      </w:tr>
      <w:tr>
        <w:trPr>
          <w:trHeight w:val="466"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72"/>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关于公司何时变更股票简称</w:t>
            </w:r>
          </w:p>
        </w:tc>
      </w:tr>
      <w:tr>
        <w:trPr>
          <w:trHeight w:val="463"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72"/>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关于公司何时变更股票简称</w:t>
            </w:r>
          </w:p>
        </w:tc>
      </w:tr>
      <w:tr>
        <w:trPr>
          <w:trHeight w:val="463"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72"/>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关于公司何时变更股票简称</w:t>
            </w:r>
          </w:p>
        </w:tc>
      </w:tr>
      <w:tr>
        <w:trPr>
          <w:trHeight w:val="466"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72"/>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公司业务及战略，未提供相关资料</w:t>
            </w:r>
          </w:p>
        </w:tc>
      </w:tr>
      <w:tr>
        <w:trPr>
          <w:trHeight w:val="463"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72"/>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关于公司何时变更股票简称</w:t>
            </w:r>
          </w:p>
        </w:tc>
      </w:tr>
      <w:tr>
        <w:trPr>
          <w:trHeight w:val="464"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72"/>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关于公司何时变更股票简称</w:t>
            </w:r>
          </w:p>
        </w:tc>
      </w:tr>
      <w:tr>
        <w:trPr>
          <w:trHeight w:val="466"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72"/>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咨询年报数据及公司业务问题</w:t>
            </w:r>
          </w:p>
        </w:tc>
      </w:tr>
      <w:tr>
        <w:trPr>
          <w:trHeight w:val="463"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72"/>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咨询年报数据及公司业务问题</w:t>
            </w:r>
          </w:p>
        </w:tc>
      </w:tr>
      <w:tr>
        <w:trPr>
          <w:trHeight w:val="463"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72"/>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咨询年报数据及公司业务问题</w:t>
            </w:r>
          </w:p>
        </w:tc>
      </w:tr>
      <w:tr>
        <w:trPr>
          <w:trHeight w:val="466"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72"/>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咨询年报数据及公司业务问题</w:t>
            </w:r>
          </w:p>
        </w:tc>
      </w:tr>
      <w:tr>
        <w:trPr>
          <w:trHeight w:val="722" w:hRule="exact"/>
        </w:trPr>
        <w:tc>
          <w:tcPr>
            <w:tcW w:w="161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314" w:lineRule="auto" w:before="49"/>
              <w:ind w:left="532" w:right="82" w:hanging="449"/>
              <w:jc w:val="left"/>
              <w:rPr>
                <w:rFonts w:ascii="宋体" w:hAnsi="宋体" w:cs="宋体" w:eastAsia="宋体" w:hint="default"/>
                <w:sz w:val="18"/>
                <w:szCs w:val="18"/>
              </w:rPr>
            </w:pPr>
            <w:r>
              <w:rPr>
                <w:rFonts w:ascii="宋体" w:hAnsi="宋体" w:cs="宋体" w:eastAsia="宋体" w:hint="default"/>
                <w:sz w:val="18"/>
                <w:szCs w:val="18"/>
              </w:rPr>
              <w:t>神州数码大厦五层 会议室</w:t>
            </w:r>
          </w:p>
        </w:tc>
        <w:tc>
          <w:tcPr>
            <w:tcW w:w="11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海通证券等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家机构</w:t>
            </w:r>
          </w:p>
        </w:tc>
        <w:tc>
          <w:tcPr>
            <w:tcW w:w="272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公司业务及战略，未提供相关资料</w:t>
            </w:r>
          </w:p>
        </w:tc>
      </w:tr>
    </w:tbl>
    <w:p>
      <w:pPr>
        <w:spacing w:after="0" w:line="240" w:lineRule="auto"/>
        <w:jc w:val="left"/>
        <w:rPr>
          <w:rFonts w:ascii="宋体" w:hAnsi="宋体" w:cs="宋体" w:eastAsia="宋体" w:hint="default"/>
          <w:sz w:val="18"/>
          <w:szCs w:val="18"/>
        </w:rPr>
        <w:sectPr>
          <w:pgSz w:w="11910" w:h="16840"/>
          <w:pgMar w:header="0" w:footer="1227" w:top="1060" w:bottom="1420" w:left="980" w:right="9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618"/>
        <w:gridCol w:w="1618"/>
        <w:gridCol w:w="1191"/>
        <w:gridCol w:w="1274"/>
        <w:gridCol w:w="1275"/>
        <w:gridCol w:w="2722"/>
      </w:tblGrid>
      <w:tr>
        <w:trPr>
          <w:trHeight w:val="725" w:hRule="exact"/>
        </w:trPr>
        <w:tc>
          <w:tcPr>
            <w:tcW w:w="161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18"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51"/>
              <w:ind w:left="172" w:right="82" w:hanging="89"/>
              <w:jc w:val="left"/>
              <w:rPr>
                <w:rFonts w:ascii="宋体" w:hAnsi="宋体" w:cs="宋体" w:eastAsia="宋体" w:hint="default"/>
                <w:sz w:val="18"/>
                <w:szCs w:val="18"/>
              </w:rPr>
            </w:pPr>
            <w:r>
              <w:rPr>
                <w:rFonts w:ascii="宋体" w:hAnsi="宋体" w:cs="宋体" w:eastAsia="宋体" w:hint="default"/>
                <w:sz w:val="18"/>
                <w:szCs w:val="18"/>
              </w:rPr>
              <w:t>北京世纪金源香山 商旅酒店金辉厅</w:t>
            </w:r>
          </w:p>
        </w:tc>
        <w:tc>
          <w:tcPr>
            <w:tcW w:w="11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华夏基金等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家机构</w:t>
            </w:r>
          </w:p>
        </w:tc>
        <w:tc>
          <w:tcPr>
            <w:tcW w:w="272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公司业务及战略，未提供相关资料</w:t>
            </w:r>
          </w:p>
        </w:tc>
      </w:tr>
      <w:tr>
        <w:trPr>
          <w:trHeight w:val="713"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32" w:right="82" w:hanging="449"/>
              <w:jc w:val="left"/>
              <w:rPr>
                <w:rFonts w:ascii="宋体" w:hAnsi="宋体" w:cs="宋体" w:eastAsia="宋体" w:hint="default"/>
                <w:sz w:val="18"/>
                <w:szCs w:val="18"/>
              </w:rPr>
            </w:pPr>
            <w:r>
              <w:rPr>
                <w:rFonts w:ascii="宋体" w:hAnsi="宋体" w:cs="宋体" w:eastAsia="宋体" w:hint="default"/>
                <w:sz w:val="18"/>
                <w:szCs w:val="18"/>
              </w:rPr>
              <w:t>神州数码大厦七层 会议室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451" w:right="19" w:hanging="428"/>
              <w:jc w:val="left"/>
              <w:rPr>
                <w:rFonts w:ascii="宋体" w:hAnsi="宋体" w:cs="宋体" w:eastAsia="宋体" w:hint="default"/>
                <w:sz w:val="18"/>
                <w:szCs w:val="18"/>
              </w:rPr>
            </w:pPr>
            <w:r>
              <w:rPr>
                <w:rFonts w:ascii="宋体" w:hAnsi="宋体" w:cs="宋体" w:eastAsia="宋体" w:hint="default"/>
                <w:sz w:val="18"/>
                <w:szCs w:val="18"/>
              </w:rPr>
              <w:t>海通证券等</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家 机构</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公司业务及战略，未提供相关资料</w:t>
            </w:r>
          </w:p>
        </w:tc>
      </w:tr>
      <w:tr>
        <w:trPr>
          <w:trHeight w:val="715"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32" w:right="82" w:hanging="449"/>
              <w:jc w:val="left"/>
              <w:rPr>
                <w:rFonts w:ascii="宋体" w:hAnsi="宋体" w:cs="宋体" w:eastAsia="宋体" w:hint="default"/>
                <w:sz w:val="18"/>
                <w:szCs w:val="18"/>
              </w:rPr>
            </w:pPr>
            <w:r>
              <w:rPr>
                <w:rFonts w:ascii="宋体" w:hAnsi="宋体" w:cs="宋体" w:eastAsia="宋体" w:hint="default"/>
                <w:sz w:val="18"/>
                <w:szCs w:val="18"/>
              </w:rPr>
              <w:t>神州数码大厦七层 会议室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451" w:right="19" w:hanging="428"/>
              <w:jc w:val="left"/>
              <w:rPr>
                <w:rFonts w:ascii="宋体" w:hAnsi="宋体" w:cs="宋体" w:eastAsia="宋体" w:hint="default"/>
                <w:sz w:val="18"/>
                <w:szCs w:val="18"/>
              </w:rPr>
            </w:pPr>
            <w:r>
              <w:rPr>
                <w:rFonts w:ascii="宋体" w:hAnsi="宋体" w:cs="宋体" w:eastAsia="宋体" w:hint="default"/>
                <w:sz w:val="18"/>
                <w:szCs w:val="18"/>
              </w:rPr>
              <w:t>安信证券等</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家 机构</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公司业务及战略，未提供相关资料</w:t>
            </w:r>
          </w:p>
        </w:tc>
      </w:tr>
      <w:tr>
        <w:trPr>
          <w:trHeight w:val="1025"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hanging="3"/>
              <w:jc w:val="center"/>
              <w:rPr>
                <w:rFonts w:ascii="宋体" w:hAnsi="宋体" w:cs="宋体" w:eastAsia="宋体" w:hint="default"/>
                <w:sz w:val="18"/>
                <w:szCs w:val="18"/>
              </w:rPr>
            </w:pPr>
            <w:r>
              <w:rPr>
                <w:rFonts w:ascii="宋体" w:hAnsi="宋体" w:cs="宋体" w:eastAsia="宋体" w:hint="default"/>
                <w:sz w:val="18"/>
                <w:szCs w:val="18"/>
              </w:rPr>
              <w:t>北京市海淀区苏州 街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号神州数码大 厦七层会议室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72"/>
              <w:jc w:val="right"/>
              <w:rPr>
                <w:rFonts w:ascii="宋体" w:hAnsi="宋体" w:cs="宋体" w:eastAsia="宋体" w:hint="default"/>
                <w:sz w:val="18"/>
                <w:szCs w:val="18"/>
              </w:rPr>
            </w:pPr>
            <w:r>
              <w:rPr>
                <w:rFonts w:ascii="宋体" w:hAnsi="宋体" w:cs="宋体" w:eastAsia="宋体" w:hint="default"/>
                <w:sz w:val="18"/>
                <w:szCs w:val="18"/>
              </w:rPr>
              <w:t>华夏基金</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
              <w:jc w:val="left"/>
              <w:rPr>
                <w:rFonts w:ascii="宋体" w:hAnsi="宋体" w:cs="宋体" w:eastAsia="宋体" w:hint="default"/>
                <w:sz w:val="18"/>
                <w:szCs w:val="18"/>
              </w:rPr>
            </w:pPr>
            <w:r>
              <w:rPr>
                <w:rFonts w:ascii="宋体" w:hAnsi="宋体" w:cs="宋体" w:eastAsia="宋体" w:hint="default"/>
                <w:spacing w:val="-3"/>
                <w:sz w:val="18"/>
                <w:szCs w:val="18"/>
              </w:rPr>
              <w:t>公司战略、智慧城市业务等，未提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供资料。</w:t>
            </w:r>
          </w:p>
        </w:tc>
      </w:tr>
      <w:tr>
        <w:trPr>
          <w:trHeight w:val="1028"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hanging="3"/>
              <w:jc w:val="center"/>
              <w:rPr>
                <w:rFonts w:ascii="宋体" w:hAnsi="宋体" w:cs="宋体" w:eastAsia="宋体" w:hint="default"/>
                <w:sz w:val="18"/>
                <w:szCs w:val="18"/>
              </w:rPr>
            </w:pPr>
            <w:r>
              <w:rPr>
                <w:rFonts w:ascii="宋体" w:hAnsi="宋体" w:cs="宋体" w:eastAsia="宋体" w:hint="default"/>
                <w:sz w:val="18"/>
                <w:szCs w:val="18"/>
              </w:rPr>
              <w:t>北京市海淀区苏州 街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号神州数码大 厦五层会议室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东方证券等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家机构</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56"/>
              <w:jc w:val="left"/>
              <w:rPr>
                <w:rFonts w:ascii="宋体" w:hAnsi="宋体" w:cs="宋体" w:eastAsia="宋体" w:hint="default"/>
                <w:sz w:val="18"/>
                <w:szCs w:val="18"/>
              </w:rPr>
            </w:pPr>
            <w:r>
              <w:rPr>
                <w:rFonts w:ascii="宋体" w:hAnsi="宋体" w:cs="宋体" w:eastAsia="宋体" w:hint="default"/>
                <w:sz w:val="18"/>
                <w:szCs w:val="18"/>
              </w:rPr>
              <w:t>公司战略，公司业务情况及进展 等，未提供资料。</w:t>
            </w:r>
          </w:p>
        </w:tc>
      </w:tr>
      <w:tr>
        <w:trPr>
          <w:trHeight w:val="1025"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hanging="3"/>
              <w:jc w:val="center"/>
              <w:rPr>
                <w:rFonts w:ascii="宋体" w:hAnsi="宋体" w:cs="宋体" w:eastAsia="宋体" w:hint="default"/>
                <w:sz w:val="18"/>
                <w:szCs w:val="18"/>
              </w:rPr>
            </w:pPr>
            <w:r>
              <w:rPr>
                <w:rFonts w:ascii="宋体" w:hAnsi="宋体" w:cs="宋体" w:eastAsia="宋体" w:hint="default"/>
                <w:sz w:val="18"/>
                <w:szCs w:val="18"/>
              </w:rPr>
              <w:t>北京市海淀区苏州 街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号神州数码大 厦七层会议室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国泰君安等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家机构</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
              <w:jc w:val="left"/>
              <w:rPr>
                <w:rFonts w:ascii="宋体" w:hAnsi="宋体" w:cs="宋体" w:eastAsia="宋体" w:hint="default"/>
                <w:sz w:val="18"/>
                <w:szCs w:val="18"/>
              </w:rPr>
            </w:pPr>
            <w:r>
              <w:rPr>
                <w:rFonts w:ascii="宋体" w:hAnsi="宋体" w:cs="宋体" w:eastAsia="宋体" w:hint="default"/>
                <w:spacing w:val="-3"/>
                <w:sz w:val="18"/>
                <w:szCs w:val="18"/>
              </w:rPr>
              <w:t>中农信达的并购情况及战略等，未</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提供资料。</w:t>
            </w:r>
          </w:p>
        </w:tc>
      </w:tr>
      <w:tr>
        <w:trPr>
          <w:trHeight w:val="1027"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hanging="3"/>
              <w:jc w:val="center"/>
              <w:rPr>
                <w:rFonts w:ascii="宋体" w:hAnsi="宋体" w:cs="宋体" w:eastAsia="宋体" w:hint="default"/>
                <w:sz w:val="18"/>
                <w:szCs w:val="18"/>
              </w:rPr>
            </w:pPr>
            <w:r>
              <w:rPr>
                <w:rFonts w:ascii="宋体" w:hAnsi="宋体" w:cs="宋体" w:eastAsia="宋体" w:hint="default"/>
                <w:sz w:val="18"/>
                <w:szCs w:val="18"/>
              </w:rPr>
              <w:t>北京市海淀区苏州 街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号神州数码大 厦七层会议室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宏源证券等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家机构</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
              <w:jc w:val="left"/>
              <w:rPr>
                <w:rFonts w:ascii="宋体" w:hAnsi="宋体" w:cs="宋体" w:eastAsia="宋体" w:hint="default"/>
                <w:sz w:val="18"/>
                <w:szCs w:val="18"/>
              </w:rPr>
            </w:pPr>
            <w:r>
              <w:rPr>
                <w:rFonts w:ascii="宋体" w:hAnsi="宋体" w:cs="宋体" w:eastAsia="宋体" w:hint="default"/>
                <w:spacing w:val="-3"/>
                <w:sz w:val="18"/>
                <w:szCs w:val="18"/>
              </w:rPr>
              <w:t>中农信达的并购情况及战略等，未</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提供资料。</w:t>
            </w:r>
          </w:p>
        </w:tc>
      </w:tr>
      <w:tr>
        <w:trPr>
          <w:trHeight w:val="1066"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83" w:right="82"/>
              <w:jc w:val="center"/>
              <w:rPr>
                <w:rFonts w:ascii="宋体" w:hAnsi="宋体" w:cs="宋体" w:eastAsia="宋体" w:hint="default"/>
                <w:sz w:val="18"/>
                <w:szCs w:val="18"/>
              </w:rPr>
            </w:pPr>
            <w:r>
              <w:rPr>
                <w:rFonts w:ascii="宋体" w:hAnsi="宋体" w:cs="宋体" w:eastAsia="宋体" w:hint="default"/>
                <w:sz w:val="18"/>
                <w:szCs w:val="18"/>
              </w:rPr>
              <w:t>北京市海淀区数码 科技广场 第二会议室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安信证券等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家机构</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公司战略、并购思路、国产化等， 未提供资料。</w:t>
            </w:r>
          </w:p>
        </w:tc>
      </w:tr>
      <w:tr>
        <w:trPr>
          <w:trHeight w:val="1025"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hanging="3"/>
              <w:jc w:val="center"/>
              <w:rPr>
                <w:rFonts w:ascii="宋体" w:hAnsi="宋体" w:cs="宋体" w:eastAsia="宋体" w:hint="default"/>
                <w:sz w:val="18"/>
                <w:szCs w:val="18"/>
              </w:rPr>
            </w:pPr>
            <w:r>
              <w:rPr>
                <w:rFonts w:ascii="宋体" w:hAnsi="宋体" w:cs="宋体" w:eastAsia="宋体" w:hint="default"/>
                <w:sz w:val="18"/>
                <w:szCs w:val="18"/>
              </w:rPr>
              <w:t>北京市海淀区苏州 街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号神州数码大 厦七层会议室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摩根士丹利等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家机构</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
              <w:jc w:val="left"/>
              <w:rPr>
                <w:rFonts w:ascii="宋体" w:hAnsi="宋体" w:cs="宋体" w:eastAsia="宋体" w:hint="default"/>
                <w:sz w:val="18"/>
                <w:szCs w:val="18"/>
              </w:rPr>
            </w:pPr>
            <w:r>
              <w:rPr>
                <w:rFonts w:ascii="宋体" w:hAnsi="宋体" w:cs="宋体" w:eastAsia="宋体" w:hint="default"/>
                <w:spacing w:val="-3"/>
                <w:sz w:val="18"/>
                <w:szCs w:val="18"/>
              </w:rPr>
              <w:t>公司业务、智慧城市等，未提供资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料。</w:t>
            </w:r>
          </w:p>
        </w:tc>
      </w:tr>
      <w:tr>
        <w:trPr>
          <w:trHeight w:val="1027"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hanging="3"/>
              <w:jc w:val="center"/>
              <w:rPr>
                <w:rFonts w:ascii="宋体" w:hAnsi="宋体" w:cs="宋体" w:eastAsia="宋体" w:hint="default"/>
                <w:sz w:val="18"/>
                <w:szCs w:val="18"/>
              </w:rPr>
            </w:pPr>
            <w:r>
              <w:rPr>
                <w:rFonts w:ascii="宋体" w:hAnsi="宋体" w:cs="宋体" w:eastAsia="宋体" w:hint="default"/>
                <w:sz w:val="18"/>
                <w:szCs w:val="18"/>
              </w:rPr>
              <w:t>北京市海淀区苏州 街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号神州数码大 厦七层会议室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72"/>
              <w:jc w:val="right"/>
              <w:rPr>
                <w:rFonts w:ascii="宋体" w:hAnsi="宋体" w:cs="宋体" w:eastAsia="宋体" w:hint="default"/>
                <w:sz w:val="18"/>
                <w:szCs w:val="18"/>
              </w:rPr>
            </w:pPr>
            <w:r>
              <w:rPr>
                <w:rFonts w:ascii="宋体" w:hAnsi="宋体" w:cs="宋体" w:eastAsia="宋体" w:hint="default"/>
                <w:sz w:val="18"/>
                <w:szCs w:val="18"/>
              </w:rPr>
              <w:t>广发基金</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3" w:right="83"/>
              <w:jc w:val="left"/>
              <w:rPr>
                <w:rFonts w:ascii="宋体" w:hAnsi="宋体" w:cs="宋体" w:eastAsia="宋体" w:hint="default"/>
                <w:sz w:val="18"/>
                <w:szCs w:val="18"/>
              </w:rPr>
            </w:pPr>
            <w:r>
              <w:rPr>
                <w:rFonts w:ascii="宋体" w:hAnsi="宋体" w:cs="宋体" w:eastAsia="宋体" w:hint="default"/>
                <w:sz w:val="18"/>
                <w:szCs w:val="18"/>
              </w:rPr>
              <w:t>公司业务情况，回归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股战略， 并购战略等，未提供资料。</w:t>
            </w:r>
          </w:p>
        </w:tc>
      </w:tr>
      <w:tr>
        <w:trPr>
          <w:trHeight w:val="1025"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38" w:right="34" w:hanging="3"/>
              <w:jc w:val="center"/>
              <w:rPr>
                <w:rFonts w:ascii="宋体" w:hAnsi="宋体" w:cs="宋体" w:eastAsia="宋体" w:hint="default"/>
                <w:sz w:val="18"/>
                <w:szCs w:val="18"/>
              </w:rPr>
            </w:pPr>
            <w:r>
              <w:rPr>
                <w:rFonts w:ascii="宋体" w:hAnsi="宋体" w:cs="宋体" w:eastAsia="宋体" w:hint="default"/>
                <w:sz w:val="18"/>
                <w:szCs w:val="18"/>
              </w:rPr>
              <w:t>北京市海淀区苏州 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号神州数码大 厦七层会议室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长江证券等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家机构</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
              <w:jc w:val="left"/>
              <w:rPr>
                <w:rFonts w:ascii="宋体" w:hAnsi="宋体" w:cs="宋体" w:eastAsia="宋体" w:hint="default"/>
                <w:sz w:val="18"/>
                <w:szCs w:val="18"/>
              </w:rPr>
            </w:pPr>
            <w:r>
              <w:rPr>
                <w:rFonts w:ascii="宋体" w:hAnsi="宋体" w:cs="宋体" w:eastAsia="宋体" w:hint="default"/>
                <w:spacing w:val="-3"/>
                <w:sz w:val="18"/>
                <w:szCs w:val="18"/>
              </w:rPr>
              <w:t>业绩情况、智慧城市等，未提供资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料。</w:t>
            </w:r>
          </w:p>
        </w:tc>
      </w:tr>
      <w:tr>
        <w:trPr>
          <w:trHeight w:val="716"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451" w:right="19" w:hanging="428"/>
              <w:jc w:val="left"/>
              <w:rPr>
                <w:rFonts w:ascii="宋体" w:hAnsi="宋体" w:cs="宋体" w:eastAsia="宋体" w:hint="default"/>
                <w:sz w:val="18"/>
                <w:szCs w:val="18"/>
              </w:rPr>
            </w:pPr>
            <w:r>
              <w:rPr>
                <w:rFonts w:ascii="宋体" w:hAnsi="宋体" w:cs="宋体" w:eastAsia="宋体" w:hint="default"/>
                <w:sz w:val="18"/>
                <w:szCs w:val="18"/>
              </w:rPr>
              <w:t>国泰证券等</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家 机构</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1"/>
              <w:ind w:left="23" w:right="12"/>
              <w:jc w:val="left"/>
              <w:rPr>
                <w:rFonts w:ascii="宋体" w:hAnsi="宋体" w:cs="宋体" w:eastAsia="宋体" w:hint="default"/>
                <w:sz w:val="18"/>
                <w:szCs w:val="18"/>
              </w:rPr>
            </w:pPr>
            <w:r>
              <w:rPr>
                <w:rFonts w:ascii="宋体" w:hAnsi="宋体" w:cs="宋体" w:eastAsia="宋体" w:hint="default"/>
                <w:spacing w:val="-3"/>
                <w:sz w:val="18"/>
                <w:szCs w:val="18"/>
              </w:rPr>
              <w:t>智慧城市、利润情况等，未提供资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料。</w:t>
            </w:r>
          </w:p>
        </w:tc>
      </w:tr>
      <w:tr>
        <w:trPr>
          <w:trHeight w:val="1034" w:hRule="exact"/>
        </w:trPr>
        <w:tc>
          <w:tcPr>
            <w:tcW w:w="161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北京市海淀区上地 九街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号神州数码</w:t>
            </w:r>
          </w:p>
          <w:p>
            <w:pPr>
              <w:pStyle w:val="TableParagraph"/>
              <w:spacing w:line="248"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科技广场南区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404</w:t>
            </w:r>
          </w:p>
        </w:tc>
        <w:tc>
          <w:tcPr>
            <w:tcW w:w="11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451" w:right="19" w:hanging="428"/>
              <w:jc w:val="left"/>
              <w:rPr>
                <w:rFonts w:ascii="宋体" w:hAnsi="宋体" w:cs="宋体" w:eastAsia="宋体" w:hint="default"/>
                <w:sz w:val="18"/>
                <w:szCs w:val="18"/>
              </w:rPr>
            </w:pPr>
            <w:r>
              <w:rPr>
                <w:rFonts w:ascii="宋体" w:hAnsi="宋体" w:cs="宋体" w:eastAsia="宋体" w:hint="default"/>
                <w:sz w:val="18"/>
                <w:szCs w:val="18"/>
              </w:rPr>
              <w:t>野村国际等</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家 机构</w:t>
            </w:r>
          </w:p>
        </w:tc>
        <w:tc>
          <w:tcPr>
            <w:tcW w:w="272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
              <w:jc w:val="left"/>
              <w:rPr>
                <w:rFonts w:ascii="宋体" w:hAnsi="宋体" w:cs="宋体" w:eastAsia="宋体" w:hint="default"/>
                <w:sz w:val="18"/>
                <w:szCs w:val="18"/>
              </w:rPr>
            </w:pPr>
            <w:r>
              <w:rPr>
                <w:rFonts w:ascii="宋体" w:hAnsi="宋体" w:cs="宋体" w:eastAsia="宋体" w:hint="default"/>
                <w:spacing w:val="-3"/>
                <w:sz w:val="18"/>
                <w:szCs w:val="18"/>
              </w:rPr>
              <w:t>业绩情况、智慧城市等，未提供资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料。</w:t>
            </w:r>
          </w:p>
        </w:tc>
      </w:tr>
    </w:tbl>
    <w:p>
      <w:pPr>
        <w:spacing w:after="0" w:line="316" w:lineRule="auto"/>
        <w:jc w:val="left"/>
        <w:rPr>
          <w:rFonts w:ascii="宋体" w:hAnsi="宋体" w:cs="宋体" w:eastAsia="宋体" w:hint="default"/>
          <w:sz w:val="18"/>
          <w:szCs w:val="18"/>
        </w:rPr>
        <w:sectPr>
          <w:pgSz w:w="11910" w:h="16840"/>
          <w:pgMar w:header="0" w:footer="1227" w:top="1060" w:bottom="1420" w:left="980" w:right="960"/>
        </w:sectPr>
      </w:pPr>
    </w:p>
    <w:p>
      <w:pPr>
        <w:spacing w:before="15"/>
        <w:ind w:left="0" w:right="153" w:firstLine="0"/>
        <w:jc w:val="right"/>
        <w:rPr>
          <w:rFonts w:ascii="宋体" w:hAnsi="宋体" w:cs="宋体" w:eastAsia="宋体" w:hint="default"/>
          <w:sz w:val="18"/>
          <w:szCs w:val="18"/>
        </w:rPr>
      </w:pPr>
      <w:r>
        <w:rPr/>
        <w:pict>
          <v:group style="position:absolute;margin-left:548.229980pt;margin-top:366.190002pt;width:61pt;height:25.35pt;mso-position-horizontal-relative:page;mso-position-vertical-relative:page;z-index:-1116832" coordorigin="10965,7324" coordsize="1220,507">
            <v:group style="position:absolute;left:10965;top:7324;width:1220;height:274" coordorigin="10965,7324" coordsize="1220,274">
              <v:shape style="position:absolute;left:10965;top:7324;width:1220;height:274" coordorigin="10965,7324" coordsize="1220,274" path="m10965,7597l12184,7597,12184,7324,10965,7324,10965,7597xe" filled="true" fillcolor="#ffffff" stroked="false">
                <v:path arrowok="t"/>
                <v:fill type="solid"/>
              </v:shape>
            </v:group>
            <v:group style="position:absolute;left:10965;top:7598;width:1220;height:234" coordorigin="10965,7598" coordsize="1220,234">
              <v:shape style="position:absolute;left:10965;top:7598;width:1220;height:234" coordorigin="10965,7598" coordsize="1220,234" path="m10965,7831l12184,7831,12184,7598,10965,7598,10965,7831xe" filled="true" fillcolor="#ffffff" stroked="false">
                <v:path arrowok="t"/>
                <v:fill type="solid"/>
              </v:shape>
            </v:group>
            <w10:wrap type="none"/>
          </v:group>
        </w:pict>
      </w: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9"/>
          <w:szCs w:val="19"/>
        </w:rPr>
      </w:pPr>
    </w:p>
    <w:p>
      <w:pPr>
        <w:pStyle w:val="Heading1"/>
        <w:spacing w:line="240" w:lineRule="auto"/>
        <w:ind w:left="4821" w:right="4819"/>
        <w:jc w:val="center"/>
        <w:rPr>
          <w:b w:val="0"/>
          <w:bCs w:val="0"/>
        </w:rPr>
      </w:pPr>
      <w:bookmarkStart w:name="_TOC_250007" w:id="5"/>
      <w:r>
        <w:rPr/>
        <w:t>第五节重要事项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Heading2"/>
        <w:spacing w:line="240" w:lineRule="auto"/>
        <w:ind w:left="160"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60" w:right="0"/>
        <w:jc w:val="left"/>
      </w:pPr>
      <w:r>
        <w:rPr/>
        <w:pict>
          <v:group style="position:absolute;margin-left:548.229980pt;margin-top:94.463661pt;width:61pt;height:13.6pt;mso-position-horizontal-relative:page;mso-position-vertical-relative:paragraph;z-index:-1116856" coordorigin="10965,1889" coordsize="1220,272">
            <v:shape style="position:absolute;left:10965;top:1889;width:1220;height:272" coordorigin="10965,1889" coordsize="1220,272" path="m10965,2160l12184,2160,12184,1889,10965,1889,10965,2160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2297"/>
        <w:gridCol w:w="991"/>
        <w:gridCol w:w="853"/>
        <w:gridCol w:w="3968"/>
        <w:gridCol w:w="1418"/>
        <w:gridCol w:w="1274"/>
        <w:gridCol w:w="853"/>
        <w:gridCol w:w="2364"/>
      </w:tblGrid>
      <w:tr>
        <w:trPr>
          <w:trHeight w:val="552" w:hRule="exact"/>
        </w:trPr>
        <w:tc>
          <w:tcPr>
            <w:tcW w:w="229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1"/>
              <w:ind w:left="353"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9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28" w:lineRule="exact"/>
              <w:ind w:left="131"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34" w:lineRule="exact"/>
              <w:ind w:left="13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8"/>
              <w:ind w:left="62" w:right="58"/>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39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41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8"/>
              <w:ind w:left="252" w:right="103" w:hanging="149"/>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7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8"/>
              <w:ind w:left="271" w:right="31"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85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6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36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1"/>
              <w:ind w:left="7"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192" w:hRule="exact"/>
        </w:trPr>
        <w:tc>
          <w:tcPr>
            <w:tcW w:w="2297" w:type="dxa"/>
            <w:tcBorders>
              <w:top w:val="single" w:sz="4" w:space="0" w:color="000000"/>
              <w:left w:val="single" w:sz="12" w:space="0" w:color="000000"/>
              <w:bottom w:val="single" w:sz="4" w:space="0" w:color="000000"/>
              <w:right w:val="single" w:sz="4" w:space="0" w:color="000000"/>
            </w:tcBorders>
          </w:tcPr>
          <w:p>
            <w:pPr>
              <w:pStyle w:val="TableParagraph"/>
              <w:spacing w:line="235" w:lineRule="exact" w:before="8"/>
              <w:ind w:left="14"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p>
            <w:pPr>
              <w:pStyle w:val="TableParagraph"/>
              <w:spacing w:line="230" w:lineRule="auto" w:before="8"/>
              <w:ind w:left="14" w:right="24"/>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信息系统公司</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）与北京航</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天长峰股份有限公司（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航天 长峰公司</w:t>
            </w:r>
            <w:r>
              <w:rPr>
                <w:rFonts w:ascii="Times New Roman" w:hAnsi="Times New Roman" w:cs="Times New Roman" w:eastAsia="Times New Roman" w:hint="default"/>
                <w:sz w:val="18"/>
                <w:szCs w:val="18"/>
              </w:rPr>
              <w:t>"</w:t>
            </w:r>
            <w:r>
              <w:rPr>
                <w:rFonts w:ascii="宋体" w:hAnsi="宋体" w:cs="宋体" w:eastAsia="宋体" w:hint="default"/>
                <w:sz w:val="18"/>
                <w:szCs w:val="18"/>
              </w:rPr>
              <w:t>）供货合同纠纷一 案，信息系统公司向北京仲 </w:t>
            </w:r>
            <w:r>
              <w:rPr>
                <w:rFonts w:ascii="宋体" w:hAnsi="宋体" w:cs="宋体" w:eastAsia="宋体" w:hint="default"/>
                <w:spacing w:val="-6"/>
                <w:sz w:val="18"/>
                <w:szCs w:val="18"/>
              </w:rPr>
              <w:t>裁委员会（</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北仲</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）提出主张</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货款的申请。航天长峰公司 以未实际交货为由，提出仲 裁反请求。</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4,570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日收到北仲（</w:t>
            </w:r>
            <w:r>
              <w:rPr>
                <w:rFonts w:ascii="Times New Roman" w:hAnsi="Times New Roman" w:cs="Times New Roman" w:eastAsia="Times New Roman" w:hint="default"/>
                <w:sz w:val="18"/>
                <w:szCs w:val="18"/>
              </w:rPr>
              <w:t>2014</w:t>
            </w:r>
            <w:r>
              <w:rPr>
                <w:rFonts w:ascii="宋体" w:hAnsi="宋体" w:cs="宋体" w:eastAsia="宋体" w:hint="default"/>
                <w:sz w:val="18"/>
                <w:szCs w:val="18"/>
              </w:rPr>
              <w:t>）京仲裁字第</w:t>
            </w:r>
          </w:p>
          <w:p>
            <w:pPr>
              <w:pStyle w:val="TableParagraph"/>
              <w:spacing w:line="23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01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号</w:t>
            </w:r>
            <w:r>
              <w:rPr>
                <w:rFonts w:ascii="宋体" w:hAnsi="宋体" w:cs="宋体" w:eastAsia="宋体" w:hint="default"/>
                <w:sz w:val="18"/>
                <w:szCs w:val="18"/>
              </w:rPr>
              <w:t>《裁决书</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日收到一中院</w:t>
            </w:r>
          </w:p>
          <w:p>
            <w:pPr>
              <w:pStyle w:val="TableParagraph"/>
              <w:spacing w:line="240"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）一中执字第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号《执行裁定书》</w:t>
            </w:r>
          </w:p>
        </w:tc>
        <w:tc>
          <w:tcPr>
            <w:tcW w:w="141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21" w:right="-38"/>
              <w:jc w:val="left"/>
              <w:rPr>
                <w:rFonts w:ascii="宋体" w:hAnsi="宋体" w:cs="宋体" w:eastAsia="宋体" w:hint="default"/>
                <w:sz w:val="18"/>
                <w:szCs w:val="18"/>
              </w:rPr>
            </w:pPr>
            <w:r>
              <w:rPr>
                <w:rFonts w:ascii="宋体" w:hAnsi="宋体" w:cs="宋体" w:eastAsia="宋体" w:hint="default"/>
                <w:sz w:val="18"/>
                <w:szCs w:val="18"/>
              </w:rPr>
              <w:t>针对本案中的应 </w:t>
            </w:r>
            <w:r>
              <w:rPr>
                <w:rFonts w:ascii="宋体" w:hAnsi="宋体" w:cs="宋体" w:eastAsia="宋体" w:hint="default"/>
                <w:spacing w:val="-10"/>
                <w:sz w:val="18"/>
                <w:szCs w:val="18"/>
              </w:rPr>
              <w:t>收款项，公司已全</w:t>
            </w:r>
            <w:r>
              <w:rPr>
                <w:rFonts w:ascii="宋体" w:hAnsi="宋体" w:cs="宋体" w:eastAsia="宋体" w:hint="default"/>
                <w:sz w:val="18"/>
                <w:szCs w:val="18"/>
              </w:rPr>
              <w:t> </w:t>
            </w:r>
            <w:r>
              <w:rPr>
                <w:rFonts w:ascii="宋体" w:hAnsi="宋体" w:cs="宋体" w:eastAsia="宋体" w:hint="default"/>
                <w:spacing w:val="-3"/>
                <w:sz w:val="18"/>
                <w:szCs w:val="18"/>
              </w:rPr>
              <w:t>额计提坏帐准备，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对公司本期利润</w:t>
            </w:r>
            <w:r>
              <w:rPr>
                <w:rFonts w:ascii="宋体" w:hAnsi="宋体" w:cs="宋体" w:eastAsia="宋体" w:hint="default"/>
                <w:sz w:val="18"/>
                <w:szCs w:val="18"/>
              </w:rPr>
              <w:t> 或期后利润不产 生影响。</w:t>
            </w:r>
          </w:p>
        </w:tc>
        <w:tc>
          <w:tcPr>
            <w:tcW w:w="1274" w:type="dxa"/>
            <w:tcBorders>
              <w:top w:val="single" w:sz="4" w:space="0" w:color="000000"/>
              <w:left w:val="single" w:sz="9" w:space="0" w:color="FFFFFF"/>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0" w:lineRule="exact" w:before="146"/>
              <w:ind w:left="15" w:right="-25"/>
              <w:jc w:val="left"/>
              <w:rPr>
                <w:rFonts w:ascii="宋体" w:hAnsi="宋体" w:cs="宋体" w:eastAsia="宋体" w:hint="default"/>
                <w:sz w:val="18"/>
                <w:szCs w:val="18"/>
              </w:rPr>
            </w:pPr>
            <w:r>
              <w:rPr>
                <w:rFonts w:ascii="宋体" w:hAnsi="宋体" w:cs="宋体" w:eastAsia="宋体" w:hint="default"/>
                <w:sz w:val="18"/>
                <w:szCs w:val="18"/>
              </w:rPr>
              <w:t>截至本报告期， 已执行完毕。</w:t>
            </w:r>
          </w:p>
        </w:tc>
        <w:tc>
          <w:tcPr>
            <w:tcW w:w="85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exact" w:before="120"/>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p>
          <w:p>
            <w:pPr>
              <w:pStyle w:val="TableParagraph"/>
              <w:spacing w:line="240" w:lineRule="exact"/>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158"/>
              <w:jc w:val="left"/>
              <w:rPr>
                <w:rFonts w:ascii="宋体" w:hAnsi="宋体" w:cs="宋体" w:eastAsia="宋体" w:hint="default"/>
                <w:sz w:val="18"/>
                <w:szCs w:val="18"/>
              </w:rPr>
            </w:pPr>
            <w:r>
              <w:rPr>
                <w:rFonts w:ascii="宋体" w:hAnsi="宋体" w:cs="宋体" w:eastAsia="宋体" w:hint="default"/>
                <w:sz w:val="18"/>
                <w:szCs w:val="18"/>
              </w:rPr>
              <w:t>有关情况详见公司在巨潮资 讯网</w:t>
            </w:r>
          </w:p>
          <w:p>
            <w:pPr>
              <w:pStyle w:val="TableParagraph"/>
              <w:spacing w:line="230" w:lineRule="auto" w:before="6"/>
              <w:ind w:left="23" w:right="12"/>
              <w:jc w:val="left"/>
              <w:rPr>
                <w:rFonts w:ascii="宋体" w:hAnsi="宋体" w:cs="宋体" w:eastAsia="宋体" w:hint="default"/>
                <w:sz w:val="18"/>
                <w:szCs w:val="18"/>
              </w:rPr>
            </w:pPr>
            <w:r>
              <w:rPr>
                <w:rFonts w:ascii="宋体" w:hAnsi="宋体" w:cs="宋体" w:eastAsia="宋体" w:hint="default"/>
                <w:sz w:val="18"/>
                <w:szCs w:val="18"/>
              </w:rPr>
              <w:t>（</w:t>
            </w:r>
            <w:hyperlink r:id="rId8">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 </w:t>
            </w:r>
            <w:r>
              <w:rPr>
                <w:rFonts w:ascii="宋体" w:hAnsi="宋体" w:cs="宋体" w:eastAsia="宋体" w:hint="default"/>
                <w:spacing w:val="-3"/>
                <w:sz w:val="18"/>
                <w:szCs w:val="18"/>
              </w:rPr>
              <w:t>披露的《神州数码信息服务股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份有限公司重大仲裁公告》。</w:t>
            </w:r>
          </w:p>
        </w:tc>
      </w:tr>
      <w:tr>
        <w:trPr>
          <w:trHeight w:val="2240" w:hRule="exact"/>
        </w:trPr>
        <w:tc>
          <w:tcPr>
            <w:tcW w:w="229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5" w:lineRule="auto"/>
              <w:ind w:left="14" w:right="24"/>
              <w:jc w:val="left"/>
              <w:rPr>
                <w:rFonts w:ascii="宋体" w:hAnsi="宋体" w:cs="宋体" w:eastAsia="宋体" w:hint="default"/>
                <w:sz w:val="18"/>
                <w:szCs w:val="18"/>
              </w:rPr>
            </w:pPr>
            <w:r>
              <w:rPr>
                <w:rFonts w:ascii="宋体" w:hAnsi="宋体" w:cs="宋体" w:eastAsia="宋体" w:hint="default"/>
                <w:sz w:val="18"/>
                <w:szCs w:val="18"/>
              </w:rPr>
              <w:t>因供应商安力博发集团有限 </w:t>
            </w:r>
            <w:r>
              <w:rPr>
                <w:rFonts w:ascii="宋体" w:hAnsi="宋体" w:cs="宋体" w:eastAsia="宋体" w:hint="default"/>
                <w:spacing w:val="-6"/>
                <w:sz w:val="18"/>
                <w:szCs w:val="18"/>
              </w:rPr>
              <w:t>公司（</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安力博发</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）未按要求</w:t>
            </w:r>
            <w:r>
              <w:rPr>
                <w:rFonts w:ascii="宋体" w:hAnsi="宋体" w:cs="宋体" w:eastAsia="宋体" w:hint="default"/>
                <w:sz w:val="18"/>
                <w:szCs w:val="18"/>
              </w:rPr>
              <w:t> 交付货物，信息系统公司向 北京市海淀区人民法院提起 诉讼。</w:t>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4,672</w:t>
            </w:r>
          </w:p>
        </w:tc>
        <w:tc>
          <w:tcPr>
            <w:tcW w:w="8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3968" w:type="dxa"/>
            <w:tcBorders>
              <w:top w:val="single" w:sz="4" w:space="0" w:color="000000"/>
              <w:left w:val="single" w:sz="4" w:space="0" w:color="000000"/>
              <w:bottom w:val="single" w:sz="12" w:space="0" w:color="000000"/>
              <w:right w:val="single" w:sz="4" w:space="0" w:color="000000"/>
            </w:tcBorders>
          </w:tcPr>
          <w:p>
            <w:pPr>
              <w:pStyle w:val="TableParagraph"/>
              <w:spacing w:line="232" w:lineRule="exact" w:before="32"/>
              <w:ind w:left="24" w:right="10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日，北京市海淀区人民法院作 </w:t>
            </w:r>
            <w:r>
              <w:rPr>
                <w:rFonts w:ascii="宋体" w:hAnsi="宋体" w:cs="宋体" w:eastAsia="宋体" w:hint="default"/>
                <w:spacing w:val="-9"/>
                <w:sz w:val="18"/>
                <w:szCs w:val="18"/>
              </w:rPr>
              <w:t>出《案件受理通知书》。</w:t>
            </w:r>
          </w:p>
          <w:p>
            <w:pPr>
              <w:pStyle w:val="TableParagraph"/>
              <w:spacing w:line="241" w:lineRule="exact" w:before="1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日，北京市海淀区人民法院作</w:t>
            </w:r>
          </w:p>
          <w:p>
            <w:pPr>
              <w:pStyle w:val="TableParagraph"/>
              <w:spacing w:line="232" w:lineRule="auto"/>
              <w:ind w:left="24" w:right="17"/>
              <w:jc w:val="both"/>
              <w:rPr>
                <w:rFonts w:ascii="宋体" w:hAnsi="宋体" w:cs="宋体" w:eastAsia="宋体" w:hint="default"/>
                <w:sz w:val="18"/>
                <w:szCs w:val="18"/>
              </w:rPr>
            </w:pPr>
            <w:r>
              <w:rPr>
                <w:rFonts w:ascii="宋体" w:hAnsi="宋体" w:cs="宋体" w:eastAsia="宋体" w:hint="default"/>
                <w:spacing w:val="-3"/>
                <w:sz w:val="18"/>
                <w:szCs w:val="18"/>
              </w:rPr>
              <w:t>出（</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）海民（商）初字第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17530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号《民事判决 </w:t>
            </w:r>
            <w:r>
              <w:rPr>
                <w:rFonts w:ascii="宋体" w:hAnsi="宋体" w:cs="宋体" w:eastAsia="宋体" w:hint="default"/>
                <w:spacing w:val="-5"/>
                <w:sz w:val="18"/>
                <w:szCs w:val="18"/>
              </w:rPr>
              <w:t>书》，判决如下：安力博发于本判决生效后十日内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偿付信息系统公司价款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38,876,998 </w:t>
            </w:r>
            <w:r>
              <w:rPr>
                <w:rFonts w:ascii="宋体" w:hAnsi="宋体" w:cs="宋体" w:eastAsia="宋体" w:hint="default"/>
                <w:sz w:val="18"/>
                <w:szCs w:val="18"/>
              </w:rPr>
              <w:t>元及利息损失</w:t>
            </w:r>
          </w:p>
          <w:p>
            <w:pPr>
              <w:pStyle w:val="TableParagraph"/>
              <w:spacing w:line="230" w:lineRule="auto"/>
              <w:ind w:left="24"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7,849,265.9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元。案件受理费</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137,716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元（信息系统 </w:t>
            </w:r>
            <w:r>
              <w:rPr>
                <w:rFonts w:ascii="宋体" w:hAnsi="宋体" w:cs="宋体" w:eastAsia="宋体" w:hint="default"/>
                <w:spacing w:val="-5"/>
                <w:sz w:val="18"/>
                <w:szCs w:val="18"/>
              </w:rPr>
              <w:t>公司已预交），由安力博发负担，于本判决生效后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日内交纳。</w:t>
            </w:r>
          </w:p>
        </w:tc>
        <w:tc>
          <w:tcPr>
            <w:tcW w:w="1418" w:type="dxa"/>
            <w:tcBorders>
              <w:top w:val="single" w:sz="4" w:space="0" w:color="000000"/>
              <w:left w:val="single" w:sz="4" w:space="0" w:color="000000"/>
              <w:bottom w:val="single" w:sz="12" w:space="0" w:color="000000"/>
              <w:right w:val="single" w:sz="12"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44"/>
              <w:ind w:left="21" w:right="13"/>
              <w:jc w:val="left"/>
              <w:rPr>
                <w:rFonts w:ascii="宋体" w:hAnsi="宋体" w:cs="宋体" w:eastAsia="宋体" w:hint="default"/>
                <w:sz w:val="18"/>
                <w:szCs w:val="18"/>
              </w:rPr>
            </w:pPr>
            <w:r>
              <w:rPr>
                <w:rFonts w:ascii="宋体" w:hAnsi="宋体" w:cs="宋体" w:eastAsia="宋体" w:hint="default"/>
                <w:sz w:val="18"/>
                <w:szCs w:val="18"/>
              </w:rPr>
              <w:t>针对本案中的应 </w:t>
            </w:r>
            <w:r>
              <w:rPr>
                <w:rFonts w:ascii="宋体" w:hAnsi="宋体" w:cs="宋体" w:eastAsia="宋体" w:hint="default"/>
                <w:spacing w:val="-10"/>
                <w:sz w:val="18"/>
                <w:szCs w:val="18"/>
              </w:rPr>
              <w:t>收款项，公司已全</w:t>
            </w:r>
            <w:r>
              <w:rPr>
                <w:rFonts w:ascii="宋体" w:hAnsi="宋体" w:cs="宋体" w:eastAsia="宋体" w:hint="default"/>
                <w:sz w:val="18"/>
                <w:szCs w:val="18"/>
              </w:rPr>
              <w:t> 额计提坏帐准备 对公司本期利润 或期后利润不产 生影响。</w:t>
            </w:r>
          </w:p>
        </w:tc>
        <w:tc>
          <w:tcPr>
            <w:tcW w:w="1274" w:type="dxa"/>
            <w:tcBorders>
              <w:top w:val="single" w:sz="4" w:space="0" w:color="000000"/>
              <w:left w:val="single" w:sz="12" w:space="0" w:color="FFFFFF"/>
              <w:bottom w:val="single" w:sz="12"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177" w:lineRule="exact"/>
              <w:ind w:left="10" w:right="0"/>
              <w:jc w:val="left"/>
              <w:rPr>
                <w:rFonts w:ascii="宋体" w:hAnsi="宋体" w:cs="宋体" w:eastAsia="宋体" w:hint="default"/>
                <w:sz w:val="18"/>
                <w:szCs w:val="18"/>
              </w:rPr>
            </w:pPr>
            <w:r>
              <w:rPr>
                <w:rFonts w:ascii="宋体" w:hAnsi="宋体" w:cs="宋体" w:eastAsia="宋体" w:hint="default"/>
                <w:sz w:val="18"/>
                <w:szCs w:val="18"/>
              </w:rPr>
              <w:t>本案一审判决</w:t>
            </w:r>
          </w:p>
          <w:p>
            <w:pPr>
              <w:pStyle w:val="TableParagraph"/>
              <w:spacing w:line="118" w:lineRule="exact"/>
              <w:ind w:left="-14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4" w:lineRule="exact"/>
              <w:ind w:left="10" w:right="-25"/>
              <w:jc w:val="left"/>
              <w:rPr>
                <w:rFonts w:ascii="宋体" w:hAnsi="宋体" w:cs="宋体" w:eastAsia="宋体" w:hint="default"/>
                <w:sz w:val="18"/>
                <w:szCs w:val="18"/>
              </w:rPr>
            </w:pPr>
            <w:r>
              <w:rPr>
                <w:rFonts w:ascii="宋体" w:hAnsi="宋体" w:cs="宋体" w:eastAsia="宋体" w:hint="default"/>
                <w:spacing w:val="-6"/>
                <w:sz w:val="18"/>
                <w:szCs w:val="18"/>
              </w:rPr>
              <w:t>已经生效，目前</w:t>
            </w:r>
          </w:p>
          <w:p>
            <w:pPr>
              <w:pStyle w:val="TableParagraph"/>
              <w:spacing w:line="233" w:lineRule="exact"/>
              <w:ind w:left="10" w:right="-25"/>
              <w:jc w:val="left"/>
              <w:rPr>
                <w:rFonts w:ascii="宋体" w:hAnsi="宋体" w:cs="宋体" w:eastAsia="宋体" w:hint="default"/>
                <w:sz w:val="18"/>
                <w:szCs w:val="18"/>
              </w:rPr>
            </w:pPr>
            <w:r>
              <w:rPr>
                <w:rFonts w:ascii="宋体" w:hAnsi="宋体" w:cs="宋体" w:eastAsia="宋体" w:hint="default"/>
                <w:sz w:val="18"/>
                <w:szCs w:val="18"/>
              </w:rPr>
              <w:t>在执行程序中。</w:t>
            </w:r>
          </w:p>
        </w:tc>
        <w:tc>
          <w:tcPr>
            <w:tcW w:w="853" w:type="dxa"/>
            <w:tcBorders>
              <w:top w:val="single" w:sz="4" w:space="0" w:color="000000"/>
              <w:left w:val="single" w:sz="10" w:space="0" w:color="FFFFFF"/>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1" w:lineRule="exact" w:before="139"/>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p>
          <w:p>
            <w:pPr>
              <w:pStyle w:val="TableParagraph"/>
              <w:spacing w:line="241" w:lineRule="exact"/>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7"/>
              <w:ind w:left="23" w:right="158"/>
              <w:jc w:val="left"/>
              <w:rPr>
                <w:rFonts w:ascii="宋体" w:hAnsi="宋体" w:cs="宋体" w:eastAsia="宋体" w:hint="default"/>
                <w:sz w:val="18"/>
                <w:szCs w:val="18"/>
              </w:rPr>
            </w:pPr>
            <w:r>
              <w:rPr>
                <w:rFonts w:ascii="宋体" w:hAnsi="宋体" w:cs="宋体" w:eastAsia="宋体" w:hint="default"/>
                <w:sz w:val="18"/>
                <w:szCs w:val="18"/>
              </w:rPr>
              <w:t>有关该案的基本情况详见公 司在巨潮资讯网</w:t>
            </w:r>
          </w:p>
          <w:p>
            <w:pPr>
              <w:pStyle w:val="TableParagraph"/>
              <w:spacing w:line="232" w:lineRule="exact" w:before="24"/>
              <w:ind w:left="23" w:right="10"/>
              <w:jc w:val="both"/>
              <w:rPr>
                <w:rFonts w:ascii="宋体" w:hAnsi="宋体" w:cs="宋体" w:eastAsia="宋体" w:hint="default"/>
                <w:sz w:val="18"/>
                <w:szCs w:val="18"/>
              </w:rPr>
            </w:pPr>
            <w:r>
              <w:rPr>
                <w:rFonts w:ascii="宋体" w:hAnsi="宋体" w:cs="宋体" w:eastAsia="宋体" w:hint="default"/>
                <w:sz w:val="18"/>
                <w:szCs w:val="18"/>
              </w:rPr>
              <w:t>（</w:t>
            </w:r>
            <w:hyperlink r:id="rId8">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 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0"/>
                <w:sz w:val="18"/>
                <w:szCs w:val="18"/>
              </w:rPr>
              <w:t> </w:t>
            </w:r>
            <w:r>
              <w:rPr>
                <w:rFonts w:ascii="宋体" w:hAnsi="宋体" w:cs="宋体" w:eastAsia="宋体" w:hint="default"/>
                <w:spacing w:val="-16"/>
                <w:sz w:val="18"/>
                <w:szCs w:val="18"/>
              </w:rPr>
              <w:t>日披露的《诉</w:t>
            </w:r>
          </w:p>
          <w:p>
            <w:pPr>
              <w:pStyle w:val="TableParagraph"/>
              <w:spacing w:line="225" w:lineRule="auto"/>
              <w:ind w:left="23" w:right="11"/>
              <w:jc w:val="both"/>
              <w:rPr>
                <w:rFonts w:ascii="Times New Roman" w:hAnsi="Times New Roman" w:cs="Times New Roman" w:eastAsia="Times New Roman" w:hint="default"/>
                <w:sz w:val="18"/>
                <w:szCs w:val="18"/>
              </w:rPr>
            </w:pPr>
            <w:r>
              <w:rPr>
                <w:rFonts w:ascii="宋体" w:hAnsi="宋体" w:cs="宋体" w:eastAsia="宋体" w:hint="default"/>
                <w:spacing w:val="-19"/>
                <w:sz w:val="18"/>
                <w:szCs w:val="18"/>
              </w:rPr>
              <w:t>讼公告》、</w:t>
            </w:r>
            <w:r>
              <w:rPr>
                <w:rFonts w:ascii="Times New Roman" w:hAnsi="Times New Roman" w:cs="Times New Roman" w:eastAsia="Times New Roman" w:hint="default"/>
                <w:spacing w:val="-19"/>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 </w:t>
            </w:r>
            <w:r>
              <w:rPr>
                <w:rFonts w:ascii="宋体" w:hAnsi="宋体" w:cs="宋体" w:eastAsia="宋体" w:hint="default"/>
                <w:spacing w:val="-12"/>
                <w:sz w:val="18"/>
                <w:szCs w:val="18"/>
              </w:rPr>
              <w:t>露的《</w:t>
            </w:r>
            <w:r>
              <w:rPr>
                <w:rFonts w:ascii="Times New Roman" w:hAnsi="Times New Roman" w:cs="Times New Roman" w:eastAsia="Times New Roman" w:hint="default"/>
                <w:spacing w:val="-12"/>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pacing w:val="-9"/>
                <w:w w:val="100"/>
                <w:sz w:val="18"/>
                <w:szCs w:val="18"/>
              </w:rPr>
              <w:t>年半年度报告》</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重</w:t>
            </w:r>
            <w:r>
              <w:rPr>
                <w:rFonts w:ascii="宋体" w:hAnsi="宋体" w:cs="宋体" w:eastAsia="宋体" w:hint="default"/>
                <w:sz w:val="18"/>
                <w:szCs w:val="18"/>
              </w:rPr>
              <w:t> 大诉讼仲裁事项</w:t>
            </w:r>
            <w:r>
              <w:rPr>
                <w:rFonts w:ascii="Times New Roman" w:hAnsi="Times New Roman" w:cs="Times New Roman" w:eastAsia="Times New Roman" w:hint="default"/>
                <w:sz w:val="18"/>
                <w:szCs w:val="18"/>
              </w:rPr>
              <w:t>”</w:t>
            </w:r>
            <w:r>
              <w:rPr>
                <w:rFonts w:ascii="宋体" w:hAnsi="宋体" w:cs="宋体" w:eastAsia="宋体" w:hint="default"/>
                <w:sz w:val="18"/>
                <w:szCs w:val="18"/>
              </w:rPr>
              <w:t>部分及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230" w:lineRule="exact" w:before="12"/>
              <w:ind w:left="23" w:right="6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日披露的《诉讼进 展公告》内容。</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76"/>
        <w:ind w:left="4821" w:right="4819" w:firstLine="0"/>
        <w:jc w:val="center"/>
        <w:rPr>
          <w:rFonts w:ascii="Times New Roman" w:hAnsi="Times New Roman" w:cs="Times New Roman" w:eastAsia="Times New Roman" w:hint="default"/>
          <w:sz w:val="18"/>
          <w:szCs w:val="18"/>
        </w:rPr>
      </w:pPr>
      <w:r>
        <w:rPr>
          <w:rFonts w:ascii="Times New Roman"/>
          <w:sz w:val="18"/>
        </w:rPr>
        <w:t>42</w:t>
      </w:r>
    </w:p>
    <w:p>
      <w:pPr>
        <w:spacing w:after="0"/>
        <w:jc w:val="center"/>
        <w:rPr>
          <w:rFonts w:ascii="Times New Roman" w:hAnsi="Times New Roman" w:cs="Times New Roman" w:eastAsia="Times New Roman" w:hint="default"/>
          <w:sz w:val="18"/>
          <w:szCs w:val="18"/>
        </w:rPr>
        <w:sectPr>
          <w:headerReference w:type="default" r:id="rId21"/>
          <w:footerReference w:type="default" r:id="rId22"/>
          <w:pgSz w:w="16840" w:h="11910" w:orient="landscape"/>
          <w:pgMar w:header="0" w:footer="0" w:top="800" w:bottom="280" w:left="1280" w:right="12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9"/>
          <w:szCs w:val="29"/>
        </w:rPr>
      </w:pPr>
    </w:p>
    <w:p>
      <w:pPr>
        <w:pStyle w:val="Heading2"/>
        <w:spacing w:line="240" w:lineRule="auto"/>
        <w:ind w:right="140"/>
        <w:jc w:val="left"/>
        <w:rPr>
          <w:b w:val="0"/>
          <w:bCs w:val="0"/>
        </w:rPr>
      </w:pPr>
      <w:r>
        <w:rPr/>
        <w:t>二、媒体质疑情况</w:t>
      </w:r>
      <w:r>
        <w:rPr>
          <w:b w:val="0"/>
          <w:bCs w:val="0"/>
        </w:rPr>
      </w:r>
    </w:p>
    <w:p>
      <w:pPr>
        <w:spacing w:line="240" w:lineRule="auto" w:before="10"/>
        <w:rPr>
          <w:rFonts w:ascii="宋体" w:hAnsi="宋体" w:cs="宋体" w:eastAsia="宋体" w:hint="default"/>
          <w:b/>
          <w:bCs/>
          <w:sz w:val="30"/>
          <w:szCs w:val="30"/>
        </w:rPr>
      </w:pPr>
    </w:p>
    <w:p>
      <w:pPr>
        <w:pStyle w:val="BodyText"/>
        <w:spacing w:line="420" w:lineRule="auto"/>
        <w:ind w:right="56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本报告期公司无媒体普遍质疑事项。</w:t>
      </w:r>
    </w:p>
    <w:p>
      <w:pPr>
        <w:spacing w:line="240" w:lineRule="auto" w:before="9"/>
        <w:rPr>
          <w:rFonts w:ascii="宋体" w:hAnsi="宋体" w:cs="宋体" w:eastAsia="宋体" w:hint="default"/>
          <w:sz w:val="17"/>
          <w:szCs w:val="17"/>
        </w:rPr>
      </w:pPr>
    </w:p>
    <w:p>
      <w:pPr>
        <w:pStyle w:val="Heading2"/>
        <w:spacing w:line="240" w:lineRule="auto" w:before="0"/>
        <w:ind w:right="140"/>
        <w:jc w:val="left"/>
        <w:rPr>
          <w:b w:val="0"/>
          <w:bCs w:val="0"/>
        </w:rPr>
      </w:pPr>
      <w:r>
        <w:rPr/>
        <w:t>三、控股股东及其关联方对上市公司的非经营性占用资金情况</w:t>
      </w:r>
      <w:r>
        <w:rPr>
          <w:b w:val="0"/>
          <w:bCs w:val="0"/>
        </w:rPr>
      </w:r>
    </w:p>
    <w:p>
      <w:pPr>
        <w:spacing w:line="240" w:lineRule="auto" w:before="10"/>
        <w:rPr>
          <w:rFonts w:ascii="宋体" w:hAnsi="宋体" w:cs="宋体" w:eastAsia="宋体" w:hint="default"/>
          <w:b/>
          <w:bCs/>
          <w:sz w:val="30"/>
          <w:szCs w:val="30"/>
        </w:rPr>
      </w:pPr>
    </w:p>
    <w:p>
      <w:pPr>
        <w:pStyle w:val="BodyText"/>
        <w:spacing w:line="420" w:lineRule="auto"/>
        <w:ind w:right="28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公司报告期不存在控股股东及其关联方对上市公司的非经营性占用资金。</w:t>
      </w:r>
    </w:p>
    <w:p>
      <w:pPr>
        <w:spacing w:line="240" w:lineRule="auto" w:before="9"/>
        <w:rPr>
          <w:rFonts w:ascii="宋体" w:hAnsi="宋体" w:cs="宋体" w:eastAsia="宋体" w:hint="default"/>
          <w:sz w:val="17"/>
          <w:szCs w:val="17"/>
        </w:rPr>
      </w:pPr>
    </w:p>
    <w:p>
      <w:pPr>
        <w:pStyle w:val="Heading2"/>
        <w:spacing w:line="240" w:lineRule="auto" w:before="0"/>
        <w:ind w:right="140"/>
        <w:jc w:val="left"/>
        <w:rPr>
          <w:b w:val="0"/>
          <w:bCs w:val="0"/>
        </w:rPr>
      </w:pPr>
      <w:r>
        <w:rPr/>
        <w:t>四、破产重整相关事项</w:t>
      </w:r>
      <w:r>
        <w:rPr>
          <w:b w:val="0"/>
          <w:bCs w:val="0"/>
        </w:rPr>
      </w:r>
    </w:p>
    <w:p>
      <w:pPr>
        <w:spacing w:line="240" w:lineRule="auto" w:before="10"/>
        <w:rPr>
          <w:rFonts w:ascii="宋体" w:hAnsi="宋体" w:cs="宋体" w:eastAsia="宋体" w:hint="default"/>
          <w:b/>
          <w:bCs/>
          <w:sz w:val="30"/>
          <w:szCs w:val="30"/>
        </w:rPr>
      </w:pPr>
    </w:p>
    <w:p>
      <w:pPr>
        <w:pStyle w:val="BodyText"/>
        <w:spacing w:line="420" w:lineRule="auto"/>
        <w:ind w:right="56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公司报告期未发生破产重整相关事项。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before="76"/>
        <w:ind w:left="2422" w:right="2422" w:firstLine="0"/>
        <w:jc w:val="center"/>
        <w:rPr>
          <w:rFonts w:ascii="Times New Roman" w:hAnsi="Times New Roman" w:cs="Times New Roman" w:eastAsia="Times New Roman" w:hint="default"/>
          <w:sz w:val="18"/>
          <w:szCs w:val="18"/>
        </w:rPr>
      </w:pPr>
      <w:r>
        <w:rPr>
          <w:rFonts w:ascii="Times New Roman"/>
          <w:sz w:val="18"/>
        </w:rPr>
        <w:t>43</w:t>
      </w:r>
    </w:p>
    <w:p>
      <w:pPr>
        <w:spacing w:after="0"/>
        <w:jc w:val="center"/>
        <w:rPr>
          <w:rFonts w:ascii="Times New Roman" w:hAnsi="Times New Roman" w:cs="Times New Roman" w:eastAsia="Times New Roman" w:hint="default"/>
          <w:sz w:val="18"/>
          <w:szCs w:val="18"/>
        </w:rPr>
        <w:sectPr>
          <w:headerReference w:type="default" r:id="rId23"/>
          <w:footerReference w:type="default" r:id="rId24"/>
          <w:pgSz w:w="11910" w:h="16840"/>
          <w:pgMar w:header="877" w:footer="0" w:top="1060" w:bottom="280" w:left="980" w:right="980"/>
        </w:sectPr>
      </w:pPr>
    </w:p>
    <w:p>
      <w:pPr>
        <w:spacing w:line="240" w:lineRule="auto" w:before="1"/>
        <w:rPr>
          <w:rFonts w:ascii="Times New Roman" w:hAnsi="Times New Roman" w:cs="Times New Roman" w:eastAsia="Times New Roman" w:hint="default"/>
          <w:sz w:val="25"/>
          <w:szCs w:val="25"/>
        </w:rPr>
      </w:pPr>
    </w:p>
    <w:p>
      <w:pPr>
        <w:pStyle w:val="Heading2"/>
        <w:spacing w:line="240" w:lineRule="auto" w:before="0"/>
        <w:ind w:left="160" w:right="0"/>
        <w:jc w:val="left"/>
        <w:rPr>
          <w:b w:val="0"/>
          <w:bCs w:val="0"/>
        </w:rPr>
      </w:pPr>
      <w:r>
        <w:rPr/>
        <w:pict>
          <v:group style="position:absolute;margin-left:70.559998pt;margin-top:.815603pt;width:700.9pt;height:.1pt;mso-position-horizontal-relative:page;mso-position-vertical-relative:paragraph;z-index:-1116808" coordorigin="1411,16" coordsize="14018,2">
            <v:shape style="position:absolute;left:1411;top:16;width:14018;height:2" coordorigin="1411,16" coordsize="14018,0" path="m1411,16l15429,16e" filled="false" stroked="true" strokeweight=".72pt" strokecolor="#000000">
              <v:path arrowok="t"/>
            </v:shape>
            <w10:wrap type="none"/>
          </v:group>
        </w:pict>
      </w:r>
      <w:r>
        <w:rPr>
          <w:w w:val="95"/>
        </w:rPr>
        <w:t>五、资产交易事项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60"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before="15"/>
        <w:ind w:left="16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25"/>
          <w:footerReference w:type="default" r:id="rId26"/>
          <w:pgSz w:w="16840" w:h="11910" w:orient="landscape"/>
          <w:pgMar w:header="0" w:footer="0" w:top="800" w:bottom="280" w:left="1280" w:right="1280"/>
          <w:cols w:num="2" w:equalWidth="0">
            <w:col w:w="2087" w:space="7642"/>
            <w:col w:w="4551"/>
          </w:cols>
        </w:sectPr>
      </w:pPr>
    </w:p>
    <w:p>
      <w:pPr>
        <w:spacing w:line="240" w:lineRule="auto" w:before="7"/>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306"/>
        <w:gridCol w:w="996"/>
        <w:gridCol w:w="847"/>
        <w:gridCol w:w="1700"/>
        <w:gridCol w:w="1702"/>
        <w:gridCol w:w="1277"/>
        <w:gridCol w:w="1558"/>
        <w:gridCol w:w="850"/>
        <w:gridCol w:w="1280"/>
        <w:gridCol w:w="991"/>
        <w:gridCol w:w="1512"/>
      </w:tblGrid>
      <w:tr>
        <w:trPr>
          <w:trHeight w:val="1037" w:hRule="exact"/>
        </w:trPr>
        <w:tc>
          <w:tcPr>
            <w:tcW w:w="130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78" w:right="106" w:hanging="180"/>
              <w:jc w:val="left"/>
              <w:rPr>
                <w:rFonts w:ascii="宋体" w:hAnsi="宋体" w:cs="宋体" w:eastAsia="宋体" w:hint="default"/>
                <w:sz w:val="18"/>
                <w:szCs w:val="18"/>
              </w:rPr>
            </w:pPr>
            <w:r>
              <w:rPr>
                <w:rFonts w:ascii="宋体" w:hAnsi="宋体" w:cs="宋体" w:eastAsia="宋体" w:hint="default"/>
                <w:sz w:val="18"/>
                <w:szCs w:val="18"/>
              </w:rPr>
              <w:t>交易对方或最 终控制方</w:t>
            </w:r>
          </w:p>
        </w:tc>
        <w:tc>
          <w:tcPr>
            <w:tcW w:w="9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20" w:right="43" w:hanging="180"/>
              <w:jc w:val="left"/>
              <w:rPr>
                <w:rFonts w:ascii="宋体" w:hAnsi="宋体" w:cs="宋体" w:eastAsia="宋体" w:hint="default"/>
                <w:sz w:val="18"/>
                <w:szCs w:val="18"/>
              </w:rPr>
            </w:pPr>
            <w:r>
              <w:rPr>
                <w:rFonts w:ascii="宋体" w:hAnsi="宋体" w:cs="宋体" w:eastAsia="宋体" w:hint="default"/>
                <w:sz w:val="18"/>
                <w:szCs w:val="18"/>
              </w:rPr>
              <w:t>被收购或置 入资产</w:t>
            </w:r>
          </w:p>
        </w:tc>
        <w:tc>
          <w:tcPr>
            <w:tcW w:w="84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4"/>
              <w:ind w:left="5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70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84" w:right="0"/>
              <w:jc w:val="left"/>
              <w:rPr>
                <w:rFonts w:ascii="宋体" w:hAnsi="宋体" w:cs="宋体" w:eastAsia="宋体" w:hint="default"/>
                <w:sz w:val="18"/>
                <w:szCs w:val="18"/>
              </w:rPr>
            </w:pPr>
            <w:r>
              <w:rPr>
                <w:rFonts w:ascii="宋体" w:hAnsi="宋体" w:cs="宋体" w:eastAsia="宋体" w:hint="default"/>
                <w:sz w:val="18"/>
                <w:szCs w:val="18"/>
              </w:rPr>
              <w:t>进展情况</w:t>
            </w:r>
          </w:p>
        </w:tc>
        <w:tc>
          <w:tcPr>
            <w:tcW w:w="17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对公司经营的影响</w:t>
            </w:r>
          </w:p>
        </w:tc>
        <w:tc>
          <w:tcPr>
            <w:tcW w:w="127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51" w:right="94" w:hanging="360"/>
              <w:jc w:val="left"/>
              <w:rPr>
                <w:rFonts w:ascii="宋体" w:hAnsi="宋体" w:cs="宋体" w:eastAsia="宋体" w:hint="default"/>
                <w:sz w:val="18"/>
                <w:szCs w:val="18"/>
              </w:rPr>
            </w:pPr>
            <w:r>
              <w:rPr>
                <w:rFonts w:ascii="宋体" w:hAnsi="宋体" w:cs="宋体" w:eastAsia="宋体" w:hint="default"/>
                <w:sz w:val="18"/>
                <w:szCs w:val="18"/>
              </w:rPr>
              <w:t>对公司损益的 影响</w:t>
            </w:r>
          </w:p>
        </w:tc>
        <w:tc>
          <w:tcPr>
            <w:tcW w:w="155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5" w:right="50"/>
              <w:jc w:val="both"/>
              <w:rPr>
                <w:rFonts w:ascii="宋体" w:hAnsi="宋体" w:cs="宋体" w:eastAsia="宋体" w:hint="default"/>
                <w:sz w:val="18"/>
                <w:szCs w:val="18"/>
              </w:rPr>
            </w:pPr>
            <w:r>
              <w:rPr>
                <w:rFonts w:ascii="宋体" w:hAnsi="宋体" w:cs="宋体" w:eastAsia="宋体" w:hint="default"/>
                <w:sz w:val="18"/>
                <w:szCs w:val="18"/>
              </w:rPr>
              <w:t>该资产为上市公司 贡献的净利润占净 利润总额的比率</w:t>
            </w:r>
          </w:p>
        </w:tc>
        <w:tc>
          <w:tcPr>
            <w:tcW w:w="85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148" w:right="59" w:hanging="89"/>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128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hanging="3"/>
              <w:jc w:val="center"/>
              <w:rPr>
                <w:rFonts w:ascii="宋体" w:hAnsi="宋体" w:cs="宋体" w:eastAsia="宋体" w:hint="default"/>
                <w:sz w:val="18"/>
                <w:szCs w:val="18"/>
              </w:rPr>
            </w:pPr>
            <w:r>
              <w:rPr>
                <w:rFonts w:ascii="宋体" w:hAnsi="宋体" w:cs="宋体" w:eastAsia="宋体" w:hint="default"/>
                <w:sz w:val="18"/>
                <w:szCs w:val="18"/>
              </w:rPr>
              <w:t>与交易对方的 </w:t>
            </w:r>
            <w:r>
              <w:rPr>
                <w:rFonts w:ascii="宋体" w:hAnsi="宋体" w:cs="宋体" w:eastAsia="宋体" w:hint="default"/>
                <w:spacing w:val="-6"/>
                <w:sz w:val="18"/>
                <w:szCs w:val="18"/>
              </w:rPr>
              <w:t>关联关系（适用</w:t>
            </w:r>
            <w:r>
              <w:rPr>
                <w:rFonts w:ascii="宋体" w:hAnsi="宋体" w:cs="宋体" w:eastAsia="宋体" w:hint="default"/>
                <w:sz w:val="18"/>
                <w:szCs w:val="18"/>
              </w:rPr>
              <w:t> 关联交易情形</w:t>
            </w:r>
          </w:p>
        </w:tc>
        <w:tc>
          <w:tcPr>
            <w:tcW w:w="9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1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9" w:hRule="exact"/>
        </w:trPr>
        <w:tc>
          <w:tcPr>
            <w:tcW w:w="130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 w:right="24"/>
              <w:jc w:val="left"/>
              <w:rPr>
                <w:rFonts w:ascii="宋体" w:hAnsi="宋体" w:cs="宋体" w:eastAsia="宋体" w:hint="default"/>
                <w:sz w:val="18"/>
                <w:szCs w:val="18"/>
              </w:rPr>
            </w:pPr>
            <w:r>
              <w:rPr>
                <w:rFonts w:ascii="宋体" w:hAnsi="宋体" w:cs="宋体" w:eastAsia="宋体" w:hint="default"/>
                <w:sz w:val="18"/>
                <w:szCs w:val="18"/>
              </w:rPr>
              <w:t>冯健刚、王宇 </w:t>
            </w:r>
            <w:r>
              <w:rPr>
                <w:rFonts w:ascii="宋体" w:hAnsi="宋体" w:cs="宋体" w:eastAsia="宋体" w:hint="default"/>
                <w:spacing w:val="-3"/>
                <w:sz w:val="18"/>
                <w:szCs w:val="18"/>
              </w:rPr>
              <w:t>飞、张丹丹、贺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胜龙、王正、蒋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云、王建林</w:t>
            </w:r>
          </w:p>
        </w:tc>
        <w:tc>
          <w:tcPr>
            <w:tcW w:w="9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62"/>
              <w:jc w:val="both"/>
              <w:rPr>
                <w:rFonts w:ascii="宋体" w:hAnsi="宋体" w:cs="宋体" w:eastAsia="宋体" w:hint="default"/>
                <w:sz w:val="18"/>
                <w:szCs w:val="18"/>
              </w:rPr>
            </w:pPr>
            <w:r>
              <w:rPr>
                <w:rFonts w:ascii="宋体" w:hAnsi="宋体" w:cs="宋体" w:eastAsia="宋体" w:hint="default"/>
                <w:sz w:val="18"/>
                <w:szCs w:val="18"/>
              </w:rPr>
              <w:t>北京中农信 达信息技术 有限公司</w:t>
            </w:r>
          </w:p>
        </w:tc>
        <w:tc>
          <w:tcPr>
            <w:tcW w:w="8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71,000.00</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3" w:right="20"/>
              <w:jc w:val="both"/>
              <w:rPr>
                <w:rFonts w:ascii="宋体" w:hAnsi="宋体" w:cs="宋体" w:eastAsia="宋体" w:hint="default"/>
                <w:sz w:val="18"/>
                <w:szCs w:val="18"/>
              </w:rPr>
            </w:pPr>
            <w:r>
              <w:rPr>
                <w:rFonts w:ascii="宋体" w:hAnsi="宋体" w:cs="宋体" w:eastAsia="宋体" w:hint="default"/>
                <w:sz w:val="18"/>
                <w:szCs w:val="18"/>
              </w:rPr>
              <w:t>所涉及的资产产权已 全部过户（购买的为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股权，不涉及债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权债务的转移）</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49"/>
              <w:ind w:left="23" w:right="47"/>
              <w:jc w:val="both"/>
              <w:rPr>
                <w:rFonts w:ascii="宋体" w:hAnsi="宋体" w:cs="宋体" w:eastAsia="宋体" w:hint="default"/>
                <w:sz w:val="18"/>
                <w:szCs w:val="18"/>
              </w:rPr>
            </w:pPr>
            <w:r>
              <w:rPr>
                <w:rFonts w:ascii="宋体" w:hAnsi="宋体" w:cs="宋体" w:eastAsia="宋体" w:hint="default"/>
                <w:sz w:val="18"/>
                <w:szCs w:val="18"/>
              </w:rPr>
              <w:t>收购后进一步扩大公 司业务类型，进一步 提升公司竞争力，对 公司管理的稳定性不 造成影响。</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27"/>
              <w:jc w:val="left"/>
              <w:rPr>
                <w:rFonts w:ascii="宋体" w:hAnsi="宋体" w:cs="宋体" w:eastAsia="宋体" w:hint="default"/>
                <w:sz w:val="18"/>
                <w:szCs w:val="18"/>
              </w:rPr>
            </w:pPr>
            <w:r>
              <w:rPr>
                <w:rFonts w:ascii="宋体" w:hAnsi="宋体" w:cs="宋体" w:eastAsia="宋体" w:hint="default"/>
                <w:sz w:val="18"/>
                <w:szCs w:val="18"/>
              </w:rPr>
              <w:t>自购买日起至 期末未上市公 司贡献净利润 </w:t>
            </w:r>
            <w:r>
              <w:rPr>
                <w:rFonts w:ascii="Times New Roman" w:hAnsi="Times New Roman" w:cs="Times New Roman" w:eastAsia="Times New Roman" w:hint="default"/>
                <w:sz w:val="18"/>
                <w:szCs w:val="18"/>
              </w:rPr>
              <w:t>1,001.58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24" w:right="6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 o.com.cn</w:t>
            </w:r>
            <w:r>
              <w:rPr>
                <w:rFonts w:ascii="宋体" w:hAnsi="宋体" w:cs="宋体" w:eastAsia="宋体" w:hint="default"/>
                <w:sz w:val="18"/>
                <w:szCs w:val="18"/>
              </w:rPr>
              <w:t>）</w:t>
            </w:r>
          </w:p>
        </w:tc>
      </w:tr>
    </w:tbl>
    <w:p>
      <w:pPr>
        <w:spacing w:line="240" w:lineRule="auto" w:before="5"/>
        <w:rPr>
          <w:rFonts w:ascii="宋体" w:hAnsi="宋体" w:cs="宋体" w:eastAsia="宋体" w:hint="default"/>
          <w:sz w:val="19"/>
          <w:szCs w:val="19"/>
        </w:rPr>
      </w:pPr>
    </w:p>
    <w:p>
      <w:pPr>
        <w:pStyle w:val="Heading4"/>
        <w:spacing w:line="240" w:lineRule="auto" w:before="36"/>
        <w:ind w:left="160"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60"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7"/>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768"/>
        <w:gridCol w:w="1006"/>
        <w:gridCol w:w="886"/>
        <w:gridCol w:w="775"/>
        <w:gridCol w:w="1131"/>
        <w:gridCol w:w="991"/>
        <w:gridCol w:w="996"/>
        <w:gridCol w:w="1136"/>
        <w:gridCol w:w="850"/>
        <w:gridCol w:w="852"/>
        <w:gridCol w:w="1135"/>
        <w:gridCol w:w="994"/>
        <w:gridCol w:w="991"/>
        <w:gridCol w:w="1507"/>
      </w:tblGrid>
      <w:tr>
        <w:trPr>
          <w:trHeight w:val="1661" w:hRule="exact"/>
        </w:trPr>
        <w:tc>
          <w:tcPr>
            <w:tcW w:w="76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4" w:lineRule="auto"/>
              <w:ind w:left="278" w:right="108"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100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被出售资产</w:t>
            </w:r>
          </w:p>
        </w:tc>
        <w:tc>
          <w:tcPr>
            <w:tcW w:w="88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77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5" w:firstLine="86"/>
              <w:jc w:val="both"/>
              <w:rPr>
                <w:rFonts w:ascii="宋体" w:hAnsi="宋体" w:cs="宋体" w:eastAsia="宋体" w:hint="default"/>
                <w:sz w:val="18"/>
                <w:szCs w:val="18"/>
              </w:rPr>
            </w:pPr>
            <w:r>
              <w:rPr>
                <w:rFonts w:ascii="宋体" w:hAnsi="宋体" w:cs="宋体" w:eastAsia="宋体" w:hint="default"/>
                <w:sz w:val="18"/>
                <w:szCs w:val="18"/>
              </w:rPr>
              <w:t>本期初起至 出售日该资 产为上市公 司贡献的净 利润（万元）</w:t>
            </w:r>
          </w:p>
        </w:tc>
        <w:tc>
          <w:tcPr>
            <w:tcW w:w="9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4"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出售对公司 的影响</w:t>
            </w:r>
          </w:p>
        </w:tc>
        <w:tc>
          <w:tcPr>
            <w:tcW w:w="9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 w:right="41"/>
              <w:jc w:val="both"/>
              <w:rPr>
                <w:rFonts w:ascii="宋体" w:hAnsi="宋体" w:cs="宋体" w:eastAsia="宋体" w:hint="default"/>
                <w:sz w:val="18"/>
                <w:szCs w:val="18"/>
              </w:rPr>
            </w:pPr>
            <w:r>
              <w:rPr>
                <w:rFonts w:ascii="宋体" w:hAnsi="宋体" w:cs="宋体" w:eastAsia="宋体" w:hint="default"/>
                <w:sz w:val="18"/>
                <w:szCs w:val="18"/>
              </w:rPr>
              <w:t>资产出售为 上市公司贡 献的净利润 占净利润总 额的比例</w:t>
            </w:r>
          </w:p>
        </w:tc>
        <w:tc>
          <w:tcPr>
            <w:tcW w:w="113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4" w:lineRule="auto"/>
              <w:ind w:left="292" w:right="111" w:hanging="180"/>
              <w:jc w:val="left"/>
              <w:rPr>
                <w:rFonts w:ascii="宋体" w:hAnsi="宋体" w:cs="宋体" w:eastAsia="宋体" w:hint="default"/>
                <w:sz w:val="18"/>
                <w:szCs w:val="18"/>
              </w:rPr>
            </w:pPr>
            <w:r>
              <w:rPr>
                <w:rFonts w:ascii="宋体" w:hAnsi="宋体" w:cs="宋体" w:eastAsia="宋体" w:hint="default"/>
                <w:sz w:val="18"/>
                <w:szCs w:val="18"/>
              </w:rPr>
              <w:t>资产出售定 价原则</w:t>
            </w:r>
          </w:p>
        </w:tc>
        <w:tc>
          <w:tcPr>
            <w:tcW w:w="85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4" w:lineRule="auto"/>
              <w:ind w:left="146" w:right="60" w:hanging="89"/>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5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9" w:right="60"/>
              <w:jc w:val="center"/>
              <w:rPr>
                <w:rFonts w:ascii="宋体" w:hAnsi="宋体" w:cs="宋体" w:eastAsia="宋体" w:hint="default"/>
                <w:sz w:val="18"/>
                <w:szCs w:val="18"/>
              </w:rPr>
            </w:pPr>
            <w:r>
              <w:rPr>
                <w:rFonts w:ascii="宋体" w:hAnsi="宋体" w:cs="宋体" w:eastAsia="宋体" w:hint="default"/>
                <w:sz w:val="18"/>
                <w:szCs w:val="18"/>
              </w:rPr>
              <w:t>与交易对 方的关联 关系</w:t>
            </w:r>
          </w:p>
        </w:tc>
        <w:tc>
          <w:tcPr>
            <w:tcW w:w="113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0" w:right="113"/>
              <w:jc w:val="both"/>
              <w:rPr>
                <w:rFonts w:ascii="宋体" w:hAnsi="宋体" w:cs="宋体" w:eastAsia="宋体" w:hint="default"/>
                <w:sz w:val="18"/>
                <w:szCs w:val="18"/>
              </w:rPr>
            </w:pPr>
            <w:r>
              <w:rPr>
                <w:rFonts w:ascii="宋体" w:hAnsi="宋体" w:cs="宋体" w:eastAsia="宋体" w:hint="default"/>
                <w:sz w:val="18"/>
                <w:szCs w:val="18"/>
              </w:rPr>
              <w:t>所涉及的资 产产权是否 已全部过户</w:t>
            </w:r>
          </w:p>
        </w:tc>
        <w:tc>
          <w:tcPr>
            <w:tcW w:w="9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0" w:right="41"/>
              <w:jc w:val="both"/>
              <w:rPr>
                <w:rFonts w:ascii="宋体" w:hAnsi="宋体" w:cs="宋体" w:eastAsia="宋体" w:hint="default"/>
                <w:sz w:val="18"/>
                <w:szCs w:val="18"/>
              </w:rPr>
            </w:pPr>
            <w:r>
              <w:rPr>
                <w:rFonts w:ascii="宋体" w:hAnsi="宋体" w:cs="宋体" w:eastAsia="宋体" w:hint="default"/>
                <w:sz w:val="18"/>
                <w:szCs w:val="18"/>
              </w:rPr>
              <w:t>所涉及的债 权债务是否 已全部转移</w:t>
            </w:r>
          </w:p>
        </w:tc>
        <w:tc>
          <w:tcPr>
            <w:tcW w:w="9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0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47" w:hRule="exact"/>
        </w:trPr>
        <w:tc>
          <w:tcPr>
            <w:tcW w:w="76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8" w:right="108"/>
              <w:jc w:val="left"/>
              <w:rPr>
                <w:rFonts w:ascii="宋体" w:hAnsi="宋体" w:cs="宋体" w:eastAsia="宋体" w:hint="default"/>
                <w:sz w:val="18"/>
                <w:szCs w:val="18"/>
              </w:rPr>
            </w:pPr>
            <w:r>
              <w:rPr>
                <w:rFonts w:ascii="宋体" w:hAnsi="宋体" w:cs="宋体" w:eastAsia="宋体" w:hint="default"/>
                <w:sz w:val="18"/>
                <w:szCs w:val="18"/>
              </w:rPr>
              <w:t>二级市 场出售</w:t>
            </w:r>
          </w:p>
        </w:tc>
        <w:tc>
          <w:tcPr>
            <w:tcW w:w="10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SJI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股票</w:t>
            </w:r>
          </w:p>
        </w:tc>
        <w:tc>
          <w:tcPr>
            <w:tcW w:w="8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7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11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-3,749.39</w:t>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对公司业务 连续性、管 理层稳定性 不造成影响</w:t>
            </w:r>
          </w:p>
        </w:tc>
        <w:tc>
          <w:tcPr>
            <w:tcW w:w="9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-3.65%</w:t>
            </w:r>
          </w:p>
        </w:tc>
        <w:tc>
          <w:tcPr>
            <w:tcW w:w="1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92" w:right="110" w:hanging="180"/>
              <w:jc w:val="left"/>
              <w:rPr>
                <w:rFonts w:ascii="宋体" w:hAnsi="宋体" w:cs="宋体" w:eastAsia="宋体" w:hint="default"/>
                <w:sz w:val="18"/>
                <w:szCs w:val="18"/>
              </w:rPr>
            </w:pPr>
            <w:r>
              <w:rPr>
                <w:rFonts w:ascii="宋体" w:hAnsi="宋体" w:cs="宋体" w:eastAsia="宋体" w:hint="default"/>
                <w:sz w:val="18"/>
                <w:szCs w:val="18"/>
              </w:rPr>
              <w:t>二级市场定 价原则</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24" w:right="5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 o.com.cn</w:t>
            </w:r>
            <w:r>
              <w:rPr>
                <w:rFonts w:ascii="宋体" w:hAnsi="宋体" w:cs="宋体" w:eastAsia="宋体" w:hint="default"/>
                <w:sz w:val="18"/>
                <w:szCs w:val="18"/>
              </w:rPr>
              <w:t>）</w:t>
            </w:r>
          </w:p>
        </w:tc>
      </w:tr>
    </w:tbl>
    <w:p>
      <w:pPr>
        <w:spacing w:line="240" w:lineRule="auto" w:before="12"/>
        <w:rPr>
          <w:rFonts w:ascii="宋体" w:hAnsi="宋体" w:cs="宋体" w:eastAsia="宋体" w:hint="default"/>
          <w:sz w:val="24"/>
          <w:szCs w:val="24"/>
        </w:rPr>
      </w:pPr>
    </w:p>
    <w:p>
      <w:pPr>
        <w:spacing w:before="76"/>
        <w:ind w:left="4821" w:right="4819" w:firstLine="0"/>
        <w:jc w:val="center"/>
        <w:rPr>
          <w:rFonts w:ascii="Times New Roman" w:hAnsi="Times New Roman" w:cs="Times New Roman" w:eastAsia="Times New Roman" w:hint="default"/>
          <w:sz w:val="18"/>
          <w:szCs w:val="18"/>
        </w:rPr>
      </w:pPr>
      <w:r>
        <w:rPr>
          <w:rFonts w:ascii="Times New Roman"/>
          <w:sz w:val="18"/>
        </w:rPr>
        <w:t>44</w:t>
      </w:r>
    </w:p>
    <w:p>
      <w:pPr>
        <w:spacing w:after="0"/>
        <w:jc w:val="center"/>
        <w:rPr>
          <w:rFonts w:ascii="Times New Roman" w:hAnsi="Times New Roman" w:cs="Times New Roman" w:eastAsia="Times New Roman" w:hint="default"/>
          <w:sz w:val="18"/>
          <w:szCs w:val="18"/>
        </w:rPr>
        <w:sectPr>
          <w:type w:val="continuous"/>
          <w:pgSz w:w="16840" w:h="11910" w:orient="landscape"/>
          <w:pgMar w:top="1060" w:bottom="1420" w:left="1280" w:right="128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6"/>
        <w:ind w:right="14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30"/>
          <w:szCs w:val="30"/>
        </w:rPr>
      </w:pPr>
    </w:p>
    <w:p>
      <w:pPr>
        <w:pStyle w:val="BodyText"/>
        <w:spacing w:line="417" w:lineRule="auto"/>
        <w:ind w:right="78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1"/>
        </w:rPr>
        <w:t>请参照收购资产情况</w:t>
      </w:r>
    </w:p>
    <w:p>
      <w:pPr>
        <w:spacing w:line="240" w:lineRule="auto" w:before="0"/>
        <w:rPr>
          <w:rFonts w:ascii="宋体" w:hAnsi="宋体" w:cs="宋体" w:eastAsia="宋体" w:hint="default"/>
          <w:sz w:val="18"/>
          <w:szCs w:val="18"/>
        </w:rPr>
      </w:pPr>
    </w:p>
    <w:p>
      <w:pPr>
        <w:pStyle w:val="Heading2"/>
        <w:spacing w:line="240" w:lineRule="auto" w:before="0"/>
        <w:ind w:right="140"/>
        <w:jc w:val="left"/>
        <w:rPr>
          <w:b w:val="0"/>
          <w:bCs w:val="0"/>
        </w:rPr>
      </w:pPr>
      <w:r>
        <w:rPr/>
        <w:t>六、公司股权激励的实施情况及其影响</w:t>
      </w:r>
      <w:r>
        <w:rPr>
          <w:b w:val="0"/>
          <w:bCs w:val="0"/>
        </w:rPr>
      </w:r>
    </w:p>
    <w:p>
      <w:pPr>
        <w:spacing w:line="240" w:lineRule="auto" w:before="10"/>
        <w:rPr>
          <w:rFonts w:ascii="宋体" w:hAnsi="宋体" w:cs="宋体" w:eastAsia="宋体" w:hint="default"/>
          <w:b/>
          <w:bCs/>
          <w:sz w:val="30"/>
          <w:szCs w:val="30"/>
        </w:rPr>
      </w:pPr>
    </w:p>
    <w:p>
      <w:pPr>
        <w:pStyle w:val="BodyText"/>
        <w:spacing w:line="417" w:lineRule="auto"/>
        <w:ind w:right="45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公司报告期无股权激励计划及其实施情况。</w:t>
      </w:r>
    </w:p>
    <w:p>
      <w:pPr>
        <w:spacing w:line="240" w:lineRule="auto" w:before="1"/>
        <w:rPr>
          <w:rFonts w:ascii="宋体" w:hAnsi="宋体" w:cs="宋体" w:eastAsia="宋体" w:hint="default"/>
          <w:sz w:val="18"/>
          <w:szCs w:val="18"/>
        </w:rPr>
      </w:pPr>
    </w:p>
    <w:p>
      <w:pPr>
        <w:pStyle w:val="Heading2"/>
        <w:spacing w:line="240" w:lineRule="auto" w:before="0"/>
        <w:ind w:right="140"/>
        <w:jc w:val="left"/>
        <w:rPr>
          <w:b w:val="0"/>
          <w:bCs w:val="0"/>
        </w:rPr>
      </w:pPr>
      <w:r>
        <w:rPr/>
        <w:t>七、重大关联交易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44"/>
        <w:ind w:left="0" w:right="153" w:firstLine="0"/>
        <w:jc w:val="right"/>
        <w:rPr>
          <w:rFonts w:ascii="宋体" w:hAnsi="宋体" w:cs="宋体" w:eastAsia="宋体" w:hint="default"/>
          <w:sz w:val="18"/>
          <w:szCs w:val="18"/>
        </w:rPr>
      </w:pPr>
      <w:r>
        <w:rPr/>
        <w:pict>
          <v:shape style="position:absolute;margin-left:55.944pt;margin-top:-250.108307pt;width:480.85pt;height:302.1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8"/>
                    <w:gridCol w:w="888"/>
                    <w:gridCol w:w="814"/>
                    <w:gridCol w:w="790"/>
                    <w:gridCol w:w="802"/>
                    <w:gridCol w:w="795"/>
                    <w:gridCol w:w="799"/>
                    <w:gridCol w:w="797"/>
                    <w:gridCol w:w="800"/>
                    <w:gridCol w:w="797"/>
                    <w:gridCol w:w="797"/>
                    <w:gridCol w:w="788"/>
                  </w:tblGrid>
                  <w:tr>
                    <w:trPr>
                      <w:trHeight w:val="1058" w:hRule="exact"/>
                    </w:trPr>
                    <w:tc>
                      <w:tcPr>
                        <w:tcW w:w="70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60" w:right="77" w:hanging="92"/>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88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8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23" w:right="39"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9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1" w:right="26"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6" w:right="35"/>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3" w:right="29"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37"/>
                          <w:ind w:left="213" w:right="35" w:hanging="180"/>
                          <w:jc w:val="left"/>
                          <w:rPr>
                            <w:rFonts w:ascii="宋体" w:hAnsi="宋体" w:cs="宋体" w:eastAsia="宋体" w:hint="default"/>
                            <w:sz w:val="18"/>
                            <w:szCs w:val="18"/>
                          </w:rPr>
                        </w:pPr>
                        <w:r>
                          <w:rPr>
                            <w:rFonts w:ascii="宋体" w:hAnsi="宋体" w:cs="宋体" w:eastAsia="宋体" w:hint="default"/>
                            <w:sz w:val="18"/>
                            <w:szCs w:val="18"/>
                          </w:rPr>
                          <w:t>关联交易 金额</w:t>
                        </w:r>
                      </w:p>
                      <w:p>
                        <w:pPr>
                          <w:pStyle w:val="TableParagraph"/>
                          <w:spacing w:line="240" w:lineRule="auto" w:before="61"/>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33" w:right="31"/>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80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33" w:right="31"/>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79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7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0"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82" w:hRule="exact"/>
                    </w:trPr>
                    <w:tc>
                      <w:tcPr>
                        <w:tcW w:w="708" w:type="dxa"/>
                        <w:tcBorders>
                          <w:top w:val="single" w:sz="4" w:space="0" w:color="000000"/>
                          <w:left w:val="single" w:sz="12" w:space="0" w:color="000000"/>
                          <w:bottom w:val="single" w:sz="16"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4" w:right="19"/>
                          <w:jc w:val="left"/>
                          <w:rPr>
                            <w:rFonts w:ascii="宋体" w:hAnsi="宋体" w:cs="宋体" w:eastAsia="宋体" w:hint="default"/>
                            <w:sz w:val="18"/>
                            <w:szCs w:val="18"/>
                          </w:rPr>
                        </w:pPr>
                        <w:r>
                          <w:rPr>
                            <w:rFonts w:ascii="宋体" w:hAnsi="宋体" w:cs="宋体" w:eastAsia="宋体" w:hint="default"/>
                            <w:sz w:val="18"/>
                            <w:szCs w:val="18"/>
                          </w:rPr>
                          <w:t>神州数 码（中 </w:t>
                        </w:r>
                        <w:r>
                          <w:rPr>
                            <w:rFonts w:ascii="宋体" w:hAnsi="宋体" w:cs="宋体" w:eastAsia="宋体" w:hint="default"/>
                            <w:spacing w:val="-17"/>
                            <w:sz w:val="18"/>
                            <w:szCs w:val="18"/>
                          </w:rPr>
                          <w:t>国）有限</w:t>
                        </w:r>
                        <w:r>
                          <w:rPr>
                            <w:rFonts w:ascii="宋体" w:hAnsi="宋体" w:cs="宋体" w:eastAsia="宋体" w:hint="default"/>
                            <w:sz w:val="18"/>
                            <w:szCs w:val="18"/>
                          </w:rPr>
                          <w:t> 公司</w:t>
                        </w:r>
                      </w:p>
                    </w:tc>
                    <w:tc>
                      <w:tcPr>
                        <w:tcW w:w="888"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6" w:right="129"/>
                          <w:jc w:val="both"/>
                          <w:rPr>
                            <w:rFonts w:ascii="宋体" w:hAnsi="宋体" w:cs="宋体" w:eastAsia="宋体" w:hint="default"/>
                            <w:sz w:val="18"/>
                            <w:szCs w:val="18"/>
                          </w:rPr>
                        </w:pPr>
                        <w:r>
                          <w:rPr>
                            <w:rFonts w:ascii="宋体" w:hAnsi="宋体" w:cs="宋体" w:eastAsia="宋体" w:hint="default"/>
                            <w:sz w:val="18"/>
                            <w:szCs w:val="18"/>
                          </w:rPr>
                          <w:t>受同一控 股股东及 最终控制 方控制的 其他企业</w:t>
                        </w:r>
                      </w:p>
                    </w:tc>
                    <w:tc>
                      <w:tcPr>
                        <w:tcW w:w="81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79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购买商品</w:t>
                        </w:r>
                      </w:p>
                      <w:p>
                        <w:pPr>
                          <w:pStyle w:val="TableParagraph"/>
                          <w:spacing w:line="300" w:lineRule="auto" w:before="77"/>
                          <w:ind w:left="95"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采购行 政办公</w:t>
                        </w:r>
                      </w:p>
                      <w:p>
                        <w:pPr>
                          <w:pStyle w:val="TableParagraph"/>
                          <w:spacing w:line="240" w:lineRule="auto" w:before="72"/>
                          <w:ind w:left="2"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95"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20,770.41</w:t>
                        </w:r>
                      </w:p>
                    </w:tc>
                    <w:tc>
                      <w:tcPr>
                        <w:tcW w:w="797"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4.48%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33" w:right="34"/>
                          <w:jc w:val="left"/>
                          <w:rPr>
                            <w:rFonts w:ascii="宋体" w:hAnsi="宋体" w:cs="宋体" w:eastAsia="宋体" w:hint="default"/>
                            <w:sz w:val="18"/>
                            <w:szCs w:val="18"/>
                          </w:rPr>
                        </w:pPr>
                        <w:r>
                          <w:rPr>
                            <w:rFonts w:ascii="宋体" w:hAnsi="宋体" w:cs="宋体" w:eastAsia="宋体" w:hint="default"/>
                            <w:sz w:val="18"/>
                            <w:szCs w:val="18"/>
                          </w:rPr>
                          <w:t>按照合同 进行结算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12" w:space="0" w:color="000000"/>
                        </w:tcBorders>
                      </w:tcPr>
                      <w:p>
                        <w:pPr>
                          <w:pStyle w:val="TableParagraph"/>
                          <w:spacing w:line="314" w:lineRule="auto" w:before="53"/>
                          <w:ind w:left="24" w:right="23"/>
                          <w:jc w:val="both"/>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350" w:lineRule="auto" w:before="21"/>
                          <w:ind w:left="24"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www.cni nfo.com.c</w:t>
                        </w:r>
                      </w:p>
                      <w:p>
                        <w:pPr>
                          <w:pStyle w:val="TableParagraph"/>
                          <w:spacing w:line="220" w:lineRule="exact"/>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n</w:t>
                        </w:r>
                        <w:r>
                          <w:rPr>
                            <w:rFonts w:ascii="宋体" w:hAnsi="宋体" w:cs="宋体" w:eastAsia="宋体" w:hint="default"/>
                            <w:sz w:val="18"/>
                            <w:szCs w:val="18"/>
                          </w:rPr>
                          <w:t>）</w:t>
                        </w:r>
                      </w:p>
                    </w:tc>
                  </w:tr>
                  <w:tr>
                    <w:trPr>
                      <w:trHeight w:val="433" w:hRule="exact"/>
                    </w:trPr>
                    <w:tc>
                      <w:tcPr>
                        <w:tcW w:w="3200"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2"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20,770.41</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333" w:right="0"/>
                          <w:jc w:val="left"/>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06"/>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80" w:hRule="exact"/>
                    </w:trPr>
                    <w:tc>
                      <w:tcPr>
                        <w:tcW w:w="3200"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73" w:type="dxa"/>
                        <w:gridSpan w:val="8"/>
                        <w:tcBorders>
                          <w:top w:val="single" w:sz="12" w:space="0" w:color="D2D2D2"/>
                          <w:left w:val="single" w:sz="10" w:space="0" w:color="D2D2D2"/>
                          <w:bottom w:val="single" w:sz="4" w:space="0" w:color="000000"/>
                          <w:right w:val="single" w:sz="12" w:space="0" w:color="000000"/>
                        </w:tcBorders>
                      </w:tcPr>
                      <w:p>
                        <w:pPr>
                          <w:pStyle w:val="TableParagraph"/>
                          <w:spacing w:line="240" w:lineRule="auto" w:before="87"/>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3200"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4" w:right="104"/>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73" w:type="dxa"/>
                        <w:gridSpan w:val="8"/>
                        <w:tcBorders>
                          <w:top w:val="single" w:sz="4" w:space="0" w:color="000000"/>
                          <w:left w:val="single" w:sz="10" w:space="0" w:color="D2D2D2"/>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16" w:right="13"/>
                          <w:jc w:val="left"/>
                          <w:rPr>
                            <w:rFonts w:ascii="宋体" w:hAnsi="宋体" w:cs="宋体" w:eastAsia="宋体" w:hint="default"/>
                            <w:sz w:val="18"/>
                            <w:szCs w:val="18"/>
                          </w:rPr>
                        </w:pPr>
                        <w:r>
                          <w:rPr>
                            <w:rFonts w:ascii="宋体" w:hAnsi="宋体" w:cs="宋体" w:eastAsia="宋体" w:hint="default"/>
                            <w:sz w:val="18"/>
                            <w:szCs w:val="18"/>
                          </w:rPr>
                          <w:t>神州数码作为国内最大的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分销商，在产品质量、售后服务、产品多样性、资金</w:t>
                        </w:r>
                        <w:r>
                          <w:rPr>
                            <w:rFonts w:ascii="宋体" w:hAnsi="宋体" w:cs="宋体" w:eastAsia="宋体" w:hint="default"/>
                            <w:sz w:val="18"/>
                            <w:szCs w:val="18"/>
                          </w:rPr>
                          <w:t> 结算、及供货及时性等方面具有一定优势，且部分品牌属于独家代理。</w:t>
                        </w:r>
                      </w:p>
                    </w:tc>
                  </w:tr>
                  <w:tr>
                    <w:trPr>
                      <w:trHeight w:val="1035" w:hRule="exact"/>
                    </w:trPr>
                    <w:tc>
                      <w:tcPr>
                        <w:tcW w:w="3200" w:type="dxa"/>
                        <w:gridSpan w:val="4"/>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9" w:lineRule="auto" w:before="49"/>
                          <w:ind w:left="14" w:right="104"/>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w:t>
                        </w:r>
                      </w:p>
                    </w:tc>
                    <w:tc>
                      <w:tcPr>
                        <w:tcW w:w="6373" w:type="dxa"/>
                        <w:gridSpan w:val="8"/>
                        <w:tcBorders>
                          <w:top w:val="single" w:sz="4" w:space="0" w:color="000000"/>
                          <w:left w:val="single" w:sz="10" w:space="0" w:color="D2D2D2"/>
                          <w:bottom w:val="single" w:sz="12" w:space="0" w:color="000000"/>
                          <w:right w:val="single" w:sz="12"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年度关联方交易：对神州数码关联销售预计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万，实际履行</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3,682.00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对神州数码关联方采购商品预计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万，实际履行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21,462.79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万；对神州数码</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采购行政办公服务，货运服务及其它服务预计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万，实际履行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2,597.11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4"/>
        <w:spacing w:line="240" w:lineRule="auto" w:before="36"/>
        <w:ind w:right="14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8"/>
        <w:rPr>
          <w:rFonts w:ascii="宋体" w:hAnsi="宋体" w:cs="宋体" w:eastAsia="宋体" w:hint="default"/>
          <w:b/>
          <w:bCs/>
          <w:sz w:val="30"/>
          <w:szCs w:val="30"/>
        </w:rPr>
      </w:pPr>
    </w:p>
    <w:p>
      <w:pPr>
        <w:pStyle w:val="BodyText"/>
        <w:spacing w:line="417" w:lineRule="auto"/>
        <w:ind w:right="45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公司报告期未发生资产收购、出售的关联交易。</w:t>
      </w:r>
    </w:p>
    <w:p>
      <w:pPr>
        <w:spacing w:after="0" w:line="417" w:lineRule="auto"/>
        <w:jc w:val="left"/>
        <w:sectPr>
          <w:footerReference w:type="default" r:id="rId27"/>
          <w:pgSz w:w="11910" w:h="16840"/>
          <w:pgMar w:footer="1227" w:header="0" w:top="1060" w:bottom="1420" w:left="980" w:right="980"/>
          <w:pgNumType w:start="45"/>
        </w:sectPr>
      </w:pPr>
    </w:p>
    <w:p>
      <w:pPr>
        <w:spacing w:line="240" w:lineRule="auto" w:before="10"/>
        <w:rPr>
          <w:rFonts w:ascii="宋体" w:hAnsi="宋体" w:cs="宋体" w:eastAsia="宋体" w:hint="default"/>
          <w:sz w:val="24"/>
          <w:szCs w:val="24"/>
        </w:rPr>
      </w:pPr>
    </w:p>
    <w:p>
      <w:pPr>
        <w:pStyle w:val="Heading4"/>
        <w:spacing w:line="240" w:lineRule="auto" w:before="36"/>
        <w:ind w:right="14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30"/>
          <w:szCs w:val="30"/>
        </w:rPr>
      </w:pPr>
    </w:p>
    <w:p>
      <w:pPr>
        <w:pStyle w:val="BodyText"/>
        <w:spacing w:line="417" w:lineRule="auto"/>
        <w:ind w:right="45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公司报告期未发生共同对外投资的关联交易。</w:t>
      </w:r>
    </w:p>
    <w:p>
      <w:pPr>
        <w:spacing w:line="240" w:lineRule="auto" w:before="12"/>
        <w:rPr>
          <w:rFonts w:ascii="宋体" w:hAnsi="宋体" w:cs="宋体" w:eastAsia="宋体" w:hint="default"/>
          <w:sz w:val="19"/>
          <w:szCs w:val="19"/>
        </w:rPr>
      </w:pPr>
    </w:p>
    <w:p>
      <w:pPr>
        <w:pStyle w:val="Heading4"/>
        <w:spacing w:line="240" w:lineRule="auto"/>
        <w:ind w:right="14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30"/>
          <w:szCs w:val="30"/>
        </w:rPr>
      </w:pPr>
    </w:p>
    <w:p>
      <w:pPr>
        <w:pStyle w:val="BodyText"/>
        <w:spacing w:line="417" w:lineRule="auto"/>
        <w:ind w:right="56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是否存在非经营性关联债权债务往来</w:t>
      </w:r>
    </w:p>
    <w:p>
      <w:pPr>
        <w:pStyle w:val="BodyText"/>
        <w:spacing w:line="420" w:lineRule="auto" w:before="79"/>
        <w:ind w:right="452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公司报告期不存在非经营性关联债权债务往来。</w:t>
      </w:r>
    </w:p>
    <w:p>
      <w:pPr>
        <w:spacing w:line="240" w:lineRule="auto" w:before="8"/>
        <w:rPr>
          <w:rFonts w:ascii="宋体" w:hAnsi="宋体" w:cs="宋体" w:eastAsia="宋体" w:hint="default"/>
          <w:sz w:val="19"/>
          <w:szCs w:val="19"/>
        </w:rPr>
      </w:pPr>
    </w:p>
    <w:p>
      <w:pPr>
        <w:pStyle w:val="Heading4"/>
        <w:spacing w:line="240" w:lineRule="auto"/>
        <w:ind w:right="140"/>
        <w:jc w:val="left"/>
        <w:rPr>
          <w:b w:val="0"/>
          <w:bCs w:val="0"/>
        </w:rPr>
      </w:pPr>
      <w:r>
        <w:rPr>
          <w:rFonts w:ascii="Times New Roman" w:hAnsi="Times New Roman" w:cs="Times New Roman" w:eastAsia="Times New Roman" w:hint="default"/>
        </w:rPr>
        <w:t>5</w:t>
      </w:r>
      <w:r>
        <w:rPr/>
        <w:t>、其他关联交易</w:t>
      </w:r>
      <w:r>
        <w:rPr>
          <w:b w:val="0"/>
          <w:bCs w:val="0"/>
        </w:rPr>
      </w:r>
    </w:p>
    <w:p>
      <w:pPr>
        <w:spacing w:line="240" w:lineRule="auto" w:before="8"/>
        <w:rPr>
          <w:rFonts w:ascii="宋体" w:hAnsi="宋体" w:cs="宋体" w:eastAsia="宋体" w:hint="default"/>
          <w:b/>
          <w:bCs/>
          <w:sz w:val="30"/>
          <w:szCs w:val="30"/>
        </w:rPr>
      </w:pPr>
    </w:p>
    <w:p>
      <w:pPr>
        <w:pStyle w:val="BodyText"/>
        <w:spacing w:line="420" w:lineRule="auto"/>
        <w:ind w:right="66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t>公司报告期无其他关联交易。</w:t>
      </w:r>
    </w:p>
    <w:p>
      <w:pPr>
        <w:spacing w:line="240" w:lineRule="auto" w:before="11"/>
        <w:rPr>
          <w:rFonts w:ascii="宋体" w:hAnsi="宋体" w:cs="宋体" w:eastAsia="宋体" w:hint="default"/>
          <w:sz w:val="17"/>
          <w:szCs w:val="17"/>
        </w:rPr>
      </w:pPr>
    </w:p>
    <w:p>
      <w:pPr>
        <w:pStyle w:val="Heading2"/>
        <w:spacing w:line="240" w:lineRule="auto" w:before="0"/>
        <w:ind w:right="140"/>
        <w:jc w:val="left"/>
        <w:rPr>
          <w:b w:val="0"/>
          <w:bCs w:val="0"/>
        </w:rPr>
      </w:pPr>
      <w:r>
        <w:rPr/>
        <w:t>八、重大合同及其履行情况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30"/>
          <w:szCs w:val="30"/>
        </w:rPr>
      </w:pPr>
    </w:p>
    <w:p>
      <w:pPr>
        <w:pStyle w:val="BodyText"/>
        <w:spacing w:line="417" w:lineRule="auto"/>
        <w:ind w:right="66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公司报告期不存在托管情况。</w:t>
      </w:r>
    </w:p>
    <w:p>
      <w:pPr>
        <w:spacing w:line="240" w:lineRule="auto" w:before="12"/>
        <w:rPr>
          <w:rFonts w:ascii="宋体" w:hAnsi="宋体" w:cs="宋体" w:eastAsia="宋体" w:hint="default"/>
          <w:sz w:val="19"/>
          <w:szCs w:val="19"/>
        </w:rPr>
      </w:pPr>
    </w:p>
    <w:p>
      <w:pPr>
        <w:pStyle w:val="Heading4"/>
        <w:spacing w:line="240" w:lineRule="auto"/>
        <w:ind w:right="14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30"/>
          <w:szCs w:val="30"/>
        </w:rPr>
      </w:pPr>
    </w:p>
    <w:p>
      <w:pPr>
        <w:pStyle w:val="BodyText"/>
        <w:spacing w:line="417" w:lineRule="auto"/>
        <w:ind w:right="66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公司报告期不存在承包情况。</w:t>
      </w:r>
    </w:p>
    <w:p>
      <w:pPr>
        <w:spacing w:line="240" w:lineRule="auto" w:before="12"/>
        <w:rPr>
          <w:rFonts w:ascii="宋体" w:hAnsi="宋体" w:cs="宋体" w:eastAsia="宋体" w:hint="default"/>
          <w:sz w:val="19"/>
          <w:szCs w:val="19"/>
        </w:rPr>
      </w:pPr>
    </w:p>
    <w:p>
      <w:pPr>
        <w:pStyle w:val="Heading4"/>
        <w:spacing w:line="240" w:lineRule="auto"/>
        <w:ind w:right="14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30"/>
          <w:szCs w:val="30"/>
        </w:rPr>
      </w:pPr>
    </w:p>
    <w:p>
      <w:pPr>
        <w:pStyle w:val="BodyText"/>
        <w:spacing w:line="420" w:lineRule="auto"/>
        <w:ind w:right="66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公司报告期不存在租赁情况。</w:t>
      </w:r>
    </w:p>
    <w:p>
      <w:pPr>
        <w:spacing w:after="0" w:line="420" w:lineRule="auto"/>
        <w:jc w:val="left"/>
        <w:sectPr>
          <w:pgSz w:w="11910" w:h="16840"/>
          <w:pgMar w:header="0" w:footer="1227" w:top="1060" w:bottom="142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8"/>
          <w:szCs w:val="8"/>
        </w:rPr>
      </w:pPr>
    </w:p>
    <w:p>
      <w:pPr>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7"/>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603"/>
        <w:gridCol w:w="1659"/>
        <w:gridCol w:w="708"/>
        <w:gridCol w:w="1560"/>
        <w:gridCol w:w="850"/>
        <w:gridCol w:w="853"/>
        <w:gridCol w:w="744"/>
        <w:gridCol w:w="806"/>
        <w:gridCol w:w="788"/>
      </w:tblGrid>
      <w:tr>
        <w:trPr>
          <w:trHeight w:val="460" w:hRule="exact"/>
        </w:trPr>
        <w:tc>
          <w:tcPr>
            <w:tcW w:w="9571" w:type="dxa"/>
            <w:gridSpan w:val="9"/>
            <w:tcBorders>
              <w:top w:val="single" w:sz="12"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4"/>
              <w:ind w:left="2969"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749" w:hRule="exact"/>
        </w:trPr>
        <w:tc>
          <w:tcPr>
            <w:tcW w:w="160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285" w:right="281"/>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70" w:right="167"/>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326" w:right="53" w:hanging="272"/>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51" w:right="146"/>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240" w:right="240"/>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18"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68"/>
              <w:ind w:left="29" w:right="17"/>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8"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14" w:right="127"/>
              <w:jc w:val="left"/>
              <w:rPr>
                <w:rFonts w:ascii="宋体" w:hAnsi="宋体" w:cs="宋体" w:eastAsia="宋体" w:hint="default"/>
                <w:sz w:val="18"/>
                <w:szCs w:val="18"/>
              </w:rPr>
            </w:pPr>
            <w:r>
              <w:rPr>
                <w:rFonts w:ascii="宋体" w:hAnsi="宋体" w:cs="宋体" w:eastAsia="宋体" w:hint="default"/>
                <w:sz w:val="18"/>
                <w:szCs w:val="18"/>
              </w:rPr>
              <w:t>神州数码信息服务 股份有限公司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47,000</w:t>
            </w:r>
          </w:p>
        </w:tc>
        <w:tc>
          <w:tcPr>
            <w:tcW w:w="156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0" w:right="62" w:hanging="18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9" w:space="0" w:color="D2D2D2"/>
              <w:left w:val="single" w:sz="4" w:space="0" w:color="000000"/>
              <w:bottom w:val="single" w:sz="4" w:space="0" w:color="000000"/>
              <w:right w:val="single" w:sz="1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49"/>
              <w:ind w:left="14" w:right="127"/>
              <w:jc w:val="left"/>
              <w:rPr>
                <w:rFonts w:ascii="宋体" w:hAnsi="宋体" w:cs="宋体" w:eastAsia="宋体" w:hint="default"/>
                <w:sz w:val="18"/>
                <w:szCs w:val="18"/>
              </w:rPr>
            </w:pPr>
            <w:r>
              <w:rPr>
                <w:rFonts w:ascii="宋体" w:hAnsi="宋体" w:cs="宋体" w:eastAsia="宋体" w:hint="default"/>
                <w:sz w:val="18"/>
                <w:szCs w:val="18"/>
              </w:rPr>
              <w:t>神州数码信息系统 有限公司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0" w:right="62" w:hanging="18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127"/>
              <w:jc w:val="left"/>
              <w:rPr>
                <w:rFonts w:ascii="宋体" w:hAnsi="宋体" w:cs="宋体" w:eastAsia="宋体" w:hint="default"/>
                <w:sz w:val="18"/>
                <w:szCs w:val="18"/>
              </w:rPr>
            </w:pPr>
            <w:r>
              <w:rPr>
                <w:rFonts w:ascii="宋体" w:hAnsi="宋体" w:cs="宋体" w:eastAsia="宋体" w:hint="default"/>
                <w:sz w:val="18"/>
                <w:szCs w:val="18"/>
              </w:rPr>
              <w:t>神州数码信息服务 股份有限公司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0" w:right="62" w:hanging="18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127"/>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21,690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0" w:right="62" w:hanging="18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127"/>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14,617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0" w:right="62" w:hanging="18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127"/>
              <w:jc w:val="left"/>
              <w:rPr>
                <w:rFonts w:ascii="宋体" w:hAnsi="宋体" w:cs="宋体" w:eastAsia="宋体" w:hint="default"/>
                <w:sz w:val="18"/>
                <w:szCs w:val="18"/>
              </w:rPr>
            </w:pPr>
            <w:r>
              <w:rPr>
                <w:rFonts w:ascii="宋体" w:hAnsi="宋体" w:cs="宋体" w:eastAsia="宋体" w:hint="default"/>
                <w:sz w:val="18"/>
                <w:szCs w:val="18"/>
              </w:rPr>
              <w:t>神州数码信息系统 有限公司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0" w:right="62" w:hanging="18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49"/>
              <w:ind w:left="14" w:right="127"/>
              <w:jc w:val="left"/>
              <w:rPr>
                <w:rFonts w:ascii="宋体" w:hAnsi="宋体" w:cs="宋体" w:eastAsia="宋体" w:hint="default"/>
                <w:sz w:val="18"/>
                <w:szCs w:val="18"/>
              </w:rPr>
            </w:pPr>
            <w:r>
              <w:rPr>
                <w:rFonts w:ascii="宋体" w:hAnsi="宋体" w:cs="宋体" w:eastAsia="宋体" w:hint="default"/>
                <w:sz w:val="18"/>
                <w:szCs w:val="18"/>
              </w:rPr>
              <w:t>神州数码金信科技 股份有限公司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0" w:right="62" w:hanging="18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127"/>
              <w:jc w:val="both"/>
              <w:rPr>
                <w:rFonts w:ascii="宋体" w:hAnsi="宋体" w:cs="宋体" w:eastAsia="宋体" w:hint="default"/>
                <w:sz w:val="18"/>
                <w:szCs w:val="18"/>
              </w:rPr>
            </w:pPr>
            <w:r>
              <w:rPr>
                <w:rFonts w:ascii="宋体" w:hAnsi="宋体" w:cs="宋体" w:eastAsia="宋体" w:hint="default"/>
                <w:sz w:val="18"/>
                <w:szCs w:val="18"/>
              </w:rPr>
              <w:t>神州数码信息服务 股份有限公司北京 分公司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0" w:right="62" w:hanging="18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362" w:lineRule="auto" w:before="91"/>
              <w:ind w:left="14" w:right="195"/>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sz w:val="18"/>
              </w:rPr>
              <w:t> Advanced</w:t>
            </w:r>
            <w:r>
              <w:rPr>
                <w:rFonts w:ascii="Times New Roman"/>
                <w:spacing w:val="-5"/>
                <w:sz w:val="18"/>
              </w:rPr>
              <w:t> </w:t>
            </w:r>
            <w:r>
              <w:rPr>
                <w:rFonts w:ascii="Times New Roman"/>
                <w:sz w:val="18"/>
              </w:rPr>
              <w:t>Systems</w:t>
            </w:r>
            <w:r>
              <w:rPr>
                <w:rFonts w:ascii="Times New Roman"/>
                <w:w w:val="99"/>
                <w:sz w:val="18"/>
              </w:rPr>
              <w:t> </w:t>
            </w:r>
            <w:r>
              <w:rPr>
                <w:rFonts w:ascii="Times New Roman"/>
                <w:sz w:val="18"/>
              </w:rPr>
              <w:t>Limited</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0" w:right="62" w:hanging="18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362" w:lineRule="auto" w:before="91"/>
              <w:ind w:left="14" w:right="195"/>
              <w:jc w:val="left"/>
              <w:rPr>
                <w:rFonts w:ascii="Times New Roman" w:hAnsi="Times New Roman" w:cs="Times New Roman" w:eastAsia="Times New Roman" w:hint="default"/>
                <w:sz w:val="18"/>
                <w:szCs w:val="18"/>
              </w:rPr>
            </w:pPr>
            <w:r>
              <w:rPr>
                <w:rFonts w:ascii="Times New Roman"/>
                <w:sz w:val="18"/>
              </w:rPr>
              <w:t>Digital China Advanced</w:t>
            </w:r>
            <w:r>
              <w:rPr>
                <w:rFonts w:ascii="Times New Roman"/>
                <w:spacing w:val="-5"/>
                <w:sz w:val="18"/>
              </w:rPr>
              <w:t> </w:t>
            </w:r>
            <w:r>
              <w:rPr>
                <w:rFonts w:ascii="Times New Roman"/>
                <w:sz w:val="18"/>
              </w:rPr>
              <w:t>Systems</w:t>
            </w:r>
            <w:r>
              <w:rPr>
                <w:rFonts w:ascii="Times New Roman"/>
                <w:w w:val="99"/>
                <w:sz w:val="18"/>
              </w:rPr>
              <w:t> </w:t>
            </w:r>
            <w:r>
              <w:rPr>
                <w:rFonts w:ascii="Times New Roman"/>
                <w:sz w:val="18"/>
              </w:rPr>
              <w:t>Limited</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11,355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0" w:right="62" w:hanging="18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362" w:lineRule="auto" w:before="91"/>
              <w:ind w:left="14" w:right="195"/>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sz w:val="18"/>
              </w:rPr>
              <w:t> Advanced</w:t>
            </w:r>
            <w:r>
              <w:rPr>
                <w:rFonts w:ascii="Times New Roman"/>
                <w:spacing w:val="-5"/>
                <w:sz w:val="18"/>
              </w:rPr>
              <w:t> </w:t>
            </w:r>
            <w:r>
              <w:rPr>
                <w:rFonts w:ascii="Times New Roman"/>
                <w:sz w:val="18"/>
              </w:rPr>
              <w:t>Systems</w:t>
            </w:r>
            <w:r>
              <w:rPr>
                <w:rFonts w:ascii="Times New Roman"/>
                <w:w w:val="99"/>
                <w:sz w:val="18"/>
              </w:rPr>
              <w:t> </w:t>
            </w:r>
            <w:r>
              <w:rPr>
                <w:rFonts w:ascii="Times New Roman"/>
                <w:sz w:val="18"/>
              </w:rPr>
              <w:t>Limited</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12,400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2,582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0" w:right="62" w:hanging="18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三年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3262" w:type="dxa"/>
            <w:gridSpan w:val="2"/>
            <w:tcBorders>
              <w:top w:val="single" w:sz="4" w:space="0" w:color="000000"/>
              <w:left w:val="single" w:sz="12" w:space="0" w:color="000000"/>
              <w:bottom w:val="nil" w:sz="6" w:space="0" w:color="auto"/>
              <w:right w:val="single" w:sz="4" w:space="0" w:color="000000"/>
            </w:tcBorders>
            <w:shd w:val="clear" w:color="auto" w:fill="D2D2D2"/>
          </w:tcPr>
          <w:p>
            <w:pPr/>
          </w:p>
        </w:tc>
        <w:tc>
          <w:tcPr>
            <w:tcW w:w="2268" w:type="dxa"/>
            <w:gridSpan w:val="2"/>
            <w:vMerge w:val="restart"/>
            <w:tcBorders>
              <w:top w:val="single" w:sz="4" w:space="0" w:color="000000"/>
              <w:left w:val="single" w:sz="10" w:space="0" w:color="FFFFFF"/>
              <w:right w:val="single" w:sz="10"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tabs>
                <w:tab w:pos="1644" w:val="left" w:leader="none"/>
              </w:tabs>
              <w:spacing w:line="240" w:lineRule="auto"/>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221,900</w:t>
            </w: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3" w:right="7"/>
              <w:jc w:val="left"/>
              <w:rPr>
                <w:rFonts w:ascii="宋体" w:hAnsi="宋体" w:cs="宋体" w:eastAsia="宋体" w:hint="default"/>
                <w:sz w:val="18"/>
                <w:szCs w:val="18"/>
              </w:rPr>
            </w:pPr>
            <w:r>
              <w:rPr>
                <w:rFonts w:ascii="宋体" w:hAnsi="宋体" w:cs="宋体" w:eastAsia="宋体" w:hint="default"/>
                <w:sz w:val="18"/>
                <w:szCs w:val="18"/>
              </w:rPr>
              <w:t>报告期内对外担保实 际发生额合计（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338" w:type="dxa"/>
            <w:gridSpan w:val="3"/>
            <w:vMerge w:val="restart"/>
            <w:tcBorders>
              <w:top w:val="single" w:sz="4" w:space="0" w:color="000000"/>
              <w:left w:val="single" w:sz="10" w:space="0" w:color="D2D2D2"/>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7" w:right="0"/>
              <w:jc w:val="left"/>
              <w:rPr>
                <w:rFonts w:ascii="Times New Roman" w:hAnsi="Times New Roman" w:cs="Times New Roman" w:eastAsia="Times New Roman" w:hint="default"/>
                <w:sz w:val="18"/>
                <w:szCs w:val="18"/>
              </w:rPr>
            </w:pPr>
            <w:r>
              <w:rPr>
                <w:rFonts w:ascii="Times New Roman"/>
                <w:sz w:val="18"/>
              </w:rPr>
              <w:t>120,084.52</w:t>
            </w:r>
          </w:p>
        </w:tc>
      </w:tr>
      <w:tr>
        <w:trPr>
          <w:trHeight w:val="394" w:hRule="exact"/>
        </w:trPr>
        <w:tc>
          <w:tcPr>
            <w:tcW w:w="3262" w:type="dxa"/>
            <w:gridSpan w:val="2"/>
            <w:tcBorders>
              <w:top w:val="nil" w:sz="6" w:space="0" w:color="auto"/>
              <w:left w:val="single" w:sz="12" w:space="0" w:color="000000"/>
              <w:bottom w:val="nil" w:sz="6" w:space="0" w:color="auto"/>
              <w:right w:val="single" w:sz="13" w:space="0" w:color="FFFFFF"/>
            </w:tcBorders>
            <w:shd w:val="clear" w:color="auto" w:fill="D2D2D2"/>
          </w:tcPr>
          <w:p>
            <w:pPr>
              <w:pStyle w:val="TableParagraph"/>
              <w:spacing w:line="240" w:lineRule="auto" w:before="49"/>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报告期内审批的对外担保额度合计（</w:t>
            </w:r>
            <w:r>
              <w:rPr>
                <w:rFonts w:ascii="Times New Roman" w:hAnsi="Times New Roman" w:cs="Times New Roman" w:eastAsia="Times New Roman" w:hint="default"/>
                <w:sz w:val="18"/>
                <w:szCs w:val="18"/>
              </w:rPr>
              <w:t>A1</w:t>
            </w:r>
          </w:p>
        </w:tc>
        <w:tc>
          <w:tcPr>
            <w:tcW w:w="2268" w:type="dxa"/>
            <w:gridSpan w:val="2"/>
            <w:vMerge/>
            <w:tcBorders>
              <w:left w:val="single" w:sz="10" w:space="0" w:color="FFFFFF"/>
              <w:right w:val="single" w:sz="10" w:space="0" w:color="D2D2D2"/>
            </w:tcBorders>
          </w:tcPr>
          <w:p>
            <w:pPr/>
          </w:p>
        </w:tc>
        <w:tc>
          <w:tcPr>
            <w:tcW w:w="1702" w:type="dxa"/>
            <w:gridSpan w:val="2"/>
            <w:vMerge/>
            <w:tcBorders>
              <w:left w:val="single" w:sz="4" w:space="0" w:color="000000"/>
              <w:right w:val="single" w:sz="4" w:space="0" w:color="000000"/>
            </w:tcBorders>
            <w:shd w:val="clear" w:color="auto" w:fill="D2D2D2"/>
          </w:tcPr>
          <w:p>
            <w:pPr/>
          </w:p>
        </w:tc>
        <w:tc>
          <w:tcPr>
            <w:tcW w:w="2338" w:type="dxa"/>
            <w:gridSpan w:val="3"/>
            <w:vMerge/>
            <w:tcBorders>
              <w:left w:val="single" w:sz="10" w:space="0" w:color="D2D2D2"/>
              <w:right w:val="single" w:sz="12" w:space="0" w:color="000000"/>
            </w:tcBorders>
          </w:tcPr>
          <w:p>
            <w:pPr/>
          </w:p>
        </w:tc>
      </w:tr>
      <w:tr>
        <w:trPr>
          <w:trHeight w:val="161" w:hRule="exact"/>
        </w:trPr>
        <w:tc>
          <w:tcPr>
            <w:tcW w:w="3262" w:type="dxa"/>
            <w:gridSpan w:val="2"/>
            <w:tcBorders>
              <w:top w:val="nil" w:sz="6" w:space="0" w:color="auto"/>
              <w:left w:val="single" w:sz="12" w:space="0" w:color="000000"/>
              <w:bottom w:val="single" w:sz="4" w:space="0" w:color="000000"/>
              <w:right w:val="single" w:sz="4" w:space="0" w:color="000000"/>
            </w:tcBorders>
            <w:shd w:val="clear" w:color="auto" w:fill="D2D2D2"/>
          </w:tcPr>
          <w:p>
            <w:pPr/>
          </w:p>
        </w:tc>
        <w:tc>
          <w:tcPr>
            <w:tcW w:w="2268" w:type="dxa"/>
            <w:gridSpan w:val="2"/>
            <w:vMerge/>
            <w:tcBorders>
              <w:left w:val="single" w:sz="10" w:space="0" w:color="FFFFFF"/>
              <w:bottom w:val="single" w:sz="4" w:space="0" w:color="000000"/>
              <w:right w:val="single" w:sz="10" w:space="0" w:color="D2D2D2"/>
            </w:tcBorders>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2338" w:type="dxa"/>
            <w:gridSpan w:val="3"/>
            <w:vMerge/>
            <w:tcBorders>
              <w:left w:val="single" w:sz="10" w:space="0" w:color="D2D2D2"/>
              <w:bottom w:val="single" w:sz="4" w:space="0" w:color="000000"/>
              <w:right w:val="single" w:sz="12" w:space="0" w:color="000000"/>
            </w:tcBorders>
          </w:tcPr>
          <w:p>
            <w:pPr/>
          </w:p>
        </w:tc>
      </w:tr>
      <w:tr>
        <w:trPr>
          <w:trHeight w:val="728" w:hRule="exact"/>
        </w:trPr>
        <w:tc>
          <w:tcPr>
            <w:tcW w:w="3262"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68" w:type="dxa"/>
            <w:gridSpan w:val="2"/>
            <w:tcBorders>
              <w:top w:val="single" w:sz="4" w:space="0" w:color="000000"/>
              <w:left w:val="single" w:sz="9" w:space="0" w:color="D2D2D2"/>
              <w:bottom w:val="single" w:sz="16" w:space="0" w:color="D2D2D2"/>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221,900</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报告期末实际对外担 保余额合计（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338" w:type="dxa"/>
            <w:gridSpan w:val="3"/>
            <w:tcBorders>
              <w:top w:val="single" w:sz="4" w:space="0" w:color="000000"/>
              <w:left w:val="single" w:sz="10" w:space="0" w:color="D2D2D2"/>
              <w:bottom w:val="single" w:sz="16" w:space="0" w:color="D2D2D2"/>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74,430.56</w:t>
            </w:r>
          </w:p>
        </w:tc>
      </w:tr>
      <w:tr>
        <w:trPr>
          <w:trHeight w:val="444" w:hRule="exact"/>
        </w:trPr>
        <w:tc>
          <w:tcPr>
            <w:tcW w:w="9571" w:type="dxa"/>
            <w:gridSpan w:val="9"/>
            <w:tcBorders>
              <w:top w:val="single" w:sz="4" w:space="0" w:color="000000"/>
              <w:left w:val="single" w:sz="12" w:space="0" w:color="000000"/>
              <w:bottom w:val="single" w:sz="12" w:space="0" w:color="000000"/>
              <w:right w:val="single" w:sz="12"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bl>
    <w:p>
      <w:pPr>
        <w:spacing w:after="0" w:line="240" w:lineRule="auto"/>
        <w:jc w:val="center"/>
        <w:rPr>
          <w:rFonts w:ascii="宋体" w:hAnsi="宋体" w:cs="宋体" w:eastAsia="宋体" w:hint="default"/>
          <w:sz w:val="18"/>
          <w:szCs w:val="18"/>
        </w:rPr>
        <w:sectPr>
          <w:pgSz w:w="11910" w:h="16840"/>
          <w:pgMar w:header="0" w:footer="1227" w:top="1060" w:bottom="14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603"/>
        <w:gridCol w:w="1659"/>
        <w:gridCol w:w="425"/>
        <w:gridCol w:w="283"/>
        <w:gridCol w:w="1128"/>
        <w:gridCol w:w="433"/>
        <w:gridCol w:w="850"/>
        <w:gridCol w:w="853"/>
        <w:gridCol w:w="744"/>
        <w:gridCol w:w="389"/>
        <w:gridCol w:w="418"/>
        <w:gridCol w:w="788"/>
      </w:tblGrid>
      <w:tr>
        <w:trPr>
          <w:trHeight w:val="749" w:hRule="exact"/>
        </w:trPr>
        <w:tc>
          <w:tcPr>
            <w:tcW w:w="160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65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37"/>
              <w:ind w:left="285" w:right="281"/>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708"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37"/>
              <w:ind w:left="170" w:right="167"/>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560"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326" w:right="53" w:hanging="272"/>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85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39" w:right="59"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85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37"/>
              <w:ind w:left="240" w:right="240"/>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74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6"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18"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56"/>
              <w:ind w:left="29" w:right="17"/>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314" w:lineRule="auto" w:before="51"/>
              <w:ind w:left="14" w:right="127"/>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47,000</w:t>
            </w:r>
          </w:p>
        </w:tc>
        <w:tc>
          <w:tcPr>
            <w:tcW w:w="1560" w:type="dxa"/>
            <w:gridSpan w:val="2"/>
            <w:tcBorders>
              <w:top w:val="single" w:sz="12"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85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21,690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806" w:type="dxa"/>
            <w:gridSpan w:val="2"/>
            <w:tcBorders>
              <w:top w:val="single" w:sz="12"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12" w:space="0" w:color="D2D2D2"/>
              <w:left w:val="single" w:sz="4" w:space="0" w:color="000000"/>
              <w:bottom w:val="single" w:sz="4"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127"/>
              <w:jc w:val="left"/>
              <w:rPr>
                <w:rFonts w:ascii="宋体" w:hAnsi="宋体" w:cs="宋体" w:eastAsia="宋体" w:hint="default"/>
                <w:sz w:val="18"/>
                <w:szCs w:val="18"/>
              </w:rPr>
            </w:pPr>
            <w:r>
              <w:rPr>
                <w:rFonts w:ascii="宋体" w:hAnsi="宋体" w:cs="宋体" w:eastAsia="宋体" w:hint="default"/>
                <w:sz w:val="18"/>
                <w:szCs w:val="18"/>
              </w:rPr>
              <w:t>神州数码信息系统 有限公司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47,000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314" w:lineRule="auto" w:before="51"/>
              <w:ind w:left="14" w:right="127"/>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40,000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7,324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二年</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127"/>
              <w:jc w:val="left"/>
              <w:rPr>
                <w:rFonts w:ascii="宋体" w:hAnsi="宋体" w:cs="宋体" w:eastAsia="宋体" w:hint="default"/>
                <w:sz w:val="18"/>
                <w:szCs w:val="18"/>
              </w:rPr>
            </w:pPr>
            <w:r>
              <w:rPr>
                <w:rFonts w:ascii="宋体" w:hAnsi="宋体" w:cs="宋体" w:eastAsia="宋体" w:hint="default"/>
                <w:sz w:val="18"/>
                <w:szCs w:val="18"/>
              </w:rPr>
              <w:t>神州数码信息系统 有限公司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5,000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1,494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二年</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314" w:lineRule="auto" w:before="52"/>
              <w:ind w:left="14" w:right="127"/>
              <w:jc w:val="left"/>
              <w:rPr>
                <w:rFonts w:ascii="宋体" w:hAnsi="宋体" w:cs="宋体" w:eastAsia="宋体" w:hint="default"/>
                <w:sz w:val="18"/>
                <w:szCs w:val="18"/>
              </w:rPr>
            </w:pPr>
            <w:r>
              <w:rPr>
                <w:rFonts w:ascii="宋体" w:hAnsi="宋体" w:cs="宋体" w:eastAsia="宋体" w:hint="default"/>
                <w:sz w:val="18"/>
                <w:szCs w:val="18"/>
              </w:rPr>
              <w:t>神州数码金信科技 股份有限公司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5,000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1,548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98"/>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二年</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127"/>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30,000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9,357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314" w:lineRule="auto" w:before="51"/>
              <w:ind w:left="14" w:right="127"/>
              <w:jc w:val="left"/>
              <w:rPr>
                <w:rFonts w:ascii="宋体" w:hAnsi="宋体" w:cs="宋体" w:eastAsia="宋体" w:hint="default"/>
                <w:sz w:val="18"/>
                <w:szCs w:val="18"/>
              </w:rPr>
            </w:pPr>
            <w:r>
              <w:rPr>
                <w:rFonts w:ascii="宋体" w:hAnsi="宋体" w:cs="宋体" w:eastAsia="宋体" w:hint="default"/>
                <w:sz w:val="18"/>
                <w:szCs w:val="18"/>
              </w:rPr>
              <w:t>神州数码信息系统 有限公司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30,000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1,624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127"/>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127,000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8,015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二年</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314" w:lineRule="auto" w:before="51"/>
              <w:ind w:left="14" w:right="127"/>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50,000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3,644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127"/>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25,500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3262"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282,500</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报告期内对子公司担 保实际发生额合计</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338" w:type="dxa"/>
            <w:gridSpan w:val="4"/>
            <w:tcBorders>
              <w:top w:val="single" w:sz="4" w:space="0" w:color="000000"/>
              <w:left w:val="single" w:sz="10" w:space="0" w:color="D2D2D2"/>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91,702.5</w:t>
            </w:r>
          </w:p>
        </w:tc>
      </w:tr>
      <w:tr>
        <w:trPr>
          <w:trHeight w:val="1042" w:hRule="exact"/>
        </w:trPr>
        <w:tc>
          <w:tcPr>
            <w:tcW w:w="3262"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4" w:right="166"/>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 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68" w:type="dxa"/>
            <w:gridSpan w:val="4"/>
            <w:tcBorders>
              <w:top w:val="single" w:sz="4" w:space="0" w:color="000000"/>
              <w:left w:val="single" w:sz="4" w:space="0" w:color="000000"/>
              <w:bottom w:val="single" w:sz="17"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282,500</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报告期末对子公司实 际担保余额合计</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338" w:type="dxa"/>
            <w:gridSpan w:val="4"/>
            <w:tcBorders>
              <w:top w:val="single" w:sz="4" w:space="0" w:color="000000"/>
              <w:left w:val="single" w:sz="10" w:space="0" w:color="D2D2D2"/>
              <w:bottom w:val="single" w:sz="17" w:space="0" w:color="D2D2D2"/>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33,069.37</w:t>
            </w:r>
          </w:p>
        </w:tc>
      </w:tr>
      <w:tr>
        <w:trPr>
          <w:trHeight w:val="444" w:hRule="exact"/>
        </w:trPr>
        <w:tc>
          <w:tcPr>
            <w:tcW w:w="9571" w:type="dxa"/>
            <w:gridSpan w:val="1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5"/>
              <w:ind w:left="1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469" w:hRule="exact"/>
        </w:trPr>
        <w:tc>
          <w:tcPr>
            <w:tcW w:w="3687" w:type="dxa"/>
            <w:gridSpan w:val="3"/>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5"/>
              <w:ind w:left="1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1411"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7"/>
              <w:ind w:left="793" w:right="0"/>
              <w:jc w:val="left"/>
              <w:rPr>
                <w:rFonts w:ascii="Times New Roman" w:hAnsi="Times New Roman" w:cs="Times New Roman" w:eastAsia="Times New Roman" w:hint="default"/>
                <w:sz w:val="18"/>
                <w:szCs w:val="18"/>
              </w:rPr>
            </w:pPr>
            <w:r>
              <w:rPr>
                <w:rFonts w:ascii="Times New Roman"/>
                <w:sz w:val="18"/>
              </w:rPr>
              <w:t>504,400</w:t>
            </w:r>
          </w:p>
        </w:tc>
        <w:tc>
          <w:tcPr>
            <w:tcW w:w="326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left="29" w:right="-3"/>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1205" w:type="dxa"/>
            <w:gridSpan w:val="2"/>
            <w:tcBorders>
              <w:top w:val="single" w:sz="4" w:space="0" w:color="000000"/>
              <w:left w:val="single" w:sz="12" w:space="0" w:color="D2D2D2"/>
              <w:bottom w:val="single" w:sz="4" w:space="0" w:color="000000"/>
              <w:right w:val="single" w:sz="12" w:space="0" w:color="000000"/>
            </w:tcBorders>
          </w:tcPr>
          <w:p>
            <w:pPr>
              <w:pStyle w:val="TableParagraph"/>
              <w:spacing w:line="240" w:lineRule="auto" w:before="127"/>
              <w:ind w:left="356" w:right="0"/>
              <w:jc w:val="left"/>
              <w:rPr>
                <w:rFonts w:ascii="Times New Roman" w:hAnsi="Times New Roman" w:cs="Times New Roman" w:eastAsia="Times New Roman" w:hint="default"/>
                <w:sz w:val="18"/>
                <w:szCs w:val="18"/>
              </w:rPr>
            </w:pPr>
            <w:r>
              <w:rPr>
                <w:rFonts w:ascii="Times New Roman"/>
                <w:sz w:val="18"/>
              </w:rPr>
              <w:t>211,787.02</w:t>
            </w:r>
          </w:p>
        </w:tc>
      </w:tr>
      <w:tr>
        <w:trPr>
          <w:trHeight w:val="466" w:hRule="exact"/>
        </w:trPr>
        <w:tc>
          <w:tcPr>
            <w:tcW w:w="3687" w:type="dxa"/>
            <w:gridSpan w:val="3"/>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1411" w:type="dxa"/>
            <w:gridSpan w:val="2"/>
            <w:tcBorders>
              <w:top w:val="single" w:sz="4" w:space="0" w:color="000000"/>
              <w:left w:val="single" w:sz="9" w:space="0" w:color="D2D2D2"/>
              <w:bottom w:val="single" w:sz="17" w:space="0" w:color="D2D2D2"/>
              <w:right w:val="single" w:sz="13" w:space="0" w:color="D2D2D2"/>
            </w:tcBorders>
          </w:tcPr>
          <w:p>
            <w:pPr>
              <w:pStyle w:val="TableParagraph"/>
              <w:spacing w:line="240" w:lineRule="auto" w:before="122"/>
              <w:ind w:left="793" w:right="0"/>
              <w:jc w:val="left"/>
              <w:rPr>
                <w:rFonts w:ascii="Times New Roman" w:hAnsi="Times New Roman" w:cs="Times New Roman" w:eastAsia="Times New Roman" w:hint="default"/>
                <w:sz w:val="18"/>
                <w:szCs w:val="18"/>
              </w:rPr>
            </w:pPr>
            <w:r>
              <w:rPr>
                <w:rFonts w:ascii="Times New Roman"/>
                <w:sz w:val="18"/>
              </w:rPr>
              <w:t>504,400</w:t>
            </w:r>
          </w:p>
        </w:tc>
        <w:tc>
          <w:tcPr>
            <w:tcW w:w="326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9"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1205" w:type="dxa"/>
            <w:gridSpan w:val="2"/>
            <w:tcBorders>
              <w:top w:val="single" w:sz="4" w:space="0" w:color="000000"/>
              <w:left w:val="single" w:sz="12" w:space="0" w:color="D2D2D2"/>
              <w:bottom w:val="single" w:sz="4" w:space="0" w:color="000000"/>
              <w:right w:val="single" w:sz="12" w:space="0" w:color="000000"/>
            </w:tcBorders>
          </w:tcPr>
          <w:p>
            <w:pPr>
              <w:pStyle w:val="TableParagraph"/>
              <w:spacing w:line="240" w:lineRule="auto" w:before="122"/>
              <w:ind w:left="349" w:right="0"/>
              <w:jc w:val="left"/>
              <w:rPr>
                <w:rFonts w:ascii="Times New Roman" w:hAnsi="Times New Roman" w:cs="Times New Roman" w:eastAsia="Times New Roman" w:hint="default"/>
                <w:sz w:val="18"/>
                <w:szCs w:val="18"/>
              </w:rPr>
            </w:pPr>
            <w:r>
              <w:rPr>
                <w:rFonts w:ascii="Times New Roman"/>
                <w:sz w:val="18"/>
              </w:rPr>
              <w:t>107,499.93</w:t>
            </w:r>
          </w:p>
        </w:tc>
      </w:tr>
      <w:tr>
        <w:trPr>
          <w:trHeight w:val="484" w:hRule="exact"/>
        </w:trPr>
        <w:tc>
          <w:tcPr>
            <w:tcW w:w="5098" w:type="dxa"/>
            <w:gridSpan w:val="5"/>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473" w:type="dxa"/>
            <w:gridSpan w:val="7"/>
            <w:tcBorders>
              <w:top w:val="single" w:sz="12" w:space="0" w:color="D2D2D2"/>
              <w:left w:val="single" w:sz="10" w:space="0" w:color="D2D2D2"/>
              <w:bottom w:val="single" w:sz="16" w:space="0" w:color="D2D2D2"/>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18"/>
                <w:szCs w:val="18"/>
              </w:rPr>
            </w:pPr>
            <w:r>
              <w:rPr>
                <w:rFonts w:ascii="Times New Roman"/>
                <w:sz w:val="18"/>
              </w:rPr>
              <w:t>36.69%</w:t>
            </w:r>
          </w:p>
        </w:tc>
      </w:tr>
      <w:tr>
        <w:trPr>
          <w:trHeight w:val="422" w:hRule="exact"/>
        </w:trPr>
        <w:tc>
          <w:tcPr>
            <w:tcW w:w="9571" w:type="dxa"/>
            <w:gridSpan w:val="1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9"/>
              <w:ind w:left="1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70" w:hRule="exact"/>
        </w:trPr>
        <w:tc>
          <w:tcPr>
            <w:tcW w:w="5098" w:type="dxa"/>
            <w:gridSpan w:val="5"/>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0"/>
              <w:ind w:left="1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473" w:type="dxa"/>
            <w:gridSpan w:val="7"/>
            <w:tcBorders>
              <w:top w:val="single" w:sz="12" w:space="0" w:color="D2D2D2"/>
              <w:left w:val="single" w:sz="10" w:space="0" w:color="D2D2D2"/>
              <w:bottom w:val="single" w:sz="4" w:space="0" w:color="000000"/>
              <w:right w:val="single" w:sz="12" w:space="0" w:color="000000"/>
            </w:tcBorders>
          </w:tcPr>
          <w:p>
            <w:pPr>
              <w:pStyle w:val="TableParagraph"/>
              <w:spacing w:line="240" w:lineRule="auto" w:before="132"/>
              <w:ind w:right="13"/>
              <w:jc w:val="right"/>
              <w:rPr>
                <w:rFonts w:ascii="Times New Roman" w:hAnsi="Times New Roman" w:cs="Times New Roman" w:eastAsia="Times New Roman" w:hint="default"/>
                <w:sz w:val="18"/>
                <w:szCs w:val="18"/>
              </w:rPr>
            </w:pPr>
            <w:r>
              <w:rPr>
                <w:rFonts w:ascii="Times New Roman"/>
                <w:sz w:val="18"/>
              </w:rPr>
              <w:t>0</w:t>
            </w:r>
          </w:p>
        </w:tc>
      </w:tr>
      <w:tr>
        <w:trPr>
          <w:trHeight w:val="736" w:hRule="exact"/>
        </w:trPr>
        <w:tc>
          <w:tcPr>
            <w:tcW w:w="5098" w:type="dxa"/>
            <w:gridSpan w:val="5"/>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97" w:lineRule="auto" w:before="64"/>
              <w:ind w:left="14" w:right="1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 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473" w:type="dxa"/>
            <w:gridSpan w:val="7"/>
            <w:tcBorders>
              <w:top w:val="single" w:sz="4" w:space="0" w:color="000000"/>
              <w:left w:val="single" w:sz="10" w:space="0" w:color="D2D2D2"/>
              <w:bottom w:val="single" w:sz="12"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41,151.59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060" w:bottom="14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5103"/>
        <w:gridCol w:w="4467"/>
      </w:tblGrid>
      <w:tr>
        <w:trPr>
          <w:trHeight w:val="474" w:hRule="exact"/>
        </w:trPr>
        <w:tc>
          <w:tcPr>
            <w:tcW w:w="510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1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46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1"/>
              <w:ind w:right="12"/>
              <w:jc w:val="right"/>
              <w:rPr>
                <w:rFonts w:ascii="Times New Roman" w:hAnsi="Times New Roman" w:cs="Times New Roman" w:eastAsia="Times New Roman" w:hint="default"/>
                <w:sz w:val="18"/>
                <w:szCs w:val="18"/>
              </w:rPr>
            </w:pPr>
            <w:r>
              <w:rPr>
                <w:rFonts w:ascii="Times New Roman"/>
                <w:spacing w:val="-1"/>
                <w:sz w:val="18"/>
              </w:rPr>
              <w:t>65,292.92</w:t>
            </w:r>
          </w:p>
        </w:tc>
      </w:tr>
      <w:tr>
        <w:trPr>
          <w:trHeight w:val="479" w:hRule="exact"/>
        </w:trPr>
        <w:tc>
          <w:tcPr>
            <w:tcW w:w="510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4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106,444.51</w:t>
            </w:r>
          </w:p>
        </w:tc>
      </w:tr>
      <w:tr>
        <w:trPr>
          <w:trHeight w:val="448" w:hRule="exact"/>
        </w:trPr>
        <w:tc>
          <w:tcPr>
            <w:tcW w:w="510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4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58" w:hRule="exact"/>
        </w:trPr>
        <w:tc>
          <w:tcPr>
            <w:tcW w:w="510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46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Times New Roman" w:hAnsi="Times New Roman" w:cs="Times New Roman" w:eastAsia="Times New Roman" w:hint="default"/>
          <w:sz w:val="7"/>
          <w:szCs w:val="7"/>
        </w:rPr>
      </w:pPr>
    </w:p>
    <w:p>
      <w:pPr>
        <w:pStyle w:val="BodyText"/>
        <w:spacing w:line="240" w:lineRule="auto" w:before="36"/>
        <w:ind w:right="140"/>
        <w:jc w:val="left"/>
      </w:pPr>
      <w:r>
        <w:rPr/>
        <w:t>采用复合方式担保的具体情况说明：不适用</w:t>
      </w:r>
    </w:p>
    <w:p>
      <w:pPr>
        <w:spacing w:line="240" w:lineRule="auto" w:before="0"/>
        <w:rPr>
          <w:rFonts w:ascii="宋体" w:hAnsi="宋体" w:cs="宋体" w:eastAsia="宋体" w:hint="default"/>
          <w:sz w:val="20"/>
          <w:szCs w:val="20"/>
        </w:rPr>
      </w:pPr>
    </w:p>
    <w:p>
      <w:pPr>
        <w:pStyle w:val="Heading4"/>
        <w:spacing w:line="240" w:lineRule="auto" w:before="152"/>
        <w:ind w:right="140"/>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8"/>
        <w:rPr>
          <w:rFonts w:ascii="宋体" w:hAnsi="宋体" w:cs="宋体" w:eastAsia="宋体" w:hint="default"/>
          <w:b/>
          <w:bCs/>
          <w:sz w:val="30"/>
          <w:szCs w:val="30"/>
        </w:rPr>
      </w:pPr>
    </w:p>
    <w:p>
      <w:pPr>
        <w:pStyle w:val="BodyText"/>
        <w:spacing w:line="420" w:lineRule="auto"/>
        <w:ind w:right="66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公司报告期无违规对外担保情况。</w:t>
      </w:r>
    </w:p>
    <w:p>
      <w:pPr>
        <w:spacing w:line="240" w:lineRule="auto" w:before="10"/>
        <w:rPr>
          <w:rFonts w:ascii="宋体" w:hAnsi="宋体" w:cs="宋体" w:eastAsia="宋体" w:hint="default"/>
          <w:sz w:val="19"/>
          <w:szCs w:val="19"/>
        </w:rPr>
      </w:pPr>
    </w:p>
    <w:p>
      <w:pPr>
        <w:pStyle w:val="Heading4"/>
        <w:spacing w:line="240" w:lineRule="auto"/>
        <w:ind w:right="140"/>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8"/>
        <w:rPr>
          <w:rFonts w:ascii="宋体" w:hAnsi="宋体" w:cs="宋体" w:eastAsia="宋体" w:hint="default"/>
          <w:b/>
          <w:bCs/>
          <w:sz w:val="30"/>
          <w:szCs w:val="30"/>
        </w:rPr>
      </w:pPr>
    </w:p>
    <w:p>
      <w:pPr>
        <w:pStyle w:val="BodyText"/>
        <w:spacing w:line="417" w:lineRule="auto"/>
        <w:ind w:right="66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公司报告期不存在其他重大合同。</w:t>
      </w:r>
    </w:p>
    <w:p>
      <w:pPr>
        <w:spacing w:line="240" w:lineRule="auto" w:before="12"/>
        <w:rPr>
          <w:rFonts w:ascii="宋体" w:hAnsi="宋体" w:cs="宋体" w:eastAsia="宋体" w:hint="default"/>
          <w:sz w:val="19"/>
          <w:szCs w:val="19"/>
        </w:rPr>
      </w:pPr>
    </w:p>
    <w:p>
      <w:pPr>
        <w:pStyle w:val="Heading4"/>
        <w:spacing w:line="240" w:lineRule="auto"/>
        <w:ind w:right="140"/>
        <w:jc w:val="left"/>
        <w:rPr>
          <w:b w:val="0"/>
          <w:bCs w:val="0"/>
        </w:rPr>
      </w:pPr>
      <w:r>
        <w:rPr>
          <w:rFonts w:ascii="Times New Roman" w:hAnsi="Times New Roman" w:cs="Times New Roman" w:eastAsia="Times New Roman" w:hint="default"/>
        </w:rPr>
        <w:t>4</w:t>
      </w:r>
      <w:r>
        <w:rPr/>
        <w:t>、其他重大交易</w:t>
      </w:r>
      <w:r>
        <w:rPr>
          <w:b w:val="0"/>
          <w:bCs w:val="0"/>
        </w:rPr>
      </w:r>
    </w:p>
    <w:p>
      <w:pPr>
        <w:spacing w:line="240" w:lineRule="auto" w:before="8"/>
        <w:rPr>
          <w:rFonts w:ascii="宋体" w:hAnsi="宋体" w:cs="宋体" w:eastAsia="宋体" w:hint="default"/>
          <w:b/>
          <w:bCs/>
          <w:sz w:val="30"/>
          <w:szCs w:val="30"/>
        </w:rPr>
      </w:pPr>
    </w:p>
    <w:p>
      <w:pPr>
        <w:pStyle w:val="BodyText"/>
        <w:spacing w:line="417" w:lineRule="auto"/>
        <w:ind w:right="66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公司报告期不存在其他重大交易。</w:t>
      </w:r>
    </w:p>
    <w:p>
      <w:pPr>
        <w:spacing w:after="0" w:line="417" w:lineRule="auto"/>
        <w:jc w:val="left"/>
        <w:sectPr>
          <w:pgSz w:w="11910" w:h="16840"/>
          <w:pgMar w:header="0" w:footer="1227" w:top="1060" w:bottom="1420" w:left="980" w:right="980"/>
        </w:sectPr>
      </w:pPr>
    </w:p>
    <w:p>
      <w:pPr>
        <w:spacing w:line="240" w:lineRule="auto" w:before="11"/>
        <w:rPr>
          <w:rFonts w:ascii="宋体" w:hAnsi="宋体" w:cs="宋体" w:eastAsia="宋体" w:hint="default"/>
          <w:sz w:val="2"/>
          <w:szCs w:val="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5"/>
          <w:szCs w:val="15"/>
        </w:rPr>
      </w:pPr>
    </w:p>
    <w:p>
      <w:pPr>
        <w:pStyle w:val="Heading2"/>
        <w:spacing w:line="240" w:lineRule="auto"/>
        <w:ind w:left="160" w:right="0"/>
        <w:jc w:val="left"/>
        <w:rPr>
          <w:b w:val="0"/>
          <w:bCs w:val="0"/>
        </w:rPr>
      </w:pPr>
      <w:r>
        <w:rPr/>
        <w:t>九、承诺事项履行情况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60" w:right="0"/>
        <w:jc w:val="left"/>
        <w:rPr>
          <w:b w:val="0"/>
          <w:bCs w:val="0"/>
        </w:rPr>
      </w:pPr>
      <w:r>
        <w:rPr>
          <w:rFonts w:ascii="Times New Roman" w:hAnsi="Times New Roman" w:cs="Times New Roman" w:eastAsia="Times New Roman" w:hint="default"/>
        </w:rPr>
        <w:t>1</w:t>
      </w:r>
      <w:r>
        <w:rPr/>
        <w:t>、公司或持股</w:t>
      </w:r>
      <w:r>
        <w:rPr>
          <w:spacing w:val="-55"/>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pStyle w:val="BodyText"/>
        <w:spacing w:line="240" w:lineRule="auto" w:before="100"/>
        <w:ind w:left="1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0"/>
        <w:ind w:left="0" w:right="107" w:firstLine="0"/>
        <w:jc w:val="right"/>
        <w:rPr>
          <w:rFonts w:ascii="宋体" w:hAnsi="宋体" w:cs="宋体" w:eastAsia="宋体" w:hint="default"/>
          <w:sz w:val="18"/>
          <w:szCs w:val="18"/>
        </w:rPr>
      </w:pPr>
      <w:r>
        <w:rPr/>
        <w:pict>
          <v:shape style="position:absolute;margin-left:69.839996pt;margin-top:-107.89827pt;width:703.1pt;height:375.3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72"/>
                    <w:gridCol w:w="1308"/>
                    <w:gridCol w:w="4501"/>
                    <w:gridCol w:w="1709"/>
                    <w:gridCol w:w="1621"/>
                    <w:gridCol w:w="3007"/>
                  </w:tblGrid>
                  <w:tr>
                    <w:trPr>
                      <w:trHeight w:val="425" w:hRule="exact"/>
                    </w:trPr>
                    <w:tc>
                      <w:tcPr>
                        <w:tcW w:w="187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30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50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62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300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84" w:hRule="exact"/>
                    </w:trPr>
                    <w:tc>
                      <w:tcPr>
                        <w:tcW w:w="187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1"/>
                          <w:ind w:left="1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308" w:type="dxa"/>
                        <w:tcBorders>
                          <w:top w:val="single" w:sz="12" w:space="0" w:color="D2D2D2"/>
                          <w:left w:val="single" w:sz="9" w:space="0" w:color="D2D2D2"/>
                          <w:bottom w:val="single" w:sz="4" w:space="0" w:color="000000"/>
                          <w:right w:val="single" w:sz="4" w:space="0" w:color="000000"/>
                        </w:tcBorders>
                      </w:tcPr>
                      <w:p>
                        <w:pPr/>
                      </w:p>
                    </w:tc>
                    <w:tc>
                      <w:tcPr>
                        <w:tcW w:w="4501" w:type="dxa"/>
                        <w:tcBorders>
                          <w:top w:val="single" w:sz="12" w:space="0" w:color="D2D2D2"/>
                          <w:left w:val="single" w:sz="4" w:space="0" w:color="000000"/>
                          <w:bottom w:val="single" w:sz="4" w:space="0" w:color="000000"/>
                          <w:right w:val="single" w:sz="4" w:space="0" w:color="000000"/>
                        </w:tcBorders>
                      </w:tcPr>
                      <w:p>
                        <w:pPr/>
                      </w:p>
                    </w:tc>
                    <w:tc>
                      <w:tcPr>
                        <w:tcW w:w="1709" w:type="dxa"/>
                        <w:tcBorders>
                          <w:top w:val="single" w:sz="12" w:space="0" w:color="D2D2D2"/>
                          <w:left w:val="single" w:sz="4" w:space="0" w:color="000000"/>
                          <w:bottom w:val="single" w:sz="4" w:space="0" w:color="000000"/>
                          <w:right w:val="single" w:sz="4" w:space="0" w:color="000000"/>
                        </w:tcBorders>
                      </w:tcPr>
                      <w:p>
                        <w:pPr/>
                      </w:p>
                    </w:tc>
                    <w:tc>
                      <w:tcPr>
                        <w:tcW w:w="1621" w:type="dxa"/>
                        <w:tcBorders>
                          <w:top w:val="single" w:sz="12" w:space="0" w:color="D2D2D2"/>
                          <w:left w:val="single" w:sz="4" w:space="0" w:color="000000"/>
                          <w:bottom w:val="single" w:sz="4" w:space="0" w:color="000000"/>
                          <w:right w:val="single" w:sz="4" w:space="0" w:color="000000"/>
                        </w:tcBorders>
                      </w:tcPr>
                      <w:p>
                        <w:pPr/>
                      </w:p>
                    </w:tc>
                    <w:tc>
                      <w:tcPr>
                        <w:tcW w:w="3007" w:type="dxa"/>
                        <w:tcBorders>
                          <w:top w:val="single" w:sz="12" w:space="0" w:color="D2D2D2"/>
                          <w:left w:val="single" w:sz="4" w:space="0" w:color="000000"/>
                          <w:bottom w:val="single" w:sz="4" w:space="0" w:color="000000"/>
                          <w:right w:val="single" w:sz="12" w:space="0" w:color="000000"/>
                        </w:tcBorders>
                      </w:tcPr>
                      <w:p>
                        <w:pPr/>
                      </w:p>
                    </w:tc>
                  </w:tr>
                  <w:tr>
                    <w:trPr>
                      <w:trHeight w:val="713" w:hRule="exact"/>
                    </w:trPr>
                    <w:tc>
                      <w:tcPr>
                        <w:tcW w:w="187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4" w:right="36"/>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1308" w:type="dxa"/>
                        <w:tcBorders>
                          <w:top w:val="single" w:sz="4" w:space="0" w:color="000000"/>
                          <w:left w:val="single" w:sz="9" w:space="0" w:color="D2D2D2"/>
                          <w:bottom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3007"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872" w:type="dxa"/>
                        <w:vMerge w:val="restart"/>
                        <w:tcBorders>
                          <w:top w:val="single" w:sz="4" w:space="0" w:color="000000"/>
                          <w:left w:val="single" w:sz="12" w:space="0" w:color="000000"/>
                          <w:right w:val="single" w:sz="4" w:space="0" w:color="000000"/>
                        </w:tcBorders>
                        <w:shd w:val="clear" w:color="auto" w:fill="D2D2D2"/>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神码软件、天津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信锐、中新创投</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《关于神州信息业绩的承诺</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300" w:lineRule="auto" w:before="60"/>
                          <w:ind w:left="21"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日在巨潮网上披露的《关于公司及相关方承诺事项履 </w:t>
                        </w:r>
                        <w:r>
                          <w:rPr>
                            <w:rFonts w:ascii="宋体" w:hAnsi="宋体" w:cs="宋体" w:eastAsia="宋体" w:hint="default"/>
                            <w:spacing w:val="-12"/>
                            <w:sz w:val="18"/>
                            <w:szCs w:val="18"/>
                          </w:rPr>
                          <w:t>行情况的公告》。</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0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83"/>
                          <w:jc w:val="left"/>
                          <w:rPr>
                            <w:rFonts w:ascii="宋体" w:hAnsi="宋体" w:cs="宋体" w:eastAsia="宋体" w:hint="default"/>
                            <w:sz w:val="18"/>
                            <w:szCs w:val="18"/>
                          </w:rPr>
                        </w:pPr>
                        <w:r>
                          <w:rPr>
                            <w:rFonts w:ascii="宋体" w:hAnsi="宋体" w:cs="宋体" w:eastAsia="宋体" w:hint="default"/>
                            <w:sz w:val="18"/>
                            <w:szCs w:val="18"/>
                          </w:rPr>
                          <w:t>截至本报告日，上述承诺仍在履行过 程中，承诺人无违反上述承诺的情况</w:t>
                        </w:r>
                      </w:p>
                    </w:tc>
                  </w:tr>
                  <w:tr>
                    <w:trPr>
                      <w:trHeight w:val="1025" w:hRule="exact"/>
                    </w:trPr>
                    <w:tc>
                      <w:tcPr>
                        <w:tcW w:w="1872" w:type="dxa"/>
                        <w:vMerge/>
                        <w:tcBorders>
                          <w:left w:val="single" w:sz="12" w:space="0" w:color="000000"/>
                          <w:right w:val="single" w:sz="4" w:space="0" w:color="000000"/>
                        </w:tcBorders>
                        <w:shd w:val="clear" w:color="auto" w:fill="D2D2D2"/>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神码软件、天津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信锐、中新创投</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23"/>
                          <w:jc w:val="both"/>
                          <w:rPr>
                            <w:rFonts w:ascii="宋体" w:hAnsi="宋体" w:cs="宋体" w:eastAsia="宋体" w:hint="default"/>
                            <w:sz w:val="18"/>
                            <w:szCs w:val="18"/>
                          </w:rPr>
                        </w:pPr>
                        <w:r>
                          <w:rPr>
                            <w:rFonts w:ascii="宋体" w:hAnsi="宋体" w:cs="宋体" w:eastAsia="宋体" w:hint="default"/>
                            <w:spacing w:val="-6"/>
                            <w:sz w:val="18"/>
                            <w:szCs w:val="18"/>
                          </w:rPr>
                          <w:t>《关于资产权属的承诺》，详见公司于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w:t>
                        </w:r>
                        <w:r>
                          <w:rPr>
                            <w:rFonts w:ascii="宋体" w:hAnsi="宋体" w:cs="宋体" w:eastAsia="宋体" w:hint="default"/>
                            <w:spacing w:val="-3"/>
                            <w:sz w:val="18"/>
                            <w:szCs w:val="18"/>
                          </w:rPr>
                          <w:t>在巨潮网上披露的《关于公司及相关方承诺事项履行情况</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9"/>
                            <w:sz w:val="18"/>
                            <w:szCs w:val="18"/>
                          </w:rPr>
                          <w:t>的公告》。</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30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3"/>
                          <w:jc w:val="left"/>
                          <w:rPr>
                            <w:rFonts w:ascii="宋体" w:hAnsi="宋体" w:cs="宋体" w:eastAsia="宋体" w:hint="default"/>
                            <w:sz w:val="18"/>
                            <w:szCs w:val="18"/>
                          </w:rPr>
                        </w:pPr>
                        <w:r>
                          <w:rPr>
                            <w:rFonts w:ascii="宋体" w:hAnsi="宋体" w:cs="宋体" w:eastAsia="宋体" w:hint="default"/>
                            <w:sz w:val="18"/>
                            <w:szCs w:val="18"/>
                          </w:rPr>
                          <w:t>截至本报告日，上述承诺仍在履行过 程中，承诺人无违反上述承诺的情况</w:t>
                        </w:r>
                      </w:p>
                    </w:tc>
                  </w:tr>
                  <w:tr>
                    <w:trPr>
                      <w:trHeight w:val="674" w:hRule="exact"/>
                    </w:trPr>
                    <w:tc>
                      <w:tcPr>
                        <w:tcW w:w="1872" w:type="dxa"/>
                        <w:vMerge/>
                        <w:tcBorders>
                          <w:left w:val="single" w:sz="12" w:space="0" w:color="000000"/>
                          <w:bottom w:val="nil" w:sz="6" w:space="0" w:color="auto"/>
                          <w:right w:val="single" w:sz="4" w:space="0" w:color="000000"/>
                        </w:tcBorders>
                        <w:shd w:val="clear" w:color="auto" w:fill="D2D2D2"/>
                      </w:tcPr>
                      <w:p>
                        <w:pPr/>
                      </w:p>
                    </w:tc>
                    <w:tc>
                      <w:tcPr>
                        <w:tcW w:w="1308"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7" w:right="21"/>
                          <w:jc w:val="left"/>
                          <w:rPr>
                            <w:rFonts w:ascii="宋体" w:hAnsi="宋体" w:cs="宋体" w:eastAsia="宋体" w:hint="default"/>
                            <w:sz w:val="18"/>
                            <w:szCs w:val="18"/>
                          </w:rPr>
                        </w:pPr>
                        <w:r>
                          <w:rPr>
                            <w:rFonts w:ascii="宋体" w:hAnsi="宋体" w:cs="宋体" w:eastAsia="宋体" w:hint="default"/>
                            <w:sz w:val="18"/>
                            <w:szCs w:val="18"/>
                          </w:rPr>
                          <w:t>神码软件、天津 信锐、申昌科技</w:t>
                        </w:r>
                      </w:p>
                    </w:tc>
                    <w:tc>
                      <w:tcPr>
                        <w:tcW w:w="4501" w:type="dxa"/>
                        <w:vMerge w:val="restart"/>
                        <w:tcBorders>
                          <w:top w:val="single" w:sz="4" w:space="0" w:color="000000"/>
                          <w:left w:val="single" w:sz="4" w:space="0" w:color="000000"/>
                          <w:right w:val="single" w:sz="4" w:space="0" w:color="000000"/>
                        </w:tcBorders>
                      </w:tcPr>
                      <w:p>
                        <w:pPr>
                          <w:pStyle w:val="TableParagraph"/>
                          <w:spacing w:line="307" w:lineRule="auto" w:before="51"/>
                          <w:ind w:left="21" w:right="23"/>
                          <w:jc w:val="both"/>
                          <w:rPr>
                            <w:rFonts w:ascii="宋体" w:hAnsi="宋体" w:cs="宋体" w:eastAsia="宋体" w:hint="default"/>
                            <w:sz w:val="18"/>
                            <w:szCs w:val="18"/>
                          </w:rPr>
                        </w:pPr>
                        <w:r>
                          <w:rPr>
                            <w:rFonts w:ascii="宋体" w:hAnsi="宋体" w:cs="宋体" w:eastAsia="宋体" w:hint="default"/>
                            <w:spacing w:val="-6"/>
                            <w:sz w:val="18"/>
                            <w:szCs w:val="18"/>
                          </w:rPr>
                          <w:t>《关于股份限售的承诺》，详见公司于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w:t>
                        </w:r>
                        <w:r>
                          <w:rPr>
                            <w:rFonts w:ascii="宋体" w:hAnsi="宋体" w:cs="宋体" w:eastAsia="宋体" w:hint="default"/>
                            <w:spacing w:val="-3"/>
                            <w:sz w:val="18"/>
                            <w:szCs w:val="18"/>
                          </w:rPr>
                          <w:t>在巨潮网上披露的《关于公司及相关方承诺事项履行情况</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9"/>
                            <w:sz w:val="18"/>
                            <w:szCs w:val="18"/>
                          </w:rPr>
                          <w:t>的公告》。</w:t>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6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3007" w:type="dxa"/>
                        <w:vMerge w:val="restart"/>
                        <w:tcBorders>
                          <w:top w:val="single" w:sz="4" w:space="0" w:color="000000"/>
                          <w:left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83"/>
                          <w:jc w:val="left"/>
                          <w:rPr>
                            <w:rFonts w:ascii="宋体" w:hAnsi="宋体" w:cs="宋体" w:eastAsia="宋体" w:hint="default"/>
                            <w:sz w:val="18"/>
                            <w:szCs w:val="18"/>
                          </w:rPr>
                        </w:pPr>
                        <w:r>
                          <w:rPr>
                            <w:rFonts w:ascii="宋体" w:hAnsi="宋体" w:cs="宋体" w:eastAsia="宋体" w:hint="default"/>
                            <w:sz w:val="18"/>
                            <w:szCs w:val="18"/>
                          </w:rPr>
                          <w:t>截至本报告日，上述承诺仍在履行过 程中，承诺人无违反上述承诺的情况</w:t>
                        </w:r>
                      </w:p>
                    </w:tc>
                  </w:tr>
                  <w:tr>
                    <w:trPr>
                      <w:trHeight w:val="353" w:hRule="exact"/>
                    </w:trPr>
                    <w:tc>
                      <w:tcPr>
                        <w:tcW w:w="1872"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308" w:type="dxa"/>
                        <w:vMerge/>
                        <w:tcBorders>
                          <w:left w:val="single" w:sz="9" w:space="0" w:color="D2D2D2"/>
                          <w:bottom w:val="single" w:sz="4" w:space="0" w:color="000000"/>
                          <w:right w:val="single" w:sz="4" w:space="0" w:color="000000"/>
                        </w:tcBorders>
                      </w:tcPr>
                      <w:p>
                        <w:pPr/>
                      </w:p>
                    </w:tc>
                    <w:tc>
                      <w:tcPr>
                        <w:tcW w:w="4501" w:type="dxa"/>
                        <w:vMerge/>
                        <w:tcBorders>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c>
                      <w:tcPr>
                        <w:tcW w:w="1621" w:type="dxa"/>
                        <w:vMerge/>
                        <w:tcBorders>
                          <w:left w:val="single" w:sz="4" w:space="0" w:color="000000"/>
                          <w:bottom w:val="single" w:sz="4" w:space="0" w:color="000000"/>
                          <w:right w:val="single" w:sz="4" w:space="0" w:color="000000"/>
                        </w:tcBorders>
                      </w:tcPr>
                      <w:p>
                        <w:pPr/>
                      </w:p>
                    </w:tc>
                    <w:tc>
                      <w:tcPr>
                        <w:tcW w:w="3007" w:type="dxa"/>
                        <w:vMerge/>
                        <w:tcBorders>
                          <w:left w:val="single" w:sz="4" w:space="0" w:color="000000"/>
                          <w:bottom w:val="single" w:sz="4" w:space="0" w:color="000000"/>
                          <w:right w:val="single" w:sz="12" w:space="0" w:color="000000"/>
                        </w:tcBorders>
                      </w:tcPr>
                      <w:p>
                        <w:pPr/>
                      </w:p>
                    </w:tc>
                  </w:tr>
                  <w:tr>
                    <w:trPr>
                      <w:trHeight w:val="1025" w:hRule="exact"/>
                    </w:trPr>
                    <w:tc>
                      <w:tcPr>
                        <w:tcW w:w="1872" w:type="dxa"/>
                        <w:vMerge w:val="restart"/>
                        <w:tcBorders>
                          <w:top w:val="nil" w:sz="6" w:space="0" w:color="auto"/>
                          <w:left w:val="single" w:sz="12" w:space="0" w:color="000000"/>
                          <w:right w:val="single" w:sz="4" w:space="0" w:color="000000"/>
                        </w:tcBorders>
                        <w:shd w:val="clear" w:color="auto" w:fill="D2D2D2"/>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神码软件、天津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信锐、申昌科技</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23"/>
                          <w:jc w:val="both"/>
                          <w:rPr>
                            <w:rFonts w:ascii="宋体" w:hAnsi="宋体" w:cs="宋体" w:eastAsia="宋体" w:hint="default"/>
                            <w:sz w:val="18"/>
                            <w:szCs w:val="18"/>
                          </w:rPr>
                        </w:pPr>
                        <w:r>
                          <w:rPr>
                            <w:rFonts w:ascii="宋体" w:hAnsi="宋体" w:cs="宋体" w:eastAsia="宋体" w:hint="default"/>
                            <w:spacing w:val="-6"/>
                            <w:sz w:val="18"/>
                            <w:szCs w:val="18"/>
                          </w:rPr>
                          <w:t>《关于股份限售的承诺》，详见公司于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w:t>
                        </w:r>
                        <w:r>
                          <w:rPr>
                            <w:rFonts w:ascii="宋体" w:hAnsi="宋体" w:cs="宋体" w:eastAsia="宋体" w:hint="default"/>
                            <w:spacing w:val="-3"/>
                            <w:sz w:val="18"/>
                            <w:szCs w:val="18"/>
                          </w:rPr>
                          <w:t>在巨潮网上披露的《关于公司及相关方承诺事项履行情况</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9"/>
                            <w:sz w:val="18"/>
                            <w:szCs w:val="18"/>
                          </w:rPr>
                          <w:t>的公告》。</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30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3"/>
                          <w:jc w:val="left"/>
                          <w:rPr>
                            <w:rFonts w:ascii="宋体" w:hAnsi="宋体" w:cs="宋体" w:eastAsia="宋体" w:hint="default"/>
                            <w:sz w:val="18"/>
                            <w:szCs w:val="18"/>
                          </w:rPr>
                        </w:pPr>
                        <w:r>
                          <w:rPr>
                            <w:rFonts w:ascii="宋体" w:hAnsi="宋体" w:cs="宋体" w:eastAsia="宋体" w:hint="default"/>
                            <w:sz w:val="18"/>
                            <w:szCs w:val="18"/>
                          </w:rPr>
                          <w:t>截至本报告日，上述承诺仍在履行过 程中，承诺人无违反上述承诺的情况</w:t>
                        </w:r>
                      </w:p>
                    </w:tc>
                  </w:tr>
                  <w:tr>
                    <w:trPr>
                      <w:trHeight w:val="1027" w:hRule="exact"/>
                    </w:trPr>
                    <w:tc>
                      <w:tcPr>
                        <w:tcW w:w="1872" w:type="dxa"/>
                        <w:vMerge/>
                        <w:tcBorders>
                          <w:left w:val="single" w:sz="12" w:space="0" w:color="000000"/>
                          <w:right w:val="single" w:sz="4" w:space="0" w:color="000000"/>
                        </w:tcBorders>
                        <w:shd w:val="clear" w:color="auto" w:fill="D2D2D2"/>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《保持上市公司独立性的承诺</w:t>
                        </w:r>
                        <w:r>
                          <w:rPr>
                            <w:rFonts w:ascii="宋体" w:hAnsi="宋体" w:cs="宋体" w:eastAsia="宋体" w:hint="default"/>
                            <w:spacing w:val="-89"/>
                            <w:sz w:val="18"/>
                            <w:szCs w:val="18"/>
                          </w:rPr>
                          <w:t>》</w:t>
                        </w:r>
                        <w:r>
                          <w:rPr>
                            <w:rFonts w:ascii="宋体" w:hAnsi="宋体" w:cs="宋体" w:eastAsia="宋体" w:hint="default"/>
                            <w:spacing w:val="-56"/>
                            <w:sz w:val="18"/>
                            <w:szCs w:val="18"/>
                          </w:rPr>
                          <w:t>，</w:t>
                        </w: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60"/>
                          <w:ind w:left="21"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日在巨潮网上披露的《关于公司及相关方承诺事项履 </w:t>
                        </w:r>
                        <w:r>
                          <w:rPr>
                            <w:rFonts w:ascii="宋体" w:hAnsi="宋体" w:cs="宋体" w:eastAsia="宋体" w:hint="default"/>
                            <w:spacing w:val="-12"/>
                            <w:sz w:val="18"/>
                            <w:szCs w:val="18"/>
                          </w:rPr>
                          <w:t>行情况的公告》。</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30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83"/>
                          <w:jc w:val="left"/>
                          <w:rPr>
                            <w:rFonts w:ascii="宋体" w:hAnsi="宋体" w:cs="宋体" w:eastAsia="宋体" w:hint="default"/>
                            <w:sz w:val="18"/>
                            <w:szCs w:val="18"/>
                          </w:rPr>
                        </w:pPr>
                        <w:r>
                          <w:rPr>
                            <w:rFonts w:ascii="宋体" w:hAnsi="宋体" w:cs="宋体" w:eastAsia="宋体" w:hint="default"/>
                            <w:sz w:val="18"/>
                            <w:szCs w:val="18"/>
                          </w:rPr>
                          <w:t>截至本报告日，上述承诺仍在履行过 程中，承诺人无违反上述承诺的情况</w:t>
                        </w:r>
                      </w:p>
                    </w:tc>
                  </w:tr>
                  <w:tr>
                    <w:trPr>
                      <w:trHeight w:val="723" w:hRule="exact"/>
                    </w:trPr>
                    <w:tc>
                      <w:tcPr>
                        <w:tcW w:w="1872" w:type="dxa"/>
                        <w:vMerge/>
                        <w:tcBorders>
                          <w:left w:val="single" w:sz="12" w:space="0" w:color="000000"/>
                          <w:bottom w:val="single" w:sz="12" w:space="0" w:color="000000"/>
                          <w:right w:val="single" w:sz="4" w:space="0" w:color="000000"/>
                        </w:tcBorders>
                        <w:shd w:val="clear" w:color="auto" w:fill="D2D2D2"/>
                      </w:tcPr>
                      <w:p>
                        <w:pPr/>
                      </w:p>
                    </w:tc>
                    <w:tc>
                      <w:tcPr>
                        <w:tcW w:w="13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45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sz w:val="18"/>
                            <w:szCs w:val="18"/>
                          </w:rPr>
                          <w:t>《关于同业竞争事项的承诺</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日在巨潮网上披露的《关于公司及相关方承诺事项履</w:t>
                        </w:r>
                      </w:p>
                    </w:tc>
                    <w:tc>
                      <w:tcPr>
                        <w:tcW w:w="1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3007" w:type="dxa"/>
                        <w:tcBorders>
                          <w:top w:val="single" w:sz="4" w:space="0" w:color="000000"/>
                          <w:left w:val="single" w:sz="4" w:space="0" w:color="000000"/>
                          <w:bottom w:val="single" w:sz="12" w:space="0" w:color="000000"/>
                          <w:right w:val="single" w:sz="12" w:space="0" w:color="000000"/>
                        </w:tcBorders>
                      </w:tcPr>
                      <w:p>
                        <w:pPr>
                          <w:pStyle w:val="TableParagraph"/>
                          <w:spacing w:line="319"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截至本报告日，上述承诺仍在履行过 程中，承诺人无违反上述承诺的情况</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44"/>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44"/>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44"/>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44"/>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44"/>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headerReference w:type="default" r:id="rId28"/>
          <w:footerReference w:type="default" r:id="rId29"/>
          <w:pgSz w:w="16840" w:h="11910" w:orient="landscape"/>
          <w:pgMar w:header="867" w:footer="1226" w:top="1060" w:bottom="1420" w:left="1280" w:right="1240"/>
          <w:pgNumType w:start="50"/>
        </w:sectPr>
      </w:pPr>
    </w:p>
    <w:p>
      <w:pPr>
        <w:spacing w:line="240" w:lineRule="auto" w:before="0"/>
        <w:rPr>
          <w:rFonts w:ascii="宋体" w:hAnsi="宋体" w:cs="宋体" w:eastAsia="宋体" w:hint="default"/>
          <w:sz w:val="20"/>
          <w:szCs w:val="20"/>
        </w:rPr>
      </w:pPr>
      <w:r>
        <w:rPr/>
        <w:pict>
          <v:group style="position:absolute;margin-left:69.839996pt;margin-top:55.220009pt;width:702.35pt;height:464.15pt;mso-position-horizontal-relative:page;mso-position-vertical-relative:page;z-index:-1116712" coordorigin="1397,1104" coordsize="14047,9283">
            <v:group style="position:absolute;left:1411;top:1112;width:14018;height:2" coordorigin="1411,1112" coordsize="14018,2">
              <v:shape style="position:absolute;left:1411;top:1112;width:14018;height:2" coordorigin="1411,1112" coordsize="14018,0" path="m1411,1112l15429,1112e" filled="false" stroked="true" strokeweight=".72pt" strokecolor="#000000">
                <v:path arrowok="t"/>
              </v:shape>
            </v:group>
            <v:group style="position:absolute;left:1428;top:1164;width:1851;height:454" coordorigin="1428,1164" coordsize="1851,454">
              <v:shape style="position:absolute;left:1428;top:1164;width:1851;height:454" coordorigin="1428,1164" coordsize="1851,454" path="m1428,1618l3279,1618,3279,1164,1428,1164,1428,1618xe" filled="true" fillcolor="#d2d2d2" stroked="false">
                <v:path arrowok="t"/>
                <v:fill type="solid"/>
              </v:shape>
            </v:group>
            <v:group style="position:absolute;left:1426;top:1133;width:1854;height:29" coordorigin="1426,1133" coordsize="1854,29">
              <v:shape style="position:absolute;left:1426;top:1133;width:1854;height:29" coordorigin="1426,1133" coordsize="1854,29" path="m1426,1162l3279,1162,3279,1133,1426,1133,1426,1162xe" filled="true" fillcolor="#000000" stroked="false">
                <v:path arrowok="t"/>
                <v:fill type="solid"/>
              </v:shape>
            </v:group>
            <v:group style="position:absolute;left:3279;top:1148;width:29;height:2" coordorigin="3279,1148" coordsize="29,2">
              <v:shape style="position:absolute;left:3279;top:1148;width:29;height:2" coordorigin="3279,1148" coordsize="29,0" path="m3279,1148l3308,1148e" filled="false" stroked="true" strokeweight="1.44pt" strokecolor="#000000">
                <v:path arrowok="t"/>
              </v:shape>
            </v:group>
            <v:group style="position:absolute;left:3308;top:1148;width:1280;height:2" coordorigin="3308,1148" coordsize="1280,2">
              <v:shape style="position:absolute;left:3308;top:1148;width:1280;height:2" coordorigin="3308,1148" coordsize="1280,0" path="m3308,1148l4587,1148e" filled="false" stroked="true" strokeweight="1.44pt" strokecolor="#000000">
                <v:path arrowok="t"/>
              </v:shape>
            </v:group>
            <v:group style="position:absolute;left:4587;top:1148;width:29;height:2" coordorigin="4587,1148" coordsize="29,2">
              <v:shape style="position:absolute;left:4587;top:1148;width:29;height:2" coordorigin="4587,1148" coordsize="29,0" path="m4587,1148l4616,1148e" filled="false" stroked="true" strokeweight="1.44pt" strokecolor="#000000">
                <v:path arrowok="t"/>
              </v:shape>
            </v:group>
            <v:group style="position:absolute;left:4616;top:1148;width:4473;height:2" coordorigin="4616,1148" coordsize="4473,2">
              <v:shape style="position:absolute;left:4616;top:1148;width:4473;height:2" coordorigin="4616,1148" coordsize="4473,0" path="m4616,1148l9088,1148e" filled="false" stroked="true" strokeweight="1.44pt" strokecolor="#000000">
                <v:path arrowok="t"/>
              </v:shape>
            </v:group>
            <v:group style="position:absolute;left:9088;top:1148;width:29;height:2" coordorigin="9088,1148" coordsize="29,2">
              <v:shape style="position:absolute;left:9088;top:1148;width:29;height:2" coordorigin="9088,1148" coordsize="29,0" path="m9088,1148l9117,1148e" filled="false" stroked="true" strokeweight="1.44pt" strokecolor="#000000">
                <v:path arrowok="t"/>
              </v:shape>
            </v:group>
            <v:group style="position:absolute;left:9117;top:1148;width:1680;height:2" coordorigin="9117,1148" coordsize="1680,2">
              <v:shape style="position:absolute;left:9117;top:1148;width:1680;height:2" coordorigin="9117,1148" coordsize="1680,0" path="m9117,1148l10797,1148e" filled="false" stroked="true" strokeweight="1.44pt" strokecolor="#000000">
                <v:path arrowok="t"/>
              </v:shape>
            </v:group>
            <v:group style="position:absolute;left:10797;top:1148;width:29;height:2" coordorigin="10797,1148" coordsize="29,2">
              <v:shape style="position:absolute;left:10797;top:1148;width:29;height:2" coordorigin="10797,1148" coordsize="29,0" path="m10797,1148l10825,1148e" filled="false" stroked="true" strokeweight="1.44pt" strokecolor="#000000">
                <v:path arrowok="t"/>
              </v:shape>
            </v:group>
            <v:group style="position:absolute;left:10825;top:1148;width:1592;height:2" coordorigin="10825,1148" coordsize="1592,2">
              <v:shape style="position:absolute;left:10825;top:1148;width:1592;height:2" coordorigin="10825,1148" coordsize="1592,0" path="m10825,1148l12417,1148e" filled="false" stroked="true" strokeweight="1.44pt" strokecolor="#000000">
                <v:path arrowok="t"/>
              </v:shape>
            </v:group>
            <v:group style="position:absolute;left:12417;top:1148;width:29;height:2" coordorigin="12417,1148" coordsize="29,2">
              <v:shape style="position:absolute;left:12417;top:1148;width:29;height:2" coordorigin="12417,1148" coordsize="29,0" path="m12417,1148l12446,1148e" filled="false" stroked="true" strokeweight="1.44pt" strokecolor="#000000">
                <v:path arrowok="t"/>
              </v:shape>
            </v:group>
            <v:group style="position:absolute;left:12446;top:1148;width:2969;height:2" coordorigin="12446,1148" coordsize="2969,2">
              <v:shape style="position:absolute;left:12446;top:1148;width:2969;height:2" coordorigin="12446,1148" coordsize="2969,0" path="m12446,1148l15415,1148e" filled="false" stroked="true" strokeweight="1.44pt" strokecolor="#000000">
                <v:path arrowok="t"/>
              </v:shape>
            </v:group>
            <v:group style="position:absolute;left:1428;top:1618;width:1851;height:1028" coordorigin="1428,1618" coordsize="1851,1028">
              <v:shape style="position:absolute;left:1428;top:1618;width:1851;height:1028" coordorigin="1428,1618" coordsize="1851,1028" path="m1428,2645l3279,2645,3279,1618,1428,1618,1428,2645xe" filled="true" fillcolor="#d2d2d2" stroked="false">
                <v:path arrowok="t"/>
                <v:fill type="solid"/>
              </v:shape>
            </v:group>
            <v:group style="position:absolute;left:1428;top:2645;width:1851;height:1026" coordorigin="1428,2645" coordsize="1851,1026">
              <v:shape style="position:absolute;left:1428;top:2645;width:1851;height:1026" coordorigin="1428,2645" coordsize="1851,1026" path="m1428,3671l3279,3671,3279,2645,1428,2645,1428,3671xe" filled="true" fillcolor="#d2d2d2" stroked="false">
                <v:path arrowok="t"/>
                <v:fill type="solid"/>
              </v:shape>
            </v:group>
            <v:group style="position:absolute;left:1428;top:3671;width:1851;height:1028" coordorigin="1428,3671" coordsize="1851,1028">
              <v:shape style="position:absolute;left:1428;top:3671;width:1851;height:1028" coordorigin="1428,3671" coordsize="1851,1028" path="m1428,4698l3279,4698,3279,3671,1428,3671,1428,4698xe" filled="true" fillcolor="#d2d2d2" stroked="false">
                <v:path arrowok="t"/>
                <v:fill type="solid"/>
              </v:shape>
            </v:group>
            <v:group style="position:absolute;left:1428;top:4698;width:1851;height:1026" coordorigin="1428,4698" coordsize="1851,1026">
              <v:shape style="position:absolute;left:1428;top:4698;width:1851;height:1026" coordorigin="1428,4698" coordsize="1851,1026" path="m1428,5723l3279,5723,3279,4698,1428,4698,1428,5723xe" filled="true" fillcolor="#d2d2d2" stroked="false">
                <v:path arrowok="t"/>
                <v:fill type="solid"/>
              </v:shape>
            </v:group>
            <v:group style="position:absolute;left:1428;top:5723;width:1851;height:1028" coordorigin="1428,5723" coordsize="1851,1028">
              <v:shape style="position:absolute;left:1428;top:5723;width:1851;height:1028" coordorigin="1428,5723" coordsize="1851,1028" path="m1428,6750l3279,6750,3279,5723,1428,5723,1428,6750xe" filled="true" fillcolor="#d2d2d2" stroked="false">
                <v:path arrowok="t"/>
                <v:fill type="solid"/>
              </v:shape>
            </v:group>
            <v:group style="position:absolute;left:1428;top:6750;width:1851;height:3133" coordorigin="1428,6750" coordsize="1851,3133">
              <v:shape style="position:absolute;left:1428;top:6750;width:1851;height:3133" coordorigin="1428,6750" coordsize="1851,3133" path="m1428,9883l3279,9883,3279,6750,1428,6750,1428,9883xe" filled="true" fillcolor="#d2d2d2" stroked="false">
                <v:path arrowok="t"/>
                <v:fill type="solid"/>
              </v:shape>
            </v:group>
            <v:group style="position:absolute;left:12429;top:6760;width:2984;height:1211" coordorigin="12429,6760" coordsize="2984,1211">
              <v:shape style="position:absolute;left:12429;top:6760;width:2984;height:1211" coordorigin="12429,6760" coordsize="2984,1211" path="m12429,7970l15412,7970,15412,6760,12429,6760,12429,7970xe" filled="true" fillcolor="#ffffff" stroked="false">
                <v:path arrowok="t"/>
                <v:fill type="solid"/>
              </v:shape>
            </v:group>
            <v:group style="position:absolute;left:12440;top:7970;width:2;height:704" coordorigin="12440,7970" coordsize="2,704">
              <v:shape style="position:absolute;left:12440;top:7970;width:2;height:704" coordorigin="12440,7970" coordsize="0,704" path="m12440,7970l12440,8673e" filled="false" stroked="true" strokeweight="1.08pt" strokecolor="#ffffff">
                <v:path arrowok="t"/>
              </v:shape>
            </v:group>
            <v:group style="position:absolute;left:12429;top:8673;width:2984;height:1210" coordorigin="12429,8673" coordsize="2984,1210">
              <v:shape style="position:absolute;left:12429;top:8673;width:2984;height:1210" coordorigin="12429,8673" coordsize="2984,1210" path="m12429,9883l15412,9883,15412,8673,12429,8673,12429,9883xe" filled="true" fillcolor="#ffffff" stroked="false">
                <v:path arrowok="t"/>
                <v:fill type="solid"/>
              </v:shape>
            </v:group>
            <v:group style="position:absolute;left:1428;top:9883;width:1851;height:464" coordorigin="1428,9883" coordsize="1851,464">
              <v:shape style="position:absolute;left:1428;top:9883;width:1851;height:464" coordorigin="1428,9883" coordsize="1851,464" path="m1428,10346l3279,10346,3279,9883,1428,9883,1428,10346xe" filled="true" fillcolor="#d2d2d2" stroked="false">
                <v:path arrowok="t"/>
                <v:fill type="solid"/>
              </v:shape>
            </v:group>
            <v:group style="position:absolute;left:1411;top:1133;width:2;height:9240" coordorigin="1411,1133" coordsize="2,9240">
              <v:shape style="position:absolute;left:1411;top:1133;width:2;height:9240" coordorigin="1411,1133" coordsize="0,9240" path="m1411,1133l1411,10373e" filled="false" stroked="true" strokeweight="1.44pt" strokecolor="#000000">
                <v:path arrowok="t"/>
              </v:shape>
            </v:group>
            <v:group style="position:absolute;left:1426;top:10358;width:1854;height:2" coordorigin="1426,10358" coordsize="1854,2">
              <v:shape style="position:absolute;left:1426;top:10358;width:1854;height:2" coordorigin="1426,10358" coordsize="1854,0" path="m1426,10358l3279,10358e" filled="false" stroked="true" strokeweight="1.44pt" strokecolor="#000000">
                <v:path arrowok="t"/>
              </v:shape>
            </v:group>
            <v:group style="position:absolute;left:3284;top:1162;width:2;height:9182" coordorigin="3284,1162" coordsize="2,9182">
              <v:shape style="position:absolute;left:3284;top:1162;width:2;height:9182" coordorigin="3284,1162" coordsize="0,9182" path="m3284,1162l3284,10344e" filled="false" stroked="true" strokeweight=".48pt" strokecolor="#000000">
                <v:path arrowok="t"/>
              </v:shape>
            </v:group>
            <v:group style="position:absolute;left:3279;top:10358;width:29;height:2" coordorigin="3279,10358" coordsize="29,2">
              <v:shape style="position:absolute;left:3279;top:10358;width:29;height:2" coordorigin="3279,10358" coordsize="29,0" path="m3279,10358l3308,10358e" filled="false" stroked="true" strokeweight="1.44pt" strokecolor="#000000">
                <v:path arrowok="t"/>
              </v:shape>
            </v:group>
            <v:group style="position:absolute;left:3308;top:10358;width:1280;height:2" coordorigin="3308,10358" coordsize="1280,2">
              <v:shape style="position:absolute;left:3308;top:10358;width:1280;height:2" coordorigin="3308,10358" coordsize="1280,0" path="m3308,10358l4587,10358e" filled="false" stroked="true" strokeweight="1.44pt" strokecolor="#000000">
                <v:path arrowok="t"/>
              </v:shape>
            </v:group>
            <v:group style="position:absolute;left:4592;top:1162;width:2;height:9182" coordorigin="4592,1162" coordsize="2,9182">
              <v:shape style="position:absolute;left:4592;top:1162;width:2;height:9182" coordorigin="4592,1162" coordsize="0,9182" path="m4592,1162l4592,10344e" filled="false" stroked="true" strokeweight=".48pt" strokecolor="#000000">
                <v:path arrowok="t"/>
              </v:shape>
            </v:group>
            <v:group style="position:absolute;left:4587;top:10358;width:29;height:2" coordorigin="4587,10358" coordsize="29,2">
              <v:shape style="position:absolute;left:4587;top:10358;width:29;height:2" coordorigin="4587,10358" coordsize="29,0" path="m4587,10358l4616,10358e" filled="false" stroked="true" strokeweight="1.44pt" strokecolor="#000000">
                <v:path arrowok="t"/>
              </v:shape>
            </v:group>
            <v:group style="position:absolute;left:4616;top:10358;width:4473;height:2" coordorigin="4616,10358" coordsize="4473,2">
              <v:shape style="position:absolute;left:4616;top:10358;width:4473;height:2" coordorigin="4616,10358" coordsize="4473,0" path="m4616,10358l9088,10358e" filled="false" stroked="true" strokeweight="1.44pt" strokecolor="#000000">
                <v:path arrowok="t"/>
              </v:shape>
            </v:group>
            <v:group style="position:absolute;left:9093;top:1162;width:2;height:9182" coordorigin="9093,1162" coordsize="2,9182">
              <v:shape style="position:absolute;left:9093;top:1162;width:2;height:9182" coordorigin="9093,1162" coordsize="0,9182" path="m9093,1162l9093,10344e" filled="false" stroked="true" strokeweight=".48001pt" strokecolor="#000000">
                <v:path arrowok="t"/>
              </v:shape>
            </v:group>
            <v:group style="position:absolute;left:9088;top:10358;width:29;height:2" coordorigin="9088,10358" coordsize="29,2">
              <v:shape style="position:absolute;left:9088;top:10358;width:29;height:2" coordorigin="9088,10358" coordsize="29,0" path="m9088,10358l9117,10358e" filled="false" stroked="true" strokeweight="1.44pt" strokecolor="#000000">
                <v:path arrowok="t"/>
              </v:shape>
            </v:group>
            <v:group style="position:absolute;left:9117;top:10358;width:1680;height:2" coordorigin="9117,10358" coordsize="1680,2">
              <v:shape style="position:absolute;left:9117;top:10358;width:1680;height:2" coordorigin="9117,10358" coordsize="1680,0" path="m9117,10358l10797,10358e" filled="false" stroked="true" strokeweight="1.44pt" strokecolor="#000000">
                <v:path arrowok="t"/>
              </v:shape>
            </v:group>
            <v:group style="position:absolute;left:10801;top:1162;width:2;height:9182" coordorigin="10801,1162" coordsize="2,9182">
              <v:shape style="position:absolute;left:10801;top:1162;width:2;height:9182" coordorigin="10801,1162" coordsize="0,9182" path="m10801,1162l10801,10344e" filled="false" stroked="true" strokeweight=".47998pt" strokecolor="#000000">
                <v:path arrowok="t"/>
              </v:shape>
            </v:group>
            <v:group style="position:absolute;left:10797;top:10358;width:29;height:2" coordorigin="10797,10358" coordsize="29,2">
              <v:shape style="position:absolute;left:10797;top:10358;width:29;height:2" coordorigin="10797,10358" coordsize="29,0" path="m10797,10358l10825,10358e" filled="false" stroked="true" strokeweight="1.44pt" strokecolor="#000000">
                <v:path arrowok="t"/>
              </v:shape>
            </v:group>
            <v:group style="position:absolute;left:10825;top:10358;width:1592;height:2" coordorigin="10825,10358" coordsize="1592,2">
              <v:shape style="position:absolute;left:10825;top:10358;width:1592;height:2" coordorigin="10825,10358" coordsize="1592,0" path="m10825,10358l12417,10358e" filled="false" stroked="true" strokeweight="1.44pt" strokecolor="#000000">
                <v:path arrowok="t"/>
              </v:shape>
            </v:group>
            <v:group style="position:absolute;left:12422;top:1162;width:2;height:9182" coordorigin="12422,1162" coordsize="2,9182">
              <v:shape style="position:absolute;left:12422;top:1162;width:2;height:9182" coordorigin="12422,1162" coordsize="0,9182" path="m12422,1162l12422,10344e" filled="false" stroked="true" strokeweight=".47998pt" strokecolor="#000000">
                <v:path arrowok="t"/>
              </v:shape>
            </v:group>
            <v:group style="position:absolute;left:12417;top:10358;width:29;height:2" coordorigin="12417,10358" coordsize="29,2">
              <v:shape style="position:absolute;left:12417;top:10358;width:29;height:2" coordorigin="12417,10358" coordsize="29,0" path="m12417,10358l12446,10358e" filled="false" stroked="true" strokeweight="1.44pt" strokecolor="#000000">
                <v:path arrowok="t"/>
              </v:shape>
            </v:group>
            <v:group style="position:absolute;left:12446;top:10358;width:2969;height:2" coordorigin="12446,10358" coordsize="2969,2">
              <v:shape style="position:absolute;left:12446;top:10358;width:2969;height:2" coordorigin="12446,10358" coordsize="2969,0" path="m12446,10358l15415,10358e" filled="false" stroked="true" strokeweight="1.44pt" strokecolor="#000000">
                <v:path arrowok="t"/>
              </v:shape>
            </v:group>
            <v:group style="position:absolute;left:15429;top:1133;width:2;height:9240" coordorigin="15429,1133" coordsize="2,9240">
              <v:shape style="position:absolute;left:15429;top:1133;width:2;height:9240" coordorigin="15429,1133" coordsize="0,9240" path="m15429,1133l15429,10373e" filled="false" stroked="true" strokeweight="1.44pt" strokecolor="#000000">
                <v:path arrowok="t"/>
              </v:shape>
            </v:group>
            <w10:wrap type="none"/>
          </v:group>
        </w:pict>
      </w:r>
      <w:r>
        <w:rPr/>
        <w:pict>
          <v:shape style="position:absolute;margin-left:164.419998pt;margin-top:55.580006pt;width:607.050pt;height:439.3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3"/>
                    <w:gridCol w:w="4501"/>
                    <w:gridCol w:w="1709"/>
                    <w:gridCol w:w="1621"/>
                    <w:gridCol w:w="3007"/>
                  </w:tblGrid>
                  <w:tr>
                    <w:trPr>
                      <w:trHeight w:val="511" w:hRule="exact"/>
                    </w:trPr>
                    <w:tc>
                      <w:tcPr>
                        <w:tcW w:w="1303" w:type="dxa"/>
                        <w:tcBorders>
                          <w:top w:val="nil" w:sz="6" w:space="0" w:color="auto"/>
                          <w:left w:val="nil" w:sz="6" w:space="0" w:color="auto"/>
                          <w:bottom w:val="single" w:sz="4" w:space="0" w:color="000000"/>
                          <w:right w:val="nil" w:sz="6" w:space="0" w:color="auto"/>
                        </w:tcBorders>
                      </w:tcPr>
                      <w:p>
                        <w:pPr/>
                      </w:p>
                    </w:tc>
                    <w:tc>
                      <w:tcPr>
                        <w:tcW w:w="4501"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行情况的公告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6337" w:type="dxa"/>
                        <w:gridSpan w:val="3"/>
                        <w:tcBorders>
                          <w:top w:val="nil" w:sz="6" w:space="0" w:color="auto"/>
                          <w:left w:val="nil" w:sz="6" w:space="0" w:color="auto"/>
                          <w:bottom w:val="single" w:sz="4" w:space="0" w:color="000000"/>
                          <w:right w:val="nil" w:sz="6" w:space="0" w:color="auto"/>
                        </w:tcBorders>
                      </w:tcPr>
                      <w:p>
                        <w:pPr/>
                      </w:p>
                    </w:tc>
                  </w:tr>
                  <w:tr>
                    <w:trPr>
                      <w:trHeight w:val="1027" w:hRule="exact"/>
                    </w:trPr>
                    <w:tc>
                      <w:tcPr>
                        <w:tcW w:w="130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450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《关于规范关联交易的承诺</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300" w:lineRule="auto" w:before="63"/>
                          <w:ind w:left="26"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日在巨潮网上披露的《关于公司及相关方承诺事项履 </w:t>
                        </w:r>
                        <w:r>
                          <w:rPr>
                            <w:rFonts w:ascii="宋体" w:hAnsi="宋体" w:cs="宋体" w:eastAsia="宋体" w:hint="default"/>
                            <w:spacing w:val="-12"/>
                            <w:sz w:val="18"/>
                            <w:szCs w:val="18"/>
                          </w:rPr>
                          <w:t>行情况的公告》。</w:t>
                        </w:r>
                      </w:p>
                    </w:tc>
                    <w:tc>
                      <w:tcPr>
                        <w:tcW w:w="170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62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47"/>
                          <w:jc w:val="right"/>
                          <w:rPr>
                            <w:rFonts w:ascii="宋体" w:hAnsi="宋体" w:cs="宋体" w:eastAsia="宋体" w:hint="default"/>
                            <w:sz w:val="18"/>
                            <w:szCs w:val="18"/>
                          </w:rPr>
                        </w:pPr>
                        <w:r>
                          <w:rPr>
                            <w:rFonts w:ascii="宋体" w:hAnsi="宋体" w:cs="宋体" w:eastAsia="宋体" w:hint="default"/>
                            <w:sz w:val="18"/>
                            <w:szCs w:val="18"/>
                          </w:rPr>
                          <w:t>长期有效</w:t>
                        </w:r>
                      </w:p>
                    </w:tc>
                    <w:tc>
                      <w:tcPr>
                        <w:tcW w:w="300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96"/>
                          <w:jc w:val="left"/>
                          <w:rPr>
                            <w:rFonts w:ascii="宋体" w:hAnsi="宋体" w:cs="宋体" w:eastAsia="宋体" w:hint="default"/>
                            <w:sz w:val="18"/>
                            <w:szCs w:val="18"/>
                          </w:rPr>
                        </w:pPr>
                        <w:r>
                          <w:rPr>
                            <w:rFonts w:ascii="宋体" w:hAnsi="宋体" w:cs="宋体" w:eastAsia="宋体" w:hint="default"/>
                            <w:sz w:val="18"/>
                            <w:szCs w:val="18"/>
                          </w:rPr>
                          <w:t>截至本报告日，上述承诺仍在履行过 </w:t>
                        </w:r>
                        <w:r>
                          <w:rPr>
                            <w:rFonts w:ascii="宋体" w:hAnsi="宋体" w:cs="宋体" w:eastAsia="宋体" w:hint="default"/>
                            <w:spacing w:val="-2"/>
                            <w:sz w:val="18"/>
                            <w:szCs w:val="18"/>
                          </w:rPr>
                          <w:t>程中，承诺人无违反上述承诺的情况</w:t>
                        </w:r>
                      </w:p>
                    </w:tc>
                  </w:tr>
                  <w:tr>
                    <w:trPr>
                      <w:trHeight w:val="1025" w:hRule="exact"/>
                    </w:trPr>
                    <w:tc>
                      <w:tcPr>
                        <w:tcW w:w="130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6"/>
                          <w:jc w:val="left"/>
                          <w:rPr>
                            <w:rFonts w:ascii="宋体" w:hAnsi="宋体" w:cs="宋体" w:eastAsia="宋体" w:hint="default"/>
                            <w:sz w:val="18"/>
                            <w:szCs w:val="18"/>
                          </w:rPr>
                        </w:pPr>
                        <w:r>
                          <w:rPr>
                            <w:rFonts w:ascii="宋体" w:hAnsi="宋体" w:cs="宋体" w:eastAsia="宋体" w:hint="default"/>
                            <w:spacing w:val="-2"/>
                            <w:sz w:val="18"/>
                            <w:szCs w:val="18"/>
                          </w:rPr>
                          <w:t>神码软件、天津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信锐、中新创投</w:t>
                        </w:r>
                      </w:p>
                    </w:tc>
                    <w:tc>
                      <w:tcPr>
                        <w:tcW w:w="4501" w:type="dxa"/>
                        <w:tcBorders>
                          <w:top w:val="single" w:sz="4" w:space="0" w:color="000000"/>
                          <w:left w:val="nil" w:sz="6" w:space="0" w:color="auto"/>
                          <w:bottom w:val="single" w:sz="4" w:space="0" w:color="000000"/>
                          <w:right w:val="nil" w:sz="6" w:space="0" w:color="auto"/>
                        </w:tcBorders>
                      </w:tcPr>
                      <w:p>
                        <w:pPr>
                          <w:pStyle w:val="TableParagraph"/>
                          <w:spacing w:line="307" w:lineRule="auto" w:before="49"/>
                          <w:ind w:left="26" w:right="27"/>
                          <w:jc w:val="both"/>
                          <w:rPr>
                            <w:rFonts w:ascii="宋体" w:hAnsi="宋体" w:cs="宋体" w:eastAsia="宋体" w:hint="default"/>
                            <w:sz w:val="18"/>
                            <w:szCs w:val="18"/>
                          </w:rPr>
                        </w:pPr>
                        <w:r>
                          <w:rPr>
                            <w:rFonts w:ascii="宋体" w:hAnsi="宋体" w:cs="宋体" w:eastAsia="宋体" w:hint="default"/>
                            <w:spacing w:val="-6"/>
                            <w:sz w:val="18"/>
                            <w:szCs w:val="18"/>
                          </w:rPr>
                          <w:t>《无违法行为的确认函》，详见公司于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w:t>
                        </w:r>
                        <w:r>
                          <w:rPr>
                            <w:rFonts w:ascii="宋体" w:hAnsi="宋体" w:cs="宋体" w:eastAsia="宋体" w:hint="default"/>
                            <w:spacing w:val="-3"/>
                            <w:sz w:val="18"/>
                            <w:szCs w:val="18"/>
                          </w:rPr>
                          <w:t>在巨潮网上披露的《关于公司及相关方承诺事项履行情况</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9"/>
                            <w:sz w:val="18"/>
                            <w:szCs w:val="18"/>
                          </w:rPr>
                          <w:t>的公告》。</w:t>
                        </w:r>
                      </w:p>
                    </w:tc>
                    <w:tc>
                      <w:tcPr>
                        <w:tcW w:w="170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62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47"/>
                          <w:jc w:val="right"/>
                          <w:rPr>
                            <w:rFonts w:ascii="宋体" w:hAnsi="宋体" w:cs="宋体" w:eastAsia="宋体" w:hint="default"/>
                            <w:sz w:val="18"/>
                            <w:szCs w:val="18"/>
                          </w:rPr>
                        </w:pPr>
                        <w:r>
                          <w:rPr>
                            <w:rFonts w:ascii="宋体" w:hAnsi="宋体" w:cs="宋体" w:eastAsia="宋体" w:hint="default"/>
                            <w:sz w:val="18"/>
                            <w:szCs w:val="18"/>
                          </w:rPr>
                          <w:t>长期有效</w:t>
                        </w:r>
                      </w:p>
                    </w:tc>
                    <w:tc>
                      <w:tcPr>
                        <w:tcW w:w="300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96"/>
                          <w:jc w:val="left"/>
                          <w:rPr>
                            <w:rFonts w:ascii="宋体" w:hAnsi="宋体" w:cs="宋体" w:eastAsia="宋体" w:hint="default"/>
                            <w:sz w:val="18"/>
                            <w:szCs w:val="18"/>
                          </w:rPr>
                        </w:pPr>
                        <w:r>
                          <w:rPr>
                            <w:rFonts w:ascii="宋体" w:hAnsi="宋体" w:cs="宋体" w:eastAsia="宋体" w:hint="default"/>
                            <w:sz w:val="18"/>
                            <w:szCs w:val="18"/>
                          </w:rPr>
                          <w:t>截至本报告日，上述承诺仍在履行过 </w:t>
                        </w:r>
                        <w:r>
                          <w:rPr>
                            <w:rFonts w:ascii="宋体" w:hAnsi="宋体" w:cs="宋体" w:eastAsia="宋体" w:hint="default"/>
                            <w:spacing w:val="-2"/>
                            <w:sz w:val="18"/>
                            <w:szCs w:val="18"/>
                          </w:rPr>
                          <w:t>程中，承诺人无违反上述承诺的情况</w:t>
                        </w:r>
                      </w:p>
                    </w:tc>
                  </w:tr>
                  <w:tr>
                    <w:trPr>
                      <w:trHeight w:val="1027" w:hRule="exact"/>
                    </w:trPr>
                    <w:tc>
                      <w:tcPr>
                        <w:tcW w:w="130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450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《关于上市公司股利分配政策的承诺</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p>
                      <w:p>
                        <w:pPr>
                          <w:pStyle w:val="TableParagraph"/>
                          <w:spacing w:line="300" w:lineRule="auto" w:before="63"/>
                          <w:ind w:left="26" w:right="6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日在巨潮网上披露的《关于公司及相关方承诺 </w:t>
                        </w:r>
                        <w:r>
                          <w:rPr>
                            <w:rFonts w:ascii="宋体" w:hAnsi="宋体" w:cs="宋体" w:eastAsia="宋体" w:hint="default"/>
                            <w:spacing w:val="-9"/>
                            <w:sz w:val="18"/>
                            <w:szCs w:val="18"/>
                          </w:rPr>
                          <w:t>事项履行情况的公告》。</w:t>
                        </w:r>
                      </w:p>
                    </w:tc>
                    <w:tc>
                      <w:tcPr>
                        <w:tcW w:w="170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62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47"/>
                          <w:jc w:val="right"/>
                          <w:rPr>
                            <w:rFonts w:ascii="宋体" w:hAnsi="宋体" w:cs="宋体" w:eastAsia="宋体" w:hint="default"/>
                            <w:sz w:val="18"/>
                            <w:szCs w:val="18"/>
                          </w:rPr>
                        </w:pPr>
                        <w:r>
                          <w:rPr>
                            <w:rFonts w:ascii="宋体" w:hAnsi="宋体" w:cs="宋体" w:eastAsia="宋体" w:hint="default"/>
                            <w:sz w:val="18"/>
                            <w:szCs w:val="18"/>
                          </w:rPr>
                          <w:t>长期有效</w:t>
                        </w:r>
                      </w:p>
                    </w:tc>
                    <w:tc>
                      <w:tcPr>
                        <w:tcW w:w="300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96"/>
                          <w:jc w:val="left"/>
                          <w:rPr>
                            <w:rFonts w:ascii="宋体" w:hAnsi="宋体" w:cs="宋体" w:eastAsia="宋体" w:hint="default"/>
                            <w:sz w:val="18"/>
                            <w:szCs w:val="18"/>
                          </w:rPr>
                        </w:pPr>
                        <w:r>
                          <w:rPr>
                            <w:rFonts w:ascii="宋体" w:hAnsi="宋体" w:cs="宋体" w:eastAsia="宋体" w:hint="default"/>
                            <w:sz w:val="18"/>
                            <w:szCs w:val="18"/>
                          </w:rPr>
                          <w:t>截至本报告日，上述承诺仍在履行过 </w:t>
                        </w:r>
                        <w:r>
                          <w:rPr>
                            <w:rFonts w:ascii="宋体" w:hAnsi="宋体" w:cs="宋体" w:eastAsia="宋体" w:hint="default"/>
                            <w:spacing w:val="-2"/>
                            <w:sz w:val="18"/>
                            <w:szCs w:val="18"/>
                          </w:rPr>
                          <w:t>程中，承诺人无违反上述承诺的情况</w:t>
                        </w:r>
                      </w:p>
                    </w:tc>
                  </w:tr>
                  <w:tr>
                    <w:trPr>
                      <w:trHeight w:val="1025" w:hRule="exact"/>
                    </w:trPr>
                    <w:tc>
                      <w:tcPr>
                        <w:tcW w:w="130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450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《关于标的资产隐形负债的承诺</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300" w:lineRule="auto" w:before="60"/>
                          <w:ind w:left="26" w:right="6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日在巨潮网上披露的《关于公司及相关方承诺事项 </w:t>
                        </w:r>
                        <w:r>
                          <w:rPr>
                            <w:rFonts w:ascii="宋体" w:hAnsi="宋体" w:cs="宋体" w:eastAsia="宋体" w:hint="default"/>
                            <w:spacing w:val="-11"/>
                            <w:sz w:val="18"/>
                            <w:szCs w:val="18"/>
                          </w:rPr>
                          <w:t>履行情况的公告》。</w:t>
                        </w:r>
                      </w:p>
                    </w:tc>
                    <w:tc>
                      <w:tcPr>
                        <w:tcW w:w="170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62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47"/>
                          <w:jc w:val="right"/>
                          <w:rPr>
                            <w:rFonts w:ascii="宋体" w:hAnsi="宋体" w:cs="宋体" w:eastAsia="宋体" w:hint="default"/>
                            <w:sz w:val="18"/>
                            <w:szCs w:val="18"/>
                          </w:rPr>
                        </w:pPr>
                        <w:r>
                          <w:rPr>
                            <w:rFonts w:ascii="宋体" w:hAnsi="宋体" w:cs="宋体" w:eastAsia="宋体" w:hint="default"/>
                            <w:sz w:val="18"/>
                            <w:szCs w:val="18"/>
                          </w:rPr>
                          <w:t>长期有效</w:t>
                        </w:r>
                      </w:p>
                    </w:tc>
                    <w:tc>
                      <w:tcPr>
                        <w:tcW w:w="300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8" w:right="96"/>
                          <w:jc w:val="left"/>
                          <w:rPr>
                            <w:rFonts w:ascii="宋体" w:hAnsi="宋体" w:cs="宋体" w:eastAsia="宋体" w:hint="default"/>
                            <w:sz w:val="18"/>
                            <w:szCs w:val="18"/>
                          </w:rPr>
                        </w:pPr>
                        <w:r>
                          <w:rPr>
                            <w:rFonts w:ascii="宋体" w:hAnsi="宋体" w:cs="宋体" w:eastAsia="宋体" w:hint="default"/>
                            <w:sz w:val="18"/>
                            <w:szCs w:val="18"/>
                          </w:rPr>
                          <w:t>截至本报告日，上述承诺仍在履行过 </w:t>
                        </w:r>
                        <w:r>
                          <w:rPr>
                            <w:rFonts w:ascii="宋体" w:hAnsi="宋体" w:cs="宋体" w:eastAsia="宋体" w:hint="default"/>
                            <w:spacing w:val="-2"/>
                            <w:sz w:val="18"/>
                            <w:szCs w:val="18"/>
                          </w:rPr>
                          <w:t>程中，承诺人无违反上述承诺的情况</w:t>
                        </w:r>
                      </w:p>
                    </w:tc>
                  </w:tr>
                  <w:tr>
                    <w:trPr>
                      <w:trHeight w:val="1027" w:hRule="exact"/>
                    </w:trPr>
                    <w:tc>
                      <w:tcPr>
                        <w:tcW w:w="130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450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《关于标的资产租赁房屋事项的承诺</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p>
                      <w:p>
                        <w:pPr>
                          <w:pStyle w:val="TableParagraph"/>
                          <w:spacing w:line="300" w:lineRule="auto" w:before="63"/>
                          <w:ind w:left="26" w:right="6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日在巨潮网上披露的《关于公司及相关方承诺 </w:t>
                        </w:r>
                        <w:r>
                          <w:rPr>
                            <w:rFonts w:ascii="宋体" w:hAnsi="宋体" w:cs="宋体" w:eastAsia="宋体" w:hint="default"/>
                            <w:spacing w:val="-9"/>
                            <w:sz w:val="18"/>
                            <w:szCs w:val="18"/>
                          </w:rPr>
                          <w:t>事项履行情况的公告》。</w:t>
                        </w:r>
                      </w:p>
                    </w:tc>
                    <w:tc>
                      <w:tcPr>
                        <w:tcW w:w="170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62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47"/>
                          <w:jc w:val="right"/>
                          <w:rPr>
                            <w:rFonts w:ascii="宋体" w:hAnsi="宋体" w:cs="宋体" w:eastAsia="宋体" w:hint="default"/>
                            <w:sz w:val="18"/>
                            <w:szCs w:val="18"/>
                          </w:rPr>
                        </w:pPr>
                        <w:r>
                          <w:rPr>
                            <w:rFonts w:ascii="宋体" w:hAnsi="宋体" w:cs="宋体" w:eastAsia="宋体" w:hint="default"/>
                            <w:sz w:val="18"/>
                            <w:szCs w:val="18"/>
                          </w:rPr>
                          <w:t>长期有效</w:t>
                        </w:r>
                      </w:p>
                    </w:tc>
                    <w:tc>
                      <w:tcPr>
                        <w:tcW w:w="300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96"/>
                          <w:jc w:val="left"/>
                          <w:rPr>
                            <w:rFonts w:ascii="宋体" w:hAnsi="宋体" w:cs="宋体" w:eastAsia="宋体" w:hint="default"/>
                            <w:sz w:val="18"/>
                            <w:szCs w:val="18"/>
                          </w:rPr>
                        </w:pPr>
                        <w:r>
                          <w:rPr>
                            <w:rFonts w:ascii="宋体" w:hAnsi="宋体" w:cs="宋体" w:eastAsia="宋体" w:hint="default"/>
                            <w:sz w:val="18"/>
                            <w:szCs w:val="18"/>
                          </w:rPr>
                          <w:t>截至本报告日，上述承诺仍在履行过 </w:t>
                        </w:r>
                        <w:r>
                          <w:rPr>
                            <w:rFonts w:ascii="宋体" w:hAnsi="宋体" w:cs="宋体" w:eastAsia="宋体" w:hint="default"/>
                            <w:spacing w:val="-2"/>
                            <w:sz w:val="18"/>
                            <w:szCs w:val="18"/>
                          </w:rPr>
                          <w:t>程中，承诺人无违反上述承诺的情况</w:t>
                        </w:r>
                      </w:p>
                    </w:tc>
                  </w:tr>
                  <w:tr>
                    <w:trPr>
                      <w:trHeight w:val="3133" w:hRule="exact"/>
                    </w:trPr>
                    <w:tc>
                      <w:tcPr>
                        <w:tcW w:w="130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中新创投</w:t>
                        </w:r>
                      </w:p>
                    </w:tc>
                    <w:tc>
                      <w:tcPr>
                        <w:tcW w:w="450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61"/>
                          <w:ind w:left="26" w:right="27"/>
                          <w:jc w:val="both"/>
                          <w:rPr>
                            <w:rFonts w:ascii="宋体" w:hAnsi="宋体" w:cs="宋体" w:eastAsia="宋体" w:hint="default"/>
                            <w:sz w:val="18"/>
                            <w:szCs w:val="18"/>
                          </w:rPr>
                        </w:pPr>
                        <w:r>
                          <w:rPr>
                            <w:rFonts w:ascii="宋体" w:hAnsi="宋体" w:cs="宋体" w:eastAsia="宋体" w:hint="default"/>
                            <w:spacing w:val="-6"/>
                            <w:sz w:val="18"/>
                            <w:szCs w:val="18"/>
                          </w:rPr>
                          <w:t>《关于股份限售的承诺》，详见公司于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w:t>
                        </w:r>
                        <w:r>
                          <w:rPr>
                            <w:rFonts w:ascii="宋体" w:hAnsi="宋体" w:cs="宋体" w:eastAsia="宋体" w:hint="default"/>
                            <w:spacing w:val="-3"/>
                            <w:sz w:val="18"/>
                            <w:szCs w:val="18"/>
                          </w:rPr>
                          <w:t>在巨潮网上披露的《关于公司及相关方承诺事项履行情况</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9"/>
                            <w:sz w:val="18"/>
                            <w:szCs w:val="18"/>
                          </w:rPr>
                          <w:t>的公告》。</w:t>
                        </w:r>
                      </w:p>
                    </w:tc>
                    <w:tc>
                      <w:tcPr>
                        <w:tcW w:w="170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462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个月，且前述限</w:t>
                        </w:r>
                      </w:p>
                      <w:p>
                        <w:pPr>
                          <w:pStyle w:val="TableParagraph"/>
                          <w:spacing w:line="240" w:lineRule="auto" w:before="60"/>
                          <w:ind w:left="28" w:right="0" w:firstLine="16"/>
                          <w:jc w:val="left"/>
                          <w:rPr>
                            <w:rFonts w:ascii="宋体" w:hAnsi="宋体" w:cs="宋体" w:eastAsia="宋体" w:hint="default"/>
                            <w:sz w:val="18"/>
                            <w:szCs w:val="18"/>
                          </w:rPr>
                        </w:pPr>
                        <w:r>
                          <w:rPr>
                            <w:rFonts w:ascii="宋体" w:hAnsi="宋体" w:cs="宋体" w:eastAsia="宋体" w:hint="default"/>
                            <w:sz w:val="18"/>
                            <w:szCs w:val="18"/>
                          </w:rPr>
                          <w:t>售期满后的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312" w:lineRule="exact" w:before="24"/>
                          <w:ind w:left="28" w:right="2959"/>
                          <w:jc w:val="left"/>
                          <w:rPr>
                            <w:rFonts w:ascii="宋体" w:hAnsi="宋体" w:cs="宋体" w:eastAsia="宋体" w:hint="default"/>
                            <w:sz w:val="18"/>
                            <w:szCs w:val="18"/>
                          </w:rPr>
                        </w:pPr>
                        <w:r>
                          <w:rPr>
                            <w:rFonts w:ascii="宋体" w:hAnsi="宋体" w:cs="宋体" w:eastAsia="宋体" w:hint="default"/>
                            <w:spacing w:val="-7"/>
                            <w:sz w:val="18"/>
                            <w:szCs w:val="18"/>
                          </w:rPr>
                          <w:t>内，减持股份不超过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其取得股份的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p>
                        <w:pPr>
                          <w:pStyle w:val="TableParagraph"/>
                          <w:spacing w:line="80" w:lineRule="exact"/>
                          <w:ind w:left="1649" w:right="0"/>
                          <w:jc w:val="left"/>
                          <w:rPr>
                            <w:rFonts w:ascii="宋体" w:hAnsi="宋体" w:cs="宋体" w:eastAsia="宋体" w:hint="default"/>
                            <w:sz w:val="18"/>
                            <w:szCs w:val="18"/>
                          </w:rPr>
                        </w:pPr>
                        <w:r>
                          <w:rPr>
                            <w:rFonts w:ascii="宋体" w:hAnsi="宋体" w:cs="宋体" w:eastAsia="宋体" w:hint="default"/>
                            <w:sz w:val="18"/>
                            <w:szCs w:val="18"/>
                          </w:rPr>
                          <w:t>截至本报告日，上述承诺仍在履行过</w:t>
                        </w:r>
                      </w:p>
                      <w:p>
                        <w:pPr>
                          <w:pStyle w:val="TableParagraph"/>
                          <w:spacing w:line="155" w:lineRule="exact"/>
                          <w:ind w:left="28" w:right="0"/>
                          <w:jc w:val="left"/>
                          <w:rPr>
                            <w:rFonts w:ascii="宋体" w:hAnsi="宋体" w:cs="宋体" w:eastAsia="宋体" w:hint="default"/>
                            <w:sz w:val="18"/>
                            <w:szCs w:val="18"/>
                          </w:rPr>
                        </w:pPr>
                        <w:r>
                          <w:rPr>
                            <w:rFonts w:ascii="宋体" w:hAnsi="宋体" w:cs="宋体" w:eastAsia="宋体" w:hint="default"/>
                            <w:spacing w:val="-7"/>
                            <w:sz w:val="18"/>
                            <w:szCs w:val="18"/>
                          </w:rPr>
                          <w:t>本次发行结束后，由</w:t>
                        </w:r>
                      </w:p>
                      <w:p>
                        <w:pPr>
                          <w:pStyle w:val="TableParagraph"/>
                          <w:spacing w:line="156" w:lineRule="exact"/>
                          <w:ind w:left="1649" w:right="0"/>
                          <w:jc w:val="left"/>
                          <w:rPr>
                            <w:rFonts w:ascii="宋体" w:hAnsi="宋体" w:cs="宋体" w:eastAsia="宋体" w:hint="default"/>
                            <w:sz w:val="18"/>
                            <w:szCs w:val="18"/>
                          </w:rPr>
                        </w:pPr>
                        <w:r>
                          <w:rPr>
                            <w:rFonts w:ascii="宋体" w:hAnsi="宋体" w:cs="宋体" w:eastAsia="宋体" w:hint="default"/>
                            <w:sz w:val="18"/>
                            <w:szCs w:val="18"/>
                          </w:rPr>
                          <w:t>程中，承诺人无违反上述承诺的情况</w:t>
                        </w:r>
                      </w:p>
                      <w:p>
                        <w:pPr>
                          <w:pStyle w:val="TableParagraph"/>
                          <w:spacing w:line="196" w:lineRule="exact"/>
                          <w:ind w:left="91" w:right="0" w:hanging="63"/>
                          <w:jc w:val="left"/>
                          <w:rPr>
                            <w:rFonts w:ascii="宋体" w:hAnsi="宋体" w:cs="宋体" w:eastAsia="宋体" w:hint="default"/>
                            <w:sz w:val="18"/>
                            <w:szCs w:val="18"/>
                          </w:rPr>
                        </w:pPr>
                        <w:r>
                          <w:rPr>
                            <w:rFonts w:ascii="宋体" w:hAnsi="宋体" w:cs="宋体" w:eastAsia="宋体" w:hint="default"/>
                            <w:sz w:val="18"/>
                            <w:szCs w:val="18"/>
                          </w:rPr>
                          <w:t>于上市公司送红股、</w:t>
                        </w:r>
                      </w:p>
                      <w:p>
                        <w:pPr>
                          <w:pStyle w:val="TableParagraph"/>
                          <w:spacing w:line="316" w:lineRule="auto" w:before="76"/>
                          <w:ind w:left="28" w:right="2978" w:firstLine="62"/>
                          <w:jc w:val="left"/>
                          <w:rPr>
                            <w:rFonts w:ascii="宋体" w:hAnsi="宋体" w:cs="宋体" w:eastAsia="宋体" w:hint="default"/>
                            <w:sz w:val="18"/>
                            <w:szCs w:val="18"/>
                          </w:rPr>
                        </w:pPr>
                        <w:r>
                          <w:rPr>
                            <w:rFonts w:ascii="宋体" w:hAnsi="宋体" w:cs="宋体" w:eastAsia="宋体" w:hint="default"/>
                            <w:sz w:val="18"/>
                            <w:szCs w:val="18"/>
                          </w:rPr>
                          <w:t>转增股本等原因增 持的上市公司股份， 亦应遵守上述承诺。</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44"/>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before="44"/>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44"/>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44"/>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44"/>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44"/>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tabs>
          <w:tab w:pos="9972" w:val="left" w:leader="none"/>
          <w:tab w:pos="11170" w:val="left" w:leader="none"/>
        </w:tabs>
        <w:spacing w:before="43"/>
        <w:ind w:left="2032" w:right="0" w:firstLine="0"/>
        <w:jc w:val="left"/>
        <w:rPr>
          <w:rFonts w:ascii="宋体" w:hAnsi="宋体" w:cs="宋体" w:eastAsia="宋体" w:hint="default"/>
          <w:sz w:val="18"/>
          <w:szCs w:val="18"/>
        </w:rPr>
      </w:pPr>
      <w:r>
        <w:rPr>
          <w:rFonts w:ascii="宋体" w:hAnsi="宋体" w:cs="宋体" w:eastAsia="宋体" w:hint="default"/>
          <w:sz w:val="18"/>
          <w:szCs w:val="18"/>
        </w:rPr>
        <w:t>神码软件</w:t>
      </w:r>
      <w:r>
        <w:rPr>
          <w:rFonts w:ascii="宋体" w:hAnsi="宋体" w:cs="宋体" w:eastAsia="宋体" w:hint="default"/>
          <w:spacing w:val="-10"/>
          <w:sz w:val="18"/>
          <w:szCs w:val="18"/>
        </w:rPr>
        <w:t>、</w:t>
      </w:r>
      <w:r>
        <w:rPr>
          <w:rFonts w:ascii="宋体" w:hAnsi="宋体" w:cs="宋体" w:eastAsia="宋体" w:hint="default"/>
          <w:sz w:val="18"/>
          <w:szCs w:val="18"/>
        </w:rPr>
        <w:t>神州</w:t>
      </w:r>
      <w:r>
        <w:rPr>
          <w:rFonts w:ascii="宋体" w:hAnsi="宋体" w:cs="宋体" w:eastAsia="宋体" w:hint="default"/>
          <w:spacing w:val="-35"/>
          <w:sz w:val="18"/>
          <w:szCs w:val="18"/>
        </w:rPr>
        <w:t> </w:t>
      </w:r>
      <w:r>
        <w:rPr>
          <w:rFonts w:ascii="宋体" w:hAnsi="宋体" w:cs="宋体" w:eastAsia="宋体" w:hint="default"/>
          <w:sz w:val="18"/>
          <w:szCs w:val="18"/>
        </w:rPr>
        <w:t>《关于同业竞争事项的承诺</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 </w:t>
      </w:r>
      <w:r>
        <w:rPr>
          <w:rFonts w:ascii="宋体" w:hAnsi="宋体" w:cs="宋体" w:eastAsia="宋体" w:hint="default"/>
          <w:spacing w:val="-8"/>
          <w:sz w:val="18"/>
          <w:szCs w:val="18"/>
        </w:rPr>
        <w:t> </w:t>
      </w:r>
      <w:r>
        <w:rPr>
          <w:rFonts w:ascii="Times New Roman" w:hAnsi="Times New Roman" w:cs="Times New Roman" w:eastAsia="Times New Roman" w:hint="default"/>
          <w:spacing w:val="1"/>
          <w:position w:val="2"/>
          <w:sz w:val="18"/>
          <w:szCs w:val="18"/>
        </w:rPr>
        <w:t>20</w:t>
      </w:r>
      <w:r>
        <w:rPr>
          <w:rFonts w:ascii="Times New Roman" w:hAnsi="Times New Roman" w:cs="Times New Roman" w:eastAsia="Times New Roman" w:hint="default"/>
          <w:spacing w:val="-2"/>
          <w:position w:val="2"/>
          <w:sz w:val="18"/>
          <w:szCs w:val="18"/>
        </w:rPr>
        <w:t>1</w:t>
      </w:r>
      <w:r>
        <w:rPr>
          <w:rFonts w:ascii="Times New Roman" w:hAnsi="Times New Roman" w:cs="Times New Roman" w:eastAsia="Times New Roman" w:hint="default"/>
          <w:position w:val="2"/>
          <w:sz w:val="18"/>
          <w:szCs w:val="18"/>
        </w:rPr>
        <w:t>4</w:t>
      </w:r>
      <w:r>
        <w:rPr>
          <w:rFonts w:ascii="Times New Roman" w:hAnsi="Times New Roman" w:cs="Times New Roman" w:eastAsia="Times New Roman" w:hint="default"/>
          <w:spacing w:val="2"/>
          <w:position w:val="2"/>
          <w:sz w:val="18"/>
          <w:szCs w:val="18"/>
        </w:rPr>
        <w:t> </w:t>
      </w:r>
      <w:r>
        <w:rPr>
          <w:rFonts w:ascii="宋体" w:hAnsi="宋体" w:cs="宋体" w:eastAsia="宋体" w:hint="default"/>
          <w:position w:val="2"/>
          <w:sz w:val="18"/>
          <w:szCs w:val="18"/>
        </w:rPr>
        <w:t>年</w:t>
      </w:r>
      <w:r>
        <w:rPr>
          <w:rFonts w:ascii="宋体" w:hAnsi="宋体" w:cs="宋体" w:eastAsia="宋体" w:hint="default"/>
          <w:spacing w:val="-47"/>
          <w:position w:val="2"/>
          <w:sz w:val="18"/>
          <w:szCs w:val="18"/>
        </w:rPr>
        <w:t> </w:t>
      </w:r>
      <w:r>
        <w:rPr>
          <w:rFonts w:ascii="Times New Roman" w:hAnsi="Times New Roman" w:cs="Times New Roman" w:eastAsia="Times New Roman" w:hint="default"/>
          <w:spacing w:val="-2"/>
          <w:position w:val="2"/>
          <w:sz w:val="18"/>
          <w:szCs w:val="18"/>
        </w:rPr>
        <w:t>1</w:t>
      </w:r>
      <w:r>
        <w:rPr>
          <w:rFonts w:ascii="Times New Roman" w:hAnsi="Times New Roman" w:cs="Times New Roman" w:eastAsia="Times New Roman" w:hint="default"/>
          <w:position w:val="2"/>
          <w:sz w:val="18"/>
          <w:szCs w:val="18"/>
        </w:rPr>
        <w:t>2</w:t>
      </w:r>
      <w:r>
        <w:rPr>
          <w:rFonts w:ascii="Times New Roman" w:hAnsi="Times New Roman" w:cs="Times New Roman" w:eastAsia="Times New Roman" w:hint="default"/>
          <w:spacing w:val="1"/>
          <w:position w:val="2"/>
          <w:sz w:val="18"/>
          <w:szCs w:val="18"/>
        </w:rPr>
        <w:t> </w:t>
      </w:r>
      <w:r>
        <w:rPr>
          <w:rFonts w:ascii="宋体" w:hAnsi="宋体" w:cs="宋体" w:eastAsia="宋体" w:hint="default"/>
          <w:position w:val="2"/>
          <w:sz w:val="18"/>
          <w:szCs w:val="18"/>
        </w:rPr>
        <w:t>月</w:t>
      </w:r>
      <w:r>
        <w:rPr>
          <w:rFonts w:ascii="宋体" w:hAnsi="宋体" w:cs="宋体" w:eastAsia="宋体" w:hint="default"/>
          <w:spacing w:val="-45"/>
          <w:position w:val="2"/>
          <w:sz w:val="18"/>
          <w:szCs w:val="18"/>
        </w:rPr>
        <w:t> </w:t>
      </w:r>
      <w:r>
        <w:rPr>
          <w:rFonts w:ascii="Times New Roman" w:hAnsi="Times New Roman" w:cs="Times New Roman" w:eastAsia="Times New Roman" w:hint="default"/>
          <w:spacing w:val="-2"/>
          <w:position w:val="2"/>
          <w:sz w:val="18"/>
          <w:szCs w:val="18"/>
        </w:rPr>
        <w:t>2</w:t>
      </w:r>
      <w:r>
        <w:rPr>
          <w:rFonts w:ascii="Times New Roman" w:hAnsi="Times New Roman" w:cs="Times New Roman" w:eastAsia="Times New Roman" w:hint="default"/>
          <w:position w:val="2"/>
          <w:sz w:val="18"/>
          <w:szCs w:val="18"/>
        </w:rPr>
        <w:t>5</w:t>
      </w:r>
      <w:r>
        <w:rPr>
          <w:rFonts w:ascii="Times New Roman" w:hAnsi="Times New Roman" w:cs="Times New Roman" w:eastAsia="Times New Roman" w:hint="default"/>
          <w:spacing w:val="1"/>
          <w:position w:val="2"/>
          <w:sz w:val="18"/>
          <w:szCs w:val="18"/>
        </w:rPr>
        <w:t> </w:t>
      </w:r>
      <w:r>
        <w:rPr>
          <w:rFonts w:ascii="宋体" w:hAnsi="宋体" w:cs="宋体" w:eastAsia="宋体" w:hint="default"/>
          <w:position w:val="2"/>
          <w:sz w:val="18"/>
          <w:szCs w:val="18"/>
        </w:rPr>
        <w:t>日</w:t>
        <w:tab/>
        <w:t>长期有效</w:t>
        <w:tab/>
      </w:r>
      <w:r>
        <w:rPr>
          <w:rFonts w:ascii="宋体" w:hAnsi="宋体" w:cs="宋体" w:eastAsia="宋体" w:hint="default"/>
          <w:sz w:val="18"/>
          <w:szCs w:val="18"/>
        </w:rPr>
        <w:t>截至本报告日，上述承诺仍在履行过</w:t>
      </w:r>
    </w:p>
    <w:p>
      <w:pPr>
        <w:spacing w:after="0"/>
        <w:jc w:val="left"/>
        <w:rPr>
          <w:rFonts w:ascii="宋体" w:hAnsi="宋体" w:cs="宋体" w:eastAsia="宋体" w:hint="default"/>
          <w:sz w:val="18"/>
          <w:szCs w:val="18"/>
        </w:rPr>
        <w:sectPr>
          <w:pgSz w:w="16840" w:h="11910" w:orient="landscape"/>
          <w:pgMar w:header="867" w:footer="1226" w:top="1060" w:bottom="1420" w:left="1280" w:right="1240"/>
        </w:sectPr>
      </w:pPr>
    </w:p>
    <w:p>
      <w:pPr>
        <w:spacing w:line="240" w:lineRule="auto" w:before="11"/>
        <w:rPr>
          <w:rFonts w:ascii="宋体" w:hAnsi="宋体" w:cs="宋体" w:eastAsia="宋体" w:hint="default"/>
          <w:sz w:val="2"/>
          <w:szCs w:val="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before="48"/>
        <w:ind w:left="0" w:right="107" w:firstLine="0"/>
        <w:jc w:val="right"/>
        <w:rPr>
          <w:rFonts w:ascii="宋体" w:hAnsi="宋体" w:cs="宋体" w:eastAsia="宋体" w:hint="default"/>
          <w:sz w:val="18"/>
          <w:szCs w:val="18"/>
        </w:rPr>
      </w:pPr>
      <w:r>
        <w:rPr/>
        <w:pict>
          <v:shape style="position:absolute;margin-left:69.900002pt;margin-top:.431711pt;width:703pt;height:233.4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71"/>
                    <w:gridCol w:w="1308"/>
                    <w:gridCol w:w="4501"/>
                    <w:gridCol w:w="1709"/>
                    <w:gridCol w:w="1621"/>
                    <w:gridCol w:w="3007"/>
                  </w:tblGrid>
                  <w:tr>
                    <w:trPr>
                      <w:trHeight w:val="686" w:hRule="exact"/>
                    </w:trPr>
                    <w:tc>
                      <w:tcPr>
                        <w:tcW w:w="1871" w:type="dxa"/>
                        <w:vMerge w:val="restart"/>
                        <w:tcBorders>
                          <w:top w:val="single" w:sz="12" w:space="0" w:color="000000"/>
                          <w:left w:val="single" w:sz="12" w:space="0" w:color="000000"/>
                          <w:right w:val="single" w:sz="4" w:space="0" w:color="000000"/>
                        </w:tcBorders>
                        <w:shd w:val="clear" w:color="auto" w:fill="D2D2D2"/>
                      </w:tcPr>
                      <w:p>
                        <w:pPr/>
                      </w:p>
                    </w:tc>
                    <w:tc>
                      <w:tcPr>
                        <w:tcW w:w="13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数码</w:t>
                        </w:r>
                      </w:p>
                    </w:tc>
                    <w:tc>
                      <w:tcPr>
                        <w:tcW w:w="4501" w:type="dxa"/>
                        <w:tcBorders>
                          <w:top w:val="single" w:sz="12" w:space="0" w:color="000000"/>
                          <w:left w:val="single" w:sz="4" w:space="0" w:color="000000"/>
                          <w:bottom w:val="single" w:sz="4" w:space="0" w:color="000000"/>
                          <w:right w:val="single" w:sz="4" w:space="0" w:color="000000"/>
                        </w:tcBorders>
                      </w:tcPr>
                      <w:p>
                        <w:pPr>
                          <w:pStyle w:val="TableParagraph"/>
                          <w:spacing w:line="300" w:lineRule="auto" w:before="10"/>
                          <w:ind w:left="21"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日在巨潮网上披露的《关于资产重组相关方出具承诺 </w:t>
                        </w:r>
                        <w:r>
                          <w:rPr>
                            <w:rFonts w:ascii="宋体" w:hAnsi="宋体" w:cs="宋体" w:eastAsia="宋体" w:hint="default"/>
                            <w:spacing w:val="-14"/>
                            <w:sz w:val="18"/>
                            <w:szCs w:val="18"/>
                          </w:rPr>
                          <w:t>事项的公告》。</w:t>
                        </w:r>
                      </w:p>
                    </w:tc>
                    <w:tc>
                      <w:tcPr>
                        <w:tcW w:w="1709" w:type="dxa"/>
                        <w:tcBorders>
                          <w:top w:val="single" w:sz="12" w:space="0" w:color="000000"/>
                          <w:left w:val="single" w:sz="4" w:space="0" w:color="000000"/>
                          <w:bottom w:val="single" w:sz="4" w:space="0" w:color="000000"/>
                          <w:right w:val="single" w:sz="4" w:space="0" w:color="000000"/>
                        </w:tcBorders>
                      </w:tcPr>
                      <w:p>
                        <w:pPr/>
                      </w:p>
                    </w:tc>
                    <w:tc>
                      <w:tcPr>
                        <w:tcW w:w="1621" w:type="dxa"/>
                        <w:tcBorders>
                          <w:top w:val="single" w:sz="12" w:space="0" w:color="000000"/>
                          <w:left w:val="single" w:sz="4" w:space="0" w:color="000000"/>
                          <w:bottom w:val="single" w:sz="4" w:space="0" w:color="000000"/>
                          <w:right w:val="single" w:sz="4" w:space="0" w:color="000000"/>
                        </w:tcBorders>
                      </w:tcPr>
                      <w:p>
                        <w:pPr/>
                      </w:p>
                    </w:tc>
                    <w:tc>
                      <w:tcPr>
                        <w:tcW w:w="300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程中，承诺人无违反上述承诺的情况</w:t>
                        </w:r>
                      </w:p>
                    </w:tc>
                  </w:tr>
                  <w:tr>
                    <w:trPr>
                      <w:trHeight w:val="1025" w:hRule="exact"/>
                    </w:trPr>
                    <w:tc>
                      <w:tcPr>
                        <w:tcW w:w="1871" w:type="dxa"/>
                        <w:vMerge/>
                        <w:tcBorders>
                          <w:left w:val="single" w:sz="12" w:space="0" w:color="000000"/>
                          <w:right w:val="single" w:sz="4" w:space="0" w:color="000000"/>
                        </w:tcBorders>
                        <w:shd w:val="clear" w:color="auto" w:fill="D2D2D2"/>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神码软件、神州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数码</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《关于规范关联交易的承诺</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300" w:lineRule="auto" w:before="60"/>
                          <w:ind w:left="21"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日在巨潮网上披露的《关于资产重组相关方出具承诺 </w:t>
                        </w:r>
                        <w:r>
                          <w:rPr>
                            <w:rFonts w:ascii="宋体" w:hAnsi="宋体" w:cs="宋体" w:eastAsia="宋体" w:hint="default"/>
                            <w:spacing w:val="-14"/>
                            <w:sz w:val="18"/>
                            <w:szCs w:val="18"/>
                          </w:rPr>
                          <w:t>事项的公告》。</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42"/>
                          <w:jc w:val="right"/>
                          <w:rPr>
                            <w:rFonts w:ascii="宋体" w:hAnsi="宋体" w:cs="宋体" w:eastAsia="宋体" w:hint="default"/>
                            <w:sz w:val="18"/>
                            <w:szCs w:val="18"/>
                          </w:rPr>
                        </w:pPr>
                        <w:r>
                          <w:rPr>
                            <w:rFonts w:ascii="宋体" w:hAnsi="宋体" w:cs="宋体" w:eastAsia="宋体" w:hint="default"/>
                            <w:sz w:val="18"/>
                            <w:szCs w:val="18"/>
                          </w:rPr>
                          <w:t>长期有效</w:t>
                        </w:r>
                      </w:p>
                    </w:tc>
                    <w:tc>
                      <w:tcPr>
                        <w:tcW w:w="30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83"/>
                          <w:jc w:val="left"/>
                          <w:rPr>
                            <w:rFonts w:ascii="宋体" w:hAnsi="宋体" w:cs="宋体" w:eastAsia="宋体" w:hint="default"/>
                            <w:sz w:val="18"/>
                            <w:szCs w:val="18"/>
                          </w:rPr>
                        </w:pPr>
                        <w:r>
                          <w:rPr>
                            <w:rFonts w:ascii="宋体" w:hAnsi="宋体" w:cs="宋体" w:eastAsia="宋体" w:hint="default"/>
                            <w:sz w:val="18"/>
                            <w:szCs w:val="18"/>
                          </w:rPr>
                          <w:t>截至本报告日，上述承诺仍在履行过 程中，承诺人无违反上述承诺的情况</w:t>
                        </w:r>
                      </w:p>
                    </w:tc>
                  </w:tr>
                  <w:tr>
                    <w:trPr>
                      <w:trHeight w:val="1028" w:hRule="exact"/>
                    </w:trPr>
                    <w:tc>
                      <w:tcPr>
                        <w:tcW w:w="1871" w:type="dxa"/>
                        <w:vMerge/>
                        <w:tcBorders>
                          <w:left w:val="single" w:sz="12" w:space="0" w:color="000000"/>
                          <w:bottom w:val="single" w:sz="4" w:space="0" w:color="000000"/>
                          <w:right w:val="single" w:sz="4" w:space="0" w:color="000000"/>
                        </w:tcBorders>
                        <w:shd w:val="clear" w:color="auto" w:fill="D2D2D2"/>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神码软件、神州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数码</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《关于保持上市公司独立性的承诺</w:t>
                        </w:r>
                        <w:r>
                          <w:rPr>
                            <w:rFonts w:ascii="宋体" w:hAnsi="宋体" w:cs="宋体" w:eastAsia="宋体" w:hint="default"/>
                            <w:spacing w:val="-92"/>
                            <w:sz w:val="18"/>
                            <w:szCs w:val="18"/>
                          </w:rPr>
                          <w:t>》</w:t>
                        </w:r>
                        <w:r>
                          <w:rPr>
                            <w:rFonts w:ascii="宋体" w:hAnsi="宋体" w:cs="宋体" w:eastAsia="宋体" w:hint="default"/>
                            <w:spacing w:val="-56"/>
                            <w:sz w:val="18"/>
                            <w:szCs w:val="18"/>
                          </w:rPr>
                          <w:t>，</w:t>
                        </w: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0" w:lineRule="auto" w:before="63"/>
                          <w:ind w:left="21"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日在巨潮网上披露的《关于资产重组相关方出具 </w:t>
                        </w:r>
                        <w:r>
                          <w:rPr>
                            <w:rFonts w:ascii="宋体" w:hAnsi="宋体" w:cs="宋体" w:eastAsia="宋体" w:hint="default"/>
                            <w:spacing w:val="-11"/>
                            <w:sz w:val="18"/>
                            <w:szCs w:val="18"/>
                          </w:rPr>
                          <w:t>承诺事项的公告》。</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42"/>
                          <w:jc w:val="right"/>
                          <w:rPr>
                            <w:rFonts w:ascii="宋体" w:hAnsi="宋体" w:cs="宋体" w:eastAsia="宋体" w:hint="default"/>
                            <w:sz w:val="18"/>
                            <w:szCs w:val="18"/>
                          </w:rPr>
                        </w:pPr>
                        <w:r>
                          <w:rPr>
                            <w:rFonts w:ascii="宋体" w:hAnsi="宋体" w:cs="宋体" w:eastAsia="宋体" w:hint="default"/>
                            <w:sz w:val="18"/>
                            <w:szCs w:val="18"/>
                          </w:rPr>
                          <w:t>长期有效</w:t>
                        </w:r>
                      </w:p>
                    </w:tc>
                    <w:tc>
                      <w:tcPr>
                        <w:tcW w:w="30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83"/>
                          <w:jc w:val="left"/>
                          <w:rPr>
                            <w:rFonts w:ascii="宋体" w:hAnsi="宋体" w:cs="宋体" w:eastAsia="宋体" w:hint="default"/>
                            <w:sz w:val="18"/>
                            <w:szCs w:val="18"/>
                          </w:rPr>
                        </w:pPr>
                        <w:r>
                          <w:rPr>
                            <w:rFonts w:ascii="宋体" w:hAnsi="宋体" w:cs="宋体" w:eastAsia="宋体" w:hint="default"/>
                            <w:sz w:val="18"/>
                            <w:szCs w:val="18"/>
                          </w:rPr>
                          <w:t>截至本报告日，上述承诺仍在履行过 程中，承诺人无违反上述承诺的情况</w:t>
                        </w:r>
                      </w:p>
                    </w:tc>
                  </w:tr>
                  <w:tr>
                    <w:trPr>
                      <w:trHeight w:val="713" w:hRule="exact"/>
                    </w:trPr>
                    <w:tc>
                      <w:tcPr>
                        <w:tcW w:w="187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49"/>
                          <w:ind w:left="13" w:right="36"/>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1308" w:type="dxa"/>
                        <w:tcBorders>
                          <w:top w:val="single" w:sz="4" w:space="0" w:color="000000"/>
                          <w:left w:val="single" w:sz="4" w:space="0" w:color="000000"/>
                          <w:bottom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3007"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87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3" w:right="36"/>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1308" w:type="dxa"/>
                        <w:tcBorders>
                          <w:top w:val="single" w:sz="4" w:space="0" w:color="000000"/>
                          <w:left w:val="single" w:sz="4" w:space="0" w:color="000000"/>
                          <w:bottom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3007" w:type="dxa"/>
                        <w:tcBorders>
                          <w:top w:val="single" w:sz="4" w:space="0" w:color="000000"/>
                          <w:left w:val="single" w:sz="4" w:space="0" w:color="000000"/>
                          <w:bottom w:val="single" w:sz="4" w:space="0" w:color="000000"/>
                          <w:right w:val="single" w:sz="12" w:space="0" w:color="000000"/>
                        </w:tcBorders>
                      </w:tcPr>
                      <w:p>
                        <w:pPr/>
                      </w:p>
                    </w:tc>
                  </w:tr>
                  <w:tr>
                    <w:trPr>
                      <w:trHeight w:val="473" w:hRule="exact"/>
                    </w:trPr>
                    <w:tc>
                      <w:tcPr>
                        <w:tcW w:w="187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0"/>
                          <w:ind w:left="13"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12146" w:type="dxa"/>
                        <w:gridSpan w:val="5"/>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before="44"/>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44"/>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1226" w:top="1060" w:bottom="1420" w:left="1280" w:right="1240"/>
        </w:sectPr>
      </w:pPr>
    </w:p>
    <w:p>
      <w:pPr>
        <w:spacing w:line="240" w:lineRule="auto" w:before="11"/>
        <w:rPr>
          <w:rFonts w:ascii="宋体" w:hAnsi="宋体" w:cs="宋体" w:eastAsia="宋体" w:hint="default"/>
          <w:sz w:val="20"/>
          <w:szCs w:val="20"/>
        </w:rPr>
      </w:pPr>
    </w:p>
    <w:p>
      <w:pPr>
        <w:pStyle w:val="Heading4"/>
        <w:spacing w:line="259" w:lineRule="auto" w:before="36"/>
        <w:ind w:right="140"/>
        <w:jc w:val="left"/>
        <w:rPr>
          <w:b w:val="0"/>
          <w:bCs w:val="0"/>
        </w:rPr>
      </w:pPr>
      <w:r>
        <w:rPr>
          <w:rFonts w:ascii="Times New Roman" w:hAnsi="Times New Roman" w:cs="Times New Roman" w:eastAsia="Times New Roman" w:hint="default"/>
          <w:spacing w:val="-2"/>
        </w:rPr>
        <w:t>2</w:t>
      </w:r>
      <w:r>
        <w:rPr>
          <w:spacing w:val="-2"/>
        </w:rPr>
        <w:t>、公司资产或项目存在盈利预测，且报告期仍处在盈利预测期间，公司就资产或项目达到原盈利预测及</w:t>
      </w:r>
      <w:r>
        <w:rPr>
          <w:spacing w:val="-72"/>
        </w:rPr>
        <w:t> </w:t>
      </w:r>
      <w:r>
        <w:rPr>
          <w:spacing w:val="-72"/>
        </w:rPr>
      </w:r>
      <w:r>
        <w:rPr/>
        <w:t>其原因做出说明</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35"/>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195"/>
        <w:gridCol w:w="1196"/>
        <w:gridCol w:w="1154"/>
        <w:gridCol w:w="1239"/>
        <w:gridCol w:w="1195"/>
        <w:gridCol w:w="1196"/>
        <w:gridCol w:w="1198"/>
        <w:gridCol w:w="1198"/>
      </w:tblGrid>
      <w:tr>
        <w:trPr>
          <w:trHeight w:val="749" w:hRule="exact"/>
        </w:trPr>
        <w:tc>
          <w:tcPr>
            <w:tcW w:w="119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56"/>
              <w:ind w:left="134" w:right="50" w:hanging="92"/>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23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34"/>
              <w:ind w:left="412" w:right="140" w:hanging="269"/>
              <w:jc w:val="left"/>
              <w:rPr>
                <w:rFonts w:ascii="宋体" w:hAnsi="宋体" w:cs="宋体" w:eastAsia="宋体" w:hint="default"/>
                <w:sz w:val="18"/>
                <w:szCs w:val="18"/>
              </w:rPr>
            </w:pPr>
            <w:r>
              <w:rPr>
                <w:rFonts w:ascii="宋体" w:hAnsi="宋体" w:cs="宋体" w:eastAsia="宋体" w:hint="default"/>
                <w:sz w:val="18"/>
                <w:szCs w:val="18"/>
              </w:rPr>
              <w:t>未达预测的 原因</w:t>
            </w:r>
          </w:p>
        </w:tc>
        <w:tc>
          <w:tcPr>
            <w:tcW w:w="119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34"/>
              <w:ind w:left="415" w:right="143" w:hanging="272"/>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19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60" w:lineRule="auto" w:before="34"/>
              <w:ind w:left="412" w:right="132" w:hanging="269"/>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1027" w:hRule="exact"/>
        </w:trPr>
        <w:tc>
          <w:tcPr>
            <w:tcW w:w="1195"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43" w:right="50"/>
              <w:jc w:val="center"/>
              <w:rPr>
                <w:rFonts w:ascii="宋体" w:hAnsi="宋体" w:cs="宋体" w:eastAsia="宋体" w:hint="default"/>
                <w:sz w:val="18"/>
                <w:szCs w:val="18"/>
              </w:rPr>
            </w:pPr>
            <w:r>
              <w:rPr>
                <w:rFonts w:ascii="宋体" w:hAnsi="宋体" w:cs="宋体" w:eastAsia="宋体" w:hint="default"/>
                <w:sz w:val="18"/>
                <w:szCs w:val="18"/>
              </w:rPr>
              <w:t>太光电信吸收 合并神州信息</w:t>
            </w:r>
          </w:p>
          <w:p>
            <w:pPr>
              <w:pStyle w:val="TableParagraph"/>
              <w:spacing w:line="240" w:lineRule="auto" w:before="1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39"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26,544.45</w:t>
            </w:r>
          </w:p>
        </w:tc>
        <w:tc>
          <w:tcPr>
            <w:tcW w:w="1195"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27,710.88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28" w:right="17" w:hanging="6"/>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w:t>
            </w:r>
          </w:p>
        </w:tc>
      </w:tr>
      <w:tr>
        <w:trPr>
          <w:trHeight w:val="1337" w:hRule="exact"/>
        </w:trPr>
        <w:tc>
          <w:tcPr>
            <w:tcW w:w="1195"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49"/>
              <w:ind w:left="43" w:right="50"/>
              <w:jc w:val="left"/>
              <w:rPr>
                <w:rFonts w:ascii="宋体" w:hAnsi="宋体" w:cs="宋体" w:eastAsia="宋体" w:hint="default"/>
                <w:sz w:val="18"/>
                <w:szCs w:val="18"/>
              </w:rPr>
            </w:pPr>
            <w:r>
              <w:rPr>
                <w:rFonts w:ascii="宋体" w:hAnsi="宋体" w:cs="宋体" w:eastAsia="宋体" w:hint="default"/>
                <w:sz w:val="18"/>
                <w:szCs w:val="18"/>
              </w:rPr>
              <w:t>太光电信吸收 合并神州信息</w:t>
            </w:r>
          </w:p>
          <w:p>
            <w:pPr>
              <w:pStyle w:val="TableParagraph"/>
              <w:spacing w:line="300" w:lineRule="auto" w:before="17"/>
              <w:ind w:left="43" w:right="50" w:firstLine="6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归属于母公</w:t>
            </w:r>
            <w:r>
              <w:rPr>
                <w:rFonts w:ascii="宋体" w:hAnsi="宋体" w:cs="宋体" w:eastAsia="宋体" w:hint="default"/>
                <w:w w:val="99"/>
                <w:sz w:val="18"/>
                <w:szCs w:val="18"/>
              </w:rPr>
              <w:t> </w:t>
            </w:r>
            <w:r>
              <w:rPr>
                <w:rFonts w:ascii="宋体" w:hAnsi="宋体" w:cs="宋体" w:eastAsia="宋体" w:hint="default"/>
                <w:sz w:val="18"/>
                <w:szCs w:val="18"/>
              </w:rPr>
              <w:t>司股东净利润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25,584.25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26,951.53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7"/>
              <w:ind w:left="28" w:right="17" w:hanging="6"/>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w:t>
            </w:r>
          </w:p>
        </w:tc>
      </w:tr>
      <w:tr>
        <w:trPr>
          <w:trHeight w:val="1027" w:hRule="exact"/>
        </w:trPr>
        <w:tc>
          <w:tcPr>
            <w:tcW w:w="1195" w:type="dxa"/>
            <w:tcBorders>
              <w:top w:val="single" w:sz="4" w:space="0" w:color="000000"/>
              <w:left w:val="single" w:sz="12" w:space="0" w:color="000000"/>
              <w:bottom w:val="single" w:sz="4" w:space="0" w:color="000000"/>
              <w:right w:val="single" w:sz="4" w:space="0" w:color="000000"/>
            </w:tcBorders>
          </w:tcPr>
          <w:p>
            <w:pPr>
              <w:pStyle w:val="TableParagraph"/>
              <w:spacing w:line="309" w:lineRule="auto" w:before="49"/>
              <w:ind w:left="43" w:right="50"/>
              <w:jc w:val="center"/>
              <w:rPr>
                <w:rFonts w:ascii="宋体" w:hAnsi="宋体" w:cs="宋体" w:eastAsia="宋体" w:hint="default"/>
                <w:sz w:val="18"/>
                <w:szCs w:val="18"/>
              </w:rPr>
            </w:pPr>
            <w:r>
              <w:rPr>
                <w:rFonts w:ascii="宋体" w:hAnsi="宋体" w:cs="宋体" w:eastAsia="宋体" w:hint="default"/>
                <w:sz w:val="18"/>
                <w:szCs w:val="18"/>
              </w:rPr>
              <w:t>神州信息收购 中农信达</w:t>
            </w:r>
            <w:r>
              <w:rPr>
                <w:rFonts w:ascii="Times New Roman" w:hAnsi="Times New Roman" w:cs="Times New Roman" w:eastAsia="Times New Roman" w:hint="default"/>
                <w:sz w:val="18"/>
                <w:szCs w:val="18"/>
              </w:rPr>
              <w:t>-</w:t>
            </w:r>
            <w:r>
              <w:rPr>
                <w:rFonts w:ascii="宋体" w:hAnsi="宋体" w:cs="宋体" w:eastAsia="宋体" w:hint="default"/>
                <w:sz w:val="18"/>
                <w:szCs w:val="18"/>
              </w:rPr>
              <w:t>净 利润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29,252.94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32,901.61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28" w:right="17" w:hanging="6"/>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w:t>
            </w:r>
          </w:p>
        </w:tc>
      </w:tr>
      <w:tr>
        <w:trPr>
          <w:trHeight w:val="1346" w:hRule="exact"/>
        </w:trPr>
        <w:tc>
          <w:tcPr>
            <w:tcW w:w="1195" w:type="dxa"/>
            <w:tcBorders>
              <w:top w:val="single" w:sz="4" w:space="0" w:color="000000"/>
              <w:left w:val="single" w:sz="12" w:space="0" w:color="000000"/>
              <w:bottom w:val="single" w:sz="12" w:space="0" w:color="000000"/>
              <w:right w:val="single" w:sz="4" w:space="0" w:color="000000"/>
            </w:tcBorders>
          </w:tcPr>
          <w:p>
            <w:pPr>
              <w:pStyle w:val="TableParagraph"/>
              <w:spacing w:line="312" w:lineRule="auto" w:before="49"/>
              <w:ind w:left="43" w:right="50"/>
              <w:jc w:val="center"/>
              <w:rPr>
                <w:rFonts w:ascii="宋体" w:hAnsi="宋体" w:cs="宋体" w:eastAsia="宋体" w:hint="default"/>
                <w:sz w:val="18"/>
                <w:szCs w:val="18"/>
              </w:rPr>
            </w:pPr>
            <w:r>
              <w:rPr>
                <w:rFonts w:ascii="宋体" w:hAnsi="宋体" w:cs="宋体" w:eastAsia="宋体" w:hint="default"/>
                <w:sz w:val="18"/>
                <w:szCs w:val="18"/>
              </w:rPr>
              <w:t>神州信息收购 中农信达</w:t>
            </w:r>
            <w:r>
              <w:rPr>
                <w:rFonts w:ascii="Times New Roman" w:hAnsi="Times New Roman" w:cs="Times New Roman" w:eastAsia="Times New Roman" w:hint="default"/>
                <w:sz w:val="18"/>
                <w:szCs w:val="18"/>
              </w:rPr>
              <w:t>-</w:t>
            </w:r>
            <w:r>
              <w:rPr>
                <w:rFonts w:ascii="宋体" w:hAnsi="宋体" w:cs="宋体" w:eastAsia="宋体" w:hint="default"/>
                <w:sz w:val="18"/>
                <w:szCs w:val="18"/>
              </w:rPr>
              <w:t>归 属于母公司股 东净利润</w:t>
            </w:r>
          </w:p>
        </w:tc>
        <w:tc>
          <w:tcPr>
            <w:tcW w:w="11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30,018.84</w:t>
            </w:r>
          </w:p>
        </w:tc>
        <w:tc>
          <w:tcPr>
            <w:tcW w:w="11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32,142.26</w:t>
            </w:r>
          </w:p>
        </w:tc>
        <w:tc>
          <w:tcPr>
            <w:tcW w:w="11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28" w:right="17" w:hanging="6"/>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w:t>
            </w:r>
          </w:p>
        </w:tc>
      </w:tr>
    </w:tbl>
    <w:p>
      <w:pPr>
        <w:spacing w:line="240" w:lineRule="auto" w:before="6"/>
        <w:rPr>
          <w:rFonts w:ascii="宋体" w:hAnsi="宋体" w:cs="宋体" w:eastAsia="宋体" w:hint="default"/>
          <w:sz w:val="5"/>
          <w:szCs w:val="5"/>
        </w:rPr>
      </w:pPr>
    </w:p>
    <w:p>
      <w:pPr>
        <w:pStyle w:val="BodyText"/>
        <w:spacing w:line="240" w:lineRule="auto" w:before="36"/>
        <w:ind w:right="140"/>
        <w:jc w:val="left"/>
      </w:pPr>
      <w:r>
        <w:rPr/>
        <w:t>公司股东、交易对手方在报告年度经营业绩做出的承诺情况</w:t>
      </w:r>
    </w:p>
    <w:p>
      <w:pPr>
        <w:spacing w:line="240" w:lineRule="auto" w:before="9"/>
        <w:rPr>
          <w:rFonts w:ascii="宋体" w:hAnsi="宋体" w:cs="宋体" w:eastAsia="宋体" w:hint="default"/>
          <w:sz w:val="17"/>
          <w:szCs w:val="17"/>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6"/>
          <w:szCs w:val="16"/>
        </w:rPr>
      </w:pPr>
    </w:p>
    <w:p>
      <w:pPr>
        <w:pStyle w:val="BodyText"/>
        <w:spacing w:line="398" w:lineRule="auto"/>
        <w:ind w:right="244" w:firstLine="420"/>
        <w:jc w:val="both"/>
      </w:pPr>
      <w:r>
        <w:rPr/>
        <w:t>本公司于本报告期内收购中农信达</w:t>
      </w:r>
      <w:r>
        <w:rPr>
          <w:spacing w:val="-49"/>
        </w:rPr>
        <w:t> </w:t>
      </w:r>
      <w:r>
        <w:rPr>
          <w:rFonts w:ascii="Times New Roman" w:hAnsi="Times New Roman" w:cs="Times New Roman" w:eastAsia="Times New Roman" w:hint="default"/>
          <w:spacing w:val="-3"/>
        </w:rPr>
        <w:t>100%</w:t>
      </w:r>
      <w:r>
        <w:rPr>
          <w:spacing w:val="-3"/>
        </w:rPr>
        <w:t>股权，并于</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3"/>
        </w:rPr>
        <w:t>日完成收购。根据神州信息与中</w:t>
      </w:r>
      <w:r>
        <w:rPr>
          <w:w w:val="100"/>
        </w:rPr>
        <w:t> </w:t>
      </w:r>
      <w:r>
        <w:rPr>
          <w:spacing w:val="-5"/>
          <w:w w:val="100"/>
        </w:rPr>
        <w:t>农信达全体股东签署的《利润补偿协议》和《利润补偿协议之补充协议》，中农信达全体股东承诺中农信</w:t>
      </w:r>
      <w:r>
        <w:rPr>
          <w:spacing w:val="-63"/>
          <w:w w:val="100"/>
        </w:rPr>
        <w:t> </w:t>
      </w:r>
      <w:r>
        <w:rPr>
          <w:spacing w:val="-63"/>
          <w:w w:val="100"/>
        </w:rPr>
      </w:r>
      <w:r>
        <w:rPr/>
        <w:t>达</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年实现的经审计的扣除非经常性损益后归属于母公司股东的净利润分别不低于</w:t>
      </w:r>
      <w:r>
        <w:rPr>
          <w:spacing w:val="-53"/>
        </w:rPr>
        <w:t> </w:t>
      </w:r>
      <w:r>
        <w:rPr>
          <w:rFonts w:ascii="Times New Roman" w:hAnsi="Times New Roman" w:cs="Times New Roman" w:eastAsia="Times New Roman" w:hint="default"/>
        </w:rPr>
        <w:t>4,450.00</w:t>
      </w:r>
      <w:r>
        <w:rPr>
          <w:rFonts w:ascii="Times New Roman" w:hAnsi="Times New Roman" w:cs="Times New Roman" w:eastAsia="Times New Roman" w:hint="default"/>
          <w:spacing w:val="-1"/>
        </w:rPr>
        <w:t> </w:t>
      </w:r>
      <w:r>
        <w:rPr>
          <w:spacing w:val="-6"/>
        </w:rPr>
        <w:t>万元，实</w:t>
      </w:r>
    </w:p>
    <w:p>
      <w:pPr>
        <w:spacing w:line="547" w:lineRule="auto" w:before="24"/>
        <w:ind w:left="153" w:right="5628" w:firstLine="0"/>
        <w:jc w:val="left"/>
        <w:rPr>
          <w:rFonts w:ascii="宋体" w:hAnsi="宋体" w:cs="宋体" w:eastAsia="宋体" w:hint="default"/>
          <w:sz w:val="21"/>
          <w:szCs w:val="21"/>
        </w:rPr>
      </w:pPr>
      <w:r>
        <w:rPr/>
        <w:pict>
          <v:shape style="position:absolute;margin-left:56.004002pt;margin-top:92.51368pt;width:480.65pt;height:95.1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85"/>
                    <w:gridCol w:w="5685"/>
                  </w:tblGrid>
                  <w:tr>
                    <w:trPr>
                      <w:trHeight w:val="474" w:hRule="exact"/>
                    </w:trPr>
                    <w:tc>
                      <w:tcPr>
                        <w:tcW w:w="388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7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63" w:hRule="exact"/>
                    </w:trPr>
                    <w:tc>
                      <w:tcPr>
                        <w:tcW w:w="38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7"/>
                          <w:jc w:val="right"/>
                          <w:rPr>
                            <w:rFonts w:ascii="Times New Roman" w:hAnsi="Times New Roman" w:cs="Times New Roman" w:eastAsia="Times New Roman" w:hint="default"/>
                            <w:sz w:val="18"/>
                            <w:szCs w:val="18"/>
                          </w:rPr>
                        </w:pPr>
                        <w:r>
                          <w:rPr>
                            <w:rFonts w:ascii="Times New Roman"/>
                            <w:sz w:val="18"/>
                          </w:rPr>
                          <w:t>158</w:t>
                        </w:r>
                      </w:p>
                    </w:tc>
                  </w:tr>
                  <w:tr>
                    <w:trPr>
                      <w:trHeight w:val="463" w:hRule="exact"/>
                    </w:trPr>
                    <w:tc>
                      <w:tcPr>
                        <w:tcW w:w="38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二年</w:t>
                        </w:r>
                      </w:p>
                    </w:tc>
                  </w:tr>
                  <w:tr>
                    <w:trPr>
                      <w:trHeight w:val="473" w:hRule="exact"/>
                    </w:trPr>
                    <w:tc>
                      <w:tcPr>
                        <w:tcW w:w="388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0"/>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唐炫、晁小燕</w:t>
                        </w:r>
                      </w:p>
                    </w:tc>
                  </w:tr>
                </w:tbl>
                <w:p>
                  <w:pPr/>
                </w:p>
              </w:txbxContent>
            </v:textbox>
            <w10:wrap type="none"/>
          </v:shape>
        </w:pict>
      </w:r>
      <w:r>
        <w:rPr>
          <w:rFonts w:ascii="宋体" w:hAnsi="宋体" w:cs="宋体" w:eastAsia="宋体" w:hint="default"/>
          <w:sz w:val="21"/>
          <w:szCs w:val="21"/>
        </w:rPr>
        <w:t>际完成数据为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5157.80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万元，达到业绩承诺。</w:t>
      </w:r>
      <w:r>
        <w:rPr>
          <w:rFonts w:ascii="宋体" w:hAnsi="宋体" w:cs="宋体" w:eastAsia="宋体" w:hint="default"/>
          <w:w w:val="100"/>
          <w:sz w:val="21"/>
          <w:szCs w:val="21"/>
        </w:rPr>
        <w:t> </w:t>
      </w:r>
      <w:r>
        <w:rPr>
          <w:rFonts w:ascii="宋体" w:hAnsi="宋体" w:cs="宋体" w:eastAsia="宋体" w:hint="default"/>
          <w:b/>
          <w:bCs/>
          <w:sz w:val="24"/>
          <w:szCs w:val="24"/>
        </w:rPr>
        <w:t>十、聘任、解聘会计师事务所情况</w:t>
      </w:r>
      <w:r>
        <w:rPr>
          <w:rFonts w:ascii="宋体" w:hAnsi="宋体" w:cs="宋体" w:eastAsia="宋体" w:hint="default"/>
          <w:b/>
          <w:bCs/>
          <w:w w:val="99"/>
          <w:sz w:val="24"/>
          <w:szCs w:val="24"/>
        </w:rPr>
        <w:t> </w:t>
      </w:r>
      <w:r>
        <w:rPr>
          <w:rFonts w:ascii="宋体" w:hAnsi="宋体" w:cs="宋体" w:eastAsia="宋体" w:hint="default"/>
          <w:sz w:val="21"/>
          <w:szCs w:val="21"/>
        </w:rPr>
        <w:t>现聘任的会计师事务所</w:t>
      </w:r>
    </w:p>
    <w:p>
      <w:pPr>
        <w:spacing w:after="0" w:line="547" w:lineRule="auto"/>
        <w:jc w:val="left"/>
        <w:rPr>
          <w:rFonts w:ascii="宋体" w:hAnsi="宋体" w:cs="宋体" w:eastAsia="宋体" w:hint="default"/>
          <w:sz w:val="21"/>
          <w:szCs w:val="21"/>
        </w:rPr>
        <w:sectPr>
          <w:headerReference w:type="default" r:id="rId30"/>
          <w:footerReference w:type="default" r:id="rId31"/>
          <w:pgSz w:w="11910" w:h="16840"/>
          <w:pgMar w:header="877" w:footer="1227" w:top="1100" w:bottom="1420" w:left="980" w:right="980"/>
          <w:pgNumType w:start="53"/>
        </w:sectPr>
      </w:pPr>
    </w:p>
    <w:p>
      <w:pPr>
        <w:spacing w:line="240" w:lineRule="auto" w:before="9"/>
        <w:rPr>
          <w:rFonts w:ascii="宋体" w:hAnsi="宋体" w:cs="宋体" w:eastAsia="宋体" w:hint="default"/>
          <w:sz w:val="26"/>
          <w:szCs w:val="26"/>
        </w:rPr>
      </w:pPr>
    </w:p>
    <w:p>
      <w:pPr>
        <w:pStyle w:val="BodyText"/>
        <w:spacing w:line="240" w:lineRule="auto" w:before="36"/>
        <w:ind w:right="140"/>
        <w:jc w:val="left"/>
      </w:pPr>
      <w:r>
        <w:rPr/>
        <w:t>当期是否改聘会计师事务所</w:t>
      </w:r>
    </w:p>
    <w:p>
      <w:pPr>
        <w:spacing w:line="240" w:lineRule="auto" w:before="12"/>
        <w:rPr>
          <w:rFonts w:ascii="宋体" w:hAnsi="宋体" w:cs="宋体" w:eastAsia="宋体" w:hint="default"/>
          <w:sz w:val="17"/>
          <w:szCs w:val="17"/>
        </w:rPr>
      </w:pPr>
    </w:p>
    <w:p>
      <w:pPr>
        <w:pStyle w:val="BodyText"/>
        <w:spacing w:line="417" w:lineRule="auto"/>
        <w:ind w:right="452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聘请内部控制审计会计师事务所、财务顾问或保荐人情况</w:t>
      </w:r>
    </w:p>
    <w:p>
      <w:pPr>
        <w:pStyle w:val="BodyText"/>
        <w:spacing w:line="420" w:lineRule="auto" w:before="78"/>
        <w:ind w:left="573" w:right="140" w:hanging="4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本年度内公司聘请信永中和会计师事务所（特殊普通合伙）为公司的内部控制审计机构，审计费用</w:t>
      </w:r>
    </w:p>
    <w:p>
      <w:pPr>
        <w:pStyle w:val="BodyText"/>
        <w:spacing w:line="240" w:lineRule="auto" w:before="35"/>
        <w:ind w:right="140"/>
        <w:jc w:val="left"/>
      </w:pPr>
      <w:r>
        <w:rPr>
          <w:w w:val="100"/>
        </w:rPr>
        <w:t>为</w:t>
      </w:r>
      <w:r>
        <w:rPr>
          <w:spacing w:val="-53"/>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3"/>
        </w:rPr>
        <w:t> </w:t>
      </w:r>
      <w:r>
        <w:rPr>
          <w:w w:val="100"/>
        </w:rPr>
        <w:t>万</w:t>
      </w:r>
      <w:r>
        <w:rPr>
          <w:spacing w:val="-3"/>
          <w:w w:val="100"/>
        </w:rPr>
        <w:t>元</w:t>
      </w:r>
      <w:r>
        <w:rPr>
          <w:w w:val="100"/>
        </w:rPr>
        <w:t>（</w:t>
      </w:r>
      <w:r>
        <w:rPr>
          <w:spacing w:val="-3"/>
          <w:w w:val="100"/>
        </w:rPr>
        <w:t>此</w:t>
      </w:r>
      <w:r>
        <w:rPr>
          <w:w w:val="100"/>
        </w:rPr>
        <w:t>费</w:t>
      </w:r>
      <w:r>
        <w:rPr>
          <w:spacing w:val="-3"/>
          <w:w w:val="100"/>
        </w:rPr>
        <w:t>用</w:t>
      </w:r>
      <w:r>
        <w:rPr>
          <w:w w:val="100"/>
        </w:rPr>
        <w:t>不</w:t>
      </w:r>
      <w:r>
        <w:rPr>
          <w:spacing w:val="-3"/>
          <w:w w:val="100"/>
        </w:rPr>
        <w:t>包括</w:t>
      </w:r>
      <w:r>
        <w:rPr>
          <w:w w:val="100"/>
        </w:rPr>
        <w:t>在</w:t>
      </w:r>
      <w:r>
        <w:rPr>
          <w:spacing w:val="-3"/>
          <w:w w:val="100"/>
        </w:rPr>
        <w:t>上</w:t>
      </w:r>
      <w:r>
        <w:rPr>
          <w:w w:val="100"/>
        </w:rPr>
        <w:t>述</w:t>
      </w:r>
      <w:r>
        <w:rPr>
          <w:spacing w:val="-53"/>
        </w:rPr>
        <w:t> </w:t>
      </w:r>
      <w:r>
        <w:rPr>
          <w:rFonts w:ascii="Times New Roman" w:hAnsi="Times New Roman" w:cs="Times New Roman" w:eastAsia="Times New Roman" w:hint="default"/>
          <w:w w:val="100"/>
        </w:rPr>
        <w:t>158</w:t>
      </w:r>
      <w:r>
        <w:rPr>
          <w:rFonts w:ascii="Times New Roman" w:hAnsi="Times New Roman" w:cs="Times New Roman" w:eastAsia="Times New Roman" w:hint="default"/>
          <w:spacing w:val="-3"/>
        </w:rPr>
        <w:t> </w:t>
      </w:r>
      <w:r>
        <w:rPr>
          <w:w w:val="100"/>
        </w:rPr>
        <w:t>万</w:t>
      </w:r>
      <w:r>
        <w:rPr>
          <w:spacing w:val="-3"/>
          <w:w w:val="100"/>
        </w:rPr>
        <w:t>中</w:t>
      </w:r>
      <w:r>
        <w:rPr>
          <w:spacing w:val="-106"/>
          <w:w w:val="100"/>
        </w:rPr>
        <w:t>）</w:t>
      </w:r>
      <w:r>
        <w:rPr>
          <w:spacing w:val="-3"/>
          <w:w w:val="100"/>
        </w:rPr>
        <w:t>。</w:t>
      </w:r>
      <w:r>
        <w:rPr>
          <w:w w:val="100"/>
        </w:rPr>
        <w:t>公</w:t>
      </w:r>
      <w:r>
        <w:rPr>
          <w:spacing w:val="-3"/>
          <w:w w:val="100"/>
        </w:rPr>
        <w:t>司因</w:t>
      </w:r>
      <w:r>
        <w:rPr>
          <w:w w:val="100"/>
        </w:rPr>
        <w:t>重大</w:t>
      </w:r>
      <w:r>
        <w:rPr>
          <w:spacing w:val="-3"/>
          <w:w w:val="100"/>
        </w:rPr>
        <w:t>资</w:t>
      </w:r>
      <w:r>
        <w:rPr>
          <w:w w:val="100"/>
        </w:rPr>
        <w:t>产</w:t>
      </w:r>
      <w:r>
        <w:rPr>
          <w:spacing w:val="-3"/>
          <w:w w:val="100"/>
        </w:rPr>
        <w:t>重</w:t>
      </w:r>
      <w:r>
        <w:rPr>
          <w:w w:val="100"/>
        </w:rPr>
        <w:t>组</w:t>
      </w:r>
      <w:r>
        <w:rPr>
          <w:spacing w:val="-3"/>
          <w:w w:val="100"/>
        </w:rPr>
        <w:t>，</w:t>
      </w:r>
      <w:r>
        <w:rPr>
          <w:w w:val="100"/>
        </w:rPr>
        <w:t>聘</w:t>
      </w:r>
      <w:r>
        <w:rPr>
          <w:spacing w:val="-3"/>
          <w:w w:val="100"/>
        </w:rPr>
        <w:t>请</w:t>
      </w:r>
      <w:r>
        <w:rPr>
          <w:w w:val="100"/>
        </w:rPr>
        <w:t>西</w:t>
      </w:r>
      <w:r>
        <w:rPr>
          <w:spacing w:val="-3"/>
          <w:w w:val="100"/>
        </w:rPr>
        <w:t>南</w:t>
      </w:r>
      <w:r>
        <w:rPr>
          <w:w w:val="100"/>
        </w:rPr>
        <w:t>证券</w:t>
      </w:r>
      <w:r>
        <w:rPr>
          <w:spacing w:val="-3"/>
          <w:w w:val="100"/>
        </w:rPr>
        <w:t>股</w:t>
      </w:r>
      <w:r>
        <w:rPr>
          <w:w w:val="100"/>
        </w:rPr>
        <w:t>份</w:t>
      </w:r>
      <w:r>
        <w:rPr>
          <w:spacing w:val="-3"/>
          <w:w w:val="100"/>
        </w:rPr>
        <w:t>有</w:t>
      </w:r>
      <w:r>
        <w:rPr>
          <w:w w:val="100"/>
        </w:rPr>
        <w:t>限</w:t>
      </w:r>
      <w:r>
        <w:rPr>
          <w:spacing w:val="-3"/>
          <w:w w:val="100"/>
        </w:rPr>
        <w:t>公</w:t>
      </w:r>
      <w:r>
        <w:rPr>
          <w:w w:val="100"/>
        </w:rPr>
        <w:t>司</w:t>
      </w:r>
      <w:r>
        <w:rPr>
          <w:spacing w:val="-3"/>
          <w:w w:val="100"/>
        </w:rPr>
        <w:t>公</w:t>
      </w:r>
      <w:r>
        <w:rPr>
          <w:w w:val="100"/>
        </w:rPr>
        <w:t>司为</w:t>
      </w:r>
    </w:p>
    <w:p>
      <w:pPr>
        <w:pStyle w:val="BodyText"/>
        <w:spacing w:line="240" w:lineRule="auto" w:before="177"/>
        <w:ind w:right="140"/>
        <w:jc w:val="left"/>
      </w:pPr>
      <w:r>
        <w:rPr/>
        <w:t>财务顾问，报告期内共支付财务顾问费</w:t>
      </w:r>
      <w:r>
        <w:rPr>
          <w:spacing w:val="-5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t>万元。</w:t>
      </w:r>
    </w:p>
    <w:p>
      <w:pPr>
        <w:spacing w:line="240" w:lineRule="auto" w:before="7"/>
        <w:rPr>
          <w:rFonts w:ascii="宋体" w:hAnsi="宋体" w:cs="宋体" w:eastAsia="宋体" w:hint="default"/>
          <w:sz w:val="28"/>
          <w:szCs w:val="28"/>
        </w:rPr>
      </w:pPr>
    </w:p>
    <w:p>
      <w:pPr>
        <w:pStyle w:val="Heading2"/>
        <w:spacing w:line="240" w:lineRule="auto" w:before="0"/>
        <w:ind w:right="140"/>
        <w:jc w:val="left"/>
        <w:rPr>
          <w:b w:val="0"/>
          <w:bCs w:val="0"/>
        </w:rPr>
      </w:pP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5"/>
        <w:rPr>
          <w:rFonts w:ascii="宋体" w:hAnsi="宋体" w:cs="宋体" w:eastAsia="宋体" w:hint="default"/>
          <w:b/>
          <w:bCs/>
          <w:sz w:val="29"/>
          <w:szCs w:val="29"/>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before="0"/>
        <w:ind w:right="140"/>
        <w:jc w:val="left"/>
        <w:rPr>
          <w:b w:val="0"/>
          <w:bCs w:val="0"/>
        </w:rPr>
      </w:pPr>
      <w:r>
        <w:rPr/>
        <w:t>十二、处罚及整改情况</w:t>
      </w:r>
      <w:r>
        <w:rPr>
          <w:b w:val="0"/>
          <w:bCs w:val="0"/>
        </w:rPr>
      </w:r>
    </w:p>
    <w:p>
      <w:pPr>
        <w:spacing w:line="240" w:lineRule="auto" w:before="10"/>
        <w:rPr>
          <w:rFonts w:ascii="宋体" w:hAnsi="宋体" w:cs="宋体" w:eastAsia="宋体" w:hint="default"/>
          <w:b/>
          <w:bCs/>
          <w:sz w:val="30"/>
          <w:szCs w:val="30"/>
        </w:rPr>
      </w:pPr>
    </w:p>
    <w:p>
      <w:pPr>
        <w:pStyle w:val="BodyText"/>
        <w:spacing w:line="417" w:lineRule="auto"/>
        <w:ind w:right="56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公司报告期不存在处罚及整改情况。</w:t>
      </w:r>
    </w:p>
    <w:p>
      <w:pPr>
        <w:spacing w:line="240" w:lineRule="auto" w:before="0"/>
        <w:rPr>
          <w:rFonts w:ascii="宋体" w:hAnsi="宋体" w:cs="宋体" w:eastAsia="宋体" w:hint="default"/>
          <w:sz w:val="18"/>
          <w:szCs w:val="18"/>
        </w:rPr>
      </w:pPr>
    </w:p>
    <w:p>
      <w:pPr>
        <w:pStyle w:val="Heading2"/>
        <w:spacing w:line="240" w:lineRule="auto" w:before="0"/>
        <w:ind w:right="140"/>
        <w:jc w:val="left"/>
        <w:rPr>
          <w:b w:val="0"/>
          <w:bCs w:val="0"/>
        </w:rPr>
      </w:pPr>
      <w:r>
        <w:rPr/>
        <w:t>十三、年度报告披露后面临暂停上市和终止上市情况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before="0"/>
        <w:ind w:right="140"/>
        <w:jc w:val="left"/>
        <w:rPr>
          <w:b w:val="0"/>
          <w:bCs w:val="0"/>
        </w:rPr>
      </w:pPr>
      <w:r>
        <w:rPr/>
        <w:t>十四、其他重大事项的说明</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423"/>
        <w:gridCol w:w="4254"/>
        <w:gridCol w:w="1275"/>
        <w:gridCol w:w="1277"/>
        <w:gridCol w:w="1416"/>
      </w:tblGrid>
      <w:tr>
        <w:trPr>
          <w:trHeight w:val="997" w:hRule="exact"/>
        </w:trPr>
        <w:tc>
          <w:tcPr>
            <w:tcW w:w="1423"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338"/>
              <w:jc w:val="right"/>
              <w:rPr>
                <w:rFonts w:ascii="宋体" w:hAnsi="宋体" w:cs="宋体" w:eastAsia="宋体" w:hint="default"/>
                <w:sz w:val="18"/>
                <w:szCs w:val="18"/>
              </w:rPr>
            </w:pPr>
            <w:r>
              <w:rPr>
                <w:rFonts w:ascii="宋体" w:hAnsi="宋体" w:cs="宋体" w:eastAsia="宋体" w:hint="default"/>
                <w:sz w:val="18"/>
                <w:szCs w:val="18"/>
              </w:rPr>
              <w:t>公告编号</w:t>
            </w:r>
          </w:p>
        </w:tc>
        <w:tc>
          <w:tcPr>
            <w:tcW w:w="4254"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事项</w:t>
            </w:r>
          </w:p>
        </w:tc>
        <w:tc>
          <w:tcPr>
            <w:tcW w:w="1275"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12"/>
                <w:szCs w:val="12"/>
              </w:rPr>
            </w:pPr>
          </w:p>
          <w:p>
            <w:pPr>
              <w:pStyle w:val="TableParagraph"/>
              <w:spacing w:line="360" w:lineRule="auto"/>
              <w:ind w:left="182" w:right="182"/>
              <w:jc w:val="left"/>
              <w:rPr>
                <w:rFonts w:ascii="宋体" w:hAnsi="宋体" w:cs="宋体" w:eastAsia="宋体" w:hint="default"/>
                <w:sz w:val="18"/>
                <w:szCs w:val="18"/>
              </w:rPr>
            </w:pPr>
            <w:r>
              <w:rPr>
                <w:rFonts w:ascii="宋体" w:hAnsi="宋体" w:cs="宋体" w:eastAsia="宋体" w:hint="default"/>
                <w:sz w:val="18"/>
                <w:szCs w:val="18"/>
              </w:rPr>
              <w:t>刊载的报刊 名称及版面</w:t>
            </w:r>
          </w:p>
        </w:tc>
        <w:tc>
          <w:tcPr>
            <w:tcW w:w="1277"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刊载日期</w:t>
            </w:r>
          </w:p>
        </w:tc>
        <w:tc>
          <w:tcPr>
            <w:tcW w:w="1416"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40" w:lineRule="auto" w:before="4"/>
              <w:ind w:right="0"/>
              <w:jc w:val="left"/>
              <w:rPr>
                <w:rFonts w:ascii="宋体" w:hAnsi="宋体" w:cs="宋体" w:eastAsia="宋体" w:hint="default"/>
                <w:sz w:val="14"/>
                <w:szCs w:val="14"/>
              </w:rPr>
            </w:pPr>
          </w:p>
          <w:p>
            <w:pPr>
              <w:pStyle w:val="TableParagraph"/>
              <w:spacing w:line="314" w:lineRule="auto"/>
              <w:ind w:left="165" w:right="60" w:hanging="92"/>
              <w:jc w:val="left"/>
              <w:rPr>
                <w:rFonts w:ascii="宋体" w:hAnsi="宋体" w:cs="宋体" w:eastAsia="宋体" w:hint="default"/>
                <w:sz w:val="18"/>
                <w:szCs w:val="18"/>
              </w:rPr>
            </w:pPr>
            <w:r>
              <w:rPr>
                <w:rFonts w:ascii="宋体" w:hAnsi="宋体" w:cs="宋体" w:eastAsia="宋体" w:hint="default"/>
                <w:sz w:val="18"/>
                <w:szCs w:val="18"/>
              </w:rPr>
              <w:t>刊载的互联网网 站及检索路径</w:t>
            </w:r>
          </w:p>
        </w:tc>
      </w:tr>
      <w:tr>
        <w:trPr>
          <w:trHeight w:val="485" w:hRule="exact"/>
        </w:trPr>
        <w:tc>
          <w:tcPr>
            <w:tcW w:w="14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37"/>
              <w:jc w:val="right"/>
              <w:rPr>
                <w:rFonts w:ascii="宋体" w:hAnsi="宋体" w:cs="宋体" w:eastAsia="宋体" w:hint="default"/>
                <w:sz w:val="18"/>
                <w:szCs w:val="18"/>
              </w:rPr>
            </w:pPr>
            <w:r>
              <w:rPr>
                <w:rFonts w:ascii="宋体"/>
                <w:spacing w:val="-1"/>
                <w:sz w:val="18"/>
              </w:rPr>
              <w:t>2014-001</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关于签署《募集资金三方监管协议》的公告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2014/1/3</w:t>
            </w:r>
          </w:p>
        </w:tc>
        <w:tc>
          <w:tcPr>
            <w:tcW w:w="1416" w:type="dxa"/>
            <w:vMerge w:val="restart"/>
            <w:tcBorders>
              <w:top w:val="single" w:sz="4" w:space="0" w:color="000000"/>
              <w:left w:val="single" w:sz="4" w:space="0" w:color="000000"/>
              <w:right w:val="single" w:sz="12"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7"/>
              <w:ind w:left="7" w:right="3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 info.com.cn</w:t>
            </w:r>
            <w:r>
              <w:rPr>
                <w:rFonts w:ascii="宋体" w:hAnsi="宋体" w:cs="宋体" w:eastAsia="宋体" w:hint="default"/>
                <w:sz w:val="18"/>
                <w:szCs w:val="18"/>
              </w:rPr>
              <w:t>）</w:t>
            </w:r>
          </w:p>
        </w:tc>
      </w:tr>
      <w:tr>
        <w:trPr>
          <w:trHeight w:val="482" w:hRule="exact"/>
        </w:trPr>
        <w:tc>
          <w:tcPr>
            <w:tcW w:w="14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37"/>
              <w:jc w:val="right"/>
              <w:rPr>
                <w:rFonts w:ascii="宋体" w:hAnsi="宋体" w:cs="宋体" w:eastAsia="宋体" w:hint="default"/>
                <w:sz w:val="18"/>
                <w:szCs w:val="18"/>
              </w:rPr>
            </w:pPr>
            <w:r>
              <w:rPr>
                <w:rFonts w:ascii="宋体"/>
                <w:spacing w:val="-1"/>
                <w:sz w:val="18"/>
              </w:rPr>
              <w:t>2014-003</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2014</w:t>
            </w:r>
            <w:r>
              <w:rPr>
                <w:rFonts w:ascii="宋体" w:hAnsi="宋体" w:cs="宋体" w:eastAsia="宋体" w:hint="default"/>
                <w:sz w:val="18"/>
                <w:szCs w:val="18"/>
              </w:rPr>
              <w:t>年度第一次临时股东大会的通知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2014/1/7</w:t>
            </w:r>
          </w:p>
        </w:tc>
        <w:tc>
          <w:tcPr>
            <w:tcW w:w="1416" w:type="dxa"/>
            <w:vMerge/>
            <w:tcBorders>
              <w:left w:val="single" w:sz="4" w:space="0" w:color="000000"/>
              <w:right w:val="single" w:sz="12" w:space="0" w:color="000000"/>
            </w:tcBorders>
          </w:tcPr>
          <w:p>
            <w:pPr/>
          </w:p>
        </w:tc>
      </w:tr>
      <w:tr>
        <w:trPr>
          <w:trHeight w:val="485" w:hRule="exact"/>
        </w:trPr>
        <w:tc>
          <w:tcPr>
            <w:tcW w:w="14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37"/>
              <w:jc w:val="right"/>
              <w:rPr>
                <w:rFonts w:ascii="宋体" w:hAnsi="宋体" w:cs="宋体" w:eastAsia="宋体" w:hint="default"/>
                <w:sz w:val="18"/>
                <w:szCs w:val="18"/>
              </w:rPr>
            </w:pPr>
            <w:r>
              <w:rPr>
                <w:rFonts w:ascii="宋体"/>
                <w:spacing w:val="-1"/>
                <w:sz w:val="18"/>
              </w:rPr>
              <w:t>2014-004</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第六届监事会</w:t>
            </w:r>
            <w:r>
              <w:rPr>
                <w:rFonts w:ascii="宋体" w:hAnsi="宋体" w:cs="宋体" w:eastAsia="宋体" w:hint="default"/>
                <w:sz w:val="18"/>
                <w:szCs w:val="18"/>
              </w:rPr>
              <w:t>2014</w:t>
            </w:r>
            <w:r>
              <w:rPr>
                <w:rFonts w:ascii="宋体" w:hAnsi="宋体" w:cs="宋体" w:eastAsia="宋体" w:hint="default"/>
                <w:sz w:val="18"/>
                <w:szCs w:val="18"/>
              </w:rPr>
              <w:t>年第一次临时会议决议公告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2014/1/7</w:t>
            </w:r>
          </w:p>
        </w:tc>
        <w:tc>
          <w:tcPr>
            <w:tcW w:w="1416" w:type="dxa"/>
            <w:vMerge/>
            <w:tcBorders>
              <w:left w:val="single" w:sz="4" w:space="0" w:color="000000"/>
              <w:right w:val="single" w:sz="12" w:space="0" w:color="000000"/>
            </w:tcBorders>
          </w:tcPr>
          <w:p>
            <w:pPr/>
          </w:p>
        </w:tc>
      </w:tr>
      <w:tr>
        <w:trPr>
          <w:trHeight w:val="485" w:hRule="exact"/>
        </w:trPr>
        <w:tc>
          <w:tcPr>
            <w:tcW w:w="14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37"/>
              <w:jc w:val="right"/>
              <w:rPr>
                <w:rFonts w:ascii="宋体" w:hAnsi="宋体" w:cs="宋体" w:eastAsia="宋体" w:hint="default"/>
                <w:sz w:val="18"/>
                <w:szCs w:val="18"/>
              </w:rPr>
            </w:pPr>
            <w:r>
              <w:rPr>
                <w:rFonts w:ascii="宋体"/>
                <w:spacing w:val="-1"/>
                <w:sz w:val="18"/>
              </w:rPr>
              <w:t>2014-005</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关于选举产生第七届监事会职工代表监事的公告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2014/1/7</w:t>
            </w:r>
          </w:p>
        </w:tc>
        <w:tc>
          <w:tcPr>
            <w:tcW w:w="1416" w:type="dxa"/>
            <w:vMerge/>
            <w:tcBorders>
              <w:left w:val="single" w:sz="4" w:space="0" w:color="000000"/>
              <w:right w:val="single" w:sz="12" w:space="0" w:color="000000"/>
            </w:tcBorders>
          </w:tcPr>
          <w:p>
            <w:pPr/>
          </w:p>
        </w:tc>
      </w:tr>
      <w:tr>
        <w:trPr>
          <w:trHeight w:val="734" w:hRule="exact"/>
        </w:trPr>
        <w:tc>
          <w:tcPr>
            <w:tcW w:w="14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37"/>
              <w:jc w:val="right"/>
              <w:rPr>
                <w:rFonts w:ascii="宋体" w:hAnsi="宋体" w:cs="宋体" w:eastAsia="宋体" w:hint="default"/>
                <w:sz w:val="18"/>
                <w:szCs w:val="18"/>
              </w:rPr>
            </w:pPr>
            <w:r>
              <w:rPr>
                <w:rFonts w:ascii="宋体"/>
                <w:spacing w:val="-1"/>
                <w:sz w:val="18"/>
              </w:rPr>
              <w:t>2014-006</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4"/>
              <w:jc w:val="left"/>
              <w:rPr>
                <w:rFonts w:ascii="宋体" w:hAnsi="宋体" w:cs="宋体" w:eastAsia="宋体" w:hint="default"/>
                <w:sz w:val="18"/>
                <w:szCs w:val="18"/>
              </w:rPr>
            </w:pPr>
            <w:r>
              <w:rPr>
                <w:rFonts w:ascii="宋体" w:hAnsi="宋体" w:cs="宋体" w:eastAsia="宋体" w:hint="default"/>
                <w:spacing w:val="3"/>
                <w:sz w:val="18"/>
                <w:szCs w:val="18"/>
              </w:rPr>
              <w:t>关于参股公司鼎捷软件创业板上市获得中国证监会批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复的公告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2014/1/9</w:t>
            </w:r>
          </w:p>
        </w:tc>
        <w:tc>
          <w:tcPr>
            <w:tcW w:w="1416" w:type="dxa"/>
            <w:vMerge/>
            <w:tcBorders>
              <w:left w:val="single" w:sz="4" w:space="0" w:color="000000"/>
              <w:right w:val="single" w:sz="12" w:space="0" w:color="000000"/>
            </w:tcBorders>
          </w:tcPr>
          <w:p>
            <w:pPr/>
          </w:p>
        </w:tc>
      </w:tr>
      <w:tr>
        <w:trPr>
          <w:trHeight w:val="494" w:hRule="exact"/>
        </w:trPr>
        <w:tc>
          <w:tcPr>
            <w:tcW w:w="142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8"/>
              <w:ind w:right="337"/>
              <w:jc w:val="right"/>
              <w:rPr>
                <w:rFonts w:ascii="宋体" w:hAnsi="宋体" w:cs="宋体" w:eastAsia="宋体" w:hint="default"/>
                <w:sz w:val="18"/>
                <w:szCs w:val="18"/>
              </w:rPr>
            </w:pPr>
            <w:r>
              <w:rPr>
                <w:rFonts w:ascii="宋体"/>
                <w:spacing w:val="-1"/>
                <w:sz w:val="18"/>
              </w:rPr>
              <w:t>2014-007</w:t>
            </w:r>
          </w:p>
        </w:tc>
        <w:tc>
          <w:tcPr>
            <w:tcW w:w="42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宋体" w:hAnsi="宋体" w:cs="宋体" w:eastAsia="宋体" w:hint="default"/>
                <w:sz w:val="18"/>
                <w:szCs w:val="18"/>
              </w:rPr>
              <w:t>2014</w:t>
            </w:r>
            <w:r>
              <w:rPr>
                <w:rFonts w:ascii="宋体" w:hAnsi="宋体" w:cs="宋体" w:eastAsia="宋体" w:hint="default"/>
                <w:sz w:val="18"/>
                <w:szCs w:val="18"/>
              </w:rPr>
              <w:t>年第二次临时会议决议公告</w:t>
            </w:r>
          </w:p>
        </w:tc>
        <w:tc>
          <w:tcPr>
            <w:tcW w:w="12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B12</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2014/1/11</w:t>
            </w:r>
          </w:p>
        </w:tc>
        <w:tc>
          <w:tcPr>
            <w:tcW w:w="1416" w:type="dxa"/>
            <w:vMerge/>
            <w:tcBorders>
              <w:left w:val="single" w:sz="4" w:space="0" w:color="000000"/>
              <w:bottom w:val="single" w:sz="12" w:space="0" w:color="000000"/>
              <w:right w:val="single" w:sz="12" w:space="0" w:color="000000"/>
            </w:tcBorders>
          </w:tcPr>
          <w:p>
            <w:pPr/>
          </w:p>
        </w:tc>
      </w:tr>
    </w:tbl>
    <w:p>
      <w:pPr>
        <w:spacing w:after="0"/>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430"/>
        <w:gridCol w:w="4254"/>
        <w:gridCol w:w="1275"/>
        <w:gridCol w:w="1277"/>
        <w:gridCol w:w="1416"/>
      </w:tblGrid>
      <w:tr>
        <w:trPr>
          <w:trHeight w:val="495" w:hRule="exact"/>
        </w:trPr>
        <w:tc>
          <w:tcPr>
            <w:tcW w:w="143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2014-008</w:t>
            </w:r>
          </w:p>
        </w:tc>
        <w:tc>
          <w:tcPr>
            <w:tcW w:w="42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第六届监事会</w:t>
            </w:r>
            <w:r>
              <w:rPr>
                <w:rFonts w:ascii="宋体" w:hAnsi="宋体" w:cs="宋体" w:eastAsia="宋体" w:hint="default"/>
                <w:sz w:val="18"/>
                <w:szCs w:val="18"/>
              </w:rPr>
              <w:t>2014</w:t>
            </w:r>
            <w:r>
              <w:rPr>
                <w:rFonts w:ascii="宋体" w:hAnsi="宋体" w:cs="宋体" w:eastAsia="宋体" w:hint="default"/>
                <w:sz w:val="18"/>
                <w:szCs w:val="18"/>
              </w:rPr>
              <w:t>年第二次临时会议决议公告</w:t>
            </w:r>
          </w:p>
        </w:tc>
        <w:tc>
          <w:tcPr>
            <w:tcW w:w="12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B12</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2014/1/11</w:t>
            </w:r>
          </w:p>
        </w:tc>
        <w:tc>
          <w:tcPr>
            <w:tcW w:w="1416" w:type="dxa"/>
            <w:vMerge w:val="restart"/>
            <w:tcBorders>
              <w:top w:val="single" w:sz="12" w:space="0" w:color="000000"/>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2014-009</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5"/>
              <w:jc w:val="left"/>
              <w:rPr>
                <w:rFonts w:ascii="宋体" w:hAnsi="宋体" w:cs="宋体" w:eastAsia="宋体" w:hint="default"/>
                <w:sz w:val="18"/>
                <w:szCs w:val="18"/>
              </w:rPr>
            </w:pPr>
            <w:r>
              <w:rPr>
                <w:rFonts w:ascii="宋体" w:hAnsi="宋体" w:cs="宋体" w:eastAsia="宋体" w:hint="default"/>
                <w:spacing w:val="3"/>
                <w:sz w:val="18"/>
                <w:szCs w:val="18"/>
              </w:rPr>
              <w:t>关于取消公司</w:t>
            </w:r>
            <w:r>
              <w:rPr>
                <w:rFonts w:ascii="宋体" w:hAnsi="宋体" w:cs="宋体" w:eastAsia="宋体" w:hint="default"/>
                <w:spacing w:val="3"/>
                <w:sz w:val="18"/>
                <w:szCs w:val="18"/>
              </w:rPr>
              <w:t>2014</w:t>
            </w:r>
            <w:r>
              <w:rPr>
                <w:rFonts w:ascii="宋体" w:hAnsi="宋体" w:cs="宋体" w:eastAsia="宋体" w:hint="default"/>
                <w:spacing w:val="3"/>
                <w:sz w:val="18"/>
                <w:szCs w:val="18"/>
              </w:rPr>
              <w:t>年第一次临时股东大会部分议案并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增加临时提案的公告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2014/1/11</w:t>
            </w:r>
          </w:p>
        </w:tc>
        <w:tc>
          <w:tcPr>
            <w:tcW w:w="1416" w:type="dxa"/>
            <w:vMerge/>
            <w:tcBorders>
              <w:left w:val="single" w:sz="4" w:space="0" w:color="000000"/>
              <w:right w:val="single" w:sz="12" w:space="0" w:color="000000"/>
            </w:tcBorders>
          </w:tcPr>
          <w:p>
            <w:pPr/>
          </w:p>
        </w:tc>
      </w:tr>
      <w:tr>
        <w:trPr>
          <w:trHeight w:val="482"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2014-010</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2014</w:t>
            </w:r>
            <w:r>
              <w:rPr>
                <w:rFonts w:ascii="宋体" w:hAnsi="宋体" w:cs="宋体" w:eastAsia="宋体" w:hint="default"/>
                <w:sz w:val="18"/>
                <w:szCs w:val="18"/>
              </w:rPr>
              <w:t>年度第一次临时股东大会的补充通知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2014/1/11</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2014-011</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关于补选第六届监事会职工代表监事的公告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2014/1/11</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2014-012</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股票交易异常波动停牌核查公告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C4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2014/1/13</w:t>
            </w:r>
          </w:p>
        </w:tc>
        <w:tc>
          <w:tcPr>
            <w:tcW w:w="1416" w:type="dxa"/>
            <w:vMerge/>
            <w:tcBorders>
              <w:left w:val="single" w:sz="4" w:space="0" w:color="000000"/>
              <w:right w:val="single" w:sz="12" w:space="0" w:color="000000"/>
            </w:tcBorders>
          </w:tcPr>
          <w:p>
            <w:pPr/>
          </w:p>
        </w:tc>
      </w:tr>
      <w:tr>
        <w:trPr>
          <w:trHeight w:val="482"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2014-013</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年度业绩预告修正公告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2014/1/14</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2014-014</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关于股票交易异常波动事项核查情况及复牌的公告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2014/1/14</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9"/>
              <w:ind w:right="344"/>
              <w:jc w:val="right"/>
              <w:rPr>
                <w:rFonts w:ascii="宋体" w:hAnsi="宋体" w:cs="宋体" w:eastAsia="宋体" w:hint="default"/>
                <w:sz w:val="18"/>
                <w:szCs w:val="18"/>
              </w:rPr>
            </w:pPr>
            <w:r>
              <w:rPr>
                <w:rFonts w:ascii="宋体"/>
                <w:spacing w:val="-1"/>
                <w:sz w:val="18"/>
              </w:rPr>
              <w:t>2014-015</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深圳市太光电信股份有限公司董事会公告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2014/1/16</w:t>
            </w:r>
          </w:p>
        </w:tc>
        <w:tc>
          <w:tcPr>
            <w:tcW w:w="1416" w:type="dxa"/>
            <w:vMerge/>
            <w:tcBorders>
              <w:left w:val="single" w:sz="4" w:space="0" w:color="000000"/>
              <w:right w:val="single" w:sz="12" w:space="0" w:color="000000"/>
            </w:tcBorders>
          </w:tcPr>
          <w:p>
            <w:pPr/>
          </w:p>
        </w:tc>
      </w:tr>
      <w:tr>
        <w:trPr>
          <w:trHeight w:val="482"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2014-016</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年度第一次临时股东大会决议公告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2014/1/23</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2014-017</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宋体" w:hAnsi="宋体" w:cs="宋体" w:eastAsia="宋体" w:hint="default"/>
                <w:sz w:val="18"/>
                <w:szCs w:val="18"/>
              </w:rPr>
              <w:t>2014</w:t>
            </w:r>
            <w:r>
              <w:rPr>
                <w:rFonts w:ascii="宋体" w:hAnsi="宋体" w:cs="宋体" w:eastAsia="宋体" w:hint="default"/>
                <w:sz w:val="18"/>
                <w:szCs w:val="18"/>
              </w:rPr>
              <w:t>年第三次临时会议决议公告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2014/1/24</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2014-018</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关于调整会计政策和会计估计的公告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2014/1/24</w:t>
            </w:r>
          </w:p>
        </w:tc>
        <w:tc>
          <w:tcPr>
            <w:tcW w:w="1416" w:type="dxa"/>
            <w:vMerge/>
            <w:tcBorders>
              <w:left w:val="single" w:sz="4" w:space="0" w:color="000000"/>
              <w:right w:val="single" w:sz="12" w:space="0" w:color="000000"/>
            </w:tcBorders>
          </w:tcPr>
          <w:p>
            <w:pPr/>
          </w:p>
        </w:tc>
      </w:tr>
      <w:tr>
        <w:trPr>
          <w:trHeight w:val="482"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2014-019</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年度日常关联交易预计公告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2014/1/24</w:t>
            </w:r>
          </w:p>
        </w:tc>
        <w:tc>
          <w:tcPr>
            <w:tcW w:w="1416" w:type="dxa"/>
            <w:vMerge/>
            <w:tcBorders>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2014-020</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4"/>
              <w:jc w:val="left"/>
              <w:rPr>
                <w:rFonts w:ascii="宋体" w:hAnsi="宋体" w:cs="宋体" w:eastAsia="宋体" w:hint="default"/>
                <w:sz w:val="18"/>
                <w:szCs w:val="18"/>
              </w:rPr>
            </w:pPr>
            <w:r>
              <w:rPr>
                <w:rFonts w:ascii="宋体" w:hAnsi="宋体" w:cs="宋体" w:eastAsia="宋体" w:hint="default"/>
                <w:spacing w:val="3"/>
                <w:sz w:val="18"/>
                <w:szCs w:val="18"/>
              </w:rPr>
              <w:t>关于公司及下属子公司使用自有闲置资金购买保本型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银行理财产品的公告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2014/1/24</w:t>
            </w:r>
          </w:p>
        </w:tc>
        <w:tc>
          <w:tcPr>
            <w:tcW w:w="1416" w:type="dxa"/>
            <w:vMerge/>
            <w:tcBorders>
              <w:left w:val="single" w:sz="4" w:space="0" w:color="000000"/>
              <w:right w:val="single" w:sz="12" w:space="0" w:color="000000"/>
            </w:tcBorders>
          </w:tcPr>
          <w:p>
            <w:pPr/>
          </w:p>
        </w:tc>
      </w:tr>
      <w:tr>
        <w:trPr>
          <w:trHeight w:val="1047"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2014-021</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4" w:right="4"/>
              <w:jc w:val="both"/>
              <w:rPr>
                <w:rFonts w:ascii="宋体" w:hAnsi="宋体" w:cs="宋体" w:eastAsia="宋体" w:hint="default"/>
                <w:sz w:val="18"/>
                <w:szCs w:val="18"/>
              </w:rPr>
            </w:pPr>
            <w:r>
              <w:rPr>
                <w:rFonts w:ascii="宋体" w:hAnsi="宋体" w:cs="宋体" w:eastAsia="宋体" w:hint="default"/>
                <w:spacing w:val="3"/>
                <w:sz w:val="18"/>
                <w:szCs w:val="18"/>
              </w:rPr>
              <w:t>独立董事关于公司和下属子公司神州数码系统集成服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务有限公司神州数码信息系统有限公司共用授信额度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并互相提供担保的独立意见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2014/1/24</w:t>
            </w:r>
          </w:p>
        </w:tc>
        <w:tc>
          <w:tcPr>
            <w:tcW w:w="1416" w:type="dxa"/>
            <w:vMerge/>
            <w:tcBorders>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2014-022</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4"/>
              <w:jc w:val="left"/>
              <w:rPr>
                <w:rFonts w:ascii="宋体" w:hAnsi="宋体" w:cs="宋体" w:eastAsia="宋体" w:hint="default"/>
                <w:sz w:val="18"/>
                <w:szCs w:val="18"/>
              </w:rPr>
            </w:pPr>
            <w:r>
              <w:rPr>
                <w:rFonts w:ascii="宋体" w:hAnsi="宋体" w:cs="宋体" w:eastAsia="宋体" w:hint="default"/>
                <w:spacing w:val="3"/>
                <w:sz w:val="18"/>
                <w:szCs w:val="18"/>
              </w:rPr>
              <w:t>关于全资子公司为其下属子公司神州数码集成系统有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限公司在南洋商业银行申请授信提供担保的公告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2014/1/24</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2014-023</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2014</w:t>
            </w:r>
            <w:r>
              <w:rPr>
                <w:rFonts w:ascii="宋体" w:hAnsi="宋体" w:cs="宋体" w:eastAsia="宋体" w:hint="default"/>
                <w:sz w:val="18"/>
                <w:szCs w:val="18"/>
              </w:rPr>
              <w:t>年度第二次临时股东大会的通知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2014/1/24</w:t>
            </w:r>
          </w:p>
        </w:tc>
        <w:tc>
          <w:tcPr>
            <w:tcW w:w="1416" w:type="dxa"/>
            <w:vMerge/>
            <w:tcBorders>
              <w:left w:val="single" w:sz="4" w:space="0" w:color="000000"/>
              <w:right w:val="single" w:sz="12" w:space="0" w:color="000000"/>
            </w:tcBorders>
          </w:tcPr>
          <w:p>
            <w:pPr/>
          </w:p>
        </w:tc>
      </w:tr>
      <w:tr>
        <w:trPr>
          <w:trHeight w:val="482"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2014-024</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关于变更公司联系地址和联系方式的公告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2014/1/24</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2014-025</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第六届监事会</w:t>
            </w:r>
            <w:r>
              <w:rPr>
                <w:rFonts w:ascii="宋体" w:hAnsi="宋体" w:cs="宋体" w:eastAsia="宋体" w:hint="default"/>
                <w:sz w:val="18"/>
                <w:szCs w:val="18"/>
              </w:rPr>
              <w:t>2014</w:t>
            </w:r>
            <w:r>
              <w:rPr>
                <w:rFonts w:ascii="宋体" w:hAnsi="宋体" w:cs="宋体" w:eastAsia="宋体" w:hint="default"/>
                <w:sz w:val="18"/>
                <w:szCs w:val="18"/>
              </w:rPr>
              <w:t>年第三次临时会议决议公告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2014/1/24</w:t>
            </w:r>
          </w:p>
        </w:tc>
        <w:tc>
          <w:tcPr>
            <w:tcW w:w="1416" w:type="dxa"/>
            <w:vMerge/>
            <w:tcBorders>
              <w:left w:val="single" w:sz="4" w:space="0" w:color="000000"/>
              <w:right w:val="single" w:sz="12" w:space="0" w:color="000000"/>
            </w:tcBorders>
          </w:tcPr>
          <w:p>
            <w:pPr/>
          </w:p>
        </w:tc>
      </w:tr>
      <w:tr>
        <w:trPr>
          <w:trHeight w:val="1047"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2014-027</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4" w:right="4"/>
              <w:jc w:val="both"/>
              <w:rPr>
                <w:rFonts w:ascii="宋体" w:hAnsi="宋体" w:cs="宋体" w:eastAsia="宋体" w:hint="default"/>
                <w:sz w:val="18"/>
                <w:szCs w:val="18"/>
              </w:rPr>
            </w:pPr>
            <w:r>
              <w:rPr>
                <w:rFonts w:ascii="宋体" w:hAnsi="宋体" w:cs="宋体" w:eastAsia="宋体" w:hint="default"/>
                <w:spacing w:val="3"/>
                <w:sz w:val="18"/>
                <w:szCs w:val="18"/>
              </w:rPr>
              <w:t>关于公司和下属子公司神州数码系统集成服务有限公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司、神州数码信息系统有限公司共用授信额度并互相提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供担保的公告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2014/1/25</w:t>
            </w:r>
          </w:p>
        </w:tc>
        <w:tc>
          <w:tcPr>
            <w:tcW w:w="1416" w:type="dxa"/>
            <w:vMerge/>
            <w:tcBorders>
              <w:left w:val="single" w:sz="4" w:space="0" w:color="000000"/>
              <w:right w:val="single" w:sz="12" w:space="0" w:color="000000"/>
            </w:tcBorders>
          </w:tcPr>
          <w:p>
            <w:pPr/>
          </w:p>
        </w:tc>
      </w:tr>
      <w:tr>
        <w:trPr>
          <w:trHeight w:val="1046"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2014-026</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4"/>
              <w:jc w:val="both"/>
              <w:rPr>
                <w:rFonts w:ascii="宋体" w:hAnsi="宋体" w:cs="宋体" w:eastAsia="宋体" w:hint="default"/>
                <w:sz w:val="18"/>
                <w:szCs w:val="18"/>
              </w:rPr>
            </w:pPr>
            <w:r>
              <w:rPr>
                <w:rFonts w:ascii="宋体" w:hAnsi="宋体" w:cs="宋体" w:eastAsia="宋体" w:hint="default"/>
                <w:spacing w:val="3"/>
                <w:sz w:val="18"/>
                <w:szCs w:val="18"/>
              </w:rPr>
              <w:t>关于公司和下属子公司神州数码系统集成服务有限公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司、神州数码信息系统有限公司共用授信额度并互相提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供担保的补充公告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2014/1/25</w:t>
            </w:r>
          </w:p>
        </w:tc>
        <w:tc>
          <w:tcPr>
            <w:tcW w:w="1416" w:type="dxa"/>
            <w:vMerge/>
            <w:tcBorders>
              <w:left w:val="single" w:sz="4" w:space="0" w:color="000000"/>
              <w:right w:val="single" w:sz="12" w:space="0" w:color="000000"/>
            </w:tcBorders>
          </w:tcPr>
          <w:p>
            <w:pPr/>
          </w:p>
        </w:tc>
      </w:tr>
      <w:tr>
        <w:trPr>
          <w:trHeight w:val="732"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2014-029</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5"/>
              <w:jc w:val="left"/>
              <w:rPr>
                <w:rFonts w:ascii="宋体" w:hAnsi="宋体" w:cs="宋体" w:eastAsia="宋体" w:hint="default"/>
                <w:sz w:val="18"/>
                <w:szCs w:val="18"/>
              </w:rPr>
            </w:pPr>
            <w:r>
              <w:rPr>
                <w:rFonts w:ascii="宋体" w:hAnsi="宋体" w:cs="宋体" w:eastAsia="宋体" w:hint="default"/>
                <w:spacing w:val="3"/>
                <w:sz w:val="18"/>
                <w:szCs w:val="18"/>
              </w:rPr>
              <w:t>关于变更</w:t>
            </w:r>
            <w:r>
              <w:rPr>
                <w:rFonts w:ascii="宋体" w:hAnsi="宋体" w:cs="宋体" w:eastAsia="宋体" w:hint="default"/>
                <w:spacing w:val="3"/>
                <w:sz w:val="18"/>
                <w:szCs w:val="18"/>
              </w:rPr>
              <w:t>2014</w:t>
            </w:r>
            <w:r>
              <w:rPr>
                <w:rFonts w:ascii="宋体" w:hAnsi="宋体" w:cs="宋体" w:eastAsia="宋体" w:hint="default"/>
                <w:spacing w:val="3"/>
                <w:sz w:val="18"/>
                <w:szCs w:val="18"/>
              </w:rPr>
              <w:t>年度第二次临时股东大会召开地点的公</w:t>
            </w:r>
            <w:r>
              <w:rPr>
                <w:rFonts w:ascii="宋体" w:hAnsi="宋体" w:cs="宋体" w:eastAsia="宋体" w:hint="default"/>
                <w:sz w:val="18"/>
                <w:szCs w:val="18"/>
              </w:rPr>
              <w:t> 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2014/1/30</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2014-028</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宋体" w:hAnsi="宋体" w:cs="宋体" w:eastAsia="宋体" w:hint="default"/>
                <w:sz w:val="18"/>
                <w:szCs w:val="18"/>
              </w:rPr>
              <w:t>2014</w:t>
            </w:r>
            <w:r>
              <w:rPr>
                <w:rFonts w:ascii="宋体" w:hAnsi="宋体" w:cs="宋体" w:eastAsia="宋体" w:hint="default"/>
                <w:sz w:val="18"/>
                <w:szCs w:val="18"/>
              </w:rPr>
              <w:t>年第四次临时会议决议公告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2014/1/30</w:t>
            </w:r>
          </w:p>
        </w:tc>
        <w:tc>
          <w:tcPr>
            <w:tcW w:w="1416" w:type="dxa"/>
            <w:vMerge/>
            <w:tcBorders>
              <w:left w:val="single" w:sz="4" w:space="0" w:color="000000"/>
              <w:right w:val="single" w:sz="12" w:space="0" w:color="000000"/>
            </w:tcBorders>
          </w:tcPr>
          <w:p>
            <w:pPr/>
          </w:p>
        </w:tc>
      </w:tr>
      <w:tr>
        <w:trPr>
          <w:trHeight w:val="494" w:hRule="exact"/>
        </w:trPr>
        <w:tc>
          <w:tcPr>
            <w:tcW w:w="143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2014-031</w:t>
            </w:r>
          </w:p>
        </w:tc>
        <w:tc>
          <w:tcPr>
            <w:tcW w:w="42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2014</w:t>
            </w:r>
            <w:r>
              <w:rPr>
                <w:rFonts w:ascii="宋体" w:hAnsi="宋体" w:cs="宋体" w:eastAsia="宋体" w:hint="default"/>
                <w:sz w:val="18"/>
                <w:szCs w:val="18"/>
              </w:rPr>
              <w:t>年度第二次临时股东大会的提示性公告</w:t>
            </w:r>
          </w:p>
        </w:tc>
        <w:tc>
          <w:tcPr>
            <w:tcW w:w="12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B24</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2014/2/14</w:t>
            </w:r>
          </w:p>
        </w:tc>
        <w:tc>
          <w:tcPr>
            <w:tcW w:w="1416" w:type="dxa"/>
            <w:vMerge/>
            <w:tcBorders>
              <w:left w:val="single" w:sz="4" w:space="0" w:color="000000"/>
              <w:bottom w:val="single" w:sz="12" w:space="0" w:color="000000"/>
              <w:right w:val="single" w:sz="12" w:space="0" w:color="000000"/>
            </w:tcBorders>
          </w:tcPr>
          <w:p>
            <w:pPr/>
          </w:p>
        </w:tc>
      </w:tr>
    </w:tbl>
    <w:p>
      <w:pPr>
        <w:spacing w:after="0"/>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430"/>
        <w:gridCol w:w="4254"/>
        <w:gridCol w:w="1275"/>
        <w:gridCol w:w="1277"/>
        <w:gridCol w:w="1416"/>
      </w:tblGrid>
      <w:tr>
        <w:trPr>
          <w:trHeight w:val="495" w:hRule="exact"/>
        </w:trPr>
        <w:tc>
          <w:tcPr>
            <w:tcW w:w="143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2014-030</w:t>
            </w:r>
          </w:p>
        </w:tc>
        <w:tc>
          <w:tcPr>
            <w:tcW w:w="42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关于公司及相关方承诺事项履行情况的公告</w:t>
            </w:r>
          </w:p>
        </w:tc>
        <w:tc>
          <w:tcPr>
            <w:tcW w:w="12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1"/>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B24</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2014/2/14</w:t>
            </w:r>
          </w:p>
        </w:tc>
        <w:tc>
          <w:tcPr>
            <w:tcW w:w="1416" w:type="dxa"/>
            <w:vMerge w:val="restart"/>
            <w:tcBorders>
              <w:top w:val="single" w:sz="12" w:space="0" w:color="000000"/>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2014-032</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年度第二次临时股东大会决议公告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2014/2/19</w:t>
            </w:r>
          </w:p>
        </w:tc>
        <w:tc>
          <w:tcPr>
            <w:tcW w:w="1416" w:type="dxa"/>
            <w:vMerge/>
            <w:tcBorders>
              <w:left w:val="single" w:sz="4" w:space="0" w:color="000000"/>
              <w:right w:val="single" w:sz="12" w:space="0" w:color="000000"/>
            </w:tcBorders>
          </w:tcPr>
          <w:p>
            <w:pPr/>
          </w:p>
        </w:tc>
      </w:tr>
      <w:tr>
        <w:trPr>
          <w:trHeight w:val="482"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2014-033</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关于工商登记变更完成的公告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8"/>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2014/3/5</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2014-034</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宋体" w:hAnsi="宋体" w:cs="宋体" w:eastAsia="宋体" w:hint="default"/>
                <w:sz w:val="18"/>
                <w:szCs w:val="18"/>
              </w:rPr>
              <w:t>2014</w:t>
            </w:r>
            <w:r>
              <w:rPr>
                <w:rFonts w:ascii="宋体" w:hAnsi="宋体" w:cs="宋体" w:eastAsia="宋体" w:hint="default"/>
                <w:sz w:val="18"/>
                <w:szCs w:val="18"/>
              </w:rPr>
              <w:t>年第五次临时会议决议公告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78"/>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2014/3/6</w:t>
            </w:r>
          </w:p>
        </w:tc>
        <w:tc>
          <w:tcPr>
            <w:tcW w:w="1416" w:type="dxa"/>
            <w:vMerge/>
            <w:tcBorders>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2014-035</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4"/>
              <w:jc w:val="left"/>
              <w:rPr>
                <w:rFonts w:ascii="宋体" w:hAnsi="宋体" w:cs="宋体" w:eastAsia="宋体" w:hint="default"/>
                <w:sz w:val="18"/>
                <w:szCs w:val="18"/>
              </w:rPr>
            </w:pPr>
            <w:r>
              <w:rPr>
                <w:rFonts w:ascii="宋体" w:hAnsi="宋体" w:cs="宋体" w:eastAsia="宋体" w:hint="default"/>
                <w:spacing w:val="3"/>
                <w:sz w:val="18"/>
                <w:szCs w:val="18"/>
              </w:rPr>
              <w:t>关于申请撤销股票交易退市风险警示并变更证券简称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8"/>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2014/3/6</w:t>
            </w:r>
          </w:p>
        </w:tc>
        <w:tc>
          <w:tcPr>
            <w:tcW w:w="1416" w:type="dxa"/>
            <w:vMerge/>
            <w:tcBorders>
              <w:left w:val="single" w:sz="4" w:space="0" w:color="000000"/>
              <w:right w:val="single" w:sz="12" w:space="0" w:color="000000"/>
            </w:tcBorders>
          </w:tcPr>
          <w:p>
            <w:pPr/>
          </w:p>
        </w:tc>
      </w:tr>
      <w:tr>
        <w:trPr>
          <w:trHeight w:val="482"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2014-037</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关于公司名称及证券简称变更的公告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2014/3/18</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2014-036</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关于撤销股票交易退市风险警示的公告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2014/3/18</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9"/>
              <w:ind w:right="344"/>
              <w:jc w:val="right"/>
              <w:rPr>
                <w:rFonts w:ascii="宋体" w:hAnsi="宋体" w:cs="宋体" w:eastAsia="宋体" w:hint="default"/>
                <w:sz w:val="18"/>
                <w:szCs w:val="18"/>
              </w:rPr>
            </w:pPr>
            <w:r>
              <w:rPr>
                <w:rFonts w:ascii="宋体"/>
                <w:spacing w:val="-1"/>
                <w:sz w:val="18"/>
              </w:rPr>
              <w:t>2014-039</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年度报告摘要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1"/>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2014/3/26</w:t>
            </w:r>
          </w:p>
        </w:tc>
        <w:tc>
          <w:tcPr>
            <w:tcW w:w="1416" w:type="dxa"/>
            <w:vMerge/>
            <w:tcBorders>
              <w:left w:val="single" w:sz="4" w:space="0" w:color="000000"/>
              <w:right w:val="single" w:sz="12" w:space="0" w:color="000000"/>
            </w:tcBorders>
          </w:tcPr>
          <w:p>
            <w:pPr/>
          </w:p>
        </w:tc>
      </w:tr>
      <w:tr>
        <w:trPr>
          <w:trHeight w:val="482"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2014-038</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第六届董事会第五次会议决议公告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1"/>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2014/3/26</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2014-047</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第六届监事会第五次会议决议公告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1"/>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2014/3/26</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2014-046</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2013</w:t>
            </w:r>
            <w:r>
              <w:rPr>
                <w:rFonts w:ascii="宋体" w:hAnsi="宋体" w:cs="宋体" w:eastAsia="宋体" w:hint="default"/>
                <w:sz w:val="18"/>
                <w:szCs w:val="18"/>
              </w:rPr>
              <w:t>年年度股东大会的通知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1"/>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2014/3/26</w:t>
            </w:r>
          </w:p>
        </w:tc>
        <w:tc>
          <w:tcPr>
            <w:tcW w:w="1416" w:type="dxa"/>
            <w:vMerge/>
            <w:tcBorders>
              <w:left w:val="single" w:sz="4" w:space="0" w:color="000000"/>
              <w:right w:val="single" w:sz="12" w:space="0" w:color="000000"/>
            </w:tcBorders>
          </w:tcPr>
          <w:p>
            <w:pPr/>
          </w:p>
        </w:tc>
      </w:tr>
      <w:tr>
        <w:trPr>
          <w:trHeight w:val="1358"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2014-045</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3"/>
              <w:jc w:val="both"/>
              <w:rPr>
                <w:rFonts w:ascii="宋体" w:hAnsi="宋体" w:cs="宋体" w:eastAsia="宋体" w:hint="default"/>
                <w:sz w:val="18"/>
                <w:szCs w:val="18"/>
              </w:rPr>
            </w:pPr>
            <w:r>
              <w:rPr>
                <w:rFonts w:ascii="宋体" w:hAnsi="宋体" w:cs="宋体" w:eastAsia="宋体" w:hint="default"/>
                <w:spacing w:val="3"/>
                <w:sz w:val="18"/>
                <w:szCs w:val="18"/>
              </w:rPr>
              <w:t>关于公司及分公司和下属子公司神州数码系统集成服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务有限公司、神州数码信息系统有限公司、神州数码金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信科技股份有限公司向广发银行申请综合授信并由公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司提供担保的公告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1"/>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2014/3/26</w:t>
            </w:r>
          </w:p>
        </w:tc>
        <w:tc>
          <w:tcPr>
            <w:tcW w:w="1416" w:type="dxa"/>
            <w:vMerge/>
            <w:tcBorders>
              <w:left w:val="single" w:sz="4" w:space="0" w:color="000000"/>
              <w:right w:val="single" w:sz="12" w:space="0" w:color="000000"/>
            </w:tcBorders>
          </w:tcPr>
          <w:p>
            <w:pPr/>
          </w:p>
        </w:tc>
      </w:tr>
      <w:tr>
        <w:trPr>
          <w:trHeight w:val="483"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2014-041</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关于公司向光大银行申请综合授信的公告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1"/>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2014/3/26</w:t>
            </w:r>
          </w:p>
        </w:tc>
        <w:tc>
          <w:tcPr>
            <w:tcW w:w="1416" w:type="dxa"/>
            <w:vMerge/>
            <w:tcBorders>
              <w:left w:val="single" w:sz="4" w:space="0" w:color="000000"/>
              <w:right w:val="single" w:sz="12" w:space="0" w:color="000000"/>
            </w:tcBorders>
          </w:tcPr>
          <w:p>
            <w:pPr/>
          </w:p>
        </w:tc>
      </w:tr>
      <w:tr>
        <w:trPr>
          <w:trHeight w:val="1046"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2014-042</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4" w:right="4"/>
              <w:jc w:val="both"/>
              <w:rPr>
                <w:rFonts w:ascii="宋体" w:hAnsi="宋体" w:cs="宋体" w:eastAsia="宋体" w:hint="default"/>
                <w:sz w:val="18"/>
                <w:szCs w:val="18"/>
              </w:rPr>
            </w:pPr>
            <w:r>
              <w:rPr>
                <w:rFonts w:ascii="宋体" w:hAnsi="宋体" w:cs="宋体" w:eastAsia="宋体" w:hint="default"/>
                <w:spacing w:val="3"/>
                <w:sz w:val="18"/>
                <w:szCs w:val="18"/>
              </w:rPr>
              <w:t>关于神州数码信息服务股份有限公司北京分公司向北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京银行申请授信并由子公司神州数码系统集成服务有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限公司提供担保的公告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1"/>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2014/3/26</w:t>
            </w:r>
          </w:p>
        </w:tc>
        <w:tc>
          <w:tcPr>
            <w:tcW w:w="1416" w:type="dxa"/>
            <w:vMerge/>
            <w:tcBorders>
              <w:left w:val="single" w:sz="4" w:space="0" w:color="000000"/>
              <w:right w:val="single" w:sz="12" w:space="0" w:color="000000"/>
            </w:tcBorders>
          </w:tcPr>
          <w:p>
            <w:pPr/>
          </w:p>
        </w:tc>
      </w:tr>
      <w:tr>
        <w:trPr>
          <w:trHeight w:val="1046"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2014-040</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4"/>
              <w:jc w:val="both"/>
              <w:rPr>
                <w:rFonts w:ascii="宋体" w:hAnsi="宋体" w:cs="宋体" w:eastAsia="宋体" w:hint="default"/>
                <w:sz w:val="18"/>
                <w:szCs w:val="18"/>
              </w:rPr>
            </w:pPr>
            <w:r>
              <w:rPr>
                <w:rFonts w:ascii="宋体" w:hAnsi="宋体" w:cs="宋体" w:eastAsia="宋体" w:hint="default"/>
                <w:spacing w:val="3"/>
                <w:sz w:val="18"/>
                <w:szCs w:val="18"/>
              </w:rPr>
              <w:t>西南证券股份有限公司关于神州数码信息服务股份有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限公司以募集配套资金置换已预先投入募集配套资金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使用项目的自筹资金的核查意见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1"/>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2014/3/26</w:t>
            </w:r>
          </w:p>
        </w:tc>
        <w:tc>
          <w:tcPr>
            <w:tcW w:w="1416" w:type="dxa"/>
            <w:vMerge/>
            <w:tcBorders>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2014-043</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4"/>
              <w:jc w:val="left"/>
              <w:rPr>
                <w:rFonts w:ascii="宋体" w:hAnsi="宋体" w:cs="宋体" w:eastAsia="宋体" w:hint="default"/>
                <w:sz w:val="18"/>
                <w:szCs w:val="18"/>
              </w:rPr>
            </w:pPr>
            <w:r>
              <w:rPr>
                <w:rFonts w:ascii="宋体" w:hAnsi="宋体" w:cs="宋体" w:eastAsia="宋体" w:hint="default"/>
                <w:spacing w:val="3"/>
                <w:sz w:val="18"/>
                <w:szCs w:val="18"/>
              </w:rPr>
              <w:t>关于子公司神州数码系统集成服务有限公司向中国建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设银行申请授信并由公司提供担保的公告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1"/>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2014/3/26</w:t>
            </w:r>
          </w:p>
        </w:tc>
        <w:tc>
          <w:tcPr>
            <w:tcW w:w="1416" w:type="dxa"/>
            <w:vMerge/>
            <w:tcBorders>
              <w:left w:val="single" w:sz="4" w:space="0" w:color="000000"/>
              <w:right w:val="single" w:sz="12" w:space="0" w:color="000000"/>
            </w:tcBorders>
          </w:tcPr>
          <w:p>
            <w:pPr/>
          </w:p>
        </w:tc>
      </w:tr>
      <w:tr>
        <w:trPr>
          <w:trHeight w:val="73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2014-044</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4" w:right="4"/>
              <w:jc w:val="left"/>
              <w:rPr>
                <w:rFonts w:ascii="宋体" w:hAnsi="宋体" w:cs="宋体" w:eastAsia="宋体" w:hint="default"/>
                <w:sz w:val="18"/>
                <w:szCs w:val="18"/>
              </w:rPr>
            </w:pPr>
            <w:r>
              <w:rPr>
                <w:rFonts w:ascii="宋体" w:hAnsi="宋体" w:cs="宋体" w:eastAsia="宋体" w:hint="default"/>
                <w:spacing w:val="3"/>
                <w:sz w:val="18"/>
                <w:szCs w:val="18"/>
              </w:rPr>
              <w:t>关于子公司神州数码系统集成服务有限公司向交通银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行申请综合授信并由公司提供担保的公告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1"/>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2014/3/26</w:t>
            </w:r>
          </w:p>
        </w:tc>
        <w:tc>
          <w:tcPr>
            <w:tcW w:w="1416" w:type="dxa"/>
            <w:vMerge/>
            <w:tcBorders>
              <w:left w:val="single" w:sz="4" w:space="0" w:color="000000"/>
              <w:right w:val="single" w:sz="12" w:space="0" w:color="000000"/>
            </w:tcBorders>
          </w:tcPr>
          <w:p>
            <w:pPr/>
          </w:p>
        </w:tc>
      </w:tr>
      <w:tr>
        <w:trPr>
          <w:trHeight w:val="482"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2014-048</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关于相关方承诺事项履行情况的进展公告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2014/4/2</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2014-049</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神州数码信息服务股份有限公司重大仲裁公告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2014/4/4</w:t>
            </w:r>
          </w:p>
        </w:tc>
        <w:tc>
          <w:tcPr>
            <w:tcW w:w="1416" w:type="dxa"/>
            <w:vMerge/>
            <w:tcBorders>
              <w:left w:val="single" w:sz="4" w:space="0" w:color="000000"/>
              <w:right w:val="single" w:sz="12" w:space="0" w:color="000000"/>
            </w:tcBorders>
          </w:tcPr>
          <w:p>
            <w:pPr/>
          </w:p>
        </w:tc>
      </w:tr>
      <w:tr>
        <w:trPr>
          <w:trHeight w:val="1397" w:hRule="exact"/>
        </w:trPr>
        <w:tc>
          <w:tcPr>
            <w:tcW w:w="1430" w:type="dxa"/>
            <w:tcBorders>
              <w:top w:val="single" w:sz="4" w:space="0" w:color="000000"/>
              <w:left w:val="single" w:sz="12" w:space="0" w:color="000000"/>
              <w:bottom w:val="single" w:sz="4" w:space="0" w:color="000000"/>
              <w:right w:val="single" w:sz="4" w:space="0" w:color="000000"/>
            </w:tcBorders>
          </w:tcPr>
          <w:p>
            <w:pP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4"/>
              <w:jc w:val="both"/>
              <w:rPr>
                <w:rFonts w:ascii="宋体" w:hAnsi="宋体" w:cs="宋体" w:eastAsia="宋体" w:hint="default"/>
                <w:sz w:val="18"/>
                <w:szCs w:val="18"/>
              </w:rPr>
            </w:pPr>
            <w:r>
              <w:rPr>
                <w:rFonts w:ascii="宋体" w:hAnsi="宋体" w:cs="宋体" w:eastAsia="宋体" w:hint="default"/>
                <w:spacing w:val="3"/>
                <w:sz w:val="18"/>
                <w:szCs w:val="18"/>
              </w:rPr>
              <w:t>西南证券股份有限公司关于深圳市太光电信股份有限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公司吸收合并神州数码信息服务股份有限公司并募集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配套资金暨关联交易之持续督导工作报告书</w:t>
            </w:r>
          </w:p>
          <w:p>
            <w:pPr>
              <w:pStyle w:val="TableParagraph"/>
              <w:spacing w:line="240" w:lineRule="auto" w:before="59"/>
              <w:ind w:left="4"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z w:val="18"/>
                <w:szCs w:val="18"/>
              </w:rPr>
              <w:t>年度）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2014/4/8</w:t>
            </w:r>
          </w:p>
        </w:tc>
        <w:tc>
          <w:tcPr>
            <w:tcW w:w="1416" w:type="dxa"/>
            <w:vMerge/>
            <w:tcBorders>
              <w:left w:val="single" w:sz="4" w:space="0" w:color="000000"/>
              <w:right w:val="single" w:sz="12" w:space="0" w:color="000000"/>
            </w:tcBorders>
          </w:tcPr>
          <w:p>
            <w:pPr/>
          </w:p>
        </w:tc>
      </w:tr>
      <w:tr>
        <w:trPr>
          <w:trHeight w:val="497" w:hRule="exact"/>
        </w:trPr>
        <w:tc>
          <w:tcPr>
            <w:tcW w:w="143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2014-050</w:t>
            </w:r>
          </w:p>
        </w:tc>
        <w:tc>
          <w:tcPr>
            <w:tcW w:w="42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2013</w:t>
            </w:r>
            <w:r>
              <w:rPr>
                <w:rFonts w:ascii="宋体" w:hAnsi="宋体" w:cs="宋体" w:eastAsia="宋体" w:hint="default"/>
                <w:sz w:val="18"/>
                <w:szCs w:val="18"/>
              </w:rPr>
              <w:t>年年度股东大会的提示性公告</w:t>
            </w:r>
          </w:p>
        </w:tc>
        <w:tc>
          <w:tcPr>
            <w:tcW w:w="12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B64</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2014/4/23</w:t>
            </w:r>
          </w:p>
        </w:tc>
        <w:tc>
          <w:tcPr>
            <w:tcW w:w="1416" w:type="dxa"/>
            <w:vMerge/>
            <w:tcBorders>
              <w:left w:val="single" w:sz="4" w:space="0" w:color="000000"/>
              <w:bottom w:val="single" w:sz="12" w:space="0" w:color="000000"/>
              <w:right w:val="single" w:sz="12" w:space="0" w:color="000000"/>
            </w:tcBorders>
          </w:tcPr>
          <w:p>
            <w:pPr/>
          </w:p>
        </w:tc>
      </w:tr>
    </w:tbl>
    <w:p>
      <w:pPr>
        <w:spacing w:after="0"/>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430"/>
        <w:gridCol w:w="4254"/>
        <w:gridCol w:w="1275"/>
        <w:gridCol w:w="1277"/>
        <w:gridCol w:w="1416"/>
      </w:tblGrid>
      <w:tr>
        <w:trPr>
          <w:trHeight w:val="495" w:hRule="exact"/>
        </w:trPr>
        <w:tc>
          <w:tcPr>
            <w:tcW w:w="143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2014-051</w:t>
            </w:r>
          </w:p>
        </w:tc>
        <w:tc>
          <w:tcPr>
            <w:tcW w:w="42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年年度股东大会决议公告</w:t>
            </w:r>
          </w:p>
        </w:tc>
        <w:tc>
          <w:tcPr>
            <w:tcW w:w="12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1"/>
              <w:ind w:right="91"/>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B137</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2014/4/26</w:t>
            </w:r>
          </w:p>
        </w:tc>
        <w:tc>
          <w:tcPr>
            <w:tcW w:w="1416" w:type="dxa"/>
            <w:vMerge w:val="restart"/>
            <w:tcBorders>
              <w:top w:val="single" w:sz="12" w:space="0" w:color="000000"/>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2014-053</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年第一季度报告正文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2014/4/28</w:t>
            </w:r>
          </w:p>
        </w:tc>
        <w:tc>
          <w:tcPr>
            <w:tcW w:w="1416" w:type="dxa"/>
            <w:vMerge/>
            <w:tcBorders>
              <w:left w:val="single" w:sz="4" w:space="0" w:color="000000"/>
              <w:right w:val="single" w:sz="12" w:space="0" w:color="000000"/>
            </w:tcBorders>
          </w:tcPr>
          <w:p>
            <w:pPr/>
          </w:p>
        </w:tc>
      </w:tr>
      <w:tr>
        <w:trPr>
          <w:trHeight w:val="482"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2014-052</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宋体" w:hAnsi="宋体" w:cs="宋体" w:eastAsia="宋体" w:hint="default"/>
                <w:sz w:val="18"/>
                <w:szCs w:val="18"/>
              </w:rPr>
              <w:t>2014</w:t>
            </w:r>
            <w:r>
              <w:rPr>
                <w:rFonts w:ascii="宋体" w:hAnsi="宋体" w:cs="宋体" w:eastAsia="宋体" w:hint="default"/>
                <w:sz w:val="18"/>
                <w:szCs w:val="18"/>
              </w:rPr>
              <w:t>年第六次临时会议决议公告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2014/4/28</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2014-055</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重大事项停牌公告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2014/5/6</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2014-056</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重大事项停牌进展公告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8"/>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2014/5/12</w:t>
            </w:r>
          </w:p>
        </w:tc>
        <w:tc>
          <w:tcPr>
            <w:tcW w:w="1416" w:type="dxa"/>
            <w:vMerge/>
            <w:tcBorders>
              <w:left w:val="single" w:sz="4" w:space="0" w:color="000000"/>
              <w:right w:val="single" w:sz="12" w:space="0" w:color="000000"/>
            </w:tcBorders>
          </w:tcPr>
          <w:p>
            <w:pPr/>
          </w:p>
        </w:tc>
      </w:tr>
      <w:tr>
        <w:trPr>
          <w:trHeight w:val="732"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2014-057</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4"/>
              <w:jc w:val="left"/>
              <w:rPr>
                <w:rFonts w:ascii="宋体" w:hAnsi="宋体" w:cs="宋体" w:eastAsia="宋体" w:hint="default"/>
                <w:sz w:val="18"/>
                <w:szCs w:val="18"/>
              </w:rPr>
            </w:pPr>
            <w:r>
              <w:rPr>
                <w:rFonts w:ascii="宋体" w:hAnsi="宋体" w:cs="宋体" w:eastAsia="宋体" w:hint="default"/>
                <w:spacing w:val="3"/>
                <w:sz w:val="18"/>
                <w:szCs w:val="18"/>
              </w:rPr>
              <w:t>关于深圳证券交易所对公司独立董事任职资格关注函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2014/5/14</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2014-059</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年度第三次临时股东大会决议公告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2014/5/17</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9"/>
              <w:ind w:right="344"/>
              <w:jc w:val="right"/>
              <w:rPr>
                <w:rFonts w:ascii="宋体" w:hAnsi="宋体" w:cs="宋体" w:eastAsia="宋体" w:hint="default"/>
                <w:sz w:val="18"/>
                <w:szCs w:val="18"/>
              </w:rPr>
            </w:pPr>
            <w:r>
              <w:rPr>
                <w:rFonts w:ascii="宋体"/>
                <w:spacing w:val="-1"/>
                <w:sz w:val="18"/>
              </w:rPr>
              <w:t>2014-058</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重大事项停牌进展公告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78"/>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2014/5/19</w:t>
            </w:r>
          </w:p>
        </w:tc>
        <w:tc>
          <w:tcPr>
            <w:tcW w:w="1416" w:type="dxa"/>
            <w:vMerge/>
            <w:tcBorders>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2014-060</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4"/>
              <w:jc w:val="left"/>
              <w:rPr>
                <w:rFonts w:ascii="宋体" w:hAnsi="宋体" w:cs="宋体" w:eastAsia="宋体" w:hint="default"/>
                <w:sz w:val="18"/>
                <w:szCs w:val="18"/>
              </w:rPr>
            </w:pPr>
            <w:r>
              <w:rPr>
                <w:rFonts w:ascii="宋体" w:hAnsi="宋体" w:cs="宋体" w:eastAsia="宋体" w:hint="default"/>
                <w:spacing w:val="3"/>
                <w:sz w:val="18"/>
                <w:szCs w:val="18"/>
              </w:rPr>
              <w:t>关于筹划发行股份购买资产并募集配套资金的资产重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组事项继续停牌的公告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2014/5/26</w:t>
            </w:r>
          </w:p>
        </w:tc>
        <w:tc>
          <w:tcPr>
            <w:tcW w:w="1416" w:type="dxa"/>
            <w:vMerge/>
            <w:tcBorders>
              <w:left w:val="single" w:sz="4" w:space="0" w:color="000000"/>
              <w:right w:val="single" w:sz="12" w:space="0" w:color="000000"/>
            </w:tcBorders>
          </w:tcPr>
          <w:p>
            <w:pPr/>
          </w:p>
        </w:tc>
      </w:tr>
      <w:tr>
        <w:trPr>
          <w:trHeight w:val="482"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2014-061</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神州数码信息服务股份有限公司诉讼公告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2014/5/27</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2014-062</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关于资产重组事项停牌的进展公告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2014/5/31</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2014-063</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关于完成注册地址工商变更登记的公告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2014/6/7</w:t>
            </w:r>
          </w:p>
        </w:tc>
        <w:tc>
          <w:tcPr>
            <w:tcW w:w="1416" w:type="dxa"/>
            <w:vMerge/>
            <w:tcBorders>
              <w:left w:val="single" w:sz="4" w:space="0" w:color="000000"/>
              <w:right w:val="single" w:sz="12" w:space="0" w:color="000000"/>
            </w:tcBorders>
          </w:tcPr>
          <w:p>
            <w:pPr/>
          </w:p>
        </w:tc>
      </w:tr>
      <w:tr>
        <w:trPr>
          <w:trHeight w:val="482"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2014-064</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关于资产重组事项的进展公告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2014/6/10</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2014-065</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关于资产重组事项的进展公告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2014/6/17</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9"/>
              <w:ind w:right="344"/>
              <w:jc w:val="right"/>
              <w:rPr>
                <w:rFonts w:ascii="宋体" w:hAnsi="宋体" w:cs="宋体" w:eastAsia="宋体" w:hint="default"/>
                <w:sz w:val="18"/>
                <w:szCs w:val="18"/>
              </w:rPr>
            </w:pPr>
            <w:r>
              <w:rPr>
                <w:rFonts w:ascii="宋体"/>
                <w:spacing w:val="-1"/>
                <w:sz w:val="18"/>
              </w:rPr>
              <w:t>2014-066</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关于资产重组事项的进展及延期复牌公告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2014/6/24</w:t>
            </w:r>
          </w:p>
        </w:tc>
        <w:tc>
          <w:tcPr>
            <w:tcW w:w="1416" w:type="dxa"/>
            <w:vMerge/>
            <w:tcBorders>
              <w:left w:val="single" w:sz="4" w:space="0" w:color="000000"/>
              <w:right w:val="single" w:sz="12" w:space="0" w:color="000000"/>
            </w:tcBorders>
          </w:tcPr>
          <w:p>
            <w:pPr/>
          </w:p>
        </w:tc>
      </w:tr>
      <w:tr>
        <w:trPr>
          <w:trHeight w:val="732"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2014-067</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4"/>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神州数码信息服务股份有限公司关于资产重组事项的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进展公告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2014/7/1</w:t>
            </w:r>
          </w:p>
        </w:tc>
        <w:tc>
          <w:tcPr>
            <w:tcW w:w="1416" w:type="dxa"/>
            <w:vMerge/>
            <w:tcBorders>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2014-068</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4"/>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神州数码信息服务股份有限公司关于资产重组事项的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进展公告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2014/7/8</w:t>
            </w:r>
          </w:p>
        </w:tc>
        <w:tc>
          <w:tcPr>
            <w:tcW w:w="1416" w:type="dxa"/>
            <w:vMerge/>
            <w:tcBorders>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2014-069</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4"/>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神州数码信息服务股份有限公司关于资产重组事项的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进展公告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2014/7/15</w:t>
            </w:r>
          </w:p>
        </w:tc>
        <w:tc>
          <w:tcPr>
            <w:tcW w:w="1416" w:type="dxa"/>
            <w:vMerge/>
            <w:tcBorders>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2014-070</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4"/>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神州数码信息服务股份有限公司关于资产重组事项的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进展公告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2014/7/22</w:t>
            </w:r>
          </w:p>
        </w:tc>
        <w:tc>
          <w:tcPr>
            <w:tcW w:w="1416" w:type="dxa"/>
            <w:vMerge/>
            <w:tcBorders>
              <w:left w:val="single" w:sz="4" w:space="0" w:color="000000"/>
              <w:right w:val="single" w:sz="12" w:space="0" w:color="000000"/>
            </w:tcBorders>
          </w:tcPr>
          <w:p>
            <w:pPr/>
          </w:p>
        </w:tc>
      </w:tr>
      <w:tr>
        <w:trPr>
          <w:trHeight w:val="73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9"/>
              <w:ind w:right="344"/>
              <w:jc w:val="right"/>
              <w:rPr>
                <w:rFonts w:ascii="宋体" w:hAnsi="宋体" w:cs="宋体" w:eastAsia="宋体" w:hint="default"/>
                <w:sz w:val="18"/>
                <w:szCs w:val="18"/>
              </w:rPr>
            </w:pPr>
            <w:r>
              <w:rPr>
                <w:rFonts w:ascii="宋体"/>
                <w:spacing w:val="-1"/>
                <w:sz w:val="18"/>
              </w:rPr>
              <w:t>2014-071</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4" w:right="0"/>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神州数码信息服务股份有限公司第六届董事会</w:t>
            </w:r>
            <w:r>
              <w:rPr>
                <w:rFonts w:ascii="宋体" w:hAnsi="宋体" w:cs="宋体" w:eastAsia="宋体" w:hint="default"/>
                <w:spacing w:val="3"/>
                <w:sz w:val="18"/>
                <w:szCs w:val="18"/>
              </w:rPr>
              <w:t>2014</w:t>
            </w:r>
            <w:r>
              <w:rPr>
                <w:rFonts w:ascii="宋体" w:hAnsi="宋体" w:cs="宋体" w:eastAsia="宋体" w:hint="default"/>
                <w:spacing w:val="3"/>
                <w:sz w:val="18"/>
                <w:szCs w:val="18"/>
              </w:rPr>
              <w:t>年</w:t>
            </w:r>
            <w:r>
              <w:rPr>
                <w:rFonts w:ascii="宋体" w:hAnsi="宋体" w:cs="宋体" w:eastAsia="宋体" w:hint="default"/>
                <w:spacing w:val="-85"/>
                <w:sz w:val="18"/>
                <w:szCs w:val="18"/>
              </w:rPr>
              <w:t> </w:t>
            </w:r>
            <w:r>
              <w:rPr>
                <w:rFonts w:ascii="宋体" w:hAnsi="宋体" w:cs="宋体" w:eastAsia="宋体" w:hint="default"/>
                <w:sz w:val="18"/>
                <w:szCs w:val="18"/>
              </w:rPr>
              <w:t>第七次临时会议决议公告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78"/>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2014/7/23</w:t>
            </w:r>
          </w:p>
        </w:tc>
        <w:tc>
          <w:tcPr>
            <w:tcW w:w="1416" w:type="dxa"/>
            <w:vMerge/>
            <w:tcBorders>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2014-072</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神州数码信息服务股份有限公司第六届监事会</w:t>
            </w:r>
            <w:r>
              <w:rPr>
                <w:rFonts w:ascii="宋体" w:hAnsi="宋体" w:cs="宋体" w:eastAsia="宋体" w:hint="default"/>
                <w:spacing w:val="3"/>
                <w:sz w:val="18"/>
                <w:szCs w:val="18"/>
              </w:rPr>
              <w:t>2014</w:t>
            </w:r>
            <w:r>
              <w:rPr>
                <w:rFonts w:ascii="宋体" w:hAnsi="宋体" w:cs="宋体" w:eastAsia="宋体" w:hint="default"/>
                <w:spacing w:val="3"/>
                <w:sz w:val="18"/>
                <w:szCs w:val="18"/>
              </w:rPr>
              <w:t>年</w:t>
            </w:r>
            <w:r>
              <w:rPr>
                <w:rFonts w:ascii="宋体" w:hAnsi="宋体" w:cs="宋体" w:eastAsia="宋体" w:hint="default"/>
                <w:spacing w:val="-85"/>
                <w:sz w:val="18"/>
                <w:szCs w:val="18"/>
              </w:rPr>
              <w:t> </w:t>
            </w:r>
            <w:r>
              <w:rPr>
                <w:rFonts w:ascii="宋体" w:hAnsi="宋体" w:cs="宋体" w:eastAsia="宋体" w:hint="default"/>
                <w:sz w:val="18"/>
                <w:szCs w:val="18"/>
              </w:rPr>
              <w:t>第五次临时会议决议公告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8"/>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2014/7/23</w:t>
            </w:r>
          </w:p>
        </w:tc>
        <w:tc>
          <w:tcPr>
            <w:tcW w:w="1416" w:type="dxa"/>
            <w:vMerge/>
            <w:tcBorders>
              <w:left w:val="single" w:sz="4" w:space="0" w:color="000000"/>
              <w:right w:val="single" w:sz="12" w:space="0" w:color="000000"/>
            </w:tcBorders>
          </w:tcPr>
          <w:p>
            <w:pPr/>
          </w:p>
        </w:tc>
      </w:tr>
      <w:tr>
        <w:trPr>
          <w:trHeight w:val="732"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2014-073</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4"/>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神州数码信息服务股份有限公司董事会关于资产重组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的一般风险提示暨复牌公告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8"/>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2014/7/23</w:t>
            </w:r>
          </w:p>
        </w:tc>
        <w:tc>
          <w:tcPr>
            <w:tcW w:w="1416" w:type="dxa"/>
            <w:vMerge/>
            <w:tcBorders>
              <w:left w:val="single" w:sz="4" w:space="0" w:color="000000"/>
              <w:right w:val="single" w:sz="12" w:space="0" w:color="000000"/>
            </w:tcBorders>
          </w:tcPr>
          <w:p>
            <w:pPr/>
          </w:p>
        </w:tc>
      </w:tr>
      <w:tr>
        <w:trPr>
          <w:trHeight w:val="746" w:hRule="exact"/>
        </w:trPr>
        <w:tc>
          <w:tcPr>
            <w:tcW w:w="143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2014-074</w:t>
            </w:r>
          </w:p>
        </w:tc>
        <w:tc>
          <w:tcPr>
            <w:tcW w:w="4254" w:type="dxa"/>
            <w:tcBorders>
              <w:top w:val="single" w:sz="4" w:space="0" w:color="000000"/>
              <w:left w:val="single" w:sz="4" w:space="0" w:color="000000"/>
              <w:bottom w:val="single" w:sz="12" w:space="0" w:color="000000"/>
              <w:right w:val="single" w:sz="4" w:space="0" w:color="000000"/>
            </w:tcBorders>
          </w:tcPr>
          <w:p>
            <w:pPr>
              <w:pStyle w:val="TableParagraph"/>
              <w:spacing w:line="314" w:lineRule="auto" w:before="61"/>
              <w:ind w:left="4" w:right="4"/>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神州数码信息服务股份有限公司关于股票交易异常波</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动的公告</w:t>
            </w:r>
          </w:p>
        </w:tc>
        <w:tc>
          <w:tcPr>
            <w:tcW w:w="12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78"/>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2014/7/25</w:t>
            </w:r>
          </w:p>
        </w:tc>
        <w:tc>
          <w:tcPr>
            <w:tcW w:w="1416" w:type="dxa"/>
            <w:vMerge/>
            <w:tcBorders>
              <w:left w:val="single" w:sz="4" w:space="0" w:color="000000"/>
              <w:bottom w:val="single" w:sz="12" w:space="0" w:color="000000"/>
              <w:right w:val="single" w:sz="12" w:space="0" w:color="000000"/>
            </w:tcBorders>
          </w:tcPr>
          <w:p>
            <w:pPr/>
          </w:p>
        </w:tc>
      </w:tr>
    </w:tbl>
    <w:p>
      <w:pPr>
        <w:spacing w:after="0"/>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430"/>
        <w:gridCol w:w="4254"/>
        <w:gridCol w:w="132"/>
        <w:gridCol w:w="1143"/>
        <w:gridCol w:w="1277"/>
        <w:gridCol w:w="1416"/>
      </w:tblGrid>
      <w:tr>
        <w:trPr>
          <w:trHeight w:val="744" w:hRule="exact"/>
        </w:trPr>
        <w:tc>
          <w:tcPr>
            <w:tcW w:w="143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2014-075</w:t>
            </w:r>
          </w:p>
        </w:tc>
        <w:tc>
          <w:tcPr>
            <w:tcW w:w="4254"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61"/>
              <w:ind w:left="4" w:right="0"/>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神州数码信息服务股份有限公司第六届董事会</w:t>
            </w:r>
            <w:r>
              <w:rPr>
                <w:rFonts w:ascii="宋体" w:hAnsi="宋体" w:cs="宋体" w:eastAsia="宋体" w:hint="default"/>
                <w:spacing w:val="3"/>
                <w:sz w:val="18"/>
                <w:szCs w:val="18"/>
              </w:rPr>
              <w:t>2014</w:t>
            </w:r>
            <w:r>
              <w:rPr>
                <w:rFonts w:ascii="宋体" w:hAnsi="宋体" w:cs="宋体" w:eastAsia="宋体" w:hint="default"/>
                <w:spacing w:val="3"/>
                <w:sz w:val="18"/>
                <w:szCs w:val="18"/>
              </w:rPr>
              <w:t>年</w:t>
            </w:r>
            <w:r>
              <w:rPr>
                <w:rFonts w:ascii="宋体" w:hAnsi="宋体" w:cs="宋体" w:eastAsia="宋体" w:hint="default"/>
                <w:spacing w:val="-85"/>
                <w:sz w:val="18"/>
                <w:szCs w:val="18"/>
              </w:rPr>
              <w:t> </w:t>
            </w:r>
            <w:r>
              <w:rPr>
                <w:rFonts w:ascii="宋体" w:hAnsi="宋体" w:cs="宋体" w:eastAsia="宋体" w:hint="default"/>
                <w:sz w:val="18"/>
                <w:szCs w:val="18"/>
              </w:rPr>
              <w:t>第八次临时会议决议公告</w:t>
            </w:r>
          </w:p>
        </w:tc>
        <w:tc>
          <w:tcPr>
            <w:tcW w:w="127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61"/>
              <w:ind w:left="136"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B20</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2014/8/16</w:t>
            </w:r>
          </w:p>
        </w:tc>
        <w:tc>
          <w:tcPr>
            <w:tcW w:w="1416" w:type="dxa"/>
            <w:vMerge w:val="restart"/>
            <w:tcBorders>
              <w:top w:val="single" w:sz="12" w:space="0" w:color="000000"/>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2014-076</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神州数码信息服务股份有限公司第六届董事会</w:t>
            </w:r>
            <w:r>
              <w:rPr>
                <w:rFonts w:ascii="宋体" w:hAnsi="宋体" w:cs="宋体" w:eastAsia="宋体" w:hint="default"/>
                <w:spacing w:val="3"/>
                <w:sz w:val="18"/>
                <w:szCs w:val="18"/>
              </w:rPr>
              <w:t>2014</w:t>
            </w:r>
            <w:r>
              <w:rPr>
                <w:rFonts w:ascii="宋体" w:hAnsi="宋体" w:cs="宋体" w:eastAsia="宋体" w:hint="default"/>
                <w:spacing w:val="3"/>
                <w:sz w:val="18"/>
                <w:szCs w:val="18"/>
              </w:rPr>
              <w:t>年</w:t>
            </w:r>
            <w:r>
              <w:rPr>
                <w:rFonts w:ascii="宋体" w:hAnsi="宋体" w:cs="宋体" w:eastAsia="宋体" w:hint="default"/>
                <w:spacing w:val="-85"/>
                <w:sz w:val="18"/>
                <w:szCs w:val="18"/>
              </w:rPr>
              <w:t> </w:t>
            </w:r>
            <w:r>
              <w:rPr>
                <w:rFonts w:ascii="宋体" w:hAnsi="宋体" w:cs="宋体" w:eastAsia="宋体" w:hint="default"/>
                <w:sz w:val="18"/>
                <w:szCs w:val="18"/>
              </w:rPr>
              <w:t>第九次临时会议决议公告</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8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2014/8/21</w:t>
            </w:r>
          </w:p>
        </w:tc>
        <w:tc>
          <w:tcPr>
            <w:tcW w:w="1416" w:type="dxa"/>
            <w:vMerge/>
            <w:tcBorders>
              <w:left w:val="single" w:sz="4" w:space="0" w:color="000000"/>
              <w:right w:val="single" w:sz="12" w:space="0" w:color="000000"/>
            </w:tcBorders>
          </w:tcPr>
          <w:p>
            <w:pPr/>
          </w:p>
        </w:tc>
      </w:tr>
      <w:tr>
        <w:trPr>
          <w:trHeight w:val="1046"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2014-077</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4"/>
              <w:jc w:val="both"/>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神州数码信息服务股份有限公司关于子公司神州数码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系统集成服务有限公司向北京银行申请授信并由公司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提供担保的公告</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8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2014/8/21</w:t>
            </w:r>
          </w:p>
        </w:tc>
        <w:tc>
          <w:tcPr>
            <w:tcW w:w="1416" w:type="dxa"/>
            <w:vMerge/>
            <w:tcBorders>
              <w:left w:val="single" w:sz="4" w:space="0" w:color="000000"/>
              <w:right w:val="single" w:sz="12" w:space="0" w:color="000000"/>
            </w:tcBorders>
          </w:tcPr>
          <w:p>
            <w:pPr/>
          </w:p>
        </w:tc>
      </w:tr>
      <w:tr>
        <w:trPr>
          <w:trHeight w:val="1671"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2014-078</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4" w:right="4"/>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神州数码信息服务股份有限公司关于公司及公司北京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分公司和下属子公司神州数码系统集成服务有限公司 </w:t>
            </w:r>
            <w:r>
              <w:rPr>
                <w:rFonts w:ascii="宋体" w:hAnsi="宋体" w:cs="宋体" w:eastAsia="宋体" w:hint="default"/>
                <w:spacing w:val="-4"/>
                <w:sz w:val="18"/>
                <w:szCs w:val="18"/>
              </w:rPr>
              <w:t>神州数码信息系统有限公司、神州数码金信科技股份有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限公司向中信银行申请综合授信并由公司提供担保的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公告</w:t>
            </w:r>
          </w:p>
        </w:tc>
        <w:tc>
          <w:tcPr>
            <w:tcW w:w="13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11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55"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2014/8/21</w:t>
            </w:r>
          </w:p>
        </w:tc>
        <w:tc>
          <w:tcPr>
            <w:tcW w:w="1416" w:type="dxa"/>
            <w:vMerge/>
            <w:tcBorders>
              <w:left w:val="single" w:sz="4" w:space="0" w:color="000000"/>
              <w:right w:val="single" w:sz="12" w:space="0" w:color="000000"/>
            </w:tcBorders>
          </w:tcPr>
          <w:p>
            <w:pPr/>
          </w:p>
        </w:tc>
      </w:tr>
      <w:tr>
        <w:trPr>
          <w:trHeight w:val="104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2014-079</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4"/>
              <w:jc w:val="both"/>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神州数码信息服务股份有限公司关于子公司神州数码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系统集成服务有限公司向远东国际商业银行申请授信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并由公司提供担保的公告</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8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2014/8/21</w:t>
            </w:r>
          </w:p>
        </w:tc>
        <w:tc>
          <w:tcPr>
            <w:tcW w:w="1416" w:type="dxa"/>
            <w:vMerge/>
            <w:tcBorders>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2014-080</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3"/>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神州数码信息服务股份有限公司关于召开</w:t>
            </w:r>
            <w:r>
              <w:rPr>
                <w:rFonts w:ascii="宋体" w:hAnsi="宋体" w:cs="宋体" w:eastAsia="宋体" w:hint="default"/>
                <w:spacing w:val="3"/>
                <w:sz w:val="18"/>
                <w:szCs w:val="18"/>
              </w:rPr>
              <w:t>2014</w:t>
            </w:r>
            <w:r>
              <w:rPr>
                <w:rFonts w:ascii="宋体" w:hAnsi="宋体" w:cs="宋体" w:eastAsia="宋体" w:hint="default"/>
                <w:spacing w:val="3"/>
                <w:sz w:val="18"/>
                <w:szCs w:val="18"/>
              </w:rPr>
              <w:t>年度第</w:t>
            </w:r>
            <w:r>
              <w:rPr>
                <w:rFonts w:ascii="宋体" w:hAnsi="宋体" w:cs="宋体" w:eastAsia="宋体" w:hint="default"/>
                <w:spacing w:val="-82"/>
                <w:sz w:val="18"/>
                <w:szCs w:val="18"/>
              </w:rPr>
              <w:t> </w:t>
            </w:r>
            <w:r>
              <w:rPr>
                <w:rFonts w:ascii="宋体" w:hAnsi="宋体" w:cs="宋体" w:eastAsia="宋体" w:hint="default"/>
                <w:sz w:val="18"/>
                <w:szCs w:val="18"/>
              </w:rPr>
              <w:t>四次临时股东大会的通知</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2014/8/21</w:t>
            </w:r>
          </w:p>
        </w:tc>
        <w:tc>
          <w:tcPr>
            <w:tcW w:w="1416" w:type="dxa"/>
            <w:vMerge/>
            <w:tcBorders>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2014-081</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4"/>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神州数码信息服务股份有限公司董事会关于资产重组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的一般风险提示公告</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2014/8/21</w:t>
            </w:r>
          </w:p>
        </w:tc>
        <w:tc>
          <w:tcPr>
            <w:tcW w:w="1416" w:type="dxa"/>
            <w:vMerge/>
            <w:tcBorders>
              <w:left w:val="single" w:sz="4" w:space="0" w:color="000000"/>
              <w:right w:val="single" w:sz="12" w:space="0" w:color="000000"/>
            </w:tcBorders>
          </w:tcPr>
          <w:p>
            <w:pPr/>
          </w:p>
        </w:tc>
      </w:tr>
      <w:tr>
        <w:trPr>
          <w:trHeight w:val="73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2014-082</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神州数码信息服务股份有限公司第六届监事会</w:t>
            </w:r>
            <w:r>
              <w:rPr>
                <w:rFonts w:ascii="宋体" w:hAnsi="宋体" w:cs="宋体" w:eastAsia="宋体" w:hint="default"/>
                <w:spacing w:val="3"/>
                <w:sz w:val="18"/>
                <w:szCs w:val="18"/>
              </w:rPr>
              <w:t>2014</w:t>
            </w:r>
            <w:r>
              <w:rPr>
                <w:rFonts w:ascii="宋体" w:hAnsi="宋体" w:cs="宋体" w:eastAsia="宋体" w:hint="default"/>
                <w:spacing w:val="3"/>
                <w:sz w:val="18"/>
                <w:szCs w:val="18"/>
              </w:rPr>
              <w:t>年</w:t>
            </w:r>
            <w:r>
              <w:rPr>
                <w:rFonts w:ascii="宋体" w:hAnsi="宋体" w:cs="宋体" w:eastAsia="宋体" w:hint="default"/>
                <w:spacing w:val="-85"/>
                <w:sz w:val="18"/>
                <w:szCs w:val="18"/>
              </w:rPr>
              <w:t> </w:t>
            </w:r>
            <w:r>
              <w:rPr>
                <w:rFonts w:ascii="宋体" w:hAnsi="宋体" w:cs="宋体" w:eastAsia="宋体" w:hint="default"/>
                <w:sz w:val="18"/>
                <w:szCs w:val="18"/>
              </w:rPr>
              <w:t>第六次临时会议</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8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2014/8/21</w:t>
            </w:r>
          </w:p>
        </w:tc>
        <w:tc>
          <w:tcPr>
            <w:tcW w:w="1416" w:type="dxa"/>
            <w:vMerge/>
            <w:tcBorders>
              <w:left w:val="single" w:sz="4" w:space="0" w:color="000000"/>
              <w:right w:val="single" w:sz="12" w:space="0" w:color="000000"/>
            </w:tcBorders>
          </w:tcPr>
          <w:p>
            <w:pPr/>
          </w:p>
        </w:tc>
      </w:tr>
      <w:tr>
        <w:trPr>
          <w:trHeight w:val="773"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2014-083</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8"/>
              <w:ind w:left="4" w:right="634"/>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z w:val="18"/>
                <w:szCs w:val="18"/>
              </w:rPr>
              <w:t>2014</w:t>
            </w:r>
            <w:r>
              <w:rPr>
                <w:rFonts w:ascii="宋体" w:hAnsi="宋体" w:cs="宋体" w:eastAsia="宋体" w:hint="default"/>
                <w:sz w:val="18"/>
                <w:szCs w:val="18"/>
              </w:rPr>
              <w:t>年半年度 业绩快报</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8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2014/8/21</w:t>
            </w:r>
          </w:p>
        </w:tc>
        <w:tc>
          <w:tcPr>
            <w:tcW w:w="1416" w:type="dxa"/>
            <w:vMerge/>
            <w:tcBorders>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2014-084</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4"/>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神州数码信息服务股份有限公司第六届董事会第六次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会议决议公告</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36"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2014/8/26</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2014-085</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z w:val="18"/>
                <w:szCs w:val="18"/>
              </w:rPr>
              <w:t>2014</w:t>
            </w:r>
            <w:r>
              <w:rPr>
                <w:rFonts w:ascii="宋体" w:hAnsi="宋体" w:cs="宋体" w:eastAsia="宋体" w:hint="default"/>
                <w:sz w:val="18"/>
                <w:szCs w:val="18"/>
              </w:rPr>
              <w:t>半年度报告摘要</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36"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2014/8/26</w:t>
            </w:r>
          </w:p>
        </w:tc>
        <w:tc>
          <w:tcPr>
            <w:tcW w:w="1416" w:type="dxa"/>
            <w:vMerge/>
            <w:tcBorders>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2014-086</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3"/>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w:t>
            </w:r>
            <w:r>
              <w:rPr>
                <w:rFonts w:ascii="宋体" w:hAnsi="宋体" w:cs="宋体" w:eastAsia="宋体" w:hint="default"/>
                <w:spacing w:val="3"/>
                <w:sz w:val="18"/>
                <w:szCs w:val="18"/>
              </w:rPr>
              <w:t>2014</w:t>
            </w:r>
            <w:r>
              <w:rPr>
                <w:rFonts w:ascii="宋体" w:hAnsi="宋体" w:cs="宋体" w:eastAsia="宋体" w:hint="default"/>
                <w:spacing w:val="3"/>
                <w:sz w:val="18"/>
                <w:szCs w:val="18"/>
              </w:rPr>
              <w:t>年半年度募集资</w:t>
            </w:r>
            <w:r>
              <w:rPr>
                <w:rFonts w:ascii="宋体" w:hAnsi="宋体" w:cs="宋体" w:eastAsia="宋体" w:hint="default"/>
                <w:spacing w:val="-82"/>
                <w:sz w:val="18"/>
                <w:szCs w:val="18"/>
              </w:rPr>
              <w:t> </w:t>
            </w:r>
            <w:r>
              <w:rPr>
                <w:rFonts w:ascii="宋体" w:hAnsi="宋体" w:cs="宋体" w:eastAsia="宋体" w:hint="default"/>
                <w:sz w:val="18"/>
                <w:szCs w:val="18"/>
              </w:rPr>
              <w:t>金存放与使用情况的专项报告</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6"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2014/8/26</w:t>
            </w:r>
          </w:p>
        </w:tc>
        <w:tc>
          <w:tcPr>
            <w:tcW w:w="1416" w:type="dxa"/>
            <w:vMerge/>
            <w:tcBorders>
              <w:left w:val="single" w:sz="4" w:space="0" w:color="000000"/>
              <w:right w:val="single" w:sz="12" w:space="0" w:color="000000"/>
            </w:tcBorders>
          </w:tcPr>
          <w:p>
            <w:pPr/>
          </w:p>
        </w:tc>
      </w:tr>
      <w:tr>
        <w:trPr>
          <w:trHeight w:val="73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2014-087</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4"/>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神州数码信息服务股份有限公司关于将暂时闲置资金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转为定期存款的公告</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6"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2014/8/26</w:t>
            </w:r>
          </w:p>
        </w:tc>
        <w:tc>
          <w:tcPr>
            <w:tcW w:w="1416" w:type="dxa"/>
            <w:vMerge/>
            <w:tcBorders>
              <w:left w:val="single" w:sz="4" w:space="0" w:color="000000"/>
              <w:right w:val="single" w:sz="12" w:space="0" w:color="000000"/>
            </w:tcBorders>
          </w:tcPr>
          <w:p>
            <w:pPr/>
          </w:p>
        </w:tc>
      </w:tr>
      <w:tr>
        <w:trPr>
          <w:trHeight w:val="732"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2014-088</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4"/>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神州数码信息服务股份有限公司关于变更会计政策的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公告</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6"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2014/8/26</w:t>
            </w:r>
          </w:p>
        </w:tc>
        <w:tc>
          <w:tcPr>
            <w:tcW w:w="1416" w:type="dxa"/>
            <w:vMerge/>
            <w:tcBorders>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2014-089</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4"/>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神州数码信息服务股份有限公司第六届监事会第六次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会议决议公告</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36"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2014/8/26</w:t>
            </w:r>
          </w:p>
        </w:tc>
        <w:tc>
          <w:tcPr>
            <w:tcW w:w="1416" w:type="dxa"/>
            <w:vMerge/>
            <w:tcBorders>
              <w:left w:val="single" w:sz="4" w:space="0" w:color="000000"/>
              <w:right w:val="single" w:sz="12" w:space="0" w:color="000000"/>
            </w:tcBorders>
          </w:tcPr>
          <w:p>
            <w:pPr/>
          </w:p>
        </w:tc>
      </w:tr>
      <w:tr>
        <w:trPr>
          <w:trHeight w:val="48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2014-090</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神州数码信息服务股份有限公司诉讼进展公告</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36"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2014/8/29</w:t>
            </w:r>
          </w:p>
        </w:tc>
        <w:tc>
          <w:tcPr>
            <w:tcW w:w="1416" w:type="dxa"/>
            <w:vMerge/>
            <w:tcBorders>
              <w:left w:val="single" w:sz="4" w:space="0" w:color="000000"/>
              <w:right w:val="single" w:sz="12" w:space="0" w:color="000000"/>
            </w:tcBorders>
          </w:tcPr>
          <w:p>
            <w:pPr/>
          </w:p>
        </w:tc>
      </w:tr>
      <w:tr>
        <w:trPr>
          <w:trHeight w:val="744" w:hRule="exact"/>
        </w:trPr>
        <w:tc>
          <w:tcPr>
            <w:tcW w:w="143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2014-091</w:t>
            </w:r>
          </w:p>
        </w:tc>
        <w:tc>
          <w:tcPr>
            <w:tcW w:w="4254"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8"/>
              <w:ind w:left="4" w:right="-3"/>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神州数码信息服务股份有限公司关于召开</w:t>
            </w:r>
            <w:r>
              <w:rPr>
                <w:rFonts w:ascii="宋体" w:hAnsi="宋体" w:cs="宋体" w:eastAsia="宋体" w:hint="default"/>
                <w:spacing w:val="3"/>
                <w:sz w:val="18"/>
                <w:szCs w:val="18"/>
              </w:rPr>
              <w:t>2014</w:t>
            </w:r>
            <w:r>
              <w:rPr>
                <w:rFonts w:ascii="宋体" w:hAnsi="宋体" w:cs="宋体" w:eastAsia="宋体" w:hint="default"/>
                <w:spacing w:val="3"/>
                <w:sz w:val="18"/>
                <w:szCs w:val="18"/>
              </w:rPr>
              <w:t>年度第</w:t>
            </w:r>
            <w:r>
              <w:rPr>
                <w:rFonts w:ascii="宋体" w:hAnsi="宋体" w:cs="宋体" w:eastAsia="宋体" w:hint="default"/>
                <w:spacing w:val="-82"/>
                <w:sz w:val="18"/>
                <w:szCs w:val="18"/>
              </w:rPr>
              <w:t> </w:t>
            </w:r>
            <w:r>
              <w:rPr>
                <w:rFonts w:ascii="宋体" w:hAnsi="宋体" w:cs="宋体" w:eastAsia="宋体" w:hint="default"/>
                <w:sz w:val="18"/>
                <w:szCs w:val="18"/>
              </w:rPr>
              <w:t>四次临时股东大会的提示性公告</w:t>
            </w:r>
          </w:p>
        </w:tc>
        <w:tc>
          <w:tcPr>
            <w:tcW w:w="1275"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left="136"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B28</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2014/9/2</w:t>
            </w:r>
          </w:p>
        </w:tc>
        <w:tc>
          <w:tcPr>
            <w:tcW w:w="1416" w:type="dxa"/>
            <w:vMerge/>
            <w:tcBorders>
              <w:left w:val="single" w:sz="4" w:space="0" w:color="000000"/>
              <w:bottom w:val="single" w:sz="12" w:space="0" w:color="000000"/>
              <w:right w:val="single" w:sz="12" w:space="0" w:color="000000"/>
            </w:tcBorders>
          </w:tcPr>
          <w:p>
            <w:pPr/>
          </w:p>
        </w:tc>
      </w:tr>
    </w:tbl>
    <w:p>
      <w:pPr>
        <w:spacing w:after="0"/>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430"/>
        <w:gridCol w:w="4254"/>
        <w:gridCol w:w="1275"/>
        <w:gridCol w:w="1277"/>
        <w:gridCol w:w="1416"/>
      </w:tblGrid>
      <w:tr>
        <w:trPr>
          <w:trHeight w:val="744" w:hRule="exact"/>
        </w:trPr>
        <w:tc>
          <w:tcPr>
            <w:tcW w:w="143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2014-092</w:t>
            </w:r>
          </w:p>
        </w:tc>
        <w:tc>
          <w:tcPr>
            <w:tcW w:w="4254"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61"/>
              <w:ind w:left="4" w:right="-3"/>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w:t>
            </w:r>
            <w:r>
              <w:rPr>
                <w:rFonts w:ascii="宋体" w:hAnsi="宋体" w:cs="宋体" w:eastAsia="宋体" w:hint="default"/>
                <w:spacing w:val="3"/>
                <w:sz w:val="18"/>
                <w:szCs w:val="18"/>
              </w:rPr>
              <w:t>2014</w:t>
            </w:r>
            <w:r>
              <w:rPr>
                <w:rFonts w:ascii="宋体" w:hAnsi="宋体" w:cs="宋体" w:eastAsia="宋体" w:hint="default"/>
                <w:spacing w:val="3"/>
                <w:sz w:val="18"/>
                <w:szCs w:val="18"/>
              </w:rPr>
              <w:t>年度第四次临时</w:t>
            </w:r>
            <w:r>
              <w:rPr>
                <w:rFonts w:ascii="宋体" w:hAnsi="宋体" w:cs="宋体" w:eastAsia="宋体" w:hint="default"/>
                <w:spacing w:val="-82"/>
                <w:sz w:val="18"/>
                <w:szCs w:val="18"/>
              </w:rPr>
              <w:t> </w:t>
            </w:r>
            <w:r>
              <w:rPr>
                <w:rFonts w:ascii="宋体" w:hAnsi="宋体" w:cs="宋体" w:eastAsia="宋体" w:hint="default"/>
                <w:sz w:val="18"/>
                <w:szCs w:val="18"/>
              </w:rPr>
              <w:t>股东大会决议公告</w:t>
            </w:r>
          </w:p>
        </w:tc>
        <w:tc>
          <w:tcPr>
            <w:tcW w:w="12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1"/>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B52</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2014/9/6</w:t>
            </w:r>
          </w:p>
        </w:tc>
        <w:tc>
          <w:tcPr>
            <w:tcW w:w="1416" w:type="dxa"/>
            <w:vMerge w:val="restart"/>
            <w:tcBorders>
              <w:top w:val="single" w:sz="12" w:space="0" w:color="000000"/>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2014-093</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4"/>
                <w:sz w:val="18"/>
                <w:szCs w:val="18"/>
              </w:rPr>
              <w:t>神州数码信息服务股份有限公司关于收到《中国证监会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行政许可申请受理通知书》的公告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2014/9/16</w:t>
            </w:r>
          </w:p>
        </w:tc>
        <w:tc>
          <w:tcPr>
            <w:tcW w:w="1416" w:type="dxa"/>
            <w:vMerge/>
            <w:tcBorders>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2014-094</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4"/>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神州数码信息服务股份有限公司关于股东权益拟变动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的提示性公告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2014/9/19</w:t>
            </w:r>
          </w:p>
        </w:tc>
        <w:tc>
          <w:tcPr>
            <w:tcW w:w="1416" w:type="dxa"/>
            <w:vMerge/>
            <w:tcBorders>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2014-095</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4"/>
                <w:sz w:val="18"/>
                <w:szCs w:val="18"/>
              </w:rPr>
              <w:t>神州数码信息服务股份有限公司关于收到《中国证监会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行政许可项目审查一次反馈意见通知书》的公告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sz w:val="18"/>
              </w:rPr>
              <w:t>2014/10/14</w:t>
            </w:r>
          </w:p>
        </w:tc>
        <w:tc>
          <w:tcPr>
            <w:tcW w:w="1416" w:type="dxa"/>
            <w:vMerge/>
            <w:tcBorders>
              <w:left w:val="single" w:sz="4" w:space="0" w:color="000000"/>
              <w:right w:val="single" w:sz="12" w:space="0" w:color="000000"/>
            </w:tcBorders>
          </w:tcPr>
          <w:p>
            <w:pPr/>
          </w:p>
        </w:tc>
      </w:tr>
      <w:tr>
        <w:trPr>
          <w:trHeight w:val="104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2014-096</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4" w:right="4"/>
              <w:jc w:val="both"/>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神州数码信息服务股份有限公司关于中国证监会上市</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公司并购重组审核委员会审核公司资产重组事项的停</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牌公告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sz w:val="18"/>
              </w:rPr>
              <w:t>2014/10/23</w:t>
            </w:r>
          </w:p>
        </w:tc>
        <w:tc>
          <w:tcPr>
            <w:tcW w:w="1416" w:type="dxa"/>
            <w:vMerge/>
            <w:tcBorders>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2014-097</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4"/>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神州数码信息服务股份有限公司第六届董事会第七次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会议决议公告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1"/>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sz w:val="18"/>
              </w:rPr>
              <w:t>2014/10/28</w:t>
            </w:r>
          </w:p>
        </w:tc>
        <w:tc>
          <w:tcPr>
            <w:tcW w:w="1416" w:type="dxa"/>
            <w:vMerge/>
            <w:tcBorders>
              <w:left w:val="single" w:sz="4" w:space="0" w:color="000000"/>
              <w:right w:val="single" w:sz="12" w:space="0" w:color="000000"/>
            </w:tcBorders>
          </w:tcPr>
          <w:p>
            <w:pPr/>
          </w:p>
        </w:tc>
      </w:tr>
      <w:tr>
        <w:trPr>
          <w:trHeight w:val="77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2014-098</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1"/>
              <w:ind w:left="4" w:right="994"/>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z w:val="18"/>
                <w:szCs w:val="18"/>
              </w:rPr>
              <w:t>2014</w:t>
            </w:r>
            <w:r>
              <w:rPr>
                <w:rFonts w:ascii="宋体" w:hAnsi="宋体" w:cs="宋体" w:eastAsia="宋体" w:hint="default"/>
                <w:sz w:val="18"/>
                <w:szCs w:val="18"/>
              </w:rPr>
              <w:t>年度 第三季度报告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1"/>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sz w:val="18"/>
              </w:rPr>
              <w:t>2014/10/28</w:t>
            </w:r>
          </w:p>
        </w:tc>
        <w:tc>
          <w:tcPr>
            <w:tcW w:w="1416" w:type="dxa"/>
            <w:vMerge/>
            <w:tcBorders>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2014-099</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4"/>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神州数码信息服务股份有限公司关于向东亚银行申请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综合授信的公告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1"/>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sz w:val="18"/>
              </w:rPr>
              <w:t>2014/10/28</w:t>
            </w:r>
          </w:p>
        </w:tc>
        <w:tc>
          <w:tcPr>
            <w:tcW w:w="1416" w:type="dxa"/>
            <w:vMerge/>
            <w:tcBorders>
              <w:left w:val="single" w:sz="4" w:space="0" w:color="000000"/>
              <w:right w:val="single" w:sz="12" w:space="0" w:color="000000"/>
            </w:tcBorders>
          </w:tcPr>
          <w:p>
            <w:pPr/>
          </w:p>
        </w:tc>
      </w:tr>
      <w:tr>
        <w:trPr>
          <w:trHeight w:val="104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2014-100</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4"/>
              <w:jc w:val="both"/>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神州数码信息服务股份有限公司关于资产重组事项获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得中国证监会并购重组审核委员会审核通过暨公司股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票复牌的公告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sz w:val="18"/>
              </w:rPr>
              <w:t>2014/10/31</w:t>
            </w:r>
          </w:p>
        </w:tc>
        <w:tc>
          <w:tcPr>
            <w:tcW w:w="1416" w:type="dxa"/>
            <w:vMerge/>
            <w:tcBorders>
              <w:left w:val="single" w:sz="4" w:space="0" w:color="000000"/>
              <w:right w:val="single" w:sz="12" w:space="0" w:color="000000"/>
            </w:tcBorders>
          </w:tcPr>
          <w:p>
            <w:pPr/>
          </w:p>
        </w:tc>
      </w:tr>
      <w:tr>
        <w:trPr>
          <w:trHeight w:val="735"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2014-101</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4"/>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神州数码信息服务股份有限公司关于资产重组事项获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得证监会核准的公告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sz w:val="18"/>
              </w:rPr>
              <w:t>2014/11/29</w:t>
            </w:r>
          </w:p>
        </w:tc>
        <w:tc>
          <w:tcPr>
            <w:tcW w:w="1416" w:type="dxa"/>
            <w:vMerge/>
            <w:tcBorders>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2014-102</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4"/>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神州数码信息服务股份有限公司关于向特定对象发行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股份购买资产并募集配套资金报告书的修订说明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sz w:val="18"/>
              </w:rPr>
              <w:t>2014/11/29</w:t>
            </w:r>
          </w:p>
        </w:tc>
        <w:tc>
          <w:tcPr>
            <w:tcW w:w="1416" w:type="dxa"/>
            <w:vMerge/>
            <w:tcBorders>
              <w:left w:val="single" w:sz="4" w:space="0" w:color="000000"/>
              <w:right w:val="single" w:sz="12" w:space="0" w:color="000000"/>
            </w:tcBorders>
          </w:tcPr>
          <w:p>
            <w:pPr/>
          </w:p>
        </w:tc>
      </w:tr>
      <w:tr>
        <w:trPr>
          <w:trHeight w:val="1046"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2014-103</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4"/>
              <w:jc w:val="both"/>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神州数码信息服务股份有限公司关于向特定对象发行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股份购买资产并募集配套资金之标的资产过户完成的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2014/12/4</w:t>
            </w:r>
          </w:p>
        </w:tc>
        <w:tc>
          <w:tcPr>
            <w:tcW w:w="1416" w:type="dxa"/>
            <w:vMerge/>
            <w:tcBorders>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2014-104</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神州数码信息服务股份有限公司第六届董事会</w:t>
            </w:r>
            <w:r>
              <w:rPr>
                <w:rFonts w:ascii="宋体" w:hAnsi="宋体" w:cs="宋体" w:eastAsia="宋体" w:hint="default"/>
                <w:spacing w:val="3"/>
                <w:sz w:val="18"/>
                <w:szCs w:val="18"/>
              </w:rPr>
              <w:t>2014</w:t>
            </w:r>
            <w:r>
              <w:rPr>
                <w:rFonts w:ascii="宋体" w:hAnsi="宋体" w:cs="宋体" w:eastAsia="宋体" w:hint="default"/>
                <w:spacing w:val="3"/>
                <w:sz w:val="18"/>
                <w:szCs w:val="18"/>
              </w:rPr>
              <w:t>年</w:t>
            </w:r>
            <w:r>
              <w:rPr>
                <w:rFonts w:ascii="宋体" w:hAnsi="宋体" w:cs="宋体" w:eastAsia="宋体" w:hint="default"/>
                <w:spacing w:val="-85"/>
                <w:sz w:val="18"/>
                <w:szCs w:val="18"/>
              </w:rPr>
              <w:t> </w:t>
            </w:r>
            <w:r>
              <w:rPr>
                <w:rFonts w:ascii="宋体" w:hAnsi="宋体" w:cs="宋体" w:eastAsia="宋体" w:hint="default"/>
                <w:sz w:val="18"/>
                <w:szCs w:val="18"/>
              </w:rPr>
              <w:t>第十次临时会议决议公告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sz w:val="18"/>
              </w:rPr>
              <w:t>2014/12/15</w:t>
            </w:r>
          </w:p>
        </w:tc>
        <w:tc>
          <w:tcPr>
            <w:tcW w:w="1416" w:type="dxa"/>
            <w:vMerge/>
            <w:tcBorders>
              <w:left w:val="single" w:sz="4" w:space="0" w:color="000000"/>
              <w:right w:val="single" w:sz="12" w:space="0" w:color="000000"/>
            </w:tcBorders>
          </w:tcPr>
          <w:p>
            <w:pPr/>
          </w:p>
        </w:tc>
      </w:tr>
      <w:tr>
        <w:trPr>
          <w:trHeight w:val="1047"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9"/>
              <w:ind w:right="344"/>
              <w:jc w:val="right"/>
              <w:rPr>
                <w:rFonts w:ascii="宋体" w:hAnsi="宋体" w:cs="宋体" w:eastAsia="宋体" w:hint="default"/>
                <w:sz w:val="18"/>
                <w:szCs w:val="18"/>
              </w:rPr>
            </w:pPr>
            <w:r>
              <w:rPr>
                <w:rFonts w:ascii="宋体"/>
                <w:spacing w:val="-1"/>
                <w:sz w:val="18"/>
              </w:rPr>
              <w:t>2014-105</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4" w:right="4"/>
              <w:jc w:val="both"/>
              <w:rPr>
                <w:rFonts w:ascii="宋体" w:hAnsi="宋体" w:cs="宋体" w:eastAsia="宋体" w:hint="default"/>
                <w:sz w:val="18"/>
                <w:szCs w:val="18"/>
              </w:rPr>
            </w:pPr>
            <w:r>
              <w:rPr>
                <w:rFonts w:ascii="宋体" w:hAnsi="宋体" w:cs="宋体" w:eastAsia="宋体" w:hint="default"/>
                <w:spacing w:val="6"/>
                <w:sz w:val="18"/>
                <w:szCs w:val="18"/>
              </w:rPr>
              <w:t>神州数码信息服务股份有限公司关于子公司</w:t>
            </w:r>
            <w:r>
              <w:rPr>
                <w:rFonts w:ascii="宋体" w:hAnsi="宋体" w:cs="宋体" w:eastAsia="宋体" w:hint="default"/>
                <w:spacing w:val="6"/>
                <w:sz w:val="18"/>
                <w:szCs w:val="18"/>
              </w:rPr>
              <w:t>Digital</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China</w:t>
            </w:r>
            <w:r>
              <w:rPr>
                <w:rFonts w:ascii="宋体" w:hAnsi="宋体" w:cs="宋体" w:eastAsia="宋体" w:hint="default"/>
                <w:spacing w:val="-33"/>
                <w:sz w:val="18"/>
                <w:szCs w:val="18"/>
              </w:rPr>
              <w:t> </w:t>
            </w:r>
            <w:r>
              <w:rPr>
                <w:rFonts w:ascii="宋体" w:hAnsi="宋体" w:cs="宋体" w:eastAsia="宋体" w:hint="default"/>
                <w:sz w:val="18"/>
                <w:szCs w:val="18"/>
              </w:rPr>
              <w:t>Software</w:t>
            </w:r>
            <w:r>
              <w:rPr>
                <w:rFonts w:ascii="宋体" w:hAnsi="宋体" w:cs="宋体" w:eastAsia="宋体" w:hint="default"/>
                <w:spacing w:val="-31"/>
                <w:sz w:val="18"/>
                <w:szCs w:val="18"/>
              </w:rPr>
              <w:t> </w:t>
            </w:r>
            <w:r>
              <w:rPr>
                <w:rFonts w:ascii="宋体" w:hAnsi="宋体" w:cs="宋体" w:eastAsia="宋体" w:hint="default"/>
                <w:sz w:val="18"/>
                <w:szCs w:val="18"/>
              </w:rPr>
              <w:t>(BVI)</w:t>
            </w:r>
            <w:r>
              <w:rPr>
                <w:rFonts w:ascii="宋体" w:hAnsi="宋体" w:cs="宋体" w:eastAsia="宋体" w:hint="default"/>
                <w:spacing w:val="-34"/>
                <w:sz w:val="18"/>
                <w:szCs w:val="18"/>
              </w:rPr>
              <w:t> </w:t>
            </w:r>
            <w:r>
              <w:rPr>
                <w:rFonts w:ascii="宋体" w:hAnsi="宋体" w:cs="宋体" w:eastAsia="宋体" w:hint="default"/>
                <w:sz w:val="18"/>
                <w:szCs w:val="18"/>
              </w:rPr>
              <w:t>Limited</w:t>
            </w:r>
            <w:r>
              <w:rPr>
                <w:rFonts w:ascii="宋体" w:hAnsi="宋体" w:cs="宋体" w:eastAsia="宋体" w:hint="default"/>
                <w:sz w:val="18"/>
                <w:szCs w:val="18"/>
              </w:rPr>
              <w:t>出售可供出售金融资产 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sz w:val="18"/>
              </w:rPr>
              <w:t>2014/12/18</w:t>
            </w:r>
          </w:p>
        </w:tc>
        <w:tc>
          <w:tcPr>
            <w:tcW w:w="1416" w:type="dxa"/>
            <w:vMerge/>
            <w:tcBorders>
              <w:left w:val="single" w:sz="4" w:space="0" w:color="000000"/>
              <w:right w:val="single" w:sz="12" w:space="0" w:color="000000"/>
            </w:tcBorders>
          </w:tcPr>
          <w:p>
            <w:pPr/>
          </w:p>
        </w:tc>
      </w:tr>
      <w:tr>
        <w:trPr>
          <w:trHeight w:val="104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2014-106</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4"/>
              <w:jc w:val="both"/>
              <w:rPr>
                <w:rFonts w:ascii="宋体" w:hAnsi="宋体" w:cs="宋体" w:eastAsia="宋体" w:hint="default"/>
                <w:sz w:val="18"/>
                <w:szCs w:val="18"/>
              </w:rPr>
            </w:pPr>
            <w:r>
              <w:rPr>
                <w:rFonts w:ascii="宋体" w:hAnsi="宋体" w:cs="宋体" w:eastAsia="宋体" w:hint="default"/>
                <w:spacing w:val="18"/>
                <w:sz w:val="18"/>
                <w:szCs w:val="18"/>
              </w:rPr>
              <w:t>州数码信息服务股份有限公司关于子公司</w:t>
            </w:r>
            <w:r>
              <w:rPr>
                <w:rFonts w:ascii="宋体" w:hAnsi="宋体" w:cs="宋体" w:eastAsia="宋体" w:hint="default"/>
                <w:spacing w:val="-63"/>
                <w:sz w:val="18"/>
                <w:szCs w:val="18"/>
              </w:rPr>
              <w:t> </w:t>
            </w:r>
            <w:r>
              <w:rPr>
                <w:rFonts w:ascii="宋体" w:hAnsi="宋体" w:cs="宋体" w:eastAsia="宋体" w:hint="default"/>
                <w:sz w:val="18"/>
                <w:szCs w:val="18"/>
              </w:rPr>
              <w:t>Digital</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China</w:t>
            </w:r>
            <w:r>
              <w:rPr>
                <w:rFonts w:ascii="宋体" w:hAnsi="宋体" w:cs="宋体" w:eastAsia="宋体" w:hint="default"/>
                <w:spacing w:val="-34"/>
                <w:sz w:val="18"/>
                <w:szCs w:val="18"/>
              </w:rPr>
              <w:t> </w:t>
            </w:r>
            <w:r>
              <w:rPr>
                <w:rFonts w:ascii="宋体" w:hAnsi="宋体" w:cs="宋体" w:eastAsia="宋体" w:hint="default"/>
                <w:sz w:val="18"/>
                <w:szCs w:val="18"/>
              </w:rPr>
              <w:t>Software</w:t>
            </w:r>
            <w:r>
              <w:rPr>
                <w:rFonts w:ascii="宋体" w:hAnsi="宋体" w:cs="宋体" w:eastAsia="宋体" w:hint="default"/>
                <w:spacing w:val="-31"/>
                <w:sz w:val="18"/>
                <w:szCs w:val="18"/>
              </w:rPr>
              <w:t> </w:t>
            </w:r>
            <w:r>
              <w:rPr>
                <w:rFonts w:ascii="宋体" w:hAnsi="宋体" w:cs="宋体" w:eastAsia="宋体" w:hint="default"/>
                <w:sz w:val="18"/>
                <w:szCs w:val="18"/>
              </w:rPr>
              <w:t>(BVI)</w:t>
            </w:r>
            <w:r>
              <w:rPr>
                <w:rFonts w:ascii="宋体" w:hAnsi="宋体" w:cs="宋体" w:eastAsia="宋体" w:hint="default"/>
                <w:spacing w:val="-34"/>
                <w:sz w:val="18"/>
                <w:szCs w:val="18"/>
              </w:rPr>
              <w:t> </w:t>
            </w:r>
            <w:r>
              <w:rPr>
                <w:rFonts w:ascii="宋体" w:hAnsi="宋体" w:cs="宋体" w:eastAsia="宋体" w:hint="default"/>
                <w:sz w:val="18"/>
                <w:szCs w:val="18"/>
              </w:rPr>
              <w:t>Limited</w:t>
            </w:r>
            <w:r>
              <w:rPr>
                <w:rFonts w:ascii="宋体" w:hAnsi="宋体" w:cs="宋体" w:eastAsia="宋体" w:hint="default"/>
                <w:sz w:val="18"/>
                <w:szCs w:val="18"/>
              </w:rPr>
              <w:t>出售可供出售金融资产 的进展公告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4"/>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sz w:val="18"/>
              </w:rPr>
              <w:t>2014/12/19</w:t>
            </w:r>
          </w:p>
        </w:tc>
        <w:tc>
          <w:tcPr>
            <w:tcW w:w="1416" w:type="dxa"/>
            <w:vMerge/>
            <w:tcBorders>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2014-107</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4"/>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神州数码信息服务股份有限公司向特定对象发行股份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购买资产并募集配套资金实施情况报告书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78"/>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sz w:val="18"/>
              </w:rPr>
              <w:t>2014/12/23</w:t>
            </w:r>
          </w:p>
        </w:tc>
        <w:tc>
          <w:tcPr>
            <w:tcW w:w="1416" w:type="dxa"/>
            <w:vMerge/>
            <w:tcBorders>
              <w:left w:val="single" w:sz="4" w:space="0" w:color="000000"/>
              <w:right w:val="single" w:sz="12" w:space="0" w:color="000000"/>
            </w:tcBorders>
          </w:tcPr>
          <w:p>
            <w:pPr/>
          </w:p>
        </w:tc>
      </w:tr>
      <w:tr>
        <w:trPr>
          <w:trHeight w:val="494" w:hRule="exact"/>
        </w:trPr>
        <w:tc>
          <w:tcPr>
            <w:tcW w:w="143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1"/>
              <w:ind w:right="344"/>
              <w:jc w:val="right"/>
              <w:rPr>
                <w:rFonts w:ascii="宋体" w:hAnsi="宋体" w:cs="宋体" w:eastAsia="宋体" w:hint="default"/>
                <w:sz w:val="18"/>
                <w:szCs w:val="18"/>
              </w:rPr>
            </w:pPr>
            <w:r>
              <w:rPr>
                <w:rFonts w:ascii="宋体"/>
                <w:spacing w:val="-1"/>
                <w:sz w:val="18"/>
              </w:rPr>
              <w:t>2014-108</w:t>
            </w:r>
          </w:p>
        </w:tc>
        <w:tc>
          <w:tcPr>
            <w:tcW w:w="42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神州数码信息服务股份有限公司股份变动暨新增股份</w:t>
            </w:r>
          </w:p>
        </w:tc>
        <w:tc>
          <w:tcPr>
            <w:tcW w:w="12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78"/>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sz w:val="18"/>
              </w:rPr>
              <w:t>2014/12/23</w:t>
            </w:r>
          </w:p>
        </w:tc>
        <w:tc>
          <w:tcPr>
            <w:tcW w:w="1416" w:type="dxa"/>
            <w:vMerge/>
            <w:tcBorders>
              <w:left w:val="single" w:sz="4" w:space="0" w:color="000000"/>
              <w:bottom w:val="single" w:sz="12" w:space="0" w:color="000000"/>
              <w:right w:val="single" w:sz="12" w:space="0" w:color="000000"/>
            </w:tcBorders>
          </w:tcPr>
          <w:p>
            <w:pPr/>
          </w:p>
        </w:tc>
      </w:tr>
    </w:tbl>
    <w:p>
      <w:pPr>
        <w:spacing w:after="0"/>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430"/>
        <w:gridCol w:w="4254"/>
        <w:gridCol w:w="1275"/>
        <w:gridCol w:w="1277"/>
        <w:gridCol w:w="1416"/>
      </w:tblGrid>
      <w:tr>
        <w:trPr>
          <w:trHeight w:val="495" w:hRule="exact"/>
        </w:trPr>
        <w:tc>
          <w:tcPr>
            <w:tcW w:w="1430" w:type="dxa"/>
            <w:tcBorders>
              <w:top w:val="single" w:sz="12" w:space="0" w:color="000000"/>
              <w:left w:val="single" w:sz="12" w:space="0" w:color="000000"/>
              <w:bottom w:val="single" w:sz="4" w:space="0" w:color="000000"/>
              <w:right w:val="single" w:sz="4" w:space="0" w:color="000000"/>
            </w:tcBorders>
          </w:tcPr>
          <w:p>
            <w:pPr/>
          </w:p>
        </w:tc>
        <w:tc>
          <w:tcPr>
            <w:tcW w:w="42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上市公告书摘要</w:t>
            </w:r>
          </w:p>
        </w:tc>
        <w:tc>
          <w:tcPr>
            <w:tcW w:w="1275"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1416" w:type="dxa"/>
            <w:vMerge w:val="restart"/>
            <w:tcBorders>
              <w:top w:val="single" w:sz="12" w:space="0" w:color="000000"/>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2014-109</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4"/>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神州数码信息服务股份有限公司关于资产重组相关方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出具承诺事项的公告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sz w:val="18"/>
              </w:rPr>
              <w:t>2014/12/23</w:t>
            </w:r>
          </w:p>
        </w:tc>
        <w:tc>
          <w:tcPr>
            <w:tcW w:w="1416" w:type="dxa"/>
            <w:vMerge/>
            <w:tcBorders>
              <w:left w:val="single" w:sz="4" w:space="0" w:color="000000"/>
              <w:right w:val="single" w:sz="12" w:space="0" w:color="000000"/>
            </w:tcBorders>
          </w:tcPr>
          <w:p>
            <w:pPr/>
          </w:p>
        </w:tc>
      </w:tr>
      <w:tr>
        <w:trPr>
          <w:trHeight w:val="734" w:hRule="exact"/>
        </w:trPr>
        <w:tc>
          <w:tcPr>
            <w:tcW w:w="14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2014-110</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4"/>
                <w:sz w:val="18"/>
                <w:szCs w:val="18"/>
              </w:rPr>
              <w:t>神州数码信息服务股份有限公司关于签署《募集资金三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方监管协议》的公告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sz w:val="18"/>
              </w:rPr>
              <w:t>2014/12/27</w:t>
            </w:r>
          </w:p>
        </w:tc>
        <w:tc>
          <w:tcPr>
            <w:tcW w:w="1416" w:type="dxa"/>
            <w:vMerge/>
            <w:tcBorders>
              <w:left w:val="single" w:sz="4" w:space="0" w:color="000000"/>
              <w:right w:val="single" w:sz="12" w:space="0" w:color="000000"/>
            </w:tcBorders>
          </w:tcPr>
          <w:p>
            <w:pPr/>
          </w:p>
        </w:tc>
      </w:tr>
      <w:tr>
        <w:trPr>
          <w:trHeight w:val="1056" w:hRule="exact"/>
        </w:trPr>
        <w:tc>
          <w:tcPr>
            <w:tcW w:w="143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pacing w:val="-1"/>
                <w:sz w:val="18"/>
              </w:rPr>
              <w:t>2014-111</w:t>
            </w:r>
          </w:p>
        </w:tc>
        <w:tc>
          <w:tcPr>
            <w:tcW w:w="42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pacing w:val="3"/>
                <w:sz w:val="18"/>
                <w:szCs w:val="18"/>
              </w:rPr>
              <w:t>神州数码信息服务股份有限公司关于下属子公司获得</w:t>
            </w:r>
          </w:p>
          <w:p>
            <w:pPr>
              <w:pStyle w:val="TableParagraph"/>
              <w:spacing w:line="316" w:lineRule="auto" w:before="76"/>
              <w:ind w:left="4" w:right="6"/>
              <w:jc w:val="left"/>
              <w:rPr>
                <w:rFonts w:ascii="宋体" w:hAnsi="宋体" w:cs="宋体" w:eastAsia="宋体" w:hint="default"/>
                <w:sz w:val="18"/>
                <w:szCs w:val="18"/>
              </w:rPr>
            </w:pPr>
            <w:r>
              <w:rPr>
                <w:rFonts w:ascii="宋体" w:hAnsi="宋体" w:cs="宋体" w:eastAsia="宋体" w:hint="default"/>
                <w:spacing w:val="-4"/>
                <w:sz w:val="18"/>
                <w:szCs w:val="18"/>
              </w:rPr>
              <w:t>《国家安全可靠计算机信息系统集成重点企业证书》的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公告</w:t>
            </w:r>
          </w:p>
        </w:tc>
        <w:tc>
          <w:tcPr>
            <w:tcW w:w="12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B56</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sz w:val="18"/>
              </w:rPr>
              <w:t>2014/12/29</w:t>
            </w:r>
          </w:p>
        </w:tc>
        <w:tc>
          <w:tcPr>
            <w:tcW w:w="1416" w:type="dxa"/>
            <w:vMerge/>
            <w:tcBorders>
              <w:left w:val="single" w:sz="4" w:space="0" w:color="000000"/>
              <w:bottom w:val="single" w:sz="12" w:space="0" w:color="000000"/>
              <w:right w:val="single" w:sz="12" w:space="0" w:color="000000"/>
            </w:tcBorders>
          </w:tcPr>
          <w:p>
            <w:pP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140"/>
        <w:jc w:val="left"/>
        <w:rPr>
          <w:b w:val="0"/>
          <w:bCs w:val="0"/>
        </w:rPr>
      </w:pPr>
      <w:r>
        <w:rPr/>
        <w:t>十五、公司子公司重要事项</w:t>
      </w:r>
      <w:r>
        <w:rPr>
          <w:b w:val="0"/>
          <w:bCs w:val="0"/>
        </w:rPr>
      </w:r>
    </w:p>
    <w:p>
      <w:pPr>
        <w:spacing w:line="240" w:lineRule="auto" w:before="11"/>
        <w:rPr>
          <w:rFonts w:ascii="宋体" w:hAnsi="宋体" w:cs="宋体" w:eastAsia="宋体" w:hint="default"/>
          <w:b/>
          <w:bCs/>
          <w:sz w:val="30"/>
          <w:szCs w:val="30"/>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8"/>
          <w:szCs w:val="28"/>
        </w:rPr>
      </w:pPr>
    </w:p>
    <w:p>
      <w:pPr>
        <w:pStyle w:val="Heading2"/>
        <w:spacing w:line="240" w:lineRule="auto" w:before="0"/>
        <w:ind w:right="140"/>
        <w:jc w:val="left"/>
        <w:rPr>
          <w:b w:val="0"/>
          <w:bCs w:val="0"/>
        </w:rPr>
      </w:pPr>
      <w:r>
        <w:rPr/>
        <w:t>十六、公司发行公司债券的情况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227" w:top="1100" w:bottom="1420" w:left="980" w:right="980"/>
        </w:sectPr>
      </w:pPr>
    </w:p>
    <w:p>
      <w:pPr>
        <w:spacing w:before="15"/>
        <w:ind w:left="0" w:right="153" w:firstLine="0"/>
        <w:jc w:val="righ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7"/>
          <w:szCs w:val="17"/>
        </w:rPr>
      </w:pPr>
    </w:p>
    <w:p>
      <w:pPr>
        <w:pStyle w:val="Heading1"/>
        <w:spacing w:line="240" w:lineRule="auto"/>
        <w:ind w:left="5173" w:right="5190"/>
        <w:jc w:val="center"/>
        <w:rPr>
          <w:b w:val="0"/>
          <w:bCs w:val="0"/>
        </w:rPr>
      </w:pPr>
      <w:bookmarkStart w:name="_TOC_250006" w:id="6"/>
      <w:r>
        <w:rPr/>
        <w:t>第六节股份变动及股东情况</w:t>
      </w:r>
      <w:bookmarkEnd w:id="6"/>
      <w:r>
        <w:rPr>
          <w:b w:val="0"/>
          <w:bCs w:val="0"/>
        </w:rPr>
      </w:r>
    </w:p>
    <w:p>
      <w:pPr>
        <w:spacing w:line="240" w:lineRule="auto" w:before="8"/>
        <w:rPr>
          <w:rFonts w:ascii="宋体" w:hAnsi="宋体" w:cs="宋体" w:eastAsia="宋体" w:hint="default"/>
          <w:b/>
          <w:bCs/>
          <w:sz w:val="23"/>
          <w:szCs w:val="23"/>
        </w:rPr>
      </w:pPr>
    </w:p>
    <w:p>
      <w:pPr>
        <w:pStyle w:val="Heading2"/>
        <w:spacing w:line="240" w:lineRule="auto"/>
        <w:ind w:left="140" w:right="0"/>
        <w:jc w:val="left"/>
        <w:rPr>
          <w:b w:val="0"/>
          <w:bCs w:val="0"/>
        </w:rPr>
      </w:pPr>
      <w:r>
        <w:rPr/>
        <w:t>一、股份变动情况</w:t>
      </w:r>
      <w:r>
        <w:rPr>
          <w:b w:val="0"/>
          <w:bCs w:val="0"/>
        </w:rPr>
      </w:r>
    </w:p>
    <w:p>
      <w:pPr>
        <w:pStyle w:val="Heading4"/>
        <w:spacing w:line="240" w:lineRule="auto" w:before="181"/>
        <w:ind w:left="140"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11"/>
          <w:szCs w:val="11"/>
        </w:rPr>
      </w:pP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6"/>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963"/>
        <w:gridCol w:w="1235"/>
        <w:gridCol w:w="1226"/>
        <w:gridCol w:w="1229"/>
        <w:gridCol w:w="1224"/>
        <w:gridCol w:w="1224"/>
        <w:gridCol w:w="1229"/>
        <w:gridCol w:w="1225"/>
        <w:gridCol w:w="1226"/>
        <w:gridCol w:w="1229"/>
      </w:tblGrid>
      <w:tr>
        <w:trPr>
          <w:trHeight w:val="205" w:hRule="exact"/>
        </w:trPr>
        <w:tc>
          <w:tcPr>
            <w:tcW w:w="2963" w:type="dxa"/>
            <w:tcBorders>
              <w:top w:val="single" w:sz="12" w:space="0" w:color="000000"/>
              <w:left w:val="single" w:sz="12" w:space="0" w:color="000000"/>
              <w:bottom w:val="nil" w:sz="6" w:space="0" w:color="auto"/>
              <w:right w:val="single" w:sz="4" w:space="0" w:color="000000"/>
            </w:tcBorders>
            <w:shd w:val="clear" w:color="auto" w:fill="D2D2D2"/>
          </w:tcPr>
          <w:p>
            <w:pPr/>
          </w:p>
        </w:tc>
        <w:tc>
          <w:tcPr>
            <w:tcW w:w="3691" w:type="dxa"/>
            <w:gridSpan w:val="3"/>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35"/>
              <w:ind w:left="11" w:right="0"/>
              <w:jc w:val="center"/>
              <w:rPr>
                <w:rFonts w:ascii="宋体" w:hAnsi="宋体" w:cs="宋体" w:eastAsia="宋体" w:hint="default"/>
                <w:sz w:val="18"/>
                <w:szCs w:val="18"/>
              </w:rPr>
            </w:pPr>
            <w:r>
              <w:rPr>
                <w:rFonts w:ascii="宋体" w:hAnsi="宋体" w:cs="宋体" w:eastAsia="宋体" w:hint="default"/>
                <w:sz w:val="18"/>
                <w:szCs w:val="18"/>
              </w:rPr>
              <w:t>本次变动前</w:t>
            </w:r>
          </w:p>
        </w:tc>
        <w:tc>
          <w:tcPr>
            <w:tcW w:w="3677" w:type="dxa"/>
            <w:gridSpan w:val="3"/>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35"/>
              <w:ind w:left="84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3680" w:type="dxa"/>
            <w:gridSpan w:val="3"/>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35"/>
              <w:ind w:left="10" w:right="0"/>
              <w:jc w:val="center"/>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2963" w:type="dxa"/>
            <w:vMerge w:val="restart"/>
            <w:tcBorders>
              <w:top w:val="nil" w:sz="6" w:space="0" w:color="auto"/>
              <w:left w:val="single" w:sz="12" w:space="0" w:color="000000"/>
              <w:right w:val="single" w:sz="4" w:space="0" w:color="000000"/>
            </w:tcBorders>
            <w:shd w:val="clear" w:color="auto" w:fill="D2D2D2"/>
          </w:tcPr>
          <w:p>
            <w:pPr/>
          </w:p>
        </w:tc>
        <w:tc>
          <w:tcPr>
            <w:tcW w:w="3691" w:type="dxa"/>
            <w:gridSpan w:val="3"/>
            <w:vMerge/>
            <w:tcBorders>
              <w:left w:val="single" w:sz="4" w:space="0" w:color="000000"/>
              <w:bottom w:val="single" w:sz="4" w:space="0" w:color="000000"/>
              <w:right w:val="single" w:sz="4" w:space="0" w:color="000000"/>
            </w:tcBorders>
            <w:shd w:val="clear" w:color="auto" w:fill="D2D2D2"/>
          </w:tcPr>
          <w:p>
            <w:pPr/>
          </w:p>
        </w:tc>
        <w:tc>
          <w:tcPr>
            <w:tcW w:w="3677" w:type="dxa"/>
            <w:gridSpan w:val="3"/>
            <w:vMerge/>
            <w:tcBorders>
              <w:left w:val="single" w:sz="4" w:space="0" w:color="000000"/>
              <w:bottom w:val="single" w:sz="4" w:space="0" w:color="000000"/>
              <w:right w:val="single" w:sz="4" w:space="0" w:color="000000"/>
            </w:tcBorders>
            <w:shd w:val="clear" w:color="auto" w:fill="D2D2D2"/>
          </w:tcPr>
          <w:p>
            <w:pPr/>
          </w:p>
        </w:tc>
        <w:tc>
          <w:tcPr>
            <w:tcW w:w="3680" w:type="dxa"/>
            <w:gridSpan w:val="3"/>
            <w:vMerge/>
            <w:tcBorders>
              <w:left w:val="single" w:sz="4" w:space="0" w:color="000000"/>
              <w:bottom w:val="single" w:sz="4" w:space="0" w:color="000000"/>
              <w:right w:val="single" w:sz="12" w:space="0" w:color="000000"/>
            </w:tcBorders>
            <w:shd w:val="clear" w:color="auto" w:fill="D2D2D2"/>
          </w:tcPr>
          <w:p>
            <w:pPr/>
          </w:p>
        </w:tc>
      </w:tr>
      <w:tr>
        <w:trPr>
          <w:trHeight w:val="197" w:hRule="exact"/>
        </w:trPr>
        <w:tc>
          <w:tcPr>
            <w:tcW w:w="2963" w:type="dxa"/>
            <w:vMerge/>
            <w:tcBorders>
              <w:left w:val="single" w:sz="12" w:space="0" w:color="000000"/>
              <w:bottom w:val="nil" w:sz="6" w:space="0" w:color="auto"/>
              <w:right w:val="single" w:sz="4" w:space="0" w:color="000000"/>
            </w:tcBorders>
            <w:shd w:val="clear" w:color="auto" w:fill="D2D2D2"/>
          </w:tcPr>
          <w:p>
            <w:pPr/>
          </w:p>
        </w:tc>
        <w:tc>
          <w:tcPr>
            <w:tcW w:w="12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2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送股</w:t>
            </w:r>
          </w:p>
        </w:tc>
        <w:tc>
          <w:tcPr>
            <w:tcW w:w="12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2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229"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9" w:hRule="exact"/>
        </w:trPr>
        <w:tc>
          <w:tcPr>
            <w:tcW w:w="2963" w:type="dxa"/>
            <w:tcBorders>
              <w:top w:val="nil" w:sz="6" w:space="0" w:color="auto"/>
              <w:left w:val="single" w:sz="12" w:space="0" w:color="000000"/>
              <w:bottom w:val="single" w:sz="4" w:space="0" w:color="000000"/>
              <w:right w:val="single" w:sz="4" w:space="0" w:color="000000"/>
            </w:tcBorders>
            <w:shd w:val="clear" w:color="auto" w:fill="D2D2D2"/>
          </w:tcPr>
          <w:p>
            <w:pPr/>
          </w:p>
        </w:tc>
        <w:tc>
          <w:tcPr>
            <w:tcW w:w="1235" w:type="dxa"/>
            <w:vMerge/>
            <w:tcBorders>
              <w:left w:val="single" w:sz="4" w:space="0" w:color="000000"/>
              <w:bottom w:val="single" w:sz="4" w:space="0" w:color="000000"/>
              <w:right w:val="single" w:sz="4" w:space="0" w:color="000000"/>
            </w:tcBorders>
            <w:shd w:val="clear" w:color="auto" w:fill="D2D2D2"/>
          </w:tcPr>
          <w:p>
            <w:pPr/>
          </w:p>
        </w:tc>
        <w:tc>
          <w:tcPr>
            <w:tcW w:w="1226" w:type="dxa"/>
            <w:vMerge/>
            <w:tcBorders>
              <w:left w:val="single" w:sz="4" w:space="0" w:color="000000"/>
              <w:bottom w:val="single" w:sz="4" w:space="0" w:color="000000"/>
              <w:right w:val="single" w:sz="4" w:space="0" w:color="000000"/>
            </w:tcBorders>
            <w:shd w:val="clear" w:color="auto" w:fill="D2D2D2"/>
          </w:tcPr>
          <w:p>
            <w:pPr/>
          </w:p>
        </w:tc>
        <w:tc>
          <w:tcPr>
            <w:tcW w:w="1229" w:type="dxa"/>
            <w:vMerge/>
            <w:tcBorders>
              <w:left w:val="single" w:sz="4" w:space="0" w:color="000000"/>
              <w:bottom w:val="single" w:sz="4" w:space="0" w:color="000000"/>
              <w:right w:val="single" w:sz="4" w:space="0" w:color="000000"/>
            </w:tcBorders>
            <w:shd w:val="clear" w:color="auto" w:fill="D2D2D2"/>
          </w:tcPr>
          <w:p>
            <w:pPr/>
          </w:p>
        </w:tc>
        <w:tc>
          <w:tcPr>
            <w:tcW w:w="1224" w:type="dxa"/>
            <w:vMerge/>
            <w:tcBorders>
              <w:left w:val="single" w:sz="4" w:space="0" w:color="000000"/>
              <w:bottom w:val="single" w:sz="4" w:space="0" w:color="000000"/>
              <w:right w:val="single" w:sz="4" w:space="0" w:color="000000"/>
            </w:tcBorders>
            <w:shd w:val="clear" w:color="auto" w:fill="D2D2D2"/>
          </w:tcPr>
          <w:p>
            <w:pPr/>
          </w:p>
        </w:tc>
        <w:tc>
          <w:tcPr>
            <w:tcW w:w="1224" w:type="dxa"/>
            <w:vMerge/>
            <w:tcBorders>
              <w:left w:val="single" w:sz="4" w:space="0" w:color="000000"/>
              <w:bottom w:val="single" w:sz="4" w:space="0" w:color="000000"/>
              <w:right w:val="single" w:sz="4" w:space="0" w:color="000000"/>
            </w:tcBorders>
            <w:shd w:val="clear" w:color="auto" w:fill="D2D2D2"/>
          </w:tcPr>
          <w:p>
            <w:pPr/>
          </w:p>
        </w:tc>
        <w:tc>
          <w:tcPr>
            <w:tcW w:w="1229" w:type="dxa"/>
            <w:vMerge/>
            <w:tcBorders>
              <w:left w:val="single" w:sz="4" w:space="0" w:color="000000"/>
              <w:bottom w:val="single" w:sz="4" w:space="0" w:color="000000"/>
              <w:right w:val="single" w:sz="4" w:space="0" w:color="000000"/>
            </w:tcBorders>
            <w:shd w:val="clear" w:color="auto" w:fill="D2D2D2"/>
          </w:tcPr>
          <w:p>
            <w:pPr/>
          </w:p>
        </w:tc>
        <w:tc>
          <w:tcPr>
            <w:tcW w:w="1225" w:type="dxa"/>
            <w:vMerge/>
            <w:tcBorders>
              <w:left w:val="single" w:sz="4" w:space="0" w:color="000000"/>
              <w:bottom w:val="single" w:sz="4" w:space="0" w:color="000000"/>
              <w:right w:val="single" w:sz="4" w:space="0" w:color="000000"/>
            </w:tcBorders>
            <w:shd w:val="clear" w:color="auto" w:fill="D2D2D2"/>
          </w:tcPr>
          <w:p>
            <w:pPr/>
          </w:p>
        </w:tc>
        <w:tc>
          <w:tcPr>
            <w:tcW w:w="1226" w:type="dxa"/>
            <w:vMerge/>
            <w:tcBorders>
              <w:left w:val="single" w:sz="4" w:space="0" w:color="000000"/>
              <w:bottom w:val="single" w:sz="4" w:space="0" w:color="000000"/>
              <w:right w:val="single" w:sz="4" w:space="0" w:color="000000"/>
            </w:tcBorders>
            <w:shd w:val="clear" w:color="auto" w:fill="D2D2D2"/>
          </w:tcPr>
          <w:p>
            <w:pPr/>
          </w:p>
        </w:tc>
        <w:tc>
          <w:tcPr>
            <w:tcW w:w="1229" w:type="dxa"/>
            <w:vMerge/>
            <w:tcBorders>
              <w:left w:val="single" w:sz="4" w:space="0" w:color="000000"/>
              <w:bottom w:val="single" w:sz="4" w:space="0" w:color="000000"/>
              <w:right w:val="single" w:sz="12" w:space="0" w:color="000000"/>
            </w:tcBorders>
            <w:shd w:val="clear" w:color="auto" w:fill="D2D2D2"/>
          </w:tcPr>
          <w:p>
            <w:pPr/>
          </w:p>
        </w:tc>
      </w:tr>
      <w:tr>
        <w:trPr>
          <w:trHeight w:val="408" w:hRule="exact"/>
        </w:trPr>
        <w:tc>
          <w:tcPr>
            <w:tcW w:w="2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35" w:type="dxa"/>
            <w:tcBorders>
              <w:top w:val="single" w:sz="5"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340,586,334</w:t>
            </w:r>
          </w:p>
        </w:tc>
        <w:tc>
          <w:tcPr>
            <w:tcW w:w="122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78.98%</w:t>
            </w:r>
          </w:p>
        </w:tc>
        <w:tc>
          <w:tcPr>
            <w:tcW w:w="1229"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20,520,227</w:t>
            </w:r>
          </w:p>
        </w:tc>
        <w:tc>
          <w:tcPr>
            <w:tcW w:w="122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229"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25"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20,520,227</w:t>
            </w:r>
          </w:p>
        </w:tc>
        <w:tc>
          <w:tcPr>
            <w:tcW w:w="122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361,106,561</w:t>
            </w:r>
          </w:p>
        </w:tc>
        <w:tc>
          <w:tcPr>
            <w:tcW w:w="1229" w:type="dxa"/>
            <w:tcBorders>
              <w:top w:val="single" w:sz="5" w:space="0" w:color="000000"/>
              <w:left w:val="single" w:sz="4" w:space="0" w:color="000000"/>
              <w:bottom w:val="single" w:sz="4" w:space="0" w:color="000000"/>
              <w:right w:val="single" w:sz="12" w:space="0" w:color="000000"/>
            </w:tcBorders>
          </w:tcPr>
          <w:p>
            <w:pPr>
              <w:pStyle w:val="TableParagraph"/>
              <w:spacing w:line="240" w:lineRule="auto" w:before="94"/>
              <w:ind w:right="11"/>
              <w:jc w:val="right"/>
              <w:rPr>
                <w:rFonts w:ascii="Times New Roman" w:hAnsi="Times New Roman" w:cs="Times New Roman" w:eastAsia="Times New Roman" w:hint="default"/>
                <w:sz w:val="18"/>
                <w:szCs w:val="18"/>
              </w:rPr>
            </w:pPr>
            <w:r>
              <w:rPr>
                <w:rFonts w:ascii="Times New Roman"/>
                <w:sz w:val="18"/>
              </w:rPr>
              <w:t>79.94%</w:t>
            </w:r>
          </w:p>
        </w:tc>
      </w:tr>
      <w:tr>
        <w:trPr>
          <w:trHeight w:val="408" w:hRule="exact"/>
        </w:trPr>
        <w:tc>
          <w:tcPr>
            <w:tcW w:w="2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74,142,943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17.19%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74,142,943</w:t>
            </w:r>
          </w:p>
        </w:tc>
        <w:tc>
          <w:tcPr>
            <w:tcW w:w="12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16.41%</w:t>
            </w:r>
          </w:p>
        </w:tc>
      </w:tr>
      <w:tr>
        <w:trPr>
          <w:trHeight w:val="408" w:hRule="exact"/>
        </w:trPr>
        <w:tc>
          <w:tcPr>
            <w:tcW w:w="2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257,084,974</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59.62%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20,520,227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20,520,227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277,605,201</w:t>
            </w:r>
          </w:p>
        </w:tc>
        <w:tc>
          <w:tcPr>
            <w:tcW w:w="12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4"/>
              <w:ind w:right="11"/>
              <w:jc w:val="right"/>
              <w:rPr>
                <w:rFonts w:ascii="Times New Roman" w:hAnsi="Times New Roman" w:cs="Times New Roman" w:eastAsia="Times New Roman" w:hint="default"/>
                <w:sz w:val="18"/>
                <w:szCs w:val="18"/>
              </w:rPr>
            </w:pPr>
            <w:r>
              <w:rPr>
                <w:rFonts w:ascii="Times New Roman"/>
                <w:sz w:val="18"/>
              </w:rPr>
              <w:t>61.45%</w:t>
            </w:r>
          </w:p>
        </w:tc>
      </w:tr>
      <w:tr>
        <w:trPr>
          <w:trHeight w:val="406" w:hRule="exact"/>
        </w:trPr>
        <w:tc>
          <w:tcPr>
            <w:tcW w:w="2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257,084,874</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59.62%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257,084,874</w:t>
            </w:r>
          </w:p>
        </w:tc>
        <w:tc>
          <w:tcPr>
            <w:tcW w:w="12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56.91%</w:t>
            </w:r>
          </w:p>
        </w:tc>
      </w:tr>
      <w:tr>
        <w:trPr>
          <w:trHeight w:val="408" w:hRule="exact"/>
        </w:trPr>
        <w:tc>
          <w:tcPr>
            <w:tcW w:w="2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1134"/>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2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20,520,227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20,520,227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20,520,227</w:t>
            </w:r>
          </w:p>
        </w:tc>
        <w:tc>
          <w:tcPr>
            <w:tcW w:w="12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4.54%</w:t>
            </w:r>
          </w:p>
        </w:tc>
      </w:tr>
      <w:tr>
        <w:trPr>
          <w:trHeight w:val="406" w:hRule="exact"/>
        </w:trPr>
        <w:tc>
          <w:tcPr>
            <w:tcW w:w="2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9,358,417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9,358,417</w:t>
            </w:r>
          </w:p>
        </w:tc>
        <w:tc>
          <w:tcPr>
            <w:tcW w:w="12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2.07%</w:t>
            </w:r>
          </w:p>
        </w:tc>
      </w:tr>
      <w:tr>
        <w:trPr>
          <w:trHeight w:val="408" w:hRule="exact"/>
        </w:trPr>
        <w:tc>
          <w:tcPr>
            <w:tcW w:w="2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9,358,417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2.17%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9,358,417</w:t>
            </w:r>
          </w:p>
        </w:tc>
        <w:tc>
          <w:tcPr>
            <w:tcW w:w="12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2.07%</w:t>
            </w:r>
          </w:p>
        </w:tc>
      </w:tr>
      <w:tr>
        <w:trPr>
          <w:trHeight w:val="409" w:hRule="exact"/>
        </w:trPr>
        <w:tc>
          <w:tcPr>
            <w:tcW w:w="2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right="1134"/>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2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90,627,680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21.02%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90,627,680</w:t>
            </w:r>
          </w:p>
        </w:tc>
        <w:tc>
          <w:tcPr>
            <w:tcW w:w="12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20.06%</w:t>
            </w:r>
          </w:p>
        </w:tc>
      </w:tr>
      <w:tr>
        <w:trPr>
          <w:trHeight w:val="408" w:hRule="exact"/>
        </w:trPr>
        <w:tc>
          <w:tcPr>
            <w:tcW w:w="2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90,627,680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21.02%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90,627,680</w:t>
            </w:r>
          </w:p>
        </w:tc>
        <w:tc>
          <w:tcPr>
            <w:tcW w:w="12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20.06%</w:t>
            </w:r>
          </w:p>
        </w:tc>
      </w:tr>
      <w:tr>
        <w:trPr>
          <w:trHeight w:val="406" w:hRule="exact"/>
        </w:trPr>
        <w:tc>
          <w:tcPr>
            <w:tcW w:w="2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2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0.00%</w:t>
            </w:r>
          </w:p>
        </w:tc>
      </w:tr>
      <w:tr>
        <w:trPr>
          <w:trHeight w:val="408" w:hRule="exact"/>
        </w:trPr>
        <w:tc>
          <w:tcPr>
            <w:tcW w:w="2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2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12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0.00%</w:t>
            </w:r>
          </w:p>
        </w:tc>
      </w:tr>
      <w:tr>
        <w:trPr>
          <w:trHeight w:val="408" w:hRule="exact"/>
        </w:trPr>
        <w:tc>
          <w:tcPr>
            <w:tcW w:w="2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0.00%</w:t>
            </w:r>
          </w:p>
        </w:tc>
      </w:tr>
      <w:tr>
        <w:trPr>
          <w:trHeight w:val="415" w:hRule="exact"/>
        </w:trPr>
        <w:tc>
          <w:tcPr>
            <w:tcW w:w="296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35"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431,214,014</w:t>
            </w:r>
          </w:p>
        </w:tc>
        <w:tc>
          <w:tcPr>
            <w:tcW w:w="12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20,520,227</w:t>
            </w:r>
          </w:p>
        </w:tc>
        <w:tc>
          <w:tcPr>
            <w:tcW w:w="12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20,520,227</w:t>
            </w:r>
          </w:p>
        </w:tc>
        <w:tc>
          <w:tcPr>
            <w:tcW w:w="12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451,734,241</w:t>
            </w:r>
          </w:p>
        </w:tc>
        <w:tc>
          <w:tcPr>
            <w:tcW w:w="122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96"/>
        <w:ind w:left="5173" w:right="5190" w:firstLine="0"/>
        <w:jc w:val="center"/>
        <w:rPr>
          <w:rFonts w:ascii="Times New Roman" w:hAnsi="Times New Roman" w:cs="Times New Roman" w:eastAsia="Times New Roman" w:hint="default"/>
          <w:sz w:val="18"/>
          <w:szCs w:val="18"/>
        </w:rPr>
      </w:pPr>
      <w:r>
        <w:rPr>
          <w:rFonts w:ascii="Times New Roman"/>
          <w:sz w:val="18"/>
        </w:rPr>
        <w:t>61</w:t>
      </w:r>
    </w:p>
    <w:p>
      <w:pPr>
        <w:spacing w:after="0"/>
        <w:jc w:val="center"/>
        <w:rPr>
          <w:rFonts w:ascii="Times New Roman" w:hAnsi="Times New Roman" w:cs="Times New Roman" w:eastAsia="Times New Roman" w:hint="default"/>
          <w:sz w:val="18"/>
          <w:szCs w:val="18"/>
        </w:rPr>
        <w:sectPr>
          <w:headerReference w:type="default" r:id="rId32"/>
          <w:footerReference w:type="default" r:id="rId33"/>
          <w:pgSz w:w="16840" w:h="11910" w:orient="landscape"/>
          <w:pgMar w:header="0" w:footer="0" w:top="800" w:bottom="280" w:left="1300" w:right="12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6"/>
        <w:ind w:right="140"/>
        <w:jc w:val="left"/>
      </w:pPr>
      <w:r>
        <w:rPr/>
        <w:t>股份变动的原因</w:t>
      </w:r>
    </w:p>
    <w:p>
      <w:pPr>
        <w:spacing w:line="240" w:lineRule="auto" w:before="12"/>
        <w:rPr>
          <w:rFonts w:ascii="宋体" w:hAnsi="宋体" w:cs="宋体" w:eastAsia="宋体" w:hint="default"/>
          <w:sz w:val="17"/>
          <w:szCs w:val="17"/>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16"/>
          <w:szCs w:val="16"/>
        </w:rPr>
      </w:pPr>
    </w:p>
    <w:p>
      <w:pPr>
        <w:pStyle w:val="BodyText"/>
        <w:spacing w:line="240" w:lineRule="auto"/>
        <w:ind w:left="573" w:right="140"/>
        <w:jc w:val="left"/>
      </w:pP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2014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26"/>
        </w:rPr>
        <w:t> </w:t>
      </w:r>
      <w:r>
        <w:rPr>
          <w:spacing w:val="-3"/>
        </w:rPr>
        <w:t>日，公司关于向特定对象发行股份购买资产并募集配套资金的资产重组事项中的</w:t>
      </w:r>
    </w:p>
    <w:p>
      <w:pPr>
        <w:pStyle w:val="BodyText"/>
        <w:spacing w:line="240" w:lineRule="auto" w:before="177"/>
        <w:ind w:right="140"/>
        <w:jc w:val="left"/>
      </w:pPr>
      <w:r>
        <w:rPr/>
        <w:t>非公开发行股份</w:t>
      </w:r>
      <w:r>
        <w:rPr>
          <w:spacing w:val="-54"/>
        </w:rPr>
        <w:t> </w:t>
      </w:r>
      <w:r>
        <w:rPr>
          <w:rFonts w:ascii="Times New Roman" w:hAnsi="Times New Roman" w:cs="Times New Roman" w:eastAsia="Times New Roman" w:hint="default"/>
        </w:rPr>
        <w:t>20,520,227</w:t>
      </w:r>
      <w:r>
        <w:rPr>
          <w:rFonts w:ascii="Times New Roman" w:hAnsi="Times New Roman" w:cs="Times New Roman" w:eastAsia="Times New Roman" w:hint="default"/>
          <w:spacing w:val="-1"/>
        </w:rPr>
        <w:t> </w:t>
      </w:r>
      <w:r>
        <w:rPr/>
        <w:t>股上市流通，公司股本由</w:t>
      </w:r>
      <w:r>
        <w:rPr>
          <w:spacing w:val="-54"/>
        </w:rPr>
        <w:t> </w:t>
      </w:r>
      <w:r>
        <w:rPr>
          <w:rFonts w:ascii="Times New Roman" w:hAnsi="Times New Roman" w:cs="Times New Roman" w:eastAsia="Times New Roman" w:hint="default"/>
        </w:rPr>
        <w:t>431,214,014</w:t>
      </w:r>
      <w:r>
        <w:rPr>
          <w:rFonts w:ascii="Times New Roman" w:hAnsi="Times New Roman" w:cs="Times New Roman" w:eastAsia="Times New Roman" w:hint="default"/>
          <w:spacing w:val="-4"/>
        </w:rPr>
        <w:t> </w:t>
      </w:r>
      <w:r>
        <w:rPr/>
        <w:t>股增加为</w:t>
      </w:r>
      <w:r>
        <w:rPr>
          <w:spacing w:val="-56"/>
        </w:rPr>
        <w:t> </w:t>
      </w:r>
      <w:r>
        <w:rPr>
          <w:rFonts w:ascii="Times New Roman" w:hAnsi="Times New Roman" w:cs="Times New Roman" w:eastAsia="Times New Roman" w:hint="default"/>
        </w:rPr>
        <w:t>451,734,241</w:t>
      </w:r>
      <w:r>
        <w:rPr>
          <w:rFonts w:ascii="Times New Roman" w:hAnsi="Times New Roman" w:cs="Times New Roman" w:eastAsia="Times New Roman" w:hint="default"/>
          <w:spacing w:val="-4"/>
        </w:rPr>
        <w:t> </w:t>
      </w:r>
      <w:r>
        <w:rPr/>
        <w:t>股。</w:t>
      </w:r>
    </w:p>
    <w:p>
      <w:pPr>
        <w:spacing w:line="240" w:lineRule="auto" w:before="9"/>
        <w:rPr>
          <w:rFonts w:ascii="宋体" w:hAnsi="宋体" w:cs="宋体" w:eastAsia="宋体" w:hint="default"/>
          <w:sz w:val="16"/>
          <w:szCs w:val="16"/>
        </w:rPr>
      </w:pPr>
    </w:p>
    <w:p>
      <w:pPr>
        <w:pStyle w:val="BodyText"/>
        <w:spacing w:line="240" w:lineRule="auto"/>
        <w:ind w:left="573" w:right="14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日，公司关于向特定对象发行股份购买资产并募集配套资金的资产重组事项中的</w:t>
      </w:r>
    </w:p>
    <w:p>
      <w:pPr>
        <w:pStyle w:val="BodyText"/>
        <w:spacing w:line="240" w:lineRule="auto" w:before="177"/>
        <w:ind w:right="140"/>
        <w:jc w:val="left"/>
      </w:pPr>
      <w:r>
        <w:rPr/>
        <w:t>配套募集股份</w:t>
      </w:r>
      <w:r>
        <w:rPr>
          <w:spacing w:val="-53"/>
        </w:rPr>
        <w:t> </w:t>
      </w:r>
      <w:r>
        <w:rPr>
          <w:rFonts w:ascii="Times New Roman" w:hAnsi="Times New Roman" w:cs="Times New Roman" w:eastAsia="Times New Roman" w:hint="default"/>
        </w:rPr>
        <w:t>7,171,717</w:t>
      </w:r>
      <w:r>
        <w:rPr>
          <w:rFonts w:ascii="Times New Roman" w:hAnsi="Times New Roman" w:cs="Times New Roman" w:eastAsia="Times New Roman" w:hint="default"/>
          <w:spacing w:val="-2"/>
        </w:rPr>
        <w:t> </w:t>
      </w:r>
      <w:r>
        <w:rPr/>
        <w:t>股上市流通，公司股本增加到</w:t>
      </w:r>
      <w:r>
        <w:rPr>
          <w:spacing w:val="-53"/>
        </w:rPr>
        <w:t> </w:t>
      </w:r>
      <w:r>
        <w:rPr>
          <w:rFonts w:ascii="Times New Roman" w:hAnsi="Times New Roman" w:cs="Times New Roman" w:eastAsia="Times New Roman" w:hint="default"/>
        </w:rPr>
        <w:t>458,905,958</w:t>
      </w:r>
      <w:r>
        <w:rPr>
          <w:rFonts w:ascii="Times New Roman" w:hAnsi="Times New Roman" w:cs="Times New Roman" w:eastAsia="Times New Roman" w:hint="default"/>
          <w:spacing w:val="-3"/>
        </w:rPr>
        <w:t> </w:t>
      </w:r>
      <w:r>
        <w:rPr/>
        <w:t>股。</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48"/>
        <w:ind w:right="140"/>
        <w:jc w:val="left"/>
      </w:pPr>
      <w:r>
        <w:rPr/>
        <w:t>股份变动的批准情况</w:t>
      </w:r>
    </w:p>
    <w:p>
      <w:pPr>
        <w:spacing w:line="240" w:lineRule="auto" w:before="12"/>
        <w:rPr>
          <w:rFonts w:ascii="宋体" w:hAnsi="宋体" w:cs="宋体" w:eastAsia="宋体" w:hint="default"/>
          <w:sz w:val="17"/>
          <w:szCs w:val="17"/>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6"/>
          <w:szCs w:val="16"/>
        </w:rPr>
      </w:pPr>
    </w:p>
    <w:p>
      <w:pPr>
        <w:pStyle w:val="BodyText"/>
        <w:spacing w:line="240" w:lineRule="auto"/>
        <w:ind w:left="573" w:right="14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日，公司本次交易获得中国证监会《关于核准神州数码信息服务股份有限公司向冯</w:t>
      </w:r>
    </w:p>
    <w:p>
      <w:pPr>
        <w:pStyle w:val="BodyText"/>
        <w:spacing w:line="240" w:lineRule="auto" w:before="177"/>
        <w:ind w:right="140"/>
        <w:jc w:val="left"/>
        <w:rPr>
          <w:rFonts w:ascii="Times New Roman" w:hAnsi="Times New Roman" w:cs="Times New Roman" w:eastAsia="Times New Roman" w:hint="default"/>
        </w:rPr>
      </w:pPr>
      <w:r>
        <w:rPr>
          <w:w w:val="100"/>
        </w:rPr>
        <w:t>健刚</w:t>
      </w:r>
      <w:r>
        <w:rPr>
          <w:spacing w:val="-3"/>
          <w:w w:val="100"/>
        </w:rPr>
        <w:t>等</w:t>
      </w:r>
      <w:r>
        <w:rPr>
          <w:w w:val="100"/>
        </w:rPr>
        <w:t>发</w:t>
      </w:r>
      <w:r>
        <w:rPr>
          <w:spacing w:val="-3"/>
          <w:w w:val="100"/>
        </w:rPr>
        <w:t>行</w:t>
      </w:r>
      <w:r>
        <w:rPr>
          <w:w w:val="100"/>
        </w:rPr>
        <w:t>股</w:t>
      </w:r>
      <w:r>
        <w:rPr>
          <w:spacing w:val="-3"/>
          <w:w w:val="100"/>
        </w:rPr>
        <w:t>份</w:t>
      </w:r>
      <w:r>
        <w:rPr>
          <w:w w:val="100"/>
        </w:rPr>
        <w:t>购</w:t>
      </w:r>
      <w:r>
        <w:rPr>
          <w:spacing w:val="-3"/>
          <w:w w:val="100"/>
        </w:rPr>
        <w:t>买</w:t>
      </w:r>
      <w:r>
        <w:rPr>
          <w:w w:val="100"/>
        </w:rPr>
        <w:t>资</w:t>
      </w:r>
      <w:r>
        <w:rPr>
          <w:spacing w:val="-3"/>
          <w:w w:val="100"/>
        </w:rPr>
        <w:t>产</w:t>
      </w:r>
      <w:r>
        <w:rPr>
          <w:w w:val="100"/>
        </w:rPr>
        <w:t>并募</w:t>
      </w:r>
      <w:r>
        <w:rPr>
          <w:spacing w:val="-3"/>
          <w:w w:val="100"/>
        </w:rPr>
        <w:t>集</w:t>
      </w:r>
      <w:r>
        <w:rPr>
          <w:w w:val="100"/>
        </w:rPr>
        <w:t>配</w:t>
      </w:r>
      <w:r>
        <w:rPr>
          <w:spacing w:val="-3"/>
          <w:w w:val="100"/>
        </w:rPr>
        <w:t>套</w:t>
      </w:r>
      <w:r>
        <w:rPr>
          <w:w w:val="100"/>
        </w:rPr>
        <w:t>资</w:t>
      </w:r>
      <w:r>
        <w:rPr>
          <w:spacing w:val="-3"/>
          <w:w w:val="100"/>
        </w:rPr>
        <w:t>金</w:t>
      </w:r>
      <w:r>
        <w:rPr>
          <w:w w:val="100"/>
        </w:rPr>
        <w:t>的</w:t>
      </w:r>
      <w:r>
        <w:rPr>
          <w:spacing w:val="-3"/>
          <w:w w:val="100"/>
        </w:rPr>
        <w:t>批</w:t>
      </w:r>
      <w:r>
        <w:rPr>
          <w:w w:val="100"/>
        </w:rPr>
        <w:t>复</w:t>
      </w:r>
      <w:r>
        <w:rPr>
          <w:spacing w:val="-132"/>
          <w:w w:val="100"/>
        </w:rPr>
        <w:t>》</w:t>
      </w:r>
      <w:r>
        <w:rPr>
          <w:spacing w:val="-3"/>
          <w:w w:val="100"/>
        </w:rPr>
        <w:t>（</w:t>
      </w:r>
      <w:r>
        <w:rPr>
          <w:w w:val="100"/>
        </w:rPr>
        <w:t>证监</w:t>
      </w:r>
      <w:r>
        <w:rPr>
          <w:spacing w:val="-3"/>
          <w:w w:val="100"/>
        </w:rPr>
        <w:t>许</w:t>
      </w:r>
      <w:r>
        <w:rPr>
          <w:spacing w:val="-25"/>
          <w:w w:val="100"/>
        </w:rPr>
        <w:t>可</w:t>
      </w:r>
      <w:r>
        <w:rPr>
          <w:spacing w:val="-3"/>
          <w:w w:val="100"/>
        </w:rPr>
        <w:t>【</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4</w:t>
      </w:r>
      <w:r>
        <w:rPr>
          <w:spacing w:val="-24"/>
          <w:w w:val="100"/>
        </w:rPr>
        <w:t>】</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58</w:t>
      </w:r>
      <w:r>
        <w:rPr>
          <w:rFonts w:ascii="Times New Roman" w:hAnsi="Times New Roman" w:cs="Times New Roman" w:eastAsia="Times New Roman" w:hint="default"/>
        </w:rPr>
        <w:t> </w:t>
      </w:r>
      <w:r>
        <w:rPr>
          <w:spacing w:val="-3"/>
          <w:w w:val="100"/>
        </w:rPr>
        <w:t>号</w:t>
      </w:r>
      <w:r>
        <w:rPr>
          <w:spacing w:val="-25"/>
          <w:w w:val="100"/>
        </w:rPr>
        <w:t>）</w:t>
      </w:r>
      <w:r>
        <w:rPr>
          <w:w w:val="100"/>
        </w:rPr>
        <w:t>的</w:t>
      </w:r>
      <w:r>
        <w:rPr>
          <w:spacing w:val="-3"/>
          <w:w w:val="100"/>
        </w:rPr>
        <w:t>核</w:t>
      </w:r>
      <w:r>
        <w:rPr>
          <w:w w:val="100"/>
        </w:rPr>
        <w:t>准</w:t>
      </w:r>
      <w:r>
        <w:rPr>
          <w:spacing w:val="-27"/>
          <w:w w:val="100"/>
        </w:rPr>
        <w:t>。</w:t>
      </w:r>
      <w:r>
        <w:rPr>
          <w:w w:val="100"/>
        </w:rPr>
        <w:t>本</w:t>
      </w:r>
      <w:r>
        <w:rPr>
          <w:spacing w:val="-3"/>
          <w:w w:val="100"/>
        </w:rPr>
        <w:t>公</w:t>
      </w:r>
      <w:r>
        <w:rPr>
          <w:w w:val="100"/>
        </w:rPr>
        <w:t>司</w:t>
      </w:r>
      <w:r>
        <w:rPr>
          <w:spacing w:val="-3"/>
          <w:w w:val="100"/>
        </w:rPr>
        <w:t>已</w:t>
      </w:r>
      <w:r>
        <w:rPr>
          <w:w w:val="100"/>
        </w:rPr>
        <w:t>于</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01</w:t>
      </w:r>
      <w:r>
        <w:rPr>
          <w:rFonts w:ascii="Times New Roman" w:hAnsi="Times New Roman" w:cs="Times New Roman" w:eastAsia="Times New Roman" w:hint="default"/>
          <w:w w:val="100"/>
        </w:rPr>
        <w:t>4</w:t>
      </w:r>
    </w:p>
    <w:p>
      <w:pPr>
        <w:pStyle w:val="BodyText"/>
        <w:spacing w:line="240" w:lineRule="auto" w:before="177"/>
        <w:ind w:right="140"/>
        <w:jc w:val="left"/>
      </w:pPr>
      <w:r>
        <w:rPr>
          <w:w w:val="100"/>
        </w:rPr>
        <w:t>年</w:t>
      </w:r>
      <w:r>
        <w:rPr>
          <w:spacing w:val="-53"/>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spacing w:val="-3"/>
          <w:w w:val="100"/>
        </w:rPr>
        <w:t>日</w:t>
      </w:r>
      <w:r>
        <w:rPr>
          <w:w w:val="100"/>
        </w:rPr>
        <w:t>刊</w:t>
      </w:r>
      <w:r>
        <w:rPr>
          <w:spacing w:val="-3"/>
          <w:w w:val="100"/>
        </w:rPr>
        <w:t>登</w:t>
      </w:r>
      <w:r>
        <w:rPr>
          <w:w w:val="100"/>
        </w:rPr>
        <w:t>了</w:t>
      </w:r>
      <w:r>
        <w:rPr>
          <w:spacing w:val="-3"/>
          <w:w w:val="100"/>
        </w:rPr>
        <w:t>《关</w:t>
      </w:r>
      <w:r>
        <w:rPr>
          <w:w w:val="100"/>
        </w:rPr>
        <w:t>于资</w:t>
      </w:r>
      <w:r>
        <w:rPr>
          <w:spacing w:val="-3"/>
          <w:w w:val="100"/>
        </w:rPr>
        <w:t>产</w:t>
      </w:r>
      <w:r>
        <w:rPr>
          <w:w w:val="100"/>
        </w:rPr>
        <w:t>重</w:t>
      </w:r>
      <w:r>
        <w:rPr>
          <w:spacing w:val="-3"/>
          <w:w w:val="100"/>
        </w:rPr>
        <w:t>组</w:t>
      </w:r>
      <w:r>
        <w:rPr>
          <w:w w:val="100"/>
        </w:rPr>
        <w:t>事</w:t>
      </w:r>
      <w:r>
        <w:rPr>
          <w:spacing w:val="-3"/>
          <w:w w:val="100"/>
        </w:rPr>
        <w:t>项</w:t>
      </w:r>
      <w:r>
        <w:rPr>
          <w:w w:val="100"/>
        </w:rPr>
        <w:t>获</w:t>
      </w:r>
      <w:r>
        <w:rPr>
          <w:spacing w:val="-3"/>
          <w:w w:val="100"/>
        </w:rPr>
        <w:t>得</w:t>
      </w:r>
      <w:r>
        <w:rPr>
          <w:w w:val="100"/>
        </w:rPr>
        <w:t>中</w:t>
      </w:r>
      <w:r>
        <w:rPr>
          <w:spacing w:val="-3"/>
          <w:w w:val="100"/>
        </w:rPr>
        <w:t>国</w:t>
      </w:r>
      <w:r>
        <w:rPr>
          <w:w w:val="100"/>
        </w:rPr>
        <w:t>证监</w:t>
      </w:r>
      <w:r>
        <w:rPr>
          <w:spacing w:val="-3"/>
          <w:w w:val="100"/>
        </w:rPr>
        <w:t>会</w:t>
      </w:r>
      <w:r>
        <w:rPr>
          <w:w w:val="100"/>
        </w:rPr>
        <w:t>核</w:t>
      </w:r>
      <w:r>
        <w:rPr>
          <w:spacing w:val="-3"/>
          <w:w w:val="100"/>
        </w:rPr>
        <w:t>准</w:t>
      </w:r>
      <w:r>
        <w:rPr>
          <w:w w:val="100"/>
        </w:rPr>
        <w:t>的</w:t>
      </w:r>
      <w:r>
        <w:rPr>
          <w:spacing w:val="-3"/>
          <w:w w:val="100"/>
        </w:rPr>
        <w:t>公</w:t>
      </w:r>
      <w:r>
        <w:rPr>
          <w:w w:val="100"/>
        </w:rPr>
        <w:t>告</w:t>
      </w:r>
      <w:r>
        <w:rPr>
          <w:spacing w:val="-108"/>
          <w:w w:val="100"/>
        </w:rPr>
        <w:t>》</w:t>
      </w:r>
      <w:r>
        <w:rPr>
          <w:w w:val="100"/>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48"/>
        <w:ind w:right="140"/>
        <w:jc w:val="left"/>
      </w:pPr>
      <w:r>
        <w:rPr/>
        <w:t>股份变动的过户情况</w:t>
      </w:r>
    </w:p>
    <w:p>
      <w:pPr>
        <w:spacing w:line="240" w:lineRule="auto" w:before="12"/>
        <w:rPr>
          <w:rFonts w:ascii="宋体" w:hAnsi="宋体" w:cs="宋体" w:eastAsia="宋体" w:hint="default"/>
          <w:sz w:val="17"/>
          <w:szCs w:val="17"/>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16"/>
          <w:szCs w:val="16"/>
        </w:rPr>
      </w:pPr>
    </w:p>
    <w:p>
      <w:pPr>
        <w:pStyle w:val="BodyText"/>
        <w:spacing w:line="398" w:lineRule="auto"/>
        <w:ind w:right="244" w:firstLine="420"/>
        <w:jc w:val="both"/>
      </w:pP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2014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 </w:t>
      </w:r>
      <w:r>
        <w:rPr>
          <w:spacing w:val="-7"/>
        </w:rPr>
        <w:t>日，中农信达</w:t>
      </w:r>
      <w:r>
        <w:rPr>
          <w:spacing w:val="-80"/>
        </w:rPr>
        <w:t> </w:t>
      </w:r>
      <w:r>
        <w:rPr>
          <w:rFonts w:ascii="Times New Roman" w:hAnsi="Times New Roman" w:cs="Times New Roman" w:eastAsia="Times New Roman" w:hint="default"/>
          <w:spacing w:val="-3"/>
        </w:rPr>
        <w:t>100%</w:t>
      </w:r>
      <w:r>
        <w:rPr>
          <w:spacing w:val="-3"/>
        </w:rPr>
        <w:t>股权过户手续及相关工商登记办理完毕，北京市工商行政管理</w:t>
      </w:r>
      <w:r>
        <w:rPr>
          <w:w w:val="100"/>
        </w:rPr>
        <w:t> </w:t>
      </w:r>
      <w:r>
        <w:rPr>
          <w:spacing w:val="-5"/>
          <w:w w:val="100"/>
        </w:rPr>
        <w:t>局海淀分局核准了中农信达的股东变更，并向中农信达核发了《企业法人营业执照》。自此，中农信达成</w:t>
      </w:r>
      <w:r>
        <w:rPr>
          <w:spacing w:val="-64"/>
          <w:w w:val="100"/>
        </w:rPr>
        <w:t> </w:t>
      </w:r>
      <w:r>
        <w:rPr>
          <w:spacing w:val="-64"/>
          <w:w w:val="100"/>
        </w:rPr>
      </w:r>
      <w:r>
        <w:rPr/>
        <w:t>为神州信息的全资子公司。</w:t>
      </w:r>
    </w:p>
    <w:p>
      <w:pPr>
        <w:pStyle w:val="BodyText"/>
        <w:spacing w:line="398" w:lineRule="auto" w:before="95"/>
        <w:ind w:right="282" w:firstLine="42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日，本公司就发行股份购买资产事项向冯健刚等</w:t>
      </w:r>
      <w:r>
        <w:rPr>
          <w:spacing w:val="-52"/>
        </w:rPr>
        <w:t> </w:t>
      </w:r>
      <w:r>
        <w:rPr>
          <w:rFonts w:ascii="Times New Roman" w:hAnsi="Times New Roman" w:cs="Times New Roman" w:eastAsia="Times New Roman" w:hint="default"/>
        </w:rPr>
        <w:t>7 </w:t>
      </w:r>
      <w:r>
        <w:rPr/>
        <w:t>名自然人发行的</w:t>
      </w:r>
      <w:r>
        <w:rPr>
          <w:spacing w:val="-53"/>
        </w:rPr>
        <w:t> </w:t>
      </w:r>
      <w:r>
        <w:rPr>
          <w:rFonts w:ascii="Times New Roman" w:hAnsi="Times New Roman" w:cs="Times New Roman" w:eastAsia="Times New Roman" w:hint="default"/>
        </w:rPr>
        <w:t>20,520,227</w:t>
      </w:r>
      <w:r>
        <w:rPr>
          <w:rFonts w:ascii="Times New Roman" w:hAnsi="Times New Roman" w:cs="Times New Roman" w:eastAsia="Times New Roman" w:hint="default"/>
          <w:spacing w:val="-2"/>
        </w:rPr>
        <w:t> </w:t>
      </w:r>
      <w:r>
        <w:rPr/>
        <w:t>股</w:t>
      </w:r>
      <w:r>
        <w:rPr>
          <w:w w:val="100"/>
        </w:rPr>
        <w:t> </w:t>
      </w:r>
      <w:r>
        <w:rPr>
          <w:spacing w:val="-2"/>
        </w:rPr>
        <w:t>新增股份，向中国证券登记结算有限责任公司深圳分公司提交了相关登记材料。本次新增股份上市首日</w:t>
      </w:r>
      <w:r>
        <w:rPr>
          <w:spacing w:val="-21"/>
        </w:rPr>
        <w:t> </w:t>
      </w:r>
      <w:r>
        <w:rPr>
          <w:spacing w:val="-21"/>
        </w:rPr>
      </w:r>
      <w:r>
        <w:rPr/>
        <w:t>为</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w:t>
      </w:r>
    </w:p>
    <w:p>
      <w:pPr>
        <w:pStyle w:val="BodyText"/>
        <w:spacing w:line="240" w:lineRule="auto" w:before="64"/>
        <w:ind w:left="573" w:right="140"/>
        <w:jc w:val="left"/>
      </w:pPr>
      <w:r>
        <w:rPr>
          <w:rFonts w:ascii="Times New Roman" w:hAnsi="Times New Roman" w:cs="Times New Roman" w:eastAsia="Times New Roman" w:hint="default"/>
          <w:spacing w:val="-7"/>
        </w:rPr>
        <w:t>3</w:t>
      </w:r>
      <w:r>
        <w:rPr>
          <w:spacing w:val="-7"/>
        </w:rPr>
        <w:t>、</w:t>
      </w:r>
      <w:r>
        <w:rPr>
          <w:rFonts w:ascii="Times New Roman" w:hAnsi="Times New Roman" w:cs="Times New Roman" w:eastAsia="Times New Roman" w:hint="default"/>
          <w:spacing w:val="-7"/>
        </w:rPr>
        <w:t>2014</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spacing w:val="-3"/>
        </w:rPr>
        <w:t>日，本公司就配套募集资金事项向华商基金管理有限公司等</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名特定投资者发行</w:t>
      </w:r>
    </w:p>
    <w:p>
      <w:pPr>
        <w:pStyle w:val="BodyText"/>
        <w:spacing w:line="240" w:lineRule="auto" w:before="178"/>
        <w:ind w:right="140"/>
        <w:jc w:val="left"/>
      </w:pPr>
      <w:r>
        <w:rPr/>
        <w:t>的 </w:t>
      </w:r>
      <w:r>
        <w:rPr>
          <w:rFonts w:ascii="Times New Roman" w:hAnsi="Times New Roman" w:cs="Times New Roman" w:eastAsia="Times New Roman" w:hint="default"/>
          <w:spacing w:val="-1"/>
        </w:rPr>
        <w:t>7,171,717</w:t>
      </w:r>
      <w:r>
        <w:rPr>
          <w:rFonts w:ascii="Times New Roman" w:hAnsi="Times New Roman" w:cs="Times New Roman" w:eastAsia="Times New Roman" w:hint="default"/>
          <w:spacing w:val="9"/>
        </w:rPr>
        <w:t> </w:t>
      </w:r>
      <w:r>
        <w:rPr>
          <w:spacing w:val="-2"/>
        </w:rPr>
        <w:t>股新增股份，向中国证券登记结算有限责任公司深圳分公司提交了相关登记材料。本次新增</w:t>
      </w:r>
    </w:p>
    <w:p>
      <w:pPr>
        <w:pStyle w:val="BodyText"/>
        <w:spacing w:line="240" w:lineRule="auto" w:before="177"/>
        <w:ind w:right="140"/>
        <w:jc w:val="left"/>
      </w:pPr>
      <w:r>
        <w:rPr/>
        <w:t>股份上市首日为</w:t>
      </w:r>
      <w:r>
        <w:rPr>
          <w:spacing w:val="-53"/>
        </w:rPr>
        <w:t> </w:t>
      </w:r>
      <w:r>
        <w:rPr>
          <w:rFonts w:ascii="Times New Roman" w:hAnsi="Times New Roman" w:cs="Times New Roman" w:eastAsia="Times New Roman" w:hint="default"/>
        </w:rPr>
        <w:t>2015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408" w:lineRule="auto" w:before="148"/>
        <w:ind w:right="140"/>
        <w:jc w:val="left"/>
      </w:pPr>
      <w:r>
        <w:rPr>
          <w:spacing w:val="-2"/>
        </w:rPr>
        <w:t>股份变动对最近一年和最近一期基本每股收益和稀释每股收益、归属于公司普通股股东的每股净资产等</w:t>
      </w:r>
      <w:r>
        <w:rPr>
          <w:spacing w:val="-21"/>
        </w:rPr>
        <w:t> </w:t>
      </w:r>
      <w:r>
        <w:rPr>
          <w:spacing w:val="-21"/>
        </w:rPr>
      </w:r>
      <w:r>
        <w:rPr/>
        <w:t>财务指标的影响</w:t>
      </w:r>
    </w:p>
    <w:p>
      <w:pPr>
        <w:pStyle w:val="BodyText"/>
        <w:spacing w:line="240" w:lineRule="auto" w:before="87"/>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34"/>
          <w:pgSz w:w="11910" w:h="16840"/>
          <w:pgMar w:footer="1227" w:header="0" w:top="1100" w:bottom="1420" w:left="980" w:right="980"/>
          <w:pgNumType w:start="62"/>
        </w:sectPr>
      </w:pPr>
    </w:p>
    <w:p>
      <w:pPr>
        <w:spacing w:line="240" w:lineRule="auto" w:before="9"/>
        <w:rPr>
          <w:rFonts w:ascii="宋体" w:hAnsi="宋体" w:cs="宋体" w:eastAsia="宋体" w:hint="default"/>
          <w:sz w:val="26"/>
          <w:szCs w:val="26"/>
        </w:rPr>
      </w:pPr>
    </w:p>
    <w:p>
      <w:pPr>
        <w:pStyle w:val="BodyText"/>
        <w:spacing w:line="386" w:lineRule="auto" w:before="36"/>
        <w:ind w:right="140" w:firstLine="420"/>
        <w:jc w:val="left"/>
      </w:pPr>
      <w:r>
        <w:rPr>
          <w:rFonts w:ascii="Times New Roman" w:hAnsi="Times New Roman" w:cs="Times New Roman" w:eastAsia="Times New Roman" w:hint="default"/>
        </w:rPr>
        <w:t>1</w:t>
      </w:r>
      <w:r>
        <w:rPr/>
        <w:t>、向冯健刚等</w:t>
      </w:r>
      <w:r>
        <w:rPr>
          <w:spacing w:val="-55"/>
        </w:rPr>
        <w:t> </w:t>
      </w:r>
      <w:r>
        <w:rPr>
          <w:rFonts w:ascii="Times New Roman" w:hAnsi="Times New Roman" w:cs="Times New Roman" w:eastAsia="Times New Roman" w:hint="default"/>
        </w:rPr>
        <w:t>7 </w:t>
      </w:r>
      <w:r>
        <w:rPr/>
        <w:t>名自然人发行的</w:t>
      </w:r>
      <w:r>
        <w:rPr>
          <w:spacing w:val="-52"/>
        </w:rPr>
        <w:t> </w:t>
      </w:r>
      <w:r>
        <w:rPr>
          <w:rFonts w:ascii="Times New Roman" w:hAnsi="Times New Roman" w:cs="Times New Roman" w:eastAsia="Times New Roman" w:hint="default"/>
        </w:rPr>
        <w:t>20,520,227 </w:t>
      </w:r>
      <w:r>
        <w:rPr/>
        <w:t>股新增股份已于</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日上市。根据每股收</w:t>
      </w:r>
      <w:r>
        <w:rPr>
          <w:w w:val="100"/>
        </w:rPr>
        <w:t> </w:t>
      </w:r>
      <w:r>
        <w:rPr>
          <w:spacing w:val="-6"/>
          <w:w w:val="100"/>
        </w:rPr>
        <w:t>益、稀释每股收益及归属于公司普通股股东的每股净资产的计算公式，本次股份变动的加权权重影响为</w:t>
      </w:r>
      <w:r>
        <w:rPr>
          <w:spacing w:val="-29"/>
          <w:w w:val="100"/>
        </w:rPr>
        <w:t> </w:t>
      </w:r>
      <w:r>
        <w:rPr>
          <w:rFonts w:ascii="Times New Roman" w:hAnsi="Times New Roman" w:cs="Times New Roman" w:eastAsia="Times New Roman" w:hint="default"/>
          <w:spacing w:val="-2"/>
          <w:w w:val="100"/>
        </w:rPr>
        <w:t>0</w:t>
      </w:r>
      <w:r>
        <w:rPr>
          <w:spacing w:val="-2"/>
          <w:w w:val="100"/>
        </w:rPr>
        <w:t>，</w:t>
      </w:r>
      <w:r>
        <w:rPr>
          <w:spacing w:val="-96"/>
          <w:w w:val="100"/>
        </w:rPr>
        <w:t> </w:t>
      </w:r>
      <w:r>
        <w:rPr/>
        <w:t>因此对上述指标无影响。</w:t>
      </w:r>
    </w:p>
    <w:p>
      <w:pPr>
        <w:pStyle w:val="BodyText"/>
        <w:spacing w:line="386" w:lineRule="auto" w:before="106"/>
        <w:ind w:right="140" w:firstLine="420"/>
        <w:jc w:val="left"/>
      </w:pPr>
      <w:r>
        <w:rPr>
          <w:rFonts w:ascii="Times New Roman" w:hAnsi="Times New Roman" w:cs="Times New Roman" w:eastAsia="Times New Roman" w:hint="default"/>
        </w:rPr>
        <w:t>2</w:t>
      </w:r>
      <w:r>
        <w:rPr/>
        <w:t>、向特定投资者发行的</w:t>
      </w:r>
      <w:r>
        <w:rPr>
          <w:spacing w:val="-55"/>
        </w:rPr>
        <w:t> </w:t>
      </w:r>
      <w:r>
        <w:rPr>
          <w:rFonts w:ascii="Times New Roman" w:hAnsi="Times New Roman" w:cs="Times New Roman" w:eastAsia="Times New Roman" w:hint="default"/>
        </w:rPr>
        <w:t>7,171,717 </w:t>
      </w:r>
      <w:r>
        <w:rPr/>
        <w:t>股新增股份已于</w:t>
      </w:r>
      <w:r>
        <w:rPr>
          <w:spacing w:val="-55"/>
        </w:rPr>
        <w:t> </w:t>
      </w:r>
      <w:r>
        <w:rPr>
          <w:rFonts w:ascii="Times New Roman" w:hAnsi="Times New Roman" w:cs="Times New Roman" w:eastAsia="Times New Roman" w:hint="default"/>
        </w:rPr>
        <w:t>2015 </w:t>
      </w:r>
      <w:r>
        <w:rPr/>
        <w:t>年</w:t>
      </w:r>
      <w:r>
        <w:rPr>
          <w:spacing w:val="-55"/>
        </w:rPr>
        <w:t> </w:t>
      </w:r>
      <w:r>
        <w:rPr>
          <w:rFonts w:ascii="Times New Roman" w:hAnsi="Times New Roman" w:cs="Times New Roman" w:eastAsia="Times New Roman" w:hint="default"/>
        </w:rPr>
        <w:t>1 </w:t>
      </w:r>
      <w:r>
        <w:rPr/>
        <w:t>月</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日上市。根据每股收益、稀释每</w:t>
      </w:r>
      <w:r>
        <w:rPr>
          <w:w w:val="100"/>
        </w:rPr>
        <w:t> </w:t>
      </w:r>
      <w:r>
        <w:rPr>
          <w:spacing w:val="-3"/>
        </w:rPr>
        <w:t>股收益及归属于公司普通股股东的每股净资产的计算公式，本次股份变动的加权权重影响为 </w:t>
      </w:r>
      <w:r>
        <w:rPr>
          <w:rFonts w:ascii="Times New Roman" w:hAnsi="Times New Roman" w:cs="Times New Roman" w:eastAsia="Times New Roman" w:hint="default"/>
          <w:spacing w:val="-8"/>
        </w:rPr>
        <w:t>0</w:t>
      </w:r>
      <w:r>
        <w:rPr>
          <w:spacing w:val="-8"/>
        </w:rPr>
        <w:t>，因此对上</w:t>
      </w:r>
      <w:r>
        <w:rPr>
          <w:spacing w:val="-66"/>
        </w:rPr>
        <w:t> </w:t>
      </w:r>
      <w:r>
        <w:rPr>
          <w:spacing w:val="-66"/>
        </w:rPr>
      </w:r>
      <w:r>
        <w:rPr/>
        <w:t>述指标无影响。</w:t>
      </w:r>
    </w:p>
    <w:p>
      <w:pPr>
        <w:pStyle w:val="BodyText"/>
        <w:spacing w:line="240" w:lineRule="auto" w:before="103"/>
        <w:ind w:right="140"/>
        <w:jc w:val="left"/>
      </w:pPr>
      <w:r>
        <w:rPr/>
        <w:t>公司认为必要或证券监管机构要求披露的其他内容</w:t>
      </w:r>
    </w:p>
    <w:p>
      <w:pPr>
        <w:spacing w:line="240" w:lineRule="auto" w:before="12"/>
        <w:rPr>
          <w:rFonts w:ascii="宋体" w:hAnsi="宋体" w:cs="宋体" w:eastAsia="宋体" w:hint="default"/>
          <w:sz w:val="17"/>
          <w:szCs w:val="17"/>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4"/>
        <w:spacing w:line="240" w:lineRule="auto" w:before="142"/>
        <w:ind w:right="140"/>
        <w:jc w:val="left"/>
        <w:rPr>
          <w:b w:val="0"/>
          <w:bCs w:val="0"/>
        </w:rPr>
      </w:pPr>
      <w:r>
        <w:rPr>
          <w:rFonts w:ascii="Times New Roman" w:hAnsi="Times New Roman" w:cs="Times New Roman" w:eastAsia="Times New Roman" w:hint="default"/>
        </w:rPr>
        <w:t>2</w:t>
      </w:r>
      <w:r>
        <w:rPr/>
        <w:t>、限售股份变动情况</w:t>
      </w:r>
      <w:r>
        <w:rPr>
          <w:b w:val="0"/>
          <w:bCs w:val="0"/>
        </w:rPr>
      </w:r>
    </w:p>
    <w:p>
      <w:pPr>
        <w:pStyle w:val="BodyText"/>
        <w:spacing w:line="240" w:lineRule="auto" w:before="98"/>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before="121"/>
        <w:ind w:left="0" w:right="249"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1560"/>
        <w:gridCol w:w="992"/>
        <w:gridCol w:w="994"/>
        <w:gridCol w:w="992"/>
        <w:gridCol w:w="1277"/>
        <w:gridCol w:w="1419"/>
        <w:gridCol w:w="2340"/>
      </w:tblGrid>
      <w:tr>
        <w:trPr>
          <w:trHeight w:val="751" w:hRule="exact"/>
        </w:trPr>
        <w:tc>
          <w:tcPr>
            <w:tcW w:w="156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37"/>
              <w:ind w:left="311" w:right="128"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9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37"/>
              <w:ind w:left="131" w:right="131"/>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99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37"/>
              <w:ind w:left="131" w:right="129"/>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27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41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34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3"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84"/>
              <w:jc w:val="left"/>
              <w:rPr>
                <w:rFonts w:ascii="宋体" w:hAnsi="宋体" w:cs="宋体" w:eastAsia="宋体" w:hint="default"/>
                <w:sz w:val="18"/>
                <w:szCs w:val="18"/>
              </w:rPr>
            </w:pPr>
            <w:r>
              <w:rPr>
                <w:rFonts w:ascii="宋体" w:hAnsi="宋体" w:cs="宋体" w:eastAsia="宋体" w:hint="default"/>
                <w:sz w:val="18"/>
                <w:szCs w:val="18"/>
              </w:rPr>
              <w:t>神州数码软件有限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194,770,055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194,770,055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194,770,055 </w:t>
            </w:r>
            <w:r>
              <w:rPr>
                <w:rFonts w:ascii="宋体" w:hAnsi="宋体" w:cs="宋体" w:eastAsia="宋体" w:hint="default"/>
                <w:sz w:val="18"/>
                <w:szCs w:val="18"/>
              </w:rPr>
              <w:t>股</w:t>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日可解除限</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194,770,055 </w:t>
            </w:r>
            <w:r>
              <w:rPr>
                <w:rFonts w:ascii="宋体" w:hAnsi="宋体" w:cs="宋体" w:eastAsia="宋体" w:hint="default"/>
                <w:sz w:val="18"/>
                <w:szCs w:val="18"/>
              </w:rPr>
              <w:t>股。</w:t>
            </w:r>
          </w:p>
        </w:tc>
      </w:tr>
      <w:tr>
        <w:trPr>
          <w:trHeight w:val="715"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84"/>
              <w:jc w:val="left"/>
              <w:rPr>
                <w:rFonts w:ascii="宋体" w:hAnsi="宋体" w:cs="宋体" w:eastAsia="宋体" w:hint="default"/>
                <w:sz w:val="18"/>
                <w:szCs w:val="18"/>
              </w:rPr>
            </w:pPr>
            <w:r>
              <w:rPr>
                <w:rFonts w:ascii="宋体" w:hAnsi="宋体" w:cs="宋体" w:eastAsia="宋体" w:hint="default"/>
                <w:sz w:val="18"/>
                <w:szCs w:val="18"/>
              </w:rPr>
              <w:t>天津信锐投资合伙 企业（有限合伙）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59,510,558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59,510,558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59,510,558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日可解除限</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59,510,558 </w:t>
            </w:r>
            <w:r>
              <w:rPr>
                <w:rFonts w:ascii="宋体" w:hAnsi="宋体" w:cs="宋体" w:eastAsia="宋体" w:hint="default"/>
                <w:sz w:val="18"/>
                <w:szCs w:val="18"/>
              </w:rPr>
              <w:t>股。</w:t>
            </w:r>
          </w:p>
        </w:tc>
      </w:tr>
      <w:tr>
        <w:trPr>
          <w:trHeight w:val="1337"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 w:right="84"/>
              <w:jc w:val="left"/>
              <w:rPr>
                <w:rFonts w:ascii="宋体" w:hAnsi="宋体" w:cs="宋体" w:eastAsia="宋体" w:hint="default"/>
                <w:sz w:val="18"/>
                <w:szCs w:val="18"/>
              </w:rPr>
            </w:pPr>
            <w:r>
              <w:rPr>
                <w:rFonts w:ascii="宋体" w:hAnsi="宋体" w:cs="宋体" w:eastAsia="宋体" w:hint="default"/>
                <w:sz w:val="18"/>
                <w:szCs w:val="18"/>
              </w:rPr>
              <w:t>中新苏州工业园区 创业投资有限公司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52,956,503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52,956,503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52,956,503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日已解除限售</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26,478,251 </w:t>
            </w:r>
            <w:r>
              <w:rPr>
                <w:rFonts w:ascii="宋体" w:hAnsi="宋体" w:cs="宋体" w:eastAsia="宋体" w:hint="default"/>
                <w:sz w:val="18"/>
                <w:szCs w:val="18"/>
              </w:rPr>
              <w:t>股，</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日可解除限售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26,478,252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715"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84"/>
              <w:jc w:val="left"/>
              <w:rPr>
                <w:rFonts w:ascii="宋体" w:hAnsi="宋体" w:cs="宋体" w:eastAsia="宋体" w:hint="default"/>
                <w:sz w:val="18"/>
                <w:szCs w:val="18"/>
              </w:rPr>
            </w:pPr>
            <w:r>
              <w:rPr>
                <w:rFonts w:ascii="宋体" w:hAnsi="宋体" w:cs="宋体" w:eastAsia="宋体" w:hint="default"/>
                <w:sz w:val="18"/>
                <w:szCs w:val="18"/>
              </w:rPr>
              <w:t>昆山市申昌科技有 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21,186,440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21,186,440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21,186,440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日可解除限</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21,186,440 </w:t>
            </w:r>
            <w:r>
              <w:rPr>
                <w:rFonts w:ascii="宋体" w:hAnsi="宋体" w:cs="宋体" w:eastAsia="宋体" w:hint="default"/>
                <w:sz w:val="18"/>
                <w:szCs w:val="18"/>
              </w:rPr>
              <w:t>股。</w:t>
            </w:r>
          </w:p>
        </w:tc>
      </w:tr>
      <w:tr>
        <w:trPr>
          <w:trHeight w:val="1025"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360" w:lineRule="auto" w:before="91"/>
              <w:ind w:left="14" w:right="47"/>
              <w:jc w:val="left"/>
              <w:rPr>
                <w:rFonts w:ascii="Times New Roman" w:hAnsi="Times New Roman" w:cs="Times New Roman" w:eastAsia="Times New Roman" w:hint="default"/>
                <w:sz w:val="18"/>
                <w:szCs w:val="18"/>
              </w:rPr>
            </w:pPr>
            <w:r>
              <w:rPr>
                <w:rFonts w:ascii="Times New Roman"/>
                <w:sz w:val="18"/>
              </w:rPr>
              <w:t>Infinity</w:t>
            </w:r>
            <w:r>
              <w:rPr>
                <w:rFonts w:ascii="Times New Roman"/>
                <w:spacing w:val="-4"/>
                <w:sz w:val="18"/>
              </w:rPr>
              <w:t> </w:t>
            </w:r>
            <w:r>
              <w:rPr>
                <w:rFonts w:ascii="Times New Roman"/>
                <w:sz w:val="18"/>
              </w:rPr>
              <w:t>I-China</w:t>
            </w:r>
            <w:r>
              <w:rPr>
                <w:rFonts w:ascii="Times New Roman"/>
                <w:w w:val="99"/>
                <w:sz w:val="18"/>
              </w:rPr>
              <w:t> </w:t>
            </w:r>
            <w:r>
              <w:rPr>
                <w:rFonts w:ascii="Times New Roman"/>
                <w:sz w:val="18"/>
              </w:rPr>
              <w:t>Investments</w:t>
            </w:r>
            <w:r>
              <w:rPr>
                <w:rFonts w:ascii="Times New Roman"/>
                <w:spacing w:val="-4"/>
                <w:sz w:val="18"/>
              </w:rPr>
              <w:t> </w:t>
            </w:r>
            <w:r>
              <w:rPr>
                <w:rFonts w:ascii="Times New Roman"/>
                <w:sz w:val="18"/>
              </w:rPr>
              <w:t>(Israel),</w:t>
            </w:r>
            <w:r>
              <w:rPr>
                <w:rFonts w:ascii="Times New Roman"/>
                <w:sz w:val="18"/>
              </w:rPr>
              <w:t> </w:t>
            </w:r>
            <w:r>
              <w:rPr>
                <w:rFonts w:ascii="Times New Roman"/>
                <w:spacing w:val="-5"/>
                <w:sz w:val="18"/>
              </w:rPr>
              <w:t>L.P.</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9,358,417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9,358,417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9,358,417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日可解除限</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9,358,417 </w:t>
            </w:r>
            <w:r>
              <w:rPr>
                <w:rFonts w:ascii="宋体" w:hAnsi="宋体" w:cs="宋体" w:eastAsia="宋体" w:hint="default"/>
                <w:sz w:val="18"/>
                <w:szCs w:val="18"/>
              </w:rPr>
              <w:t>股。</w:t>
            </w:r>
          </w:p>
        </w:tc>
      </w:tr>
      <w:tr>
        <w:trPr>
          <w:trHeight w:val="1652"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冯健刚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6,073,988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6,073,988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6,073,988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日可解除限售</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607,399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日可解除限售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607,399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日可解除限售</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4,859,190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658" w:hRule="exact"/>
        </w:trPr>
        <w:tc>
          <w:tcPr>
            <w:tcW w:w="156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王宇飞</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5,540,462</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5,540,462</w:t>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5,540,462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34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日可解除限售</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554,046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日可解除限售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554,046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日可解除限售</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4,432,370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0"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560"/>
        <w:gridCol w:w="992"/>
        <w:gridCol w:w="994"/>
        <w:gridCol w:w="992"/>
        <w:gridCol w:w="1277"/>
        <w:gridCol w:w="1419"/>
        <w:gridCol w:w="2340"/>
      </w:tblGrid>
      <w:tr>
        <w:trPr>
          <w:trHeight w:val="1661" w:hRule="exact"/>
        </w:trPr>
        <w:tc>
          <w:tcPr>
            <w:tcW w:w="156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4,432,369</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4,432,369</w:t>
            </w: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4,432,369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34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日可解除限售</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443,237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日可解除限售 </w:t>
            </w:r>
            <w:r>
              <w:rPr>
                <w:rFonts w:ascii="Times New Roman" w:hAnsi="Times New Roman" w:cs="Times New Roman" w:eastAsia="Times New Roman" w:hint="default"/>
                <w:sz w:val="18"/>
                <w:szCs w:val="18"/>
              </w:rPr>
              <w:t>443,237 </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日可解除限售</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3,545,895 </w:t>
            </w:r>
            <w:r>
              <w:rPr>
                <w:rFonts w:ascii="宋体" w:hAnsi="宋体" w:cs="宋体" w:eastAsia="宋体" w:hint="default"/>
                <w:sz w:val="18"/>
                <w:szCs w:val="18"/>
              </w:rPr>
              <w:t>股。</w:t>
            </w:r>
          </w:p>
        </w:tc>
      </w:tr>
      <w:tr>
        <w:trPr>
          <w:trHeight w:val="1337"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贺胜龙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3,078,033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3,078,033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3,090,833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日可解除限</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售 </w:t>
            </w:r>
            <w:r>
              <w:rPr>
                <w:rFonts w:ascii="Times New Roman" w:hAnsi="Times New Roman" w:cs="Times New Roman" w:eastAsia="Times New Roman" w:hint="default"/>
                <w:sz w:val="18"/>
                <w:szCs w:val="18"/>
              </w:rPr>
              <w:t>1,758,876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日可解除限售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1,319,157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715"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84"/>
              <w:jc w:val="left"/>
              <w:rPr>
                <w:rFonts w:ascii="宋体" w:hAnsi="宋体" w:cs="宋体" w:eastAsia="宋体" w:hint="default"/>
                <w:sz w:val="18"/>
                <w:szCs w:val="18"/>
              </w:rPr>
            </w:pPr>
            <w:r>
              <w:rPr>
                <w:rFonts w:ascii="宋体" w:hAnsi="宋体" w:cs="宋体" w:eastAsia="宋体" w:hint="default"/>
                <w:sz w:val="18"/>
                <w:szCs w:val="18"/>
              </w:rPr>
              <w:t>南京汇庆天下科技 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2,804,331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2,804,331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2,804,331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日可解除限</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2,804,331 </w:t>
            </w:r>
            <w:r>
              <w:rPr>
                <w:rFonts w:ascii="宋体" w:hAnsi="宋体" w:cs="宋体" w:eastAsia="宋体" w:hint="default"/>
                <w:sz w:val="18"/>
                <w:szCs w:val="18"/>
              </w:rPr>
              <w:t>股。</w:t>
            </w:r>
          </w:p>
        </w:tc>
      </w:tr>
      <w:tr>
        <w:trPr>
          <w:trHeight w:val="713"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王正</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820,809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820,809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820,809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日可解除限</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820,809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5"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王宇飞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287,283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287,283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287,283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日可解除限</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287,283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3"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蒋云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287,283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287,283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287,283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日可解除限</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287,283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10" w:hRule="exact"/>
        </w:trPr>
        <w:tc>
          <w:tcPr>
            <w:tcW w:w="1560" w:type="dxa"/>
            <w:tcBorders>
              <w:top w:val="single" w:sz="4" w:space="0" w:color="000000"/>
              <w:left w:val="single" w:sz="12" w:space="0" w:color="000000"/>
              <w:bottom w:val="single" w:sz="12" w:space="0" w:color="000000"/>
              <w:right w:val="single" w:sz="4" w:space="0" w:color="000000"/>
            </w:tcBorders>
            <w:shd w:val="clear" w:color="auto" w:fill="BEBEBE"/>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12" w:space="0" w:color="000000"/>
              <w:right w:val="single" w:sz="4" w:space="0" w:color="000000"/>
            </w:tcBorders>
            <w:shd w:val="clear" w:color="auto" w:fill="BEBEBE"/>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340,586,304</w:t>
            </w:r>
          </w:p>
        </w:tc>
        <w:tc>
          <w:tcPr>
            <w:tcW w:w="994" w:type="dxa"/>
            <w:tcBorders>
              <w:top w:val="single" w:sz="4" w:space="0" w:color="000000"/>
              <w:left w:val="single" w:sz="4" w:space="0" w:color="000000"/>
              <w:bottom w:val="single" w:sz="12" w:space="0" w:color="000000"/>
              <w:right w:val="single" w:sz="4" w:space="0" w:color="000000"/>
            </w:tcBorders>
            <w:shd w:val="clear" w:color="auto" w:fill="BEBEBE"/>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12" w:space="0" w:color="000000"/>
              <w:right w:val="single" w:sz="4" w:space="0" w:color="000000"/>
            </w:tcBorders>
            <w:shd w:val="clear" w:color="auto" w:fill="BEBEBE"/>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20,520,227</w:t>
            </w:r>
          </w:p>
        </w:tc>
        <w:tc>
          <w:tcPr>
            <w:tcW w:w="1277" w:type="dxa"/>
            <w:tcBorders>
              <w:top w:val="single" w:sz="4" w:space="0" w:color="000000"/>
              <w:left w:val="single" w:sz="4" w:space="0" w:color="000000"/>
              <w:bottom w:val="single" w:sz="12" w:space="0" w:color="000000"/>
              <w:right w:val="single" w:sz="4" w:space="0" w:color="000000"/>
            </w:tcBorders>
            <w:shd w:val="clear" w:color="auto" w:fill="BEBEBE"/>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361,106,531</w:t>
            </w:r>
          </w:p>
        </w:tc>
        <w:tc>
          <w:tcPr>
            <w:tcW w:w="1419" w:type="dxa"/>
            <w:tcBorders>
              <w:top w:val="single" w:sz="4" w:space="0" w:color="000000"/>
              <w:left w:val="single" w:sz="4" w:space="0" w:color="000000"/>
              <w:bottom w:val="single" w:sz="12" w:space="0" w:color="000000"/>
              <w:right w:val="single" w:sz="4" w:space="0" w:color="000000"/>
            </w:tcBorders>
            <w:shd w:val="clear" w:color="auto" w:fill="BEBEBE"/>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40" w:type="dxa"/>
            <w:tcBorders>
              <w:top w:val="single" w:sz="4" w:space="0" w:color="000000"/>
              <w:left w:val="single" w:sz="4" w:space="0" w:color="000000"/>
              <w:bottom w:val="single" w:sz="12" w:space="0" w:color="000000"/>
              <w:right w:val="single" w:sz="12" w:space="0" w:color="000000"/>
            </w:tcBorders>
            <w:shd w:val="clear" w:color="auto" w:fill="BEBEBE"/>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8"/>
          <w:szCs w:val="18"/>
        </w:rPr>
      </w:pPr>
    </w:p>
    <w:p>
      <w:pPr>
        <w:pStyle w:val="Heading2"/>
        <w:spacing w:line="240" w:lineRule="auto"/>
        <w:ind w:right="14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1368"/>
        <w:gridCol w:w="1753"/>
        <w:gridCol w:w="1275"/>
        <w:gridCol w:w="1277"/>
        <w:gridCol w:w="1700"/>
        <w:gridCol w:w="1277"/>
        <w:gridCol w:w="924"/>
      </w:tblGrid>
      <w:tr>
        <w:trPr>
          <w:trHeight w:val="766" w:hRule="exact"/>
        </w:trPr>
        <w:tc>
          <w:tcPr>
            <w:tcW w:w="136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57" w:lineRule="auto" w:before="51"/>
              <w:ind w:left="309" w:right="137"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75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27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115"/>
              <w:ind w:left="182"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27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70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7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1"/>
              <w:ind w:left="273" w:right="271"/>
              <w:jc w:val="left"/>
              <w:rPr>
                <w:rFonts w:ascii="宋体" w:hAnsi="宋体" w:cs="宋体" w:eastAsia="宋体" w:hint="default"/>
                <w:sz w:val="18"/>
                <w:szCs w:val="18"/>
              </w:rPr>
            </w:pPr>
            <w:r>
              <w:rPr>
                <w:rFonts w:ascii="宋体" w:hAnsi="宋体" w:cs="宋体" w:eastAsia="宋体" w:hint="default"/>
                <w:sz w:val="18"/>
                <w:szCs w:val="18"/>
              </w:rPr>
              <w:t>获准上市 交易数量</w:t>
            </w:r>
          </w:p>
        </w:tc>
        <w:tc>
          <w:tcPr>
            <w:tcW w:w="92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57" w:lineRule="auto" w:before="51"/>
              <w:ind w:left="278" w:right="84" w:hanging="181"/>
              <w:jc w:val="left"/>
              <w:rPr>
                <w:rFonts w:ascii="宋体" w:hAnsi="宋体" w:cs="宋体" w:eastAsia="宋体" w:hint="default"/>
                <w:sz w:val="18"/>
                <w:szCs w:val="18"/>
              </w:rPr>
            </w:pPr>
            <w:r>
              <w:rPr>
                <w:rFonts w:ascii="宋体" w:hAnsi="宋体" w:cs="宋体" w:eastAsia="宋体" w:hint="default"/>
                <w:sz w:val="18"/>
                <w:szCs w:val="18"/>
              </w:rPr>
              <w:t>交易终止 日期</w:t>
            </w:r>
          </w:p>
        </w:tc>
      </w:tr>
      <w:tr>
        <w:trPr>
          <w:trHeight w:val="463" w:hRule="exact"/>
        </w:trPr>
        <w:tc>
          <w:tcPr>
            <w:tcW w:w="9573" w:type="dxa"/>
            <w:gridSpan w:val="7"/>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463" w:hRule="exact"/>
        </w:trPr>
        <w:tc>
          <w:tcPr>
            <w:tcW w:w="136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*ST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太光</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340,586,334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340,586,334</w:t>
            </w:r>
          </w:p>
        </w:tc>
        <w:tc>
          <w:tcPr>
            <w:tcW w:w="924"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136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神州信息</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24.22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20,520,227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20,520,227</w:t>
            </w:r>
          </w:p>
        </w:tc>
        <w:tc>
          <w:tcPr>
            <w:tcW w:w="924"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136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神州信息</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7,171,717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7,171,717</w:t>
            </w:r>
          </w:p>
        </w:tc>
        <w:tc>
          <w:tcPr>
            <w:tcW w:w="924"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9573" w:type="dxa"/>
            <w:gridSpan w:val="7"/>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73" w:hRule="exact"/>
        </w:trPr>
        <w:tc>
          <w:tcPr>
            <w:tcW w:w="9573" w:type="dxa"/>
            <w:gridSpan w:val="7"/>
            <w:tcBorders>
              <w:top w:val="single" w:sz="4" w:space="0" w:color="000000"/>
              <w:left w:val="single" w:sz="12" w:space="0" w:color="000000"/>
              <w:bottom w:val="single" w:sz="12" w:space="0" w:color="000000"/>
              <w:right w:val="single" w:sz="12"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line="240" w:lineRule="auto" w:before="6"/>
        <w:rPr>
          <w:rFonts w:ascii="宋体" w:hAnsi="宋体" w:cs="宋体" w:eastAsia="宋体" w:hint="default"/>
          <w:sz w:val="5"/>
          <w:szCs w:val="5"/>
        </w:rPr>
      </w:pPr>
    </w:p>
    <w:p>
      <w:pPr>
        <w:pStyle w:val="BodyText"/>
        <w:spacing w:line="240" w:lineRule="auto" w:before="36"/>
        <w:ind w:right="140"/>
        <w:jc w:val="left"/>
      </w:pPr>
      <w:r>
        <w:rPr/>
        <w:t>前三年历次证券发行情况的说明</w:t>
      </w:r>
    </w:p>
    <w:p>
      <w:pPr>
        <w:spacing w:line="240" w:lineRule="auto" w:before="9"/>
        <w:rPr>
          <w:rFonts w:ascii="宋体" w:hAnsi="宋体" w:cs="宋体" w:eastAsia="宋体" w:hint="default"/>
          <w:sz w:val="17"/>
          <w:szCs w:val="17"/>
        </w:rPr>
      </w:pPr>
    </w:p>
    <w:p>
      <w:pPr>
        <w:pStyle w:val="BodyText"/>
        <w:spacing w:line="240" w:lineRule="auto"/>
        <w:ind w:left="573" w:right="140"/>
        <w:jc w:val="left"/>
      </w:pPr>
      <w:r>
        <w:rPr>
          <w:rFonts w:ascii="Times New Roman" w:hAnsi="Times New Roman" w:cs="Times New Roman" w:eastAsia="Times New Roman" w:hint="default"/>
        </w:rPr>
        <w:t>1</w:t>
      </w:r>
      <w:r>
        <w:rPr/>
        <w:t>、公司在</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年度完成了重大资产重组工作，内容详见</w:t>
      </w:r>
      <w:r>
        <w:rPr>
          <w:spacing w:val="-5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日巨潮资讯网</w:t>
      </w:r>
    </w:p>
    <w:p>
      <w:pPr>
        <w:pStyle w:val="BodyText"/>
        <w:spacing w:line="240" w:lineRule="auto" w:before="177"/>
        <w:ind w:right="140"/>
        <w:jc w:val="left"/>
        <w:rPr>
          <w:rFonts w:ascii="Times New Roman" w:hAnsi="Times New Roman" w:cs="Times New Roman" w:eastAsia="Times New Roman" w:hint="default"/>
        </w:rPr>
      </w:pPr>
      <w:r>
        <w:rPr>
          <w:spacing w:val="-3"/>
        </w:rPr>
        <w:t>（</w:t>
      </w:r>
      <w:hyperlink r:id="rId8">
        <w:r>
          <w:rPr>
            <w:rFonts w:ascii="Times New Roman" w:hAnsi="Times New Roman" w:cs="Times New Roman" w:eastAsia="Times New Roman" w:hint="default"/>
            <w:spacing w:val="-3"/>
          </w:rPr>
          <w:t>http://www.cninfo.com.cn</w:t>
        </w:r>
      </w:hyperlink>
      <w:r>
        <w:rPr>
          <w:spacing w:val="-3"/>
        </w:rPr>
        <w:t>）披露的相关公告。公司发行股份购买资产及吸收合并的新增股份</w:t>
      </w:r>
      <w:r>
        <w:rPr>
          <w:spacing w:val="19"/>
        </w:rPr>
        <w:t> </w:t>
      </w:r>
      <w:r>
        <w:rPr>
          <w:rFonts w:ascii="Times New Roman" w:hAnsi="Times New Roman" w:cs="Times New Roman" w:eastAsia="Times New Roman" w:hint="default"/>
        </w:rPr>
        <w:t>340,586,334</w:t>
      </w:r>
    </w:p>
    <w:p>
      <w:pPr>
        <w:pStyle w:val="BodyText"/>
        <w:spacing w:line="240" w:lineRule="auto" w:before="177"/>
        <w:ind w:right="140"/>
        <w:jc w:val="left"/>
      </w:pPr>
      <w:r>
        <w:rPr/>
        <w:t>股已于</w:t>
      </w:r>
      <w:r>
        <w:rPr>
          <w:spacing w:val="-53"/>
        </w:rPr>
        <w:t> </w:t>
      </w:r>
      <w:r>
        <w:rPr>
          <w:rFonts w:ascii="Times New Roman" w:hAnsi="Times New Roman" w:cs="Times New Roman" w:eastAsia="Times New Roman" w:hint="default"/>
        </w:rPr>
        <w:t>2013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日上市，股份性质为有限售条件的流通股。</w:t>
      </w:r>
    </w:p>
    <w:p>
      <w:pPr>
        <w:spacing w:after="0" w:line="240" w:lineRule="auto"/>
        <w:jc w:val="left"/>
        <w:sectPr>
          <w:pgSz w:w="11910" w:h="16840"/>
          <w:pgMar w:header="0" w:footer="1227" w:top="1100" w:bottom="1420" w:left="980" w:right="980"/>
        </w:sectPr>
      </w:pPr>
    </w:p>
    <w:p>
      <w:pPr>
        <w:spacing w:line="240" w:lineRule="auto" w:before="9"/>
        <w:rPr>
          <w:rFonts w:ascii="宋体" w:hAnsi="宋体" w:cs="宋体" w:eastAsia="宋体" w:hint="default"/>
          <w:sz w:val="26"/>
          <w:szCs w:val="26"/>
        </w:rPr>
      </w:pPr>
    </w:p>
    <w:p>
      <w:pPr>
        <w:pStyle w:val="BodyText"/>
        <w:spacing w:line="240" w:lineRule="auto" w:before="36"/>
        <w:ind w:left="573" w:right="0"/>
        <w:jc w:val="left"/>
      </w:pPr>
      <w:r>
        <w:rPr>
          <w:rFonts w:ascii="Times New Roman" w:hAnsi="Times New Roman" w:cs="Times New Roman" w:eastAsia="Times New Roman" w:hint="default"/>
        </w:rPr>
        <w:t>2</w:t>
      </w:r>
      <w:r>
        <w:rPr/>
        <w:t>、公司</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年度实施了向特定对象发行股份购买资产并募集配套资金的资产重组事项，其中：公</w:t>
      </w:r>
    </w:p>
    <w:p>
      <w:pPr>
        <w:pStyle w:val="BodyText"/>
        <w:spacing w:line="240" w:lineRule="auto" w:before="177"/>
        <w:ind w:right="0"/>
        <w:jc w:val="left"/>
      </w:pPr>
      <w:r>
        <w:rPr/>
        <w:t>司在</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年底完成了收购中农信达资产重组工作，内容详见</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日巨潮资讯网</w:t>
      </w:r>
    </w:p>
    <w:p>
      <w:pPr>
        <w:pStyle w:val="BodyText"/>
        <w:spacing w:line="240" w:lineRule="auto" w:before="177"/>
        <w:ind w:right="0"/>
        <w:jc w:val="left"/>
      </w:pPr>
      <w:r>
        <w:rPr>
          <w:spacing w:val="-2"/>
        </w:rPr>
        <w:t>（</w:t>
      </w:r>
      <w:hyperlink r:id="rId8">
        <w:r>
          <w:rPr>
            <w:rFonts w:ascii="Times New Roman" w:hAnsi="Times New Roman" w:cs="Times New Roman" w:eastAsia="Times New Roman" w:hint="default"/>
            <w:spacing w:val="-2"/>
          </w:rPr>
          <w:t>http://www.cninfo.com.cn</w:t>
        </w:r>
      </w:hyperlink>
      <w:r>
        <w:rPr>
          <w:spacing w:val="-2"/>
        </w:rPr>
        <w:t>）披露的相关公告。公司发行股份购买中农信达资产新增股份</w:t>
      </w:r>
      <w:r>
        <w:rPr/>
        <w:t> </w:t>
      </w:r>
      <w:r>
        <w:rPr>
          <w:rFonts w:ascii="Times New Roman" w:hAnsi="Times New Roman" w:cs="Times New Roman" w:eastAsia="Times New Roman" w:hint="default"/>
          <w:spacing w:val="-1"/>
        </w:rPr>
        <w:t>20,520,227</w:t>
      </w:r>
      <w:r>
        <w:rPr>
          <w:rFonts w:ascii="Times New Roman" w:hAnsi="Times New Roman" w:cs="Times New Roman" w:eastAsia="Times New Roman" w:hint="default"/>
          <w:spacing w:val="27"/>
        </w:rPr>
        <w:t> </w:t>
      </w:r>
      <w:r>
        <w:rPr>
          <w:spacing w:val="-3"/>
        </w:rPr>
        <w:t>股已</w:t>
      </w:r>
      <w:r>
        <w:rPr/>
      </w:r>
    </w:p>
    <w:p>
      <w:pPr>
        <w:pStyle w:val="BodyText"/>
        <w:spacing w:line="240" w:lineRule="auto" w:before="177"/>
        <w:ind w:right="0"/>
        <w:jc w:val="left"/>
      </w:pPr>
      <w:r>
        <w:rPr/>
        <w:t>于</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7"/>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t>日上市，股份性质为有限售条件的流通股。此项工作还涉及发行股份募集配套资金以</w:t>
      </w:r>
    </w:p>
    <w:p>
      <w:pPr>
        <w:pStyle w:val="BodyText"/>
        <w:spacing w:line="240" w:lineRule="auto" w:before="177"/>
        <w:ind w:right="0"/>
        <w:jc w:val="left"/>
      </w:pPr>
      <w:r>
        <w:rPr/>
        <w:t>支付中农信达原股东所获得的现金对价部分，募资集资金对应股份</w:t>
      </w:r>
      <w:r>
        <w:rPr>
          <w:spacing w:val="-55"/>
        </w:rPr>
        <w:t> </w:t>
      </w:r>
      <w:r>
        <w:rPr>
          <w:rFonts w:ascii="Times New Roman" w:hAnsi="Times New Roman" w:cs="Times New Roman" w:eastAsia="Times New Roman" w:hint="default"/>
        </w:rPr>
        <w:t>7,171,717</w:t>
      </w:r>
      <w:r>
        <w:rPr>
          <w:rFonts w:ascii="Times New Roman" w:hAnsi="Times New Roman" w:cs="Times New Roman" w:eastAsia="Times New Roman" w:hint="default"/>
          <w:spacing w:val="-4"/>
        </w:rPr>
        <w:t> </w:t>
      </w:r>
      <w:r>
        <w:rPr/>
        <w:t>股已于</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spacing w:val="-3"/>
        </w:rPr>
        <w:t>日上</w:t>
      </w:r>
      <w:r>
        <w:rPr/>
      </w:r>
    </w:p>
    <w:p>
      <w:pPr>
        <w:pStyle w:val="BodyText"/>
        <w:spacing w:line="386" w:lineRule="auto" w:before="177"/>
        <w:ind w:right="0"/>
        <w:jc w:val="left"/>
      </w:pPr>
      <w:r>
        <w:rPr/>
        <w:t>市，股份性质为有限售条件的流通股。具体内容详见公司</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日和</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日在巨潮</w:t>
      </w:r>
      <w:r>
        <w:rPr>
          <w:spacing w:val="-3"/>
          <w:w w:val="100"/>
        </w:rPr>
        <w:t> </w:t>
      </w:r>
      <w:r>
        <w:rPr/>
        <w:t>资讯网（</w:t>
      </w:r>
      <w:hyperlink r:id="rId8">
        <w:r>
          <w:rPr>
            <w:rFonts w:ascii="Times New Roman" w:hAnsi="Times New Roman" w:cs="Times New Roman" w:eastAsia="Times New Roman" w:hint="default"/>
          </w:rPr>
          <w:t>http://www.cninfo.com.cn</w:t>
        </w:r>
      </w:hyperlink>
      <w:r>
        <w:rPr/>
        <w:t>）披露的相关公告。</w:t>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(1)</w:t>
      </w:r>
      <w:r>
        <w:rPr/>
        <w:t>公司股份总数和股东结构变动情况</w:t>
      </w:r>
    </w:p>
    <w:p>
      <w:pPr>
        <w:spacing w:line="240" w:lineRule="auto" w:before="9"/>
        <w:rPr>
          <w:rFonts w:ascii="宋体" w:hAnsi="宋体" w:cs="宋体" w:eastAsia="宋体" w:hint="default"/>
          <w:sz w:val="16"/>
          <w:szCs w:val="16"/>
        </w:rPr>
      </w:pPr>
    </w:p>
    <w:p>
      <w:pPr>
        <w:pStyle w:val="BodyText"/>
        <w:spacing w:line="386" w:lineRule="auto"/>
        <w:ind w:right="489" w:firstLine="42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日，公司向特定对象发行股份购买资产并募集配套资金的资产重组事项获得中国证</w:t>
      </w:r>
      <w:r>
        <w:rPr>
          <w:w w:val="100"/>
        </w:rPr>
        <w:t> </w:t>
      </w:r>
      <w:r>
        <w:rPr>
          <w:spacing w:val="-2"/>
        </w:rPr>
        <w:t>监会《关于核准神州数码信息服务股份有限公司向冯健刚等发行股份购买资产并募集配套资金的批复》</w:t>
      </w:r>
    </w:p>
    <w:p>
      <w:pPr>
        <w:pStyle w:val="BodyText"/>
        <w:spacing w:line="240" w:lineRule="auto" w:before="65"/>
        <w:ind w:right="0"/>
        <w:jc w:val="left"/>
      </w:pPr>
      <w:r>
        <w:rPr/>
        <w:t>（证监许可【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1258</w:t>
      </w:r>
      <w:r>
        <w:rPr>
          <w:rFonts w:ascii="Times New Roman" w:hAnsi="Times New Roman" w:cs="Times New Roman" w:eastAsia="Times New Roman" w:hint="default"/>
          <w:spacing w:val="-3"/>
        </w:rPr>
        <w:t> </w:t>
      </w:r>
      <w:r>
        <w:rPr/>
        <w:t>号）的核准。</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日，公司发行股份购买中农信达资产新增股份</w:t>
      </w:r>
    </w:p>
    <w:p>
      <w:pPr>
        <w:pStyle w:val="BodyText"/>
        <w:spacing w:line="240" w:lineRule="auto" w:before="177"/>
        <w:ind w:right="0"/>
        <w:jc w:val="left"/>
      </w:pPr>
      <w:r>
        <w:rPr>
          <w:rFonts w:ascii="Times New Roman" w:hAnsi="Times New Roman" w:cs="Times New Roman" w:eastAsia="Times New Roman" w:hint="default"/>
        </w:rPr>
        <w:t>20,520,227</w:t>
      </w:r>
      <w:r>
        <w:rPr>
          <w:rFonts w:ascii="Times New Roman" w:hAnsi="Times New Roman" w:cs="Times New Roman" w:eastAsia="Times New Roman" w:hint="default"/>
          <w:spacing w:val="-5"/>
        </w:rPr>
        <w:t> </w:t>
      </w:r>
      <w:r>
        <w:rPr/>
        <w:t>股上市流通，股份总数变更为</w:t>
      </w:r>
      <w:r>
        <w:rPr>
          <w:spacing w:val="-55"/>
        </w:rPr>
        <w:t> </w:t>
      </w:r>
      <w:r>
        <w:rPr>
          <w:rFonts w:ascii="Times New Roman" w:hAnsi="Times New Roman" w:cs="Times New Roman" w:eastAsia="Times New Roman" w:hint="default"/>
        </w:rPr>
        <w:t>451,734,241</w:t>
      </w:r>
      <w:r>
        <w:rPr>
          <w:rFonts w:ascii="Times New Roman" w:hAnsi="Times New Roman" w:cs="Times New Roman" w:eastAsia="Times New Roman" w:hint="default"/>
          <w:spacing w:val="-2"/>
        </w:rPr>
        <w:t> </w:t>
      </w:r>
      <w:r>
        <w:rPr/>
        <w:t>股，具体情况如下：</w:t>
      </w:r>
    </w:p>
    <w:p>
      <w:pPr>
        <w:spacing w:line="240" w:lineRule="auto" w:before="2"/>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2744"/>
        <w:gridCol w:w="2132"/>
        <w:gridCol w:w="1476"/>
        <w:gridCol w:w="2026"/>
        <w:gridCol w:w="1479"/>
      </w:tblGrid>
      <w:tr>
        <w:trPr>
          <w:trHeight w:val="413" w:hRule="exact"/>
        </w:trPr>
        <w:tc>
          <w:tcPr>
            <w:tcW w:w="2744" w:type="dxa"/>
            <w:tcBorders>
              <w:top w:val="single" w:sz="12" w:space="0" w:color="000000"/>
              <w:left w:val="single" w:sz="12" w:space="0" w:color="000000"/>
              <w:bottom w:val="nil" w:sz="6" w:space="0" w:color="auto"/>
              <w:right w:val="single" w:sz="6" w:space="0" w:color="000000"/>
            </w:tcBorders>
            <w:shd w:val="clear" w:color="auto" w:fill="BEBEBE"/>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08" w:type="dxa"/>
            <w:gridSpan w:val="2"/>
            <w:tcBorders>
              <w:top w:val="single" w:sz="12" w:space="0" w:color="000000"/>
              <w:left w:val="single" w:sz="6" w:space="0" w:color="000000"/>
              <w:bottom w:val="nil" w:sz="6" w:space="0" w:color="auto"/>
              <w:right w:val="single" w:sz="6" w:space="0" w:color="000000"/>
            </w:tcBorders>
            <w:shd w:val="clear" w:color="auto" w:fill="BEBEBE"/>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变动前</w:t>
            </w:r>
          </w:p>
        </w:tc>
        <w:tc>
          <w:tcPr>
            <w:tcW w:w="3505" w:type="dxa"/>
            <w:gridSpan w:val="2"/>
            <w:vMerge w:val="restart"/>
            <w:tcBorders>
              <w:top w:val="single" w:sz="12" w:space="0" w:color="000000"/>
              <w:left w:val="single" w:sz="6" w:space="0" w:color="000000"/>
              <w:right w:val="single" w:sz="12" w:space="0" w:color="000000"/>
            </w:tcBorders>
            <w:shd w:val="clear" w:color="auto" w:fill="BEBEBE"/>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变动后</w:t>
            </w:r>
          </w:p>
        </w:tc>
      </w:tr>
      <w:tr>
        <w:trPr>
          <w:trHeight w:val="96" w:hRule="exact"/>
        </w:trPr>
        <w:tc>
          <w:tcPr>
            <w:tcW w:w="2744" w:type="dxa"/>
            <w:vMerge w:val="restart"/>
            <w:tcBorders>
              <w:top w:val="nil" w:sz="6" w:space="0" w:color="auto"/>
              <w:left w:val="single" w:sz="12" w:space="0" w:color="000000"/>
              <w:right w:val="single" w:sz="6" w:space="0" w:color="000000"/>
            </w:tcBorders>
            <w:shd w:val="clear" w:color="auto" w:fill="BEBEBE"/>
          </w:tcPr>
          <w:p>
            <w:pPr/>
          </w:p>
        </w:tc>
        <w:tc>
          <w:tcPr>
            <w:tcW w:w="3608" w:type="dxa"/>
            <w:gridSpan w:val="2"/>
            <w:tcBorders>
              <w:top w:val="nil" w:sz="6" w:space="0" w:color="auto"/>
              <w:left w:val="single" w:sz="6" w:space="0" w:color="000000"/>
              <w:bottom w:val="single" w:sz="6" w:space="0" w:color="000000"/>
              <w:right w:val="single" w:sz="6" w:space="0" w:color="000000"/>
            </w:tcBorders>
            <w:shd w:val="clear" w:color="auto" w:fill="BEBEBE"/>
          </w:tcPr>
          <w:p>
            <w:pPr/>
          </w:p>
        </w:tc>
        <w:tc>
          <w:tcPr>
            <w:tcW w:w="3505" w:type="dxa"/>
            <w:gridSpan w:val="2"/>
            <w:vMerge/>
            <w:tcBorders>
              <w:left w:val="single" w:sz="6" w:space="0" w:color="000000"/>
              <w:bottom w:val="single" w:sz="6" w:space="0" w:color="000000"/>
              <w:right w:val="single" w:sz="12" w:space="0" w:color="000000"/>
            </w:tcBorders>
            <w:shd w:val="clear" w:color="auto" w:fill="BEBEBE"/>
          </w:tcPr>
          <w:p>
            <w:pPr/>
          </w:p>
        </w:tc>
      </w:tr>
      <w:tr>
        <w:trPr>
          <w:trHeight w:val="470" w:hRule="exact"/>
        </w:trPr>
        <w:tc>
          <w:tcPr>
            <w:tcW w:w="2744" w:type="dxa"/>
            <w:vMerge/>
            <w:tcBorders>
              <w:left w:val="single" w:sz="12" w:space="0" w:color="000000"/>
              <w:bottom w:val="single" w:sz="6" w:space="0" w:color="000000"/>
              <w:right w:val="single" w:sz="6" w:space="0" w:color="000000"/>
            </w:tcBorders>
            <w:shd w:val="clear" w:color="auto" w:fill="BEBEBE"/>
          </w:tcPr>
          <w:p>
            <w:pPr/>
          </w:p>
        </w:tc>
        <w:tc>
          <w:tcPr>
            <w:tcW w:w="21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1"/>
              <w:ind w:left="429" w:right="0"/>
              <w:jc w:val="left"/>
              <w:rPr>
                <w:rFonts w:ascii="宋体" w:hAnsi="宋体" w:cs="宋体" w:eastAsia="宋体" w:hint="default"/>
                <w:sz w:val="18"/>
                <w:szCs w:val="18"/>
              </w:rPr>
            </w:pPr>
            <w:r>
              <w:rPr>
                <w:rFonts w:ascii="宋体" w:hAnsi="宋体" w:cs="宋体" w:eastAsia="宋体" w:hint="default"/>
                <w:sz w:val="18"/>
                <w:szCs w:val="18"/>
              </w:rPr>
              <w:t>持股数（万股）</w:t>
            </w:r>
          </w:p>
        </w:tc>
        <w:tc>
          <w:tcPr>
            <w:tcW w:w="14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0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1"/>
              <w:ind w:left="375" w:right="0"/>
              <w:jc w:val="left"/>
              <w:rPr>
                <w:rFonts w:ascii="宋体" w:hAnsi="宋体" w:cs="宋体" w:eastAsia="宋体" w:hint="default"/>
                <w:sz w:val="18"/>
                <w:szCs w:val="18"/>
              </w:rPr>
            </w:pPr>
            <w:r>
              <w:rPr>
                <w:rFonts w:ascii="宋体" w:hAnsi="宋体" w:cs="宋体" w:eastAsia="宋体" w:hint="default"/>
                <w:sz w:val="18"/>
                <w:szCs w:val="18"/>
              </w:rPr>
              <w:t>持股数（万股）</w:t>
            </w:r>
          </w:p>
        </w:tc>
        <w:tc>
          <w:tcPr>
            <w:tcW w:w="1479" w:type="dxa"/>
            <w:tcBorders>
              <w:top w:val="single" w:sz="6"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41"/>
              <w:ind w:left="369" w:right="0"/>
              <w:jc w:val="left"/>
              <w:rPr>
                <w:rFonts w:ascii="宋体" w:hAnsi="宋体" w:cs="宋体" w:eastAsia="宋体" w:hint="default"/>
                <w:sz w:val="18"/>
                <w:szCs w:val="18"/>
              </w:rPr>
            </w:pPr>
            <w:r>
              <w:rPr>
                <w:rFonts w:ascii="宋体" w:hAnsi="宋体" w:cs="宋体" w:eastAsia="宋体" w:hint="default"/>
                <w:sz w:val="18"/>
                <w:szCs w:val="18"/>
              </w:rPr>
              <w:t>持股比例</w:t>
            </w:r>
          </w:p>
        </w:tc>
      </w:tr>
      <w:tr>
        <w:trPr>
          <w:trHeight w:val="490" w:hRule="exact"/>
        </w:trPr>
        <w:tc>
          <w:tcPr>
            <w:tcW w:w="2744"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、限售流通股</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34,058.63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78.98%</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pacing w:val="-1"/>
                <w:sz w:val="18"/>
              </w:rPr>
              <w:t>36,110.66</w:t>
            </w:r>
          </w:p>
        </w:tc>
        <w:tc>
          <w:tcPr>
            <w:tcW w:w="14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4"/>
              <w:jc w:val="right"/>
              <w:rPr>
                <w:rFonts w:ascii="宋体" w:hAnsi="宋体" w:cs="宋体" w:eastAsia="宋体" w:hint="default"/>
                <w:sz w:val="18"/>
                <w:szCs w:val="18"/>
              </w:rPr>
            </w:pPr>
            <w:r>
              <w:rPr>
                <w:rFonts w:ascii="宋体"/>
                <w:spacing w:val="-1"/>
                <w:sz w:val="18"/>
              </w:rPr>
              <w:t>79.94%</w:t>
            </w:r>
          </w:p>
        </w:tc>
      </w:tr>
      <w:tr>
        <w:trPr>
          <w:trHeight w:val="490" w:hRule="exact"/>
        </w:trPr>
        <w:tc>
          <w:tcPr>
            <w:tcW w:w="2744"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其中：神码软件</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19,477.01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45.17%</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19,477.01</w:t>
            </w:r>
          </w:p>
        </w:tc>
        <w:tc>
          <w:tcPr>
            <w:tcW w:w="14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pacing w:val="-1"/>
                <w:sz w:val="18"/>
              </w:rPr>
              <w:t>43.12%</w:t>
            </w:r>
          </w:p>
        </w:tc>
      </w:tr>
      <w:tr>
        <w:trPr>
          <w:trHeight w:val="490" w:hRule="exact"/>
        </w:trPr>
        <w:tc>
          <w:tcPr>
            <w:tcW w:w="2744"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天津信锐</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5,951.06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13.80%</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5,951.06</w:t>
            </w:r>
          </w:p>
        </w:tc>
        <w:tc>
          <w:tcPr>
            <w:tcW w:w="14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pacing w:val="-1"/>
                <w:sz w:val="18"/>
              </w:rPr>
              <w:t>13.17%</w:t>
            </w:r>
          </w:p>
        </w:tc>
      </w:tr>
      <w:tr>
        <w:trPr>
          <w:trHeight w:val="487" w:hRule="exact"/>
        </w:trPr>
        <w:tc>
          <w:tcPr>
            <w:tcW w:w="2744"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中新创投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5,295.65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12.28%</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5,295.65</w:t>
            </w:r>
          </w:p>
        </w:tc>
        <w:tc>
          <w:tcPr>
            <w:tcW w:w="14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pacing w:val="-1"/>
                <w:sz w:val="18"/>
              </w:rPr>
              <w:t>11.72%</w:t>
            </w:r>
          </w:p>
        </w:tc>
      </w:tr>
      <w:tr>
        <w:trPr>
          <w:trHeight w:val="490" w:hRule="exact"/>
        </w:trPr>
        <w:tc>
          <w:tcPr>
            <w:tcW w:w="2744"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华亿投资</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935.84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2.17%</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pacing w:val="-1"/>
                <w:sz w:val="18"/>
              </w:rPr>
              <w:t>935.84</w:t>
            </w:r>
          </w:p>
        </w:tc>
        <w:tc>
          <w:tcPr>
            <w:tcW w:w="14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4"/>
              <w:jc w:val="right"/>
              <w:rPr>
                <w:rFonts w:ascii="宋体" w:hAnsi="宋体" w:cs="宋体" w:eastAsia="宋体" w:hint="default"/>
                <w:sz w:val="18"/>
                <w:szCs w:val="18"/>
              </w:rPr>
            </w:pPr>
            <w:r>
              <w:rPr>
                <w:rFonts w:ascii="宋体"/>
                <w:sz w:val="18"/>
              </w:rPr>
              <w:t>2.07%</w:t>
            </w:r>
          </w:p>
        </w:tc>
      </w:tr>
      <w:tr>
        <w:trPr>
          <w:trHeight w:val="490" w:hRule="exact"/>
        </w:trPr>
        <w:tc>
          <w:tcPr>
            <w:tcW w:w="2744"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59"/>
              <w:ind w:right="13"/>
              <w:jc w:val="center"/>
              <w:rPr>
                <w:rFonts w:ascii="宋体" w:hAnsi="宋体" w:cs="宋体" w:eastAsia="宋体" w:hint="default"/>
                <w:sz w:val="18"/>
                <w:szCs w:val="18"/>
              </w:rPr>
            </w:pPr>
            <w:r>
              <w:rPr>
                <w:rFonts w:ascii="宋体" w:hAnsi="宋体" w:cs="宋体" w:eastAsia="宋体" w:hint="default"/>
                <w:sz w:val="18"/>
                <w:szCs w:val="18"/>
              </w:rPr>
              <w:t>申昌科技</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宋体" w:hAnsi="宋体" w:cs="宋体" w:eastAsia="宋体" w:hint="default"/>
                <w:sz w:val="18"/>
                <w:szCs w:val="18"/>
              </w:rPr>
            </w:pPr>
            <w:r>
              <w:rPr>
                <w:rFonts w:ascii="宋体"/>
                <w:spacing w:val="-1"/>
                <w:sz w:val="18"/>
              </w:rPr>
              <w:t>2,118.64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宋体" w:hAnsi="宋体" w:cs="宋体" w:eastAsia="宋体" w:hint="default"/>
                <w:sz w:val="18"/>
                <w:szCs w:val="18"/>
              </w:rPr>
            </w:pPr>
            <w:r>
              <w:rPr>
                <w:rFonts w:ascii="宋体"/>
                <w:sz w:val="18"/>
              </w:rPr>
              <w:t>4.91%</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
              <w:jc w:val="right"/>
              <w:rPr>
                <w:rFonts w:ascii="宋体" w:hAnsi="宋体" w:cs="宋体" w:eastAsia="宋体" w:hint="default"/>
                <w:sz w:val="18"/>
                <w:szCs w:val="18"/>
              </w:rPr>
            </w:pPr>
            <w:r>
              <w:rPr>
                <w:rFonts w:ascii="宋体"/>
                <w:spacing w:val="-1"/>
                <w:sz w:val="18"/>
              </w:rPr>
              <w:t>2,118.64</w:t>
            </w:r>
          </w:p>
        </w:tc>
        <w:tc>
          <w:tcPr>
            <w:tcW w:w="14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4"/>
              <w:jc w:val="right"/>
              <w:rPr>
                <w:rFonts w:ascii="宋体" w:hAnsi="宋体" w:cs="宋体" w:eastAsia="宋体" w:hint="default"/>
                <w:sz w:val="18"/>
                <w:szCs w:val="18"/>
              </w:rPr>
            </w:pPr>
            <w:r>
              <w:rPr>
                <w:rFonts w:ascii="宋体"/>
                <w:sz w:val="18"/>
              </w:rPr>
              <w:t>4.69%</w:t>
            </w:r>
          </w:p>
        </w:tc>
      </w:tr>
      <w:tr>
        <w:trPr>
          <w:trHeight w:val="487" w:hRule="exact"/>
        </w:trPr>
        <w:tc>
          <w:tcPr>
            <w:tcW w:w="2744"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、无限售流通股</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9,062.77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21.02%</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9,062.77</w:t>
            </w:r>
          </w:p>
        </w:tc>
        <w:tc>
          <w:tcPr>
            <w:tcW w:w="14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pacing w:val="-1"/>
                <w:sz w:val="18"/>
              </w:rPr>
              <w:t>20.06%</w:t>
            </w:r>
          </w:p>
        </w:tc>
      </w:tr>
      <w:tr>
        <w:trPr>
          <w:trHeight w:val="490" w:hRule="exact"/>
        </w:trPr>
        <w:tc>
          <w:tcPr>
            <w:tcW w:w="2744"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其中：申昌科技</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1,989.71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4.61%</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pacing w:val="-1"/>
                <w:sz w:val="18"/>
              </w:rPr>
              <w:t>1,989.71</w:t>
            </w:r>
          </w:p>
        </w:tc>
        <w:tc>
          <w:tcPr>
            <w:tcW w:w="14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4"/>
              <w:jc w:val="right"/>
              <w:rPr>
                <w:rFonts w:ascii="宋体" w:hAnsi="宋体" w:cs="宋体" w:eastAsia="宋体" w:hint="default"/>
                <w:sz w:val="18"/>
                <w:szCs w:val="18"/>
              </w:rPr>
            </w:pPr>
            <w:r>
              <w:rPr>
                <w:rFonts w:ascii="宋体"/>
                <w:sz w:val="18"/>
              </w:rPr>
              <w:t>4.4%</w:t>
            </w:r>
          </w:p>
        </w:tc>
      </w:tr>
      <w:tr>
        <w:trPr>
          <w:trHeight w:val="490" w:hRule="exact"/>
        </w:trPr>
        <w:tc>
          <w:tcPr>
            <w:tcW w:w="2744"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其他社会股东</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7,073.06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16.40%</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pacing w:val="-1"/>
                <w:sz w:val="18"/>
              </w:rPr>
              <w:t>7,073.06</w:t>
            </w:r>
          </w:p>
        </w:tc>
        <w:tc>
          <w:tcPr>
            <w:tcW w:w="14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4"/>
              <w:jc w:val="right"/>
              <w:rPr>
                <w:rFonts w:ascii="宋体" w:hAnsi="宋体" w:cs="宋体" w:eastAsia="宋体" w:hint="default"/>
                <w:sz w:val="18"/>
                <w:szCs w:val="18"/>
              </w:rPr>
            </w:pPr>
            <w:r>
              <w:rPr>
                <w:rFonts w:ascii="宋体"/>
                <w:spacing w:val="-1"/>
                <w:sz w:val="18"/>
              </w:rPr>
              <w:t>15.66%</w:t>
            </w:r>
          </w:p>
        </w:tc>
      </w:tr>
      <w:tr>
        <w:trPr>
          <w:trHeight w:val="497" w:hRule="exact"/>
        </w:trPr>
        <w:tc>
          <w:tcPr>
            <w:tcW w:w="2744" w:type="dxa"/>
            <w:tcBorders>
              <w:top w:val="single" w:sz="6"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总股本</w:t>
            </w:r>
          </w:p>
        </w:tc>
        <w:tc>
          <w:tcPr>
            <w:tcW w:w="21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43,121.40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100.00%</w:t>
            </w:r>
          </w:p>
        </w:tc>
        <w:tc>
          <w:tcPr>
            <w:tcW w:w="2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45,173.43</w:t>
            </w:r>
          </w:p>
        </w:tc>
        <w:tc>
          <w:tcPr>
            <w:tcW w:w="14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z w:val="18"/>
              </w:rPr>
              <w:t>100.00%</w:t>
            </w:r>
          </w:p>
        </w:tc>
      </w:tr>
    </w:tbl>
    <w:p>
      <w:pPr>
        <w:spacing w:before="49"/>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89"/>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公司</w:t>
      </w:r>
      <w:r>
        <w:rPr>
          <w:rFonts w:ascii="宋体" w:hAnsi="宋体" w:cs="宋体" w:eastAsia="宋体" w:hint="default"/>
          <w:spacing w:val="-3"/>
          <w:sz w:val="18"/>
          <w:szCs w:val="18"/>
        </w:rPr>
        <w:t>关</w:t>
      </w:r>
      <w:r>
        <w:rPr>
          <w:rFonts w:ascii="宋体" w:hAnsi="宋体" w:cs="宋体" w:eastAsia="宋体" w:hint="default"/>
          <w:sz w:val="18"/>
          <w:szCs w:val="18"/>
        </w:rPr>
        <w:t>于向特定对象发行股份购买资产并募集配套资金的资产重组事项中的配套募集股份</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p>
    <w:p>
      <w:pPr>
        <w:spacing w:before="62"/>
        <w:ind w:left="153" w:right="0" w:firstLine="0"/>
        <w:jc w:val="left"/>
        <w:rPr>
          <w:rFonts w:ascii="宋体" w:hAnsi="宋体" w:cs="宋体" w:eastAsia="宋体" w:hint="default"/>
          <w:sz w:val="18"/>
          <w:szCs w:val="18"/>
        </w:rPr>
      </w:pPr>
      <w:r>
        <w:rPr>
          <w:rFonts w:ascii="宋体" w:hAnsi="宋体" w:cs="宋体" w:eastAsia="宋体" w:hint="default"/>
          <w:sz w:val="18"/>
          <w:szCs w:val="18"/>
        </w:rPr>
        <w:t>股上市流通，公司股本增加到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458,905,958 </w:t>
      </w:r>
      <w:r>
        <w:rPr>
          <w:rFonts w:ascii="宋体" w:hAnsi="宋体" w:cs="宋体" w:eastAsia="宋体" w:hint="default"/>
          <w:sz w:val="18"/>
          <w:szCs w:val="18"/>
        </w:rPr>
        <w:t>股。</w:t>
      </w:r>
    </w:p>
    <w:p>
      <w:pPr>
        <w:spacing w:after="0"/>
        <w:jc w:val="left"/>
        <w:rPr>
          <w:rFonts w:ascii="宋体" w:hAnsi="宋体" w:cs="宋体" w:eastAsia="宋体" w:hint="default"/>
          <w:sz w:val="18"/>
          <w:szCs w:val="18"/>
        </w:rPr>
        <w:sectPr>
          <w:footerReference w:type="default" r:id="rId35"/>
          <w:pgSz w:w="11910" w:h="16840"/>
          <w:pgMar w:footer="1227" w:header="0" w:top="1100" w:bottom="1420" w:left="980" w:right="780"/>
          <w:pgNumType w:start="65"/>
        </w:sectPr>
      </w:pPr>
    </w:p>
    <w:p>
      <w:pPr>
        <w:spacing w:line="240" w:lineRule="auto" w:before="9"/>
        <w:rPr>
          <w:rFonts w:ascii="宋体" w:hAnsi="宋体" w:cs="宋体" w:eastAsia="宋体" w:hint="default"/>
          <w:sz w:val="26"/>
          <w:szCs w:val="26"/>
        </w:rPr>
      </w:pPr>
    </w:p>
    <w:p>
      <w:pPr>
        <w:pStyle w:val="BodyText"/>
        <w:spacing w:line="240" w:lineRule="auto" w:before="36"/>
        <w:ind w:right="140"/>
        <w:jc w:val="left"/>
      </w:pPr>
      <w:r>
        <w:rPr>
          <w:rFonts w:ascii="Times New Roman" w:hAnsi="Times New Roman" w:cs="Times New Roman" w:eastAsia="Times New Roman" w:hint="default"/>
        </w:rPr>
        <w:t>(2)</w:t>
      </w:r>
      <w:r>
        <w:rPr/>
        <w:t>公司资产和负债结构的变动情况</w:t>
      </w:r>
    </w:p>
    <w:p>
      <w:pPr>
        <w:spacing w:line="240" w:lineRule="auto" w:before="10"/>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2425"/>
        <w:gridCol w:w="2127"/>
        <w:gridCol w:w="1560"/>
        <w:gridCol w:w="1940"/>
        <w:gridCol w:w="1548"/>
      </w:tblGrid>
      <w:tr>
        <w:trPr>
          <w:trHeight w:val="442" w:hRule="exact"/>
        </w:trPr>
        <w:tc>
          <w:tcPr>
            <w:tcW w:w="2425" w:type="dxa"/>
            <w:tcBorders>
              <w:top w:val="single" w:sz="12" w:space="0" w:color="000000"/>
              <w:left w:val="single" w:sz="12" w:space="0" w:color="000000"/>
              <w:bottom w:val="nil" w:sz="6" w:space="0" w:color="auto"/>
              <w:right w:val="single" w:sz="6" w:space="0" w:color="000000"/>
            </w:tcBorders>
            <w:shd w:val="clear" w:color="auto" w:fill="BEBEBE"/>
          </w:tcPr>
          <w:p>
            <w:pPr/>
          </w:p>
        </w:tc>
        <w:tc>
          <w:tcPr>
            <w:tcW w:w="3687" w:type="dxa"/>
            <w:gridSpan w:val="2"/>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0"/>
              <w:ind w:left="93"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3488" w:type="dxa"/>
            <w:gridSpan w:val="2"/>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80"/>
              <w:ind w:left="103"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674" w:hRule="exact"/>
        </w:trPr>
        <w:tc>
          <w:tcPr>
            <w:tcW w:w="2425" w:type="dxa"/>
            <w:tcBorders>
              <w:top w:val="nil" w:sz="6" w:space="0" w:color="auto"/>
              <w:left w:val="single" w:sz="12" w:space="0" w:color="000000"/>
              <w:bottom w:val="single" w:sz="6" w:space="0" w:color="000000"/>
              <w:right w:val="single" w:sz="6" w:space="0" w:color="000000"/>
            </w:tcBorders>
            <w:shd w:val="clear" w:color="auto" w:fill="BEBEBE"/>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44"/>
              <w:ind w:left="278" w:right="137" w:hanging="44"/>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z w:val="18"/>
                <w:szCs w:val="18"/>
              </w:rPr>
              <w:t>/</w:t>
            </w:r>
            <w:r>
              <w:rPr>
                <w:rFonts w:ascii="宋体" w:hAnsi="宋体" w:cs="宋体" w:eastAsia="宋体" w:hint="default"/>
                <w:sz w:val="18"/>
                <w:szCs w:val="18"/>
              </w:rPr>
              <w:t>总负 债比例（</w:t>
            </w:r>
            <w:r>
              <w:rPr>
                <w:rFonts w:ascii="宋体" w:hAnsi="宋体" w:cs="宋体" w:eastAsia="宋体" w:hint="default"/>
                <w:sz w:val="18"/>
                <w:szCs w:val="18"/>
              </w:rPr>
              <w:t>%</w:t>
            </w:r>
            <w:r>
              <w:rPr>
                <w:rFonts w:ascii="宋体" w:hAnsi="宋体" w:cs="宋体" w:eastAsia="宋体" w:hint="default"/>
                <w:sz w:val="18"/>
                <w:szCs w:val="18"/>
              </w:rPr>
              <w:t>）</w:t>
            </w:r>
          </w:p>
        </w:tc>
        <w:tc>
          <w:tcPr>
            <w:tcW w:w="19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48" w:type="dxa"/>
            <w:tcBorders>
              <w:top w:val="single" w:sz="6" w:space="0" w:color="000000"/>
              <w:left w:val="single" w:sz="6" w:space="0" w:color="000000"/>
              <w:bottom w:val="single" w:sz="6" w:space="0" w:color="000000"/>
              <w:right w:val="single" w:sz="12" w:space="0" w:color="000000"/>
            </w:tcBorders>
            <w:shd w:val="clear" w:color="auto" w:fill="BEBEBE"/>
          </w:tcPr>
          <w:p>
            <w:pPr>
              <w:pStyle w:val="TableParagraph"/>
              <w:spacing w:line="316" w:lineRule="auto" w:before="44"/>
              <w:ind w:left="271" w:right="125" w:hanging="44"/>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z w:val="18"/>
                <w:szCs w:val="18"/>
              </w:rPr>
              <w:t>/</w:t>
            </w:r>
            <w:r>
              <w:rPr>
                <w:rFonts w:ascii="宋体" w:hAnsi="宋体" w:cs="宋体" w:eastAsia="宋体" w:hint="default"/>
                <w:sz w:val="18"/>
                <w:szCs w:val="18"/>
              </w:rPr>
              <w:t>总负 债比例（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68" w:hRule="exact"/>
        </w:trPr>
        <w:tc>
          <w:tcPr>
            <w:tcW w:w="2425"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77"/>
              <w:ind w:left="18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4,919,417,956.68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3"/>
              <w:jc w:val="right"/>
              <w:rPr>
                <w:rFonts w:ascii="Times New Roman" w:hAnsi="Times New Roman" w:cs="Times New Roman" w:eastAsia="Times New Roman" w:hint="default"/>
                <w:sz w:val="18"/>
                <w:szCs w:val="18"/>
              </w:rPr>
            </w:pPr>
            <w:r>
              <w:rPr>
                <w:rFonts w:ascii="Times New Roman"/>
                <w:sz w:val="18"/>
              </w:rPr>
              <w:t>76.83%</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5,152,145,964.47</w:t>
            </w:r>
          </w:p>
        </w:tc>
        <w:tc>
          <w:tcPr>
            <w:tcW w:w="15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0"/>
              <w:ind w:right="86"/>
              <w:jc w:val="right"/>
              <w:rPr>
                <w:rFonts w:ascii="Times New Roman" w:hAnsi="Times New Roman" w:cs="Times New Roman" w:eastAsia="Times New Roman" w:hint="default"/>
                <w:sz w:val="18"/>
                <w:szCs w:val="18"/>
              </w:rPr>
            </w:pPr>
            <w:r>
              <w:rPr>
                <w:rFonts w:ascii="Times New Roman"/>
                <w:sz w:val="18"/>
              </w:rPr>
              <w:t>85.40%</w:t>
            </w:r>
          </w:p>
        </w:tc>
      </w:tr>
      <w:tr>
        <w:trPr>
          <w:trHeight w:val="468" w:hRule="exact"/>
        </w:trPr>
        <w:tc>
          <w:tcPr>
            <w:tcW w:w="2425"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80"/>
              <w:ind w:left="18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1,483,945,427.73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3"/>
              <w:jc w:val="right"/>
              <w:rPr>
                <w:rFonts w:ascii="Times New Roman" w:hAnsi="Times New Roman" w:cs="Times New Roman" w:eastAsia="Times New Roman" w:hint="default"/>
                <w:sz w:val="18"/>
                <w:szCs w:val="18"/>
              </w:rPr>
            </w:pPr>
            <w:r>
              <w:rPr>
                <w:rFonts w:ascii="Times New Roman"/>
                <w:sz w:val="18"/>
              </w:rPr>
              <w:t>23.17%</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880,678,362.64</w:t>
            </w:r>
          </w:p>
        </w:tc>
        <w:tc>
          <w:tcPr>
            <w:tcW w:w="15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right="86"/>
              <w:jc w:val="right"/>
              <w:rPr>
                <w:rFonts w:ascii="Times New Roman" w:hAnsi="Times New Roman" w:cs="Times New Roman" w:eastAsia="Times New Roman" w:hint="default"/>
                <w:sz w:val="18"/>
                <w:szCs w:val="18"/>
              </w:rPr>
            </w:pPr>
            <w:r>
              <w:rPr>
                <w:rFonts w:ascii="Times New Roman"/>
                <w:sz w:val="18"/>
              </w:rPr>
              <w:t>14.60%</w:t>
            </w:r>
          </w:p>
        </w:tc>
      </w:tr>
      <w:tr>
        <w:trPr>
          <w:trHeight w:val="470" w:hRule="exact"/>
        </w:trPr>
        <w:tc>
          <w:tcPr>
            <w:tcW w:w="2425"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80"/>
              <w:ind w:left="18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6,403,363,384.41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6,032,824,327.11</w:t>
            </w:r>
          </w:p>
        </w:tc>
        <w:tc>
          <w:tcPr>
            <w:tcW w:w="15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right="8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68" w:hRule="exact"/>
        </w:trPr>
        <w:tc>
          <w:tcPr>
            <w:tcW w:w="2425"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80"/>
              <w:ind w:left="18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3,170,219,466.42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3"/>
              <w:jc w:val="right"/>
              <w:rPr>
                <w:rFonts w:ascii="Times New Roman" w:hAnsi="Times New Roman" w:cs="Times New Roman" w:eastAsia="Times New Roman" w:hint="default"/>
                <w:sz w:val="18"/>
                <w:szCs w:val="18"/>
              </w:rPr>
            </w:pPr>
            <w:r>
              <w:rPr>
                <w:rFonts w:ascii="Times New Roman"/>
                <w:sz w:val="18"/>
              </w:rPr>
              <w:t>92.11%</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4,074,688,794.91</w:t>
            </w:r>
          </w:p>
        </w:tc>
        <w:tc>
          <w:tcPr>
            <w:tcW w:w="15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right="86"/>
              <w:jc w:val="right"/>
              <w:rPr>
                <w:rFonts w:ascii="Times New Roman" w:hAnsi="Times New Roman" w:cs="Times New Roman" w:eastAsia="Times New Roman" w:hint="default"/>
                <w:sz w:val="18"/>
                <w:szCs w:val="18"/>
              </w:rPr>
            </w:pPr>
            <w:r>
              <w:rPr>
                <w:rFonts w:ascii="Times New Roman"/>
                <w:sz w:val="18"/>
              </w:rPr>
              <w:t>99.16%</w:t>
            </w:r>
          </w:p>
        </w:tc>
      </w:tr>
      <w:tr>
        <w:trPr>
          <w:trHeight w:val="471" w:hRule="exact"/>
        </w:trPr>
        <w:tc>
          <w:tcPr>
            <w:tcW w:w="2425"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80"/>
              <w:ind w:left="18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99"/>
              <w:jc w:val="right"/>
              <w:rPr>
                <w:rFonts w:ascii="Times New Roman" w:hAnsi="Times New Roman" w:cs="Times New Roman" w:eastAsia="Times New Roman" w:hint="default"/>
                <w:sz w:val="18"/>
                <w:szCs w:val="18"/>
              </w:rPr>
            </w:pPr>
            <w:r>
              <w:rPr>
                <w:rFonts w:ascii="Times New Roman"/>
                <w:spacing w:val="-1"/>
                <w:sz w:val="18"/>
              </w:rPr>
              <w:t>3,170,219,466.42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93"/>
              <w:jc w:val="right"/>
              <w:rPr>
                <w:rFonts w:ascii="Times New Roman" w:hAnsi="Times New Roman" w:cs="Times New Roman" w:eastAsia="Times New Roman" w:hint="default"/>
                <w:sz w:val="18"/>
                <w:szCs w:val="18"/>
              </w:rPr>
            </w:pPr>
            <w:r>
              <w:rPr>
                <w:rFonts w:ascii="Times New Roman"/>
                <w:sz w:val="18"/>
              </w:rPr>
              <w:t>92.11%</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pacing w:val="-1"/>
                <w:sz w:val="18"/>
              </w:rPr>
              <w:t>34,432,732.99</w:t>
            </w:r>
          </w:p>
        </w:tc>
        <w:tc>
          <w:tcPr>
            <w:tcW w:w="15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right="88"/>
              <w:jc w:val="right"/>
              <w:rPr>
                <w:rFonts w:ascii="Times New Roman" w:hAnsi="Times New Roman" w:cs="Times New Roman" w:eastAsia="Times New Roman" w:hint="default"/>
                <w:sz w:val="18"/>
                <w:szCs w:val="18"/>
              </w:rPr>
            </w:pPr>
            <w:r>
              <w:rPr>
                <w:rFonts w:ascii="Times New Roman"/>
                <w:sz w:val="18"/>
              </w:rPr>
              <w:t>0.84%</w:t>
            </w:r>
          </w:p>
        </w:tc>
      </w:tr>
      <w:tr>
        <w:trPr>
          <w:trHeight w:val="468" w:hRule="exact"/>
        </w:trPr>
        <w:tc>
          <w:tcPr>
            <w:tcW w:w="2425"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77"/>
              <w:ind w:left="184" w:right="0"/>
              <w:jc w:val="left"/>
              <w:rPr>
                <w:rFonts w:ascii="宋体" w:hAnsi="宋体" w:cs="宋体" w:eastAsia="宋体" w:hint="default"/>
                <w:sz w:val="18"/>
                <w:szCs w:val="18"/>
              </w:rPr>
            </w:pPr>
            <w:r>
              <w:rPr>
                <w:rFonts w:ascii="宋体" w:hAnsi="宋体" w:cs="宋体" w:eastAsia="宋体" w:hint="default"/>
                <w:sz w:val="18"/>
                <w:szCs w:val="18"/>
              </w:rPr>
              <w:t>总负债</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3,441,848,548.26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4,109,121,527.90</w:t>
            </w:r>
          </w:p>
        </w:tc>
        <w:tc>
          <w:tcPr>
            <w:tcW w:w="15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0"/>
              <w:ind w:right="8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68" w:hRule="exact"/>
        </w:trPr>
        <w:tc>
          <w:tcPr>
            <w:tcW w:w="2425"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80"/>
              <w:ind w:left="18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2,961,514,836.15</w:t>
            </w:r>
          </w:p>
        </w:tc>
        <w:tc>
          <w:tcPr>
            <w:tcW w:w="1560" w:type="dxa"/>
            <w:tcBorders>
              <w:top w:val="single" w:sz="6" w:space="0" w:color="000000"/>
              <w:left w:val="single" w:sz="6" w:space="0" w:color="000000"/>
              <w:bottom w:val="single" w:sz="6" w:space="0" w:color="000000"/>
              <w:right w:val="single" w:sz="6" w:space="0" w:color="000000"/>
            </w:tcBorders>
          </w:tcPr>
          <w:p>
            <w:pP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1,923,702,799.21</w:t>
            </w:r>
          </w:p>
        </w:tc>
        <w:tc>
          <w:tcPr>
            <w:tcW w:w="1548" w:type="dxa"/>
            <w:tcBorders>
              <w:top w:val="single" w:sz="6" w:space="0" w:color="000000"/>
              <w:left w:val="single" w:sz="6" w:space="0" w:color="000000"/>
              <w:bottom w:val="single" w:sz="6" w:space="0" w:color="000000"/>
              <w:right w:val="single" w:sz="12" w:space="0" w:color="000000"/>
            </w:tcBorders>
          </w:tcPr>
          <w:p>
            <w:pPr/>
          </w:p>
        </w:tc>
      </w:tr>
      <w:tr>
        <w:trPr>
          <w:trHeight w:val="475" w:hRule="exact"/>
        </w:trPr>
        <w:tc>
          <w:tcPr>
            <w:tcW w:w="2425" w:type="dxa"/>
            <w:tcBorders>
              <w:top w:val="single" w:sz="6"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80"/>
              <w:ind w:left="184" w:right="0"/>
              <w:jc w:val="left"/>
              <w:rPr>
                <w:rFonts w:ascii="宋体" w:hAnsi="宋体" w:cs="宋体" w:eastAsia="宋体" w:hint="default"/>
                <w:sz w:val="18"/>
                <w:szCs w:val="18"/>
              </w:rPr>
            </w:pPr>
            <w:r>
              <w:rPr>
                <w:rFonts w:ascii="宋体" w:hAnsi="宋体" w:cs="宋体" w:eastAsia="宋体" w:hint="default"/>
                <w:sz w:val="18"/>
                <w:szCs w:val="18"/>
              </w:rPr>
              <w:t>归属母公司所有者权益</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2,929,881,997.26</w:t>
            </w:r>
          </w:p>
        </w:tc>
        <w:tc>
          <w:tcPr>
            <w:tcW w:w="1560" w:type="dxa"/>
            <w:tcBorders>
              <w:top w:val="single" w:sz="6" w:space="0" w:color="000000"/>
              <w:left w:val="single" w:sz="6" w:space="0" w:color="000000"/>
              <w:bottom w:val="single" w:sz="12" w:space="0" w:color="000000"/>
              <w:right w:val="single" w:sz="6" w:space="0" w:color="000000"/>
            </w:tcBorders>
          </w:tcPr>
          <w:p>
            <w:pPr/>
          </w:p>
        </w:tc>
        <w:tc>
          <w:tcPr>
            <w:tcW w:w="19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1,901,763,457.00</w:t>
            </w:r>
          </w:p>
        </w:tc>
        <w:tc>
          <w:tcPr>
            <w:tcW w:w="154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6"/>
        <w:ind w:right="14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before="0"/>
        <w:ind w:right="14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4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531"/>
        <w:gridCol w:w="989"/>
        <w:gridCol w:w="811"/>
        <w:gridCol w:w="1169"/>
        <w:gridCol w:w="540"/>
        <w:gridCol w:w="631"/>
        <w:gridCol w:w="706"/>
        <w:gridCol w:w="644"/>
        <w:gridCol w:w="1080"/>
        <w:gridCol w:w="900"/>
        <w:gridCol w:w="569"/>
      </w:tblGrid>
      <w:tr>
        <w:trPr>
          <w:trHeight w:val="1052" w:hRule="exact"/>
        </w:trPr>
        <w:tc>
          <w:tcPr>
            <w:tcW w:w="15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 w:right="55"/>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801" w:type="dxa"/>
            <w:gridSpan w:val="2"/>
            <w:tcBorders>
              <w:top w:val="single" w:sz="12"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5,974</w:t>
            </w:r>
          </w:p>
        </w:tc>
        <w:tc>
          <w:tcPr>
            <w:tcW w:w="1709"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53"/>
              <w:jc w:val="both"/>
              <w:rPr>
                <w:rFonts w:ascii="宋体" w:hAnsi="宋体" w:cs="宋体" w:eastAsia="宋体" w:hint="default"/>
                <w:sz w:val="18"/>
                <w:szCs w:val="18"/>
              </w:rPr>
            </w:pPr>
            <w:r>
              <w:rPr>
                <w:rFonts w:ascii="宋体" w:hAnsi="宋体" w:cs="宋体" w:eastAsia="宋体" w:hint="default"/>
                <w:sz w:val="18"/>
                <w:szCs w:val="18"/>
              </w:rPr>
              <w:t>年度报告披露日前第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个交易日末普通股 股东总数</w:t>
            </w:r>
          </w:p>
        </w:tc>
        <w:tc>
          <w:tcPr>
            <w:tcW w:w="1337" w:type="dxa"/>
            <w:gridSpan w:val="2"/>
            <w:tcBorders>
              <w:top w:val="single" w:sz="12"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6,075</w:t>
            </w:r>
          </w:p>
        </w:tc>
        <w:tc>
          <w:tcPr>
            <w:tcW w:w="1724"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68"/>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tc>
        <w:tc>
          <w:tcPr>
            <w:tcW w:w="1469" w:type="dxa"/>
            <w:gridSpan w:val="2"/>
            <w:tcBorders>
              <w:top w:val="single" w:sz="12" w:space="0" w:color="000000"/>
              <w:left w:val="single" w:sz="4" w:space="0" w:color="000000"/>
              <w:bottom w:val="single" w:sz="16" w:space="0" w:color="D2D2D2"/>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448" w:hRule="exact"/>
        </w:trPr>
        <w:tc>
          <w:tcPr>
            <w:tcW w:w="9571" w:type="dxa"/>
            <w:gridSpan w:val="11"/>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4"/>
              <w:ind w:left="305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63" w:hRule="exact"/>
        </w:trPr>
        <w:tc>
          <w:tcPr>
            <w:tcW w:w="1531" w:type="dxa"/>
            <w:vMerge w:val="restart"/>
            <w:tcBorders>
              <w:top w:val="single" w:sz="4"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220" w:right="21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117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报告期内增减 变动情况</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6" w:right="83"/>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469" w:type="dxa"/>
            <w:gridSpan w:val="2"/>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0"/>
              <w:ind w:left="9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562" w:hRule="exact"/>
        </w:trPr>
        <w:tc>
          <w:tcPr>
            <w:tcW w:w="1531" w:type="dxa"/>
            <w:vMerge/>
            <w:tcBorders>
              <w:left w:val="single" w:sz="12"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811"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71"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8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569"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31"/>
              <w:ind w:left="9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531" w:type="dxa"/>
            <w:tcBorders>
              <w:top w:val="single" w:sz="4" w:space="0" w:color="000000"/>
              <w:left w:val="single" w:sz="12" w:space="0" w:color="000000"/>
              <w:bottom w:val="single" w:sz="4" w:space="0" w:color="000000"/>
              <w:right w:val="single" w:sz="4" w:space="0" w:color="000000"/>
            </w:tcBorders>
          </w:tcPr>
          <w:p>
            <w:pPr>
              <w:pStyle w:val="TableParagraph"/>
              <w:spacing w:line="314" w:lineRule="auto" w:before="51"/>
              <w:ind w:left="14" w:right="55"/>
              <w:jc w:val="left"/>
              <w:rPr>
                <w:rFonts w:ascii="宋体" w:hAnsi="宋体" w:cs="宋体" w:eastAsia="宋体" w:hint="default"/>
                <w:sz w:val="18"/>
                <w:szCs w:val="18"/>
              </w:rPr>
            </w:pPr>
            <w:r>
              <w:rPr>
                <w:rFonts w:ascii="宋体" w:hAnsi="宋体" w:cs="宋体" w:eastAsia="宋体" w:hint="default"/>
                <w:sz w:val="18"/>
                <w:szCs w:val="18"/>
              </w:rPr>
              <w:t>神州数码软件有限 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09" w:right="38" w:hanging="26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43.12%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194,770,055</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194,770,055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153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5"/>
              <w:jc w:val="left"/>
              <w:rPr>
                <w:rFonts w:ascii="宋体" w:hAnsi="宋体" w:cs="宋体" w:eastAsia="宋体" w:hint="default"/>
                <w:sz w:val="18"/>
                <w:szCs w:val="18"/>
              </w:rPr>
            </w:pPr>
            <w:r>
              <w:rPr>
                <w:rFonts w:ascii="宋体" w:hAnsi="宋体" w:cs="宋体" w:eastAsia="宋体" w:hint="default"/>
                <w:sz w:val="18"/>
                <w:szCs w:val="18"/>
              </w:rPr>
              <w:t>天津信锐投资合伙 企业（有限合伙）</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13.17%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59,510,588</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59,510,588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531" w:type="dxa"/>
            <w:tcBorders>
              <w:top w:val="single" w:sz="4" w:space="0" w:color="000000"/>
              <w:left w:val="single" w:sz="12" w:space="0" w:color="000000"/>
              <w:bottom w:val="single" w:sz="4" w:space="0" w:color="000000"/>
              <w:right w:val="single" w:sz="4" w:space="0" w:color="000000"/>
            </w:tcBorders>
          </w:tcPr>
          <w:p>
            <w:pPr>
              <w:pStyle w:val="TableParagraph"/>
              <w:spacing w:line="314" w:lineRule="auto" w:before="51"/>
              <w:ind w:left="14" w:right="55"/>
              <w:jc w:val="left"/>
              <w:rPr>
                <w:rFonts w:ascii="宋体" w:hAnsi="宋体" w:cs="宋体" w:eastAsia="宋体" w:hint="default"/>
                <w:sz w:val="18"/>
                <w:szCs w:val="18"/>
              </w:rPr>
            </w:pPr>
            <w:r>
              <w:rPr>
                <w:rFonts w:ascii="宋体" w:hAnsi="宋体" w:cs="宋体" w:eastAsia="宋体" w:hint="default"/>
                <w:sz w:val="18"/>
                <w:szCs w:val="18"/>
              </w:rPr>
              <w:t>中新苏州工业园区 创业投资有限公司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52,956,503</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52,956,503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12" w:space="0" w:color="000000"/>
            </w:tcBorders>
          </w:tcPr>
          <w:p>
            <w:pPr/>
          </w:p>
        </w:tc>
      </w:tr>
      <w:tr>
        <w:trPr>
          <w:trHeight w:val="473" w:hRule="exact"/>
        </w:trPr>
        <w:tc>
          <w:tcPr>
            <w:tcW w:w="153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9"/>
              <w:ind w:left="14" w:right="0"/>
              <w:jc w:val="left"/>
              <w:rPr>
                <w:rFonts w:ascii="宋体" w:hAnsi="宋体" w:cs="宋体" w:eastAsia="宋体" w:hint="default"/>
                <w:sz w:val="18"/>
                <w:szCs w:val="18"/>
              </w:rPr>
            </w:pPr>
            <w:r>
              <w:rPr>
                <w:rFonts w:ascii="宋体" w:hAnsi="宋体" w:cs="宋体" w:eastAsia="宋体" w:hint="default"/>
                <w:sz w:val="18"/>
                <w:szCs w:val="18"/>
              </w:rPr>
              <w:t>昆山市申昌科技有</w:t>
            </w:r>
          </w:p>
        </w:tc>
        <w:tc>
          <w:tcPr>
            <w:tcW w:w="9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8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9.09%</w:t>
            </w:r>
          </w:p>
        </w:tc>
        <w:tc>
          <w:tcPr>
            <w:tcW w:w="11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41,083,497</w:t>
            </w:r>
          </w:p>
        </w:tc>
        <w:tc>
          <w:tcPr>
            <w:tcW w:w="1171"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506" w:right="0"/>
              <w:jc w:val="left"/>
              <w:rPr>
                <w:rFonts w:ascii="Times New Roman" w:hAnsi="Times New Roman" w:cs="Times New Roman" w:eastAsia="Times New Roman" w:hint="default"/>
                <w:sz w:val="18"/>
                <w:szCs w:val="18"/>
              </w:rPr>
            </w:pPr>
            <w:r>
              <w:rPr>
                <w:rFonts w:ascii="Times New Roman"/>
                <w:sz w:val="18"/>
              </w:rPr>
              <w:t>21,186,440</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19,897,057</w:t>
            </w:r>
          </w:p>
        </w:tc>
        <w:tc>
          <w:tcPr>
            <w:tcW w:w="900" w:type="dxa"/>
            <w:tcBorders>
              <w:top w:val="single" w:sz="4" w:space="0" w:color="000000"/>
              <w:left w:val="single" w:sz="4" w:space="0" w:color="000000"/>
              <w:bottom w:val="single" w:sz="12" w:space="0" w:color="000000"/>
              <w:right w:val="single" w:sz="4" w:space="0" w:color="000000"/>
            </w:tcBorders>
          </w:tcPr>
          <w:p>
            <w:pPr/>
          </w:p>
        </w:tc>
        <w:tc>
          <w:tcPr>
            <w:tcW w:w="569"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0"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1531"/>
        <w:gridCol w:w="989"/>
        <w:gridCol w:w="811"/>
        <w:gridCol w:w="1169"/>
        <w:gridCol w:w="1216"/>
        <w:gridCol w:w="1305"/>
        <w:gridCol w:w="271"/>
        <w:gridCol w:w="809"/>
        <w:gridCol w:w="451"/>
        <w:gridCol w:w="449"/>
        <w:gridCol w:w="569"/>
      </w:tblGrid>
      <w:tr>
        <w:trPr>
          <w:trHeight w:val="476" w:hRule="exact"/>
        </w:trPr>
        <w:tc>
          <w:tcPr>
            <w:tcW w:w="153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89" w:type="dxa"/>
            <w:tcBorders>
              <w:top w:val="single" w:sz="12" w:space="0" w:color="000000"/>
              <w:left w:val="single" w:sz="4" w:space="0" w:color="000000"/>
              <w:bottom w:val="single" w:sz="4" w:space="0" w:color="000000"/>
              <w:right w:val="single" w:sz="4" w:space="0" w:color="000000"/>
            </w:tcBorders>
          </w:tcPr>
          <w:p>
            <w:pPr/>
          </w:p>
        </w:tc>
        <w:tc>
          <w:tcPr>
            <w:tcW w:w="811" w:type="dxa"/>
            <w:tcBorders>
              <w:top w:val="single" w:sz="12" w:space="0" w:color="000000"/>
              <w:left w:val="single" w:sz="4" w:space="0" w:color="000000"/>
              <w:bottom w:val="single" w:sz="4" w:space="0" w:color="000000"/>
              <w:right w:val="single" w:sz="4" w:space="0" w:color="000000"/>
            </w:tcBorders>
          </w:tcPr>
          <w:p>
            <w:pPr/>
          </w:p>
        </w:tc>
        <w:tc>
          <w:tcPr>
            <w:tcW w:w="1169" w:type="dxa"/>
            <w:tcBorders>
              <w:top w:val="single" w:sz="12" w:space="0" w:color="000000"/>
              <w:left w:val="single" w:sz="4" w:space="0" w:color="000000"/>
              <w:bottom w:val="single" w:sz="4" w:space="0" w:color="000000"/>
              <w:right w:val="single" w:sz="4" w:space="0" w:color="000000"/>
            </w:tcBorders>
          </w:tcPr>
          <w:p>
            <w:pPr/>
          </w:p>
        </w:tc>
        <w:tc>
          <w:tcPr>
            <w:tcW w:w="1216" w:type="dxa"/>
            <w:tcBorders>
              <w:top w:val="single" w:sz="12" w:space="0" w:color="000000"/>
              <w:left w:val="single" w:sz="4" w:space="0" w:color="000000"/>
              <w:bottom w:val="single" w:sz="4" w:space="0" w:color="000000"/>
              <w:right w:val="single" w:sz="4" w:space="0" w:color="000000"/>
            </w:tcBorders>
          </w:tcPr>
          <w:p>
            <w:pPr/>
          </w:p>
        </w:tc>
        <w:tc>
          <w:tcPr>
            <w:tcW w:w="1305" w:type="dxa"/>
            <w:tcBorders>
              <w:top w:val="single" w:sz="12" w:space="0" w:color="000000"/>
              <w:left w:val="single" w:sz="4" w:space="0" w:color="000000"/>
              <w:bottom w:val="single" w:sz="4" w:space="0" w:color="000000"/>
              <w:right w:val="single" w:sz="4" w:space="0" w:color="000000"/>
            </w:tcBorders>
          </w:tcPr>
          <w:p>
            <w:pPr/>
          </w:p>
        </w:tc>
        <w:tc>
          <w:tcPr>
            <w:tcW w:w="1080" w:type="dxa"/>
            <w:gridSpan w:val="2"/>
            <w:tcBorders>
              <w:top w:val="single" w:sz="12" w:space="0" w:color="000000"/>
              <w:left w:val="single" w:sz="4" w:space="0" w:color="000000"/>
              <w:bottom w:val="single" w:sz="4" w:space="0" w:color="000000"/>
              <w:right w:val="single" w:sz="4" w:space="0" w:color="000000"/>
            </w:tcBorders>
          </w:tcPr>
          <w:p>
            <w:pPr/>
          </w:p>
        </w:tc>
        <w:tc>
          <w:tcPr>
            <w:tcW w:w="900" w:type="dxa"/>
            <w:gridSpan w:val="2"/>
            <w:tcBorders>
              <w:top w:val="single" w:sz="12" w:space="0" w:color="000000"/>
              <w:left w:val="single" w:sz="4" w:space="0" w:color="000000"/>
              <w:bottom w:val="single" w:sz="4" w:space="0" w:color="000000"/>
              <w:right w:val="single" w:sz="4" w:space="0" w:color="000000"/>
            </w:tcBorders>
          </w:tcPr>
          <w:p>
            <w:pPr/>
          </w:p>
        </w:tc>
        <w:tc>
          <w:tcPr>
            <w:tcW w:w="569" w:type="dxa"/>
            <w:tcBorders>
              <w:top w:val="single" w:sz="12" w:space="0" w:color="000000"/>
              <w:left w:val="single" w:sz="4" w:space="0" w:color="000000"/>
              <w:bottom w:val="single" w:sz="4" w:space="0" w:color="000000"/>
              <w:right w:val="single" w:sz="12" w:space="0" w:color="000000"/>
            </w:tcBorders>
          </w:tcPr>
          <w:p>
            <w:pPr/>
          </w:p>
        </w:tc>
      </w:tr>
      <w:tr>
        <w:trPr>
          <w:trHeight w:val="1025" w:hRule="exact"/>
        </w:trPr>
        <w:tc>
          <w:tcPr>
            <w:tcW w:w="1531" w:type="dxa"/>
            <w:tcBorders>
              <w:top w:val="single" w:sz="4" w:space="0" w:color="000000"/>
              <w:left w:val="single" w:sz="12" w:space="0" w:color="000000"/>
              <w:bottom w:val="single" w:sz="4" w:space="0" w:color="000000"/>
              <w:right w:val="single" w:sz="4" w:space="0" w:color="000000"/>
            </w:tcBorders>
          </w:tcPr>
          <w:p>
            <w:pPr>
              <w:pStyle w:val="TableParagraph"/>
              <w:spacing w:line="360" w:lineRule="auto" w:before="91"/>
              <w:ind w:left="14" w:right="64"/>
              <w:jc w:val="left"/>
              <w:rPr>
                <w:rFonts w:ascii="Times New Roman" w:hAnsi="Times New Roman" w:cs="Times New Roman" w:eastAsia="Times New Roman" w:hint="default"/>
                <w:sz w:val="18"/>
                <w:szCs w:val="18"/>
              </w:rPr>
            </w:pPr>
            <w:r>
              <w:rPr>
                <w:rFonts w:ascii="Times New Roman"/>
                <w:sz w:val="18"/>
              </w:rPr>
              <w:t>Infinity</w:t>
            </w:r>
            <w:r>
              <w:rPr>
                <w:rFonts w:ascii="Times New Roman"/>
                <w:spacing w:val="-4"/>
                <w:sz w:val="18"/>
              </w:rPr>
              <w:t> </w:t>
            </w:r>
            <w:r>
              <w:rPr>
                <w:rFonts w:ascii="Times New Roman"/>
                <w:sz w:val="18"/>
              </w:rPr>
              <w:t>I-China</w:t>
            </w:r>
            <w:r>
              <w:rPr>
                <w:rFonts w:ascii="Times New Roman"/>
                <w:w w:val="99"/>
                <w:sz w:val="18"/>
              </w:rPr>
              <w:t> </w:t>
            </w:r>
            <w:r>
              <w:rPr>
                <w:rFonts w:ascii="Times New Roman"/>
                <w:sz w:val="18"/>
              </w:rPr>
              <w:t>Investments(Israel),</w:t>
            </w:r>
            <w:r>
              <w:rPr>
                <w:rFonts w:ascii="Times New Roman"/>
                <w:sz w:val="18"/>
              </w:rPr>
              <w:t> </w:t>
            </w:r>
            <w:r>
              <w:rPr>
                <w:rFonts w:ascii="Times New Roman"/>
                <w:spacing w:val="-5"/>
                <w:sz w:val="18"/>
              </w:rPr>
              <w:t>L.P.</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境外法人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9,358,417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67"/>
              <w:jc w:val="right"/>
              <w:rPr>
                <w:rFonts w:ascii="Times New Roman" w:hAnsi="Times New Roman" w:cs="Times New Roman" w:eastAsia="Times New Roman" w:hint="default"/>
                <w:sz w:val="18"/>
                <w:szCs w:val="18"/>
              </w:rPr>
            </w:pPr>
            <w:r>
              <w:rPr>
                <w:rFonts w:ascii="Times New Roman"/>
                <w:sz w:val="18"/>
              </w:rPr>
              <w:t>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9,358,417</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15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冯健刚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1.34%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6,073,988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67"/>
              <w:jc w:val="right"/>
              <w:rPr>
                <w:rFonts w:ascii="Times New Roman" w:hAnsi="Times New Roman" w:cs="Times New Roman" w:eastAsia="Times New Roman" w:hint="default"/>
                <w:sz w:val="18"/>
                <w:szCs w:val="18"/>
              </w:rPr>
            </w:pPr>
            <w:r>
              <w:rPr>
                <w:rFonts w:ascii="Times New Roman"/>
                <w:sz w:val="18"/>
              </w:rPr>
              <w:t>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6,073,988</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15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王宇飞</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1.07%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4,820,459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67"/>
              <w:jc w:val="right"/>
              <w:rPr>
                <w:rFonts w:ascii="Times New Roman" w:hAnsi="Times New Roman" w:cs="Times New Roman" w:eastAsia="Times New Roman" w:hint="default"/>
                <w:sz w:val="18"/>
                <w:szCs w:val="18"/>
              </w:rPr>
            </w:pPr>
            <w:r>
              <w:rPr>
                <w:rFonts w:ascii="Times New Roman"/>
                <w:sz w:val="18"/>
              </w:rPr>
              <w:t>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4,820,459</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12" w:space="0" w:color="000000"/>
            </w:tcBorders>
          </w:tcPr>
          <w:p>
            <w:pPr/>
          </w:p>
        </w:tc>
      </w:tr>
      <w:tr>
        <w:trPr>
          <w:trHeight w:val="1337" w:hRule="exact"/>
        </w:trPr>
        <w:tc>
          <w:tcPr>
            <w:tcW w:w="153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5"/>
              <w:jc w:val="both"/>
              <w:rPr>
                <w:rFonts w:ascii="宋体" w:hAnsi="宋体" w:cs="宋体" w:eastAsia="宋体" w:hint="default"/>
                <w:sz w:val="18"/>
                <w:szCs w:val="18"/>
              </w:rPr>
            </w:pPr>
            <w:r>
              <w:rPr>
                <w:rFonts w:ascii="宋体" w:hAnsi="宋体" w:cs="宋体" w:eastAsia="宋体" w:hint="default"/>
                <w:sz w:val="18"/>
                <w:szCs w:val="18"/>
              </w:rPr>
              <w:t>中国建设银行股份 有限公司－华商盛 世成长股票型证券 投资基金</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4,820,459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67"/>
              <w:jc w:val="right"/>
              <w:rPr>
                <w:rFonts w:ascii="Times New Roman" w:hAnsi="Times New Roman" w:cs="Times New Roman" w:eastAsia="Times New Roman" w:hint="default"/>
                <w:sz w:val="18"/>
                <w:szCs w:val="18"/>
              </w:rPr>
            </w:pPr>
            <w:r>
              <w:rPr>
                <w:rFonts w:ascii="Times New Roman"/>
                <w:sz w:val="18"/>
              </w:rPr>
              <w:t>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28" w:right="0"/>
              <w:jc w:val="left"/>
              <w:rPr>
                <w:rFonts w:ascii="Times New Roman" w:hAnsi="Times New Roman" w:cs="Times New Roman" w:eastAsia="Times New Roman" w:hint="default"/>
                <w:sz w:val="18"/>
                <w:szCs w:val="18"/>
              </w:rPr>
            </w:pPr>
            <w:r>
              <w:rPr>
                <w:rFonts w:ascii="Times New Roman"/>
                <w:sz w:val="18"/>
              </w:rPr>
              <w:t>4,820,459</w:t>
            </w: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15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0.98%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4,432,369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67"/>
              <w:jc w:val="right"/>
              <w:rPr>
                <w:rFonts w:ascii="Times New Roman" w:hAnsi="Times New Roman" w:cs="Times New Roman" w:eastAsia="Times New Roman" w:hint="default"/>
                <w:sz w:val="18"/>
                <w:szCs w:val="18"/>
              </w:rPr>
            </w:pPr>
            <w:r>
              <w:rPr>
                <w:rFonts w:ascii="Times New Roman"/>
                <w:sz w:val="18"/>
              </w:rPr>
              <w:t>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4,432,369</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12" w:space="0" w:color="000000"/>
            </w:tcBorders>
          </w:tcPr>
          <w:p>
            <w:pPr/>
          </w:p>
        </w:tc>
      </w:tr>
      <w:tr>
        <w:trPr>
          <w:trHeight w:val="1025" w:hRule="exact"/>
        </w:trPr>
        <w:tc>
          <w:tcPr>
            <w:tcW w:w="153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5"/>
              <w:jc w:val="both"/>
              <w:rPr>
                <w:rFonts w:ascii="宋体" w:hAnsi="宋体" w:cs="宋体" w:eastAsia="宋体" w:hint="default"/>
                <w:sz w:val="18"/>
                <w:szCs w:val="18"/>
              </w:rPr>
            </w:pPr>
            <w:r>
              <w:rPr>
                <w:rFonts w:ascii="宋体" w:hAnsi="宋体" w:cs="宋体" w:eastAsia="宋体" w:hint="default"/>
                <w:sz w:val="18"/>
                <w:szCs w:val="18"/>
              </w:rPr>
              <w:t>中国建设银行－上 投摩根中国优势证 券投资基金</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3,451,321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67"/>
              <w:jc w:val="right"/>
              <w:rPr>
                <w:rFonts w:ascii="Times New Roman" w:hAnsi="Times New Roman" w:cs="Times New Roman" w:eastAsia="Times New Roman" w:hint="default"/>
                <w:sz w:val="18"/>
                <w:szCs w:val="18"/>
              </w:rPr>
            </w:pPr>
            <w:r>
              <w:rPr>
                <w:rFonts w:ascii="Times New Roman"/>
                <w:sz w:val="18"/>
              </w:rPr>
              <w:t>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3,451,321</w:t>
            </w: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2521"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4" w:right="144"/>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tc>
        <w:tc>
          <w:tcPr>
            <w:tcW w:w="7050" w:type="dxa"/>
            <w:gridSpan w:val="9"/>
            <w:tcBorders>
              <w:top w:val="single" w:sz="4" w:space="0" w:color="000000"/>
              <w:left w:val="single" w:sz="9" w:space="0" w:color="D2D2D2"/>
              <w:bottom w:val="single" w:sz="4" w:space="0" w:color="000000"/>
              <w:right w:val="single" w:sz="12"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华亿投资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年度认购公司非公开发行股份的价格为 </w:t>
            </w:r>
            <w:r>
              <w:rPr>
                <w:rFonts w:ascii="Times New Roman" w:hAnsi="Times New Roman" w:cs="Times New Roman" w:eastAsia="Times New Roman" w:hint="default"/>
                <w:sz w:val="18"/>
                <w:szCs w:val="18"/>
              </w:rPr>
              <w:t>9.44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股，认购股份数量为</w:t>
            </w:r>
          </w:p>
          <w:p>
            <w:pPr>
              <w:pStyle w:val="TableParagraph"/>
              <w:spacing w:line="240" w:lineRule="auto" w:before="63"/>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9,358,417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日起，限售期为</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36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317" w:hRule="exact"/>
        </w:trPr>
        <w:tc>
          <w:tcPr>
            <w:tcW w:w="2521" w:type="dxa"/>
            <w:gridSpan w:val="2"/>
            <w:tcBorders>
              <w:top w:val="single" w:sz="4" w:space="0" w:color="000000"/>
              <w:left w:val="single" w:sz="12" w:space="0" w:color="000000"/>
              <w:bottom w:val="nil" w:sz="6" w:space="0" w:color="auto"/>
              <w:right w:val="single" w:sz="4" w:space="0" w:color="000000"/>
            </w:tcBorders>
            <w:shd w:val="clear" w:color="auto" w:fill="D2D2D2"/>
          </w:tcPr>
          <w:p>
            <w:pPr/>
          </w:p>
        </w:tc>
        <w:tc>
          <w:tcPr>
            <w:tcW w:w="7050" w:type="dxa"/>
            <w:gridSpan w:val="9"/>
            <w:vMerge w:val="restart"/>
            <w:tcBorders>
              <w:top w:val="single" w:sz="4" w:space="0" w:color="000000"/>
              <w:left w:val="single" w:sz="9" w:space="0" w:color="D2D2D2"/>
              <w:right w:val="single" w:sz="12" w:space="0" w:color="000000"/>
            </w:tcBorders>
          </w:tcPr>
          <w:p>
            <w:pPr>
              <w:pStyle w:val="TableParagraph"/>
              <w:spacing w:line="312" w:lineRule="auto" w:before="49"/>
              <w:ind w:left="17" w:right="12"/>
              <w:jc w:val="both"/>
              <w:rPr>
                <w:rFonts w:ascii="宋体" w:hAnsi="宋体" w:cs="宋体" w:eastAsia="宋体" w:hint="default"/>
                <w:sz w:val="18"/>
                <w:szCs w:val="18"/>
              </w:rPr>
            </w:pPr>
            <w:r>
              <w:rPr>
                <w:rFonts w:ascii="宋体" w:hAnsi="宋体" w:cs="宋体" w:eastAsia="宋体" w:hint="default"/>
                <w:sz w:val="18"/>
                <w:szCs w:val="18"/>
              </w:rPr>
              <w:t>神码软件与天津信锐之间根据《企业会计准则第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关联方披露》第四条的规定存在关 </w:t>
            </w:r>
            <w:r>
              <w:rPr>
                <w:rFonts w:ascii="宋体" w:hAnsi="宋体" w:cs="宋体" w:eastAsia="宋体" w:hint="default"/>
                <w:spacing w:val="-1"/>
                <w:sz w:val="18"/>
                <w:szCs w:val="18"/>
              </w:rPr>
              <w:t>联关系，除此之外，神码软件与中新创投、申昌科技、华亿投资、冯健刚、王宇飞、张丹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丹均不存在关联关系。未知其余股东之间是否存在关联关系或存在《上市公司收购管理办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法》规定的一致行动人的情形。</w:t>
            </w:r>
          </w:p>
        </w:tc>
      </w:tr>
      <w:tr>
        <w:trPr>
          <w:trHeight w:val="703" w:hRule="exact"/>
        </w:trPr>
        <w:tc>
          <w:tcPr>
            <w:tcW w:w="2521" w:type="dxa"/>
            <w:gridSpan w:val="2"/>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314" w:lineRule="auto" w:before="49"/>
              <w:ind w:left="14"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50" w:type="dxa"/>
            <w:gridSpan w:val="9"/>
            <w:vMerge/>
            <w:tcBorders>
              <w:left w:val="single" w:sz="9" w:space="0" w:color="D2D2D2"/>
              <w:right w:val="single" w:sz="12" w:space="0" w:color="000000"/>
            </w:tcBorders>
          </w:tcPr>
          <w:p>
            <w:pPr/>
          </w:p>
        </w:tc>
      </w:tr>
      <w:tr>
        <w:trPr>
          <w:trHeight w:val="333" w:hRule="exact"/>
        </w:trPr>
        <w:tc>
          <w:tcPr>
            <w:tcW w:w="2521" w:type="dxa"/>
            <w:gridSpan w:val="2"/>
            <w:tcBorders>
              <w:top w:val="nil" w:sz="6" w:space="0" w:color="auto"/>
              <w:left w:val="single" w:sz="12" w:space="0" w:color="000000"/>
              <w:bottom w:val="single" w:sz="4" w:space="0" w:color="000000"/>
              <w:right w:val="single" w:sz="4" w:space="0" w:color="000000"/>
            </w:tcBorders>
            <w:shd w:val="clear" w:color="auto" w:fill="D2D2D2"/>
          </w:tcPr>
          <w:p>
            <w:pPr/>
          </w:p>
        </w:tc>
        <w:tc>
          <w:tcPr>
            <w:tcW w:w="7050" w:type="dxa"/>
            <w:gridSpan w:val="9"/>
            <w:vMerge/>
            <w:tcBorders>
              <w:left w:val="single" w:sz="9" w:space="0" w:color="D2D2D2"/>
              <w:bottom w:val="single" w:sz="16" w:space="0" w:color="D2D2D2"/>
              <w:right w:val="single" w:sz="12" w:space="0" w:color="000000"/>
            </w:tcBorders>
          </w:tcPr>
          <w:p>
            <w:pPr/>
          </w:p>
        </w:tc>
      </w:tr>
      <w:tr>
        <w:trPr>
          <w:trHeight w:val="434" w:hRule="exact"/>
        </w:trPr>
        <w:tc>
          <w:tcPr>
            <w:tcW w:w="9571" w:type="dxa"/>
            <w:gridSpan w:val="11"/>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126" w:hRule="exact"/>
        </w:trPr>
        <w:tc>
          <w:tcPr>
            <w:tcW w:w="5717" w:type="dxa"/>
            <w:gridSpan w:val="5"/>
            <w:vMerge w:val="restart"/>
            <w:tcBorders>
              <w:top w:val="single" w:sz="4" w:space="0" w:color="000000"/>
              <w:left w:val="single" w:sz="12" w:space="0" w:color="000000"/>
              <w:right w:val="single" w:sz="4" w:space="0" w:color="000000"/>
            </w:tcBorders>
            <w:shd w:val="clear" w:color="auto" w:fill="D2D2D2"/>
          </w:tcPr>
          <w:p>
            <w:pPr/>
          </w:p>
        </w:tc>
        <w:tc>
          <w:tcPr>
            <w:tcW w:w="157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278" w:type="dxa"/>
            <w:gridSpan w:val="4"/>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95"/>
              <w:ind w:left="1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56" w:hRule="exact"/>
        </w:trPr>
        <w:tc>
          <w:tcPr>
            <w:tcW w:w="5717" w:type="dxa"/>
            <w:gridSpan w:val="5"/>
            <w:vMerge/>
            <w:tcBorders>
              <w:left w:val="single" w:sz="12" w:space="0" w:color="000000"/>
              <w:bottom w:val="nil" w:sz="6" w:space="0" w:color="auto"/>
              <w:right w:val="single" w:sz="4" w:space="0" w:color="000000"/>
            </w:tcBorders>
            <w:shd w:val="clear" w:color="auto" w:fill="D2D2D2"/>
          </w:tcPr>
          <w:p>
            <w:pPr/>
          </w:p>
        </w:tc>
        <w:tc>
          <w:tcPr>
            <w:tcW w:w="157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4" w:right="39" w:hanging="89"/>
              <w:jc w:val="left"/>
              <w:rPr>
                <w:rFonts w:ascii="宋体" w:hAnsi="宋体" w:cs="宋体" w:eastAsia="宋体" w:hint="default"/>
                <w:sz w:val="18"/>
                <w:szCs w:val="18"/>
              </w:rPr>
            </w:pPr>
            <w:r>
              <w:rPr>
                <w:rFonts w:ascii="宋体" w:hAnsi="宋体" w:cs="宋体" w:eastAsia="宋体" w:hint="default"/>
                <w:sz w:val="18"/>
                <w:szCs w:val="18"/>
              </w:rPr>
              <w:t>报告期末持有无限 售条件股份数量</w:t>
            </w:r>
          </w:p>
        </w:tc>
        <w:tc>
          <w:tcPr>
            <w:tcW w:w="2278" w:type="dxa"/>
            <w:gridSpan w:val="4"/>
            <w:vMerge/>
            <w:tcBorders>
              <w:left w:val="single" w:sz="4" w:space="0" w:color="000000"/>
              <w:right w:val="single" w:sz="12" w:space="0" w:color="000000"/>
            </w:tcBorders>
            <w:shd w:val="clear" w:color="auto" w:fill="D2D2D2"/>
          </w:tcPr>
          <w:p>
            <w:pPr/>
          </w:p>
        </w:tc>
      </w:tr>
      <w:tr>
        <w:trPr>
          <w:trHeight w:val="176" w:hRule="exact"/>
        </w:trPr>
        <w:tc>
          <w:tcPr>
            <w:tcW w:w="5717" w:type="dxa"/>
            <w:gridSpan w:val="5"/>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49"/>
              <w:ind w:left="3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76" w:type="dxa"/>
            <w:gridSpan w:val="2"/>
            <w:vMerge/>
            <w:tcBorders>
              <w:left w:val="single" w:sz="4" w:space="0" w:color="000000"/>
              <w:right w:val="single" w:sz="4" w:space="0" w:color="000000"/>
            </w:tcBorders>
            <w:shd w:val="clear" w:color="auto" w:fill="D2D2D2"/>
          </w:tcPr>
          <w:p>
            <w:pPr/>
          </w:p>
        </w:tc>
        <w:tc>
          <w:tcPr>
            <w:tcW w:w="2278" w:type="dxa"/>
            <w:gridSpan w:val="4"/>
            <w:vMerge/>
            <w:tcBorders>
              <w:left w:val="single" w:sz="4" w:space="0" w:color="000000"/>
              <w:bottom w:val="single" w:sz="4" w:space="0" w:color="000000"/>
              <w:right w:val="single" w:sz="12" w:space="0" w:color="000000"/>
            </w:tcBorders>
            <w:shd w:val="clear" w:color="auto" w:fill="D2D2D2"/>
          </w:tcPr>
          <w:p>
            <w:pPr/>
          </w:p>
        </w:tc>
      </w:tr>
      <w:tr>
        <w:trPr>
          <w:trHeight w:val="217" w:hRule="exact"/>
        </w:trPr>
        <w:tc>
          <w:tcPr>
            <w:tcW w:w="5717" w:type="dxa"/>
            <w:gridSpan w:val="5"/>
            <w:vMerge/>
            <w:tcBorders>
              <w:left w:val="single" w:sz="12" w:space="0" w:color="000000"/>
              <w:bottom w:val="nil" w:sz="6" w:space="0" w:color="auto"/>
              <w:right w:val="single" w:sz="4" w:space="0" w:color="000000"/>
            </w:tcBorders>
            <w:shd w:val="clear" w:color="auto" w:fill="D2D2D2"/>
          </w:tcPr>
          <w:p>
            <w:pPr/>
          </w:p>
        </w:tc>
        <w:tc>
          <w:tcPr>
            <w:tcW w:w="1576" w:type="dxa"/>
            <w:gridSpan w:val="2"/>
            <w:vMerge/>
            <w:tcBorders>
              <w:left w:val="single" w:sz="4" w:space="0" w:color="000000"/>
              <w:right w:val="single" w:sz="4" w:space="0" w:color="000000"/>
            </w:tcBorders>
            <w:shd w:val="clear" w:color="auto" w:fill="D2D2D2"/>
          </w:tcPr>
          <w:p>
            <w:pPr/>
          </w:p>
        </w:tc>
        <w:tc>
          <w:tcPr>
            <w:tcW w:w="12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0"/>
              <w:ind w:left="26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18" w:type="dxa"/>
            <w:gridSpan w:val="2"/>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100"/>
              <w:ind w:left="32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66" w:hRule="exact"/>
        </w:trPr>
        <w:tc>
          <w:tcPr>
            <w:tcW w:w="5717" w:type="dxa"/>
            <w:gridSpan w:val="5"/>
            <w:tcBorders>
              <w:top w:val="nil" w:sz="6" w:space="0" w:color="auto"/>
              <w:left w:val="single" w:sz="12" w:space="0" w:color="000000"/>
              <w:bottom w:val="single" w:sz="4" w:space="0" w:color="000000"/>
              <w:right w:val="single" w:sz="4" w:space="0" w:color="000000"/>
            </w:tcBorders>
            <w:shd w:val="clear" w:color="auto" w:fill="D2D2D2"/>
          </w:tcPr>
          <w:p>
            <w:pPr/>
          </w:p>
        </w:tc>
        <w:tc>
          <w:tcPr>
            <w:tcW w:w="1576" w:type="dxa"/>
            <w:gridSpan w:val="2"/>
            <w:vMerge/>
            <w:tcBorders>
              <w:left w:val="single" w:sz="4" w:space="0" w:color="000000"/>
              <w:bottom w:val="single" w:sz="4" w:space="0" w:color="000000"/>
              <w:right w:val="single" w:sz="4" w:space="0" w:color="000000"/>
            </w:tcBorders>
            <w:shd w:val="clear" w:color="auto" w:fill="D2D2D2"/>
          </w:tcPr>
          <w:p>
            <w:pPr/>
          </w:p>
        </w:tc>
        <w:tc>
          <w:tcPr>
            <w:tcW w:w="1260" w:type="dxa"/>
            <w:gridSpan w:val="2"/>
            <w:vMerge/>
            <w:tcBorders>
              <w:left w:val="single" w:sz="4" w:space="0" w:color="000000"/>
              <w:bottom w:val="single" w:sz="4" w:space="0" w:color="000000"/>
              <w:right w:val="single" w:sz="4" w:space="0" w:color="000000"/>
            </w:tcBorders>
            <w:shd w:val="clear" w:color="auto" w:fill="D2D2D2"/>
          </w:tcPr>
          <w:p>
            <w:pPr/>
          </w:p>
        </w:tc>
        <w:tc>
          <w:tcPr>
            <w:tcW w:w="1018" w:type="dxa"/>
            <w:gridSpan w:val="2"/>
            <w:vMerge/>
            <w:tcBorders>
              <w:left w:val="single" w:sz="4" w:space="0" w:color="000000"/>
              <w:bottom w:val="single" w:sz="4" w:space="0" w:color="000000"/>
              <w:right w:val="single" w:sz="12" w:space="0" w:color="000000"/>
            </w:tcBorders>
            <w:shd w:val="clear" w:color="auto" w:fill="D2D2D2"/>
          </w:tcPr>
          <w:p>
            <w:pPr/>
          </w:p>
        </w:tc>
      </w:tr>
      <w:tr>
        <w:trPr>
          <w:trHeight w:val="463" w:hRule="exact"/>
        </w:trPr>
        <w:tc>
          <w:tcPr>
            <w:tcW w:w="5717" w:type="dxa"/>
            <w:gridSpan w:val="5"/>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昆山市申昌科技有限公司</w:t>
            </w:r>
          </w:p>
        </w:tc>
        <w:tc>
          <w:tcPr>
            <w:tcW w:w="1576" w:type="dxa"/>
            <w:gridSpan w:val="2"/>
            <w:tcBorders>
              <w:top w:val="single" w:sz="42" w:space="0" w:color="D2D2D2"/>
              <w:left w:val="single" w:sz="4" w:space="0" w:color="000000"/>
              <w:bottom w:val="single" w:sz="4" w:space="0" w:color="000000"/>
              <w:right w:val="single" w:sz="4" w:space="0" w:color="000000"/>
            </w:tcBorders>
          </w:tcPr>
          <w:p>
            <w:pPr>
              <w:pStyle w:val="TableParagraph"/>
              <w:spacing w:line="240" w:lineRule="auto" w:before="74"/>
              <w:ind w:left="730" w:right="0"/>
              <w:jc w:val="left"/>
              <w:rPr>
                <w:rFonts w:ascii="Times New Roman" w:hAnsi="Times New Roman" w:cs="Times New Roman" w:eastAsia="Times New Roman" w:hint="default"/>
                <w:sz w:val="18"/>
                <w:szCs w:val="18"/>
              </w:rPr>
            </w:pPr>
            <w:r>
              <w:rPr>
                <w:rFonts w:ascii="Times New Roman"/>
                <w:sz w:val="18"/>
              </w:rPr>
              <w:t>19,897,057</w:t>
            </w:r>
          </w:p>
        </w:tc>
        <w:tc>
          <w:tcPr>
            <w:tcW w:w="1260" w:type="dxa"/>
            <w:gridSpan w:val="2"/>
            <w:tcBorders>
              <w:top w:val="single" w:sz="12" w:space="0" w:color="D2D2D2"/>
              <w:left w:val="single" w:sz="4" w:space="0" w:color="000000"/>
              <w:bottom w:val="single" w:sz="4" w:space="0" w:color="000000"/>
              <w:right w:val="single" w:sz="4" w:space="0" w:color="000000"/>
            </w:tcBorders>
          </w:tcPr>
          <w:p>
            <w:pPr>
              <w:pStyle w:val="TableParagraph"/>
              <w:spacing w:line="240" w:lineRule="auto" w:before="69"/>
              <w:ind w:left="8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18" w:type="dxa"/>
            <w:gridSpan w:val="2"/>
            <w:tcBorders>
              <w:top w:val="single" w:sz="12" w:space="0" w:color="D2D2D2"/>
              <w:left w:val="single" w:sz="4" w:space="0" w:color="000000"/>
              <w:bottom w:val="single" w:sz="4" w:space="0" w:color="000000"/>
              <w:right w:val="single" w:sz="12" w:space="0" w:color="000000"/>
            </w:tcBorders>
          </w:tcPr>
          <w:p>
            <w:pPr>
              <w:pStyle w:val="TableParagraph"/>
              <w:spacing w:line="240" w:lineRule="auto" w:before="111"/>
              <w:ind w:left="175" w:right="0"/>
              <w:jc w:val="left"/>
              <w:rPr>
                <w:rFonts w:ascii="Times New Roman" w:hAnsi="Times New Roman" w:cs="Times New Roman" w:eastAsia="Times New Roman" w:hint="default"/>
                <w:sz w:val="18"/>
                <w:szCs w:val="18"/>
              </w:rPr>
            </w:pPr>
            <w:r>
              <w:rPr>
                <w:rFonts w:ascii="Times New Roman"/>
                <w:sz w:val="18"/>
              </w:rPr>
              <w:t>19,897,057</w:t>
            </w:r>
          </w:p>
        </w:tc>
      </w:tr>
      <w:tr>
        <w:trPr>
          <w:trHeight w:val="466" w:hRule="exact"/>
        </w:trPr>
        <w:tc>
          <w:tcPr>
            <w:tcW w:w="5717" w:type="dxa"/>
            <w:gridSpan w:val="5"/>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中国建设银行股份有限公司－华商盛世成长股票型证券投资基金</w:t>
            </w:r>
          </w:p>
        </w:tc>
        <w:tc>
          <w:tcPr>
            <w:tcW w:w="1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22" w:right="0"/>
              <w:jc w:val="left"/>
              <w:rPr>
                <w:rFonts w:ascii="Times New Roman" w:hAnsi="Times New Roman" w:cs="Times New Roman" w:eastAsia="Times New Roman" w:hint="default"/>
                <w:sz w:val="18"/>
                <w:szCs w:val="18"/>
              </w:rPr>
            </w:pPr>
            <w:r>
              <w:rPr>
                <w:rFonts w:ascii="Times New Roman"/>
                <w:sz w:val="18"/>
              </w:rPr>
              <w:t>4,820,459</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18"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left="266" w:right="0"/>
              <w:jc w:val="left"/>
              <w:rPr>
                <w:rFonts w:ascii="Times New Roman" w:hAnsi="Times New Roman" w:cs="Times New Roman" w:eastAsia="Times New Roman" w:hint="default"/>
                <w:sz w:val="18"/>
                <w:szCs w:val="18"/>
              </w:rPr>
            </w:pPr>
            <w:r>
              <w:rPr>
                <w:rFonts w:ascii="Times New Roman"/>
                <w:sz w:val="18"/>
              </w:rPr>
              <w:t>4,820,459</w:t>
            </w:r>
          </w:p>
        </w:tc>
      </w:tr>
      <w:tr>
        <w:trPr>
          <w:trHeight w:val="463" w:hRule="exact"/>
        </w:trPr>
        <w:tc>
          <w:tcPr>
            <w:tcW w:w="5717" w:type="dxa"/>
            <w:gridSpan w:val="5"/>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中国建设银行－上投摩根中国优势证券投资基金</w:t>
            </w:r>
          </w:p>
        </w:tc>
        <w:tc>
          <w:tcPr>
            <w:tcW w:w="1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22" w:right="0"/>
              <w:jc w:val="left"/>
              <w:rPr>
                <w:rFonts w:ascii="Times New Roman" w:hAnsi="Times New Roman" w:cs="Times New Roman" w:eastAsia="Times New Roman" w:hint="default"/>
                <w:sz w:val="18"/>
                <w:szCs w:val="18"/>
              </w:rPr>
            </w:pPr>
            <w:r>
              <w:rPr>
                <w:rFonts w:ascii="Times New Roman"/>
                <w:sz w:val="18"/>
              </w:rPr>
              <w:t>3,451,321</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18"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266" w:right="0"/>
              <w:jc w:val="left"/>
              <w:rPr>
                <w:rFonts w:ascii="Times New Roman" w:hAnsi="Times New Roman" w:cs="Times New Roman" w:eastAsia="Times New Roman" w:hint="default"/>
                <w:sz w:val="18"/>
                <w:szCs w:val="18"/>
              </w:rPr>
            </w:pPr>
            <w:r>
              <w:rPr>
                <w:rFonts w:ascii="Times New Roman"/>
                <w:sz w:val="18"/>
              </w:rPr>
              <w:t>3,451,321</w:t>
            </w:r>
          </w:p>
        </w:tc>
      </w:tr>
      <w:tr>
        <w:trPr>
          <w:trHeight w:val="463" w:hRule="exact"/>
        </w:trPr>
        <w:tc>
          <w:tcPr>
            <w:tcW w:w="5717" w:type="dxa"/>
            <w:gridSpan w:val="5"/>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中国建设银行股份有限公司－华商价值精选股票型证券投资基金</w:t>
            </w:r>
          </w:p>
        </w:tc>
        <w:tc>
          <w:tcPr>
            <w:tcW w:w="1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22" w:right="0"/>
              <w:jc w:val="left"/>
              <w:rPr>
                <w:rFonts w:ascii="Times New Roman" w:hAnsi="Times New Roman" w:cs="Times New Roman" w:eastAsia="Times New Roman" w:hint="default"/>
                <w:sz w:val="18"/>
                <w:szCs w:val="18"/>
              </w:rPr>
            </w:pPr>
            <w:r>
              <w:rPr>
                <w:rFonts w:ascii="Times New Roman"/>
                <w:sz w:val="18"/>
              </w:rPr>
              <w:t>2,291,826</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18"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266" w:right="0"/>
              <w:jc w:val="left"/>
              <w:rPr>
                <w:rFonts w:ascii="Times New Roman" w:hAnsi="Times New Roman" w:cs="Times New Roman" w:eastAsia="Times New Roman" w:hint="default"/>
                <w:sz w:val="18"/>
                <w:szCs w:val="18"/>
              </w:rPr>
            </w:pPr>
            <w:r>
              <w:rPr>
                <w:rFonts w:ascii="Times New Roman"/>
                <w:sz w:val="18"/>
              </w:rPr>
              <w:t>2,291,826</w:t>
            </w:r>
          </w:p>
        </w:tc>
      </w:tr>
      <w:tr>
        <w:trPr>
          <w:trHeight w:val="466" w:hRule="exact"/>
        </w:trPr>
        <w:tc>
          <w:tcPr>
            <w:tcW w:w="5717" w:type="dxa"/>
            <w:gridSpan w:val="5"/>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胡景</w:t>
            </w:r>
          </w:p>
        </w:tc>
        <w:tc>
          <w:tcPr>
            <w:tcW w:w="1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22" w:right="0"/>
              <w:jc w:val="left"/>
              <w:rPr>
                <w:rFonts w:ascii="Times New Roman" w:hAnsi="Times New Roman" w:cs="Times New Roman" w:eastAsia="Times New Roman" w:hint="default"/>
                <w:sz w:val="18"/>
                <w:szCs w:val="18"/>
              </w:rPr>
            </w:pPr>
            <w:r>
              <w:rPr>
                <w:rFonts w:ascii="Times New Roman"/>
                <w:sz w:val="18"/>
              </w:rPr>
              <w:t>2,029,972</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8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18"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5"/>
              <w:ind w:left="266" w:right="0"/>
              <w:jc w:val="left"/>
              <w:rPr>
                <w:rFonts w:ascii="Times New Roman" w:hAnsi="Times New Roman" w:cs="Times New Roman" w:eastAsia="Times New Roman" w:hint="default"/>
                <w:sz w:val="18"/>
                <w:szCs w:val="18"/>
              </w:rPr>
            </w:pPr>
            <w:r>
              <w:rPr>
                <w:rFonts w:ascii="Times New Roman"/>
                <w:sz w:val="18"/>
              </w:rPr>
              <w:t>2,029,972</w:t>
            </w:r>
          </w:p>
        </w:tc>
      </w:tr>
      <w:tr>
        <w:trPr>
          <w:trHeight w:val="463" w:hRule="exact"/>
        </w:trPr>
        <w:tc>
          <w:tcPr>
            <w:tcW w:w="5717" w:type="dxa"/>
            <w:gridSpan w:val="5"/>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全国社保基金一一八组合</w:t>
            </w:r>
          </w:p>
        </w:tc>
        <w:tc>
          <w:tcPr>
            <w:tcW w:w="1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22" w:right="0"/>
              <w:jc w:val="left"/>
              <w:rPr>
                <w:rFonts w:ascii="Times New Roman" w:hAnsi="Times New Roman" w:cs="Times New Roman" w:eastAsia="Times New Roman" w:hint="default"/>
                <w:sz w:val="18"/>
                <w:szCs w:val="18"/>
              </w:rPr>
            </w:pPr>
            <w:r>
              <w:rPr>
                <w:rFonts w:ascii="Times New Roman"/>
                <w:sz w:val="18"/>
              </w:rPr>
              <w:t>1,999,809</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18"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266" w:right="0"/>
              <w:jc w:val="left"/>
              <w:rPr>
                <w:rFonts w:ascii="Times New Roman" w:hAnsi="Times New Roman" w:cs="Times New Roman" w:eastAsia="Times New Roman" w:hint="default"/>
                <w:sz w:val="18"/>
                <w:szCs w:val="18"/>
              </w:rPr>
            </w:pPr>
            <w:r>
              <w:rPr>
                <w:rFonts w:ascii="Times New Roman"/>
                <w:sz w:val="18"/>
              </w:rPr>
              <w:t>1,999,809</w:t>
            </w:r>
          </w:p>
        </w:tc>
      </w:tr>
      <w:tr>
        <w:trPr>
          <w:trHeight w:val="463" w:hRule="exact"/>
        </w:trPr>
        <w:tc>
          <w:tcPr>
            <w:tcW w:w="5717" w:type="dxa"/>
            <w:gridSpan w:val="5"/>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中国工商银行股份有限公司－申万菱信新经济混合型证券投资基金</w:t>
            </w:r>
          </w:p>
        </w:tc>
        <w:tc>
          <w:tcPr>
            <w:tcW w:w="1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22" w:right="0"/>
              <w:jc w:val="left"/>
              <w:rPr>
                <w:rFonts w:ascii="Times New Roman" w:hAnsi="Times New Roman" w:cs="Times New Roman" w:eastAsia="Times New Roman" w:hint="default"/>
                <w:sz w:val="18"/>
                <w:szCs w:val="18"/>
              </w:rPr>
            </w:pPr>
            <w:r>
              <w:rPr>
                <w:rFonts w:ascii="Times New Roman"/>
                <w:sz w:val="18"/>
              </w:rPr>
              <w:t>1,531,305</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18"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266" w:right="0"/>
              <w:jc w:val="left"/>
              <w:rPr>
                <w:rFonts w:ascii="Times New Roman" w:hAnsi="Times New Roman" w:cs="Times New Roman" w:eastAsia="Times New Roman" w:hint="default"/>
                <w:sz w:val="18"/>
                <w:szCs w:val="18"/>
              </w:rPr>
            </w:pPr>
            <w:r>
              <w:rPr>
                <w:rFonts w:ascii="Times New Roman"/>
                <w:sz w:val="18"/>
              </w:rPr>
              <w:t>1,531,305</w:t>
            </w:r>
          </w:p>
        </w:tc>
      </w:tr>
      <w:tr>
        <w:trPr>
          <w:trHeight w:val="466" w:hRule="exact"/>
        </w:trPr>
        <w:tc>
          <w:tcPr>
            <w:tcW w:w="5717" w:type="dxa"/>
            <w:gridSpan w:val="5"/>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中国建设银行－华宝兴业行业精选股票型证券投资基金</w:t>
            </w:r>
          </w:p>
        </w:tc>
        <w:tc>
          <w:tcPr>
            <w:tcW w:w="1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22" w:right="0"/>
              <w:jc w:val="left"/>
              <w:rPr>
                <w:rFonts w:ascii="Times New Roman" w:hAnsi="Times New Roman" w:cs="Times New Roman" w:eastAsia="Times New Roman" w:hint="default"/>
                <w:sz w:val="18"/>
                <w:szCs w:val="18"/>
              </w:rPr>
            </w:pPr>
            <w:r>
              <w:rPr>
                <w:rFonts w:ascii="Times New Roman"/>
                <w:sz w:val="18"/>
              </w:rPr>
              <w:t>1,179,622</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18"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left="266" w:right="0"/>
              <w:jc w:val="left"/>
              <w:rPr>
                <w:rFonts w:ascii="Times New Roman" w:hAnsi="Times New Roman" w:cs="Times New Roman" w:eastAsia="Times New Roman" w:hint="default"/>
                <w:sz w:val="18"/>
                <w:szCs w:val="18"/>
              </w:rPr>
            </w:pPr>
            <w:r>
              <w:rPr>
                <w:rFonts w:ascii="Times New Roman"/>
                <w:sz w:val="18"/>
              </w:rPr>
              <w:t>1,179,622</w:t>
            </w:r>
          </w:p>
        </w:tc>
      </w:tr>
      <w:tr>
        <w:trPr>
          <w:trHeight w:val="463" w:hRule="exact"/>
        </w:trPr>
        <w:tc>
          <w:tcPr>
            <w:tcW w:w="5717" w:type="dxa"/>
            <w:gridSpan w:val="5"/>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国元证券股份有限公司客户信用交易担保证券账户</w:t>
            </w:r>
          </w:p>
        </w:tc>
        <w:tc>
          <w:tcPr>
            <w:tcW w:w="1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22" w:right="0"/>
              <w:jc w:val="left"/>
              <w:rPr>
                <w:rFonts w:ascii="Times New Roman" w:hAnsi="Times New Roman" w:cs="Times New Roman" w:eastAsia="Times New Roman" w:hint="default"/>
                <w:sz w:val="18"/>
                <w:szCs w:val="18"/>
              </w:rPr>
            </w:pPr>
            <w:r>
              <w:rPr>
                <w:rFonts w:ascii="Times New Roman"/>
                <w:sz w:val="18"/>
              </w:rPr>
              <w:t>1,029,900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18"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266" w:right="0"/>
              <w:jc w:val="left"/>
              <w:rPr>
                <w:rFonts w:ascii="Times New Roman" w:hAnsi="Times New Roman" w:cs="Times New Roman" w:eastAsia="Times New Roman" w:hint="default"/>
                <w:sz w:val="18"/>
                <w:szCs w:val="18"/>
              </w:rPr>
            </w:pPr>
            <w:r>
              <w:rPr>
                <w:rFonts w:ascii="Times New Roman"/>
                <w:sz w:val="18"/>
              </w:rPr>
              <w:t>1,029,900</w:t>
            </w:r>
          </w:p>
        </w:tc>
      </w:tr>
      <w:tr>
        <w:trPr>
          <w:trHeight w:val="464" w:hRule="exact"/>
        </w:trPr>
        <w:tc>
          <w:tcPr>
            <w:tcW w:w="5717" w:type="dxa"/>
            <w:gridSpan w:val="5"/>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泰康人寿保险股份有限公司－分红－个人分红</w:t>
            </w:r>
            <w:r>
              <w:rPr>
                <w:rFonts w:ascii="Times New Roman" w:hAnsi="Times New Roman" w:cs="Times New Roman" w:eastAsia="Times New Roman" w:hint="default"/>
                <w:sz w:val="18"/>
                <w:szCs w:val="18"/>
              </w:rPr>
              <w:t>-019L-FH002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深</w:t>
            </w:r>
          </w:p>
        </w:tc>
        <w:tc>
          <w:tcPr>
            <w:tcW w:w="1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22" w:right="0"/>
              <w:jc w:val="left"/>
              <w:rPr>
                <w:rFonts w:ascii="Times New Roman" w:hAnsi="Times New Roman" w:cs="Times New Roman" w:eastAsia="Times New Roman" w:hint="default"/>
                <w:sz w:val="18"/>
                <w:szCs w:val="18"/>
              </w:rPr>
            </w:pPr>
            <w:r>
              <w:rPr>
                <w:rFonts w:ascii="Times New Roman"/>
                <w:sz w:val="18"/>
              </w:rPr>
              <w:t>1,000,000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18"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266" w:right="0"/>
              <w:jc w:val="left"/>
              <w:rPr>
                <w:rFonts w:ascii="Times New Roman" w:hAnsi="Times New Roman" w:cs="Times New Roman" w:eastAsia="Times New Roman" w:hint="default"/>
                <w:sz w:val="18"/>
                <w:szCs w:val="18"/>
              </w:rPr>
            </w:pPr>
            <w:r>
              <w:rPr>
                <w:rFonts w:ascii="Times New Roman"/>
                <w:sz w:val="18"/>
              </w:rPr>
              <w:t>1,000,000</w:t>
            </w:r>
          </w:p>
        </w:tc>
      </w:tr>
      <w:tr>
        <w:trPr>
          <w:trHeight w:val="474" w:hRule="exact"/>
        </w:trPr>
        <w:tc>
          <w:tcPr>
            <w:tcW w:w="5717" w:type="dxa"/>
            <w:gridSpan w:val="5"/>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100"/>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3854" w:type="dxa"/>
            <w:gridSpan w:val="6"/>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1"/>
              <w:ind w:left="68" w:right="0"/>
              <w:jc w:val="left"/>
              <w:rPr>
                <w:rFonts w:ascii="宋体" w:hAnsi="宋体" w:cs="宋体" w:eastAsia="宋体" w:hint="default"/>
                <w:sz w:val="18"/>
                <w:szCs w:val="18"/>
              </w:rPr>
            </w:pPr>
            <w:r>
              <w:rPr>
                <w:rFonts w:ascii="宋体" w:hAnsi="宋体" w:cs="宋体" w:eastAsia="宋体" w:hint="default"/>
                <w:sz w:val="18"/>
                <w:szCs w:val="18"/>
              </w:rPr>
              <w:t>未知</w:t>
            </w:r>
          </w:p>
        </w:tc>
      </w:tr>
    </w:tbl>
    <w:p>
      <w:pPr>
        <w:spacing w:after="0" w:line="240" w:lineRule="auto"/>
        <w:jc w:val="left"/>
        <w:rPr>
          <w:rFonts w:ascii="宋体" w:hAnsi="宋体" w:cs="宋体" w:eastAsia="宋体" w:hint="default"/>
          <w:sz w:val="18"/>
          <w:szCs w:val="18"/>
        </w:rPr>
        <w:sectPr>
          <w:pgSz w:w="11910" w:h="16840"/>
          <w:pgMar w:header="0" w:footer="1227" w:top="1100" w:bottom="1420" w:left="980" w:right="980"/>
        </w:sectPr>
      </w:pPr>
    </w:p>
    <w:p>
      <w:pPr>
        <w:spacing w:line="240" w:lineRule="auto" w:before="1"/>
        <w:rPr>
          <w:rFonts w:ascii="Times New Roman" w:hAnsi="Times New Roman" w:cs="Times New Roman" w:eastAsia="Times New Roman"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5761"/>
        <w:gridCol w:w="3810"/>
      </w:tblGrid>
      <w:tr>
        <w:trPr>
          <w:trHeight w:val="490" w:hRule="exact"/>
        </w:trPr>
        <w:tc>
          <w:tcPr>
            <w:tcW w:w="576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left="14" w:right="0"/>
              <w:jc w:val="left"/>
              <w:rPr>
                <w:rFonts w:ascii="宋体" w:hAnsi="宋体" w:cs="宋体" w:eastAsia="宋体" w:hint="default"/>
                <w:sz w:val="18"/>
                <w:szCs w:val="18"/>
              </w:rPr>
            </w:pPr>
            <w:r>
              <w:rPr>
                <w:rFonts w:ascii="宋体" w:hAnsi="宋体" w:cs="宋体" w:eastAsia="宋体" w:hint="default"/>
                <w:sz w:val="18"/>
                <w:szCs w:val="18"/>
              </w:rPr>
              <w:t>名股东之间关联关系或一致行动的说明</w:t>
            </w:r>
          </w:p>
        </w:tc>
        <w:tc>
          <w:tcPr>
            <w:tcW w:w="3810" w:type="dxa"/>
            <w:tcBorders>
              <w:top w:val="single" w:sz="12" w:space="0" w:color="000000"/>
              <w:left w:val="single" w:sz="4" w:space="0" w:color="000000"/>
              <w:bottom w:val="single" w:sz="4" w:space="0" w:color="000000"/>
              <w:right w:val="single" w:sz="12" w:space="0" w:color="000000"/>
            </w:tcBorders>
          </w:tcPr>
          <w:p>
            <w:pPr/>
          </w:p>
        </w:tc>
      </w:tr>
      <w:tr>
        <w:trPr>
          <w:trHeight w:val="455" w:hRule="exact"/>
        </w:trPr>
        <w:tc>
          <w:tcPr>
            <w:tcW w:w="576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名普通股股东参与融资融券业务股东情况说明</w:t>
            </w:r>
          </w:p>
        </w:tc>
        <w:tc>
          <w:tcPr>
            <w:tcW w:w="381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Times New Roman" w:hAnsi="Times New Roman" w:cs="Times New Roman" w:eastAsia="Times New Roman" w:hint="default"/>
          <w:sz w:val="6"/>
          <w:szCs w:val="6"/>
        </w:rPr>
      </w:pPr>
    </w:p>
    <w:p>
      <w:pPr>
        <w:pStyle w:val="BodyText"/>
        <w:spacing w:line="240" w:lineRule="auto" w:before="36"/>
        <w:ind w:right="140"/>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名普通股股东、前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名无限售条件普通股股东在报告期内是否进行约定购回交易</w:t>
      </w:r>
    </w:p>
    <w:p>
      <w:pPr>
        <w:spacing w:line="240" w:lineRule="auto" w:before="9"/>
        <w:rPr>
          <w:rFonts w:ascii="宋体" w:hAnsi="宋体" w:cs="宋体" w:eastAsia="宋体" w:hint="default"/>
          <w:sz w:val="16"/>
          <w:szCs w:val="16"/>
        </w:rPr>
      </w:pPr>
    </w:p>
    <w:p>
      <w:pPr>
        <w:pStyle w:val="BodyText"/>
        <w:spacing w:line="240" w:lineRule="auto"/>
        <w:ind w:right="14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6"/>
        <w:rPr>
          <w:rFonts w:ascii="宋体" w:hAnsi="宋体" w:cs="宋体" w:eastAsia="宋体" w:hint="default"/>
          <w:sz w:val="16"/>
          <w:szCs w:val="16"/>
        </w:rPr>
      </w:pPr>
    </w:p>
    <w:p>
      <w:pPr>
        <w:pStyle w:val="BodyText"/>
        <w:spacing w:line="240" w:lineRule="auto"/>
        <w:ind w:right="140"/>
        <w:jc w:val="left"/>
      </w:pPr>
      <w:r>
        <w:rPr/>
        <w:t>公司前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名普通股股东、前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名无限售条件普通股股东在报告期内未进行约定购回交易。</w:t>
      </w:r>
    </w:p>
    <w:p>
      <w:pPr>
        <w:spacing w:line="240" w:lineRule="auto" w:before="8"/>
        <w:rPr>
          <w:rFonts w:ascii="宋体" w:hAnsi="宋体" w:cs="宋体" w:eastAsia="宋体" w:hint="default"/>
          <w:sz w:val="30"/>
          <w:szCs w:val="30"/>
        </w:rPr>
      </w:pPr>
    </w:p>
    <w:p>
      <w:pPr>
        <w:pStyle w:val="Heading4"/>
        <w:spacing w:line="571" w:lineRule="auto"/>
        <w:ind w:right="7771"/>
        <w:jc w:val="left"/>
        <w:rPr>
          <w:rFonts w:ascii="宋体" w:hAnsi="宋体" w:cs="宋体" w:eastAsia="宋体" w:hint="default"/>
          <w:b w:val="0"/>
          <w:bCs w:val="0"/>
        </w:rPr>
      </w:pPr>
      <w:r>
        <w:rPr/>
        <w:pict>
          <v:shape style="position:absolute;margin-left:55.944pt;margin-top:56.813644pt;width:480.7pt;height:157.8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1277"/>
                    <w:gridCol w:w="1558"/>
                    <w:gridCol w:w="1296"/>
                    <w:gridCol w:w="1592"/>
                    <w:gridCol w:w="1863"/>
                  </w:tblGrid>
                  <w:tr>
                    <w:trPr>
                      <w:trHeight w:val="763" w:hRule="exact"/>
                    </w:trPr>
                    <w:tc>
                      <w:tcPr>
                        <w:tcW w:w="198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27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法定代表人</w:t>
                        </w:r>
                      </w:p>
                      <w:p>
                        <w:pPr>
                          <w:pStyle w:val="TableParagraph"/>
                          <w:spacing w:line="240" w:lineRule="auto" w:before="117"/>
                          <w:ind w:left="1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55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59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428"/>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86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66" w:hRule="exact"/>
                    </w:trPr>
                    <w:tc>
                      <w:tcPr>
                        <w:tcW w:w="1985" w:type="dxa"/>
                        <w:tcBorders>
                          <w:top w:val="single" w:sz="4" w:space="0" w:color="000000"/>
                          <w:left w:val="single" w:sz="12" w:space="0" w:color="000000"/>
                          <w:bottom w:val="single" w:sz="16" w:space="0" w:color="D2D2D2"/>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277"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郭为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73513018-0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59"/>
                          <w:jc w:val="right"/>
                          <w:rPr>
                            <w:rFonts w:ascii="宋体" w:hAnsi="宋体" w:cs="宋体" w:eastAsia="宋体" w:hint="default"/>
                            <w:sz w:val="18"/>
                            <w:szCs w:val="18"/>
                          </w:rPr>
                        </w:pP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8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9" w:right="0"/>
                          <w:jc w:val="center"/>
                          <w:rPr>
                            <w:rFonts w:ascii="宋体" w:hAnsi="宋体" w:cs="宋体" w:eastAsia="宋体" w:hint="default"/>
                            <w:sz w:val="18"/>
                            <w:szCs w:val="18"/>
                          </w:rPr>
                        </w:pPr>
                        <w:r>
                          <w:rPr>
                            <w:rFonts w:ascii="宋体" w:hAnsi="宋体" w:cs="宋体" w:eastAsia="宋体" w:hint="default"/>
                            <w:sz w:val="18"/>
                            <w:szCs w:val="18"/>
                          </w:rPr>
                          <w:t>投资控股</w:t>
                        </w:r>
                      </w:p>
                    </w:tc>
                  </w:tr>
                  <w:tr>
                    <w:trPr>
                      <w:trHeight w:val="463" w:hRule="exact"/>
                    </w:trPr>
                    <w:tc>
                      <w:tcPr>
                        <w:tcW w:w="3262"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6309" w:type="dxa"/>
                        <w:gridSpan w:val="4"/>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3" w:hRule="exact"/>
                    </w:trPr>
                    <w:tc>
                      <w:tcPr>
                        <w:tcW w:w="3262"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经营成果、财务状况、现金流等</w:t>
                        </w:r>
                      </w:p>
                    </w:tc>
                    <w:tc>
                      <w:tcPr>
                        <w:tcW w:w="6309" w:type="dxa"/>
                        <w:gridSpan w:val="4"/>
                        <w:tcBorders>
                          <w:top w:val="single" w:sz="4" w:space="0" w:color="000000"/>
                          <w:left w:val="single" w:sz="4" w:space="0" w:color="000000"/>
                          <w:bottom w:val="single" w:sz="4" w:space="0" w:color="000000"/>
                          <w:right w:val="single" w:sz="12" w:space="0" w:color="000000"/>
                        </w:tcBorders>
                      </w:tcPr>
                      <w:p>
                        <w:pPr>
                          <w:pStyle w:val="TableParagraph"/>
                          <w:spacing w:line="316"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神码软件除持有相关公司股权，以及出租其自有房屋建筑物并获取租金收入外， 未开展实质性经营活动。</w:t>
                        </w:r>
                      </w:p>
                    </w:tc>
                  </w:tr>
                  <w:tr>
                    <w:trPr>
                      <w:trHeight w:val="722" w:hRule="exact"/>
                    </w:trPr>
                    <w:tc>
                      <w:tcPr>
                        <w:tcW w:w="3262" w:type="dxa"/>
                        <w:gridSpan w:val="2"/>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4" w:lineRule="auto" w:before="51"/>
                          <w:ind w:left="14" w:right="166"/>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控股股东报告期内控股和参股的其他境 内外上市公司的股权情况</w:t>
                        </w:r>
                      </w:p>
                    </w:tc>
                    <w:tc>
                      <w:tcPr>
                        <w:tcW w:w="6309" w:type="dxa"/>
                        <w:gridSpan w:val="4"/>
                        <w:tcBorders>
                          <w:top w:val="single" w:sz="4" w:space="0" w:color="000000"/>
                          <w:left w:val="single" w:sz="4" w:space="0" w:color="000000"/>
                          <w:bottom w:val="single" w:sz="12" w:space="0" w:color="000000"/>
                          <w:right w:val="single" w:sz="12" w:space="0" w:color="000000"/>
                        </w:tcBorders>
                      </w:tcPr>
                      <w:p>
                        <w:pPr>
                          <w:pStyle w:val="TableParagraph"/>
                          <w:spacing w:line="297"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日，神码软件通过本公司之子公司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DCSL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间接持有鼎捷软 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17.91%</w:t>
                        </w:r>
                        <w:r>
                          <w:rPr>
                            <w:rFonts w:ascii="宋体" w:hAnsi="宋体" w:cs="宋体" w:eastAsia="宋体" w:hint="default"/>
                            <w:sz w:val="18"/>
                            <w:szCs w:val="18"/>
                          </w:rPr>
                          <w:t>的股份。</w:t>
                        </w:r>
                      </w:p>
                    </w:tc>
                  </w:tr>
                </w:tbl>
                <w:p>
                  <w:pPr/>
                </w:p>
              </w:txbxContent>
            </v:textbox>
            <w10:wrap type="none"/>
          </v:shape>
        </w:pict>
      </w:r>
      <w:r>
        <w:rPr>
          <w:rFonts w:ascii="Times New Roman" w:hAnsi="Times New Roman" w:cs="Times New Roman" w:eastAsia="Times New Roman" w:hint="default"/>
        </w:rPr>
        <w:t>2</w:t>
      </w:r>
      <w:r>
        <w:rPr/>
        <w:t>、公司控股股东情况</w:t>
      </w:r>
      <w:r>
        <w:rPr>
          <w:w w:val="100"/>
        </w:rPr>
        <w:t> </w:t>
      </w:r>
      <w:r>
        <w:rPr>
          <w:rFonts w:ascii="宋体" w:hAnsi="宋体" w:cs="宋体" w:eastAsia="宋体" w:hint="default"/>
          <w:b w:val="0"/>
          <w:bCs w:val="0"/>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36"/>
        <w:ind w:right="140"/>
        <w:jc w:val="left"/>
      </w:pPr>
      <w:r>
        <w:rPr/>
        <w:t>控股股东报告期内变更</w:t>
      </w:r>
    </w:p>
    <w:p>
      <w:pPr>
        <w:spacing w:line="240" w:lineRule="auto" w:before="12"/>
        <w:rPr>
          <w:rFonts w:ascii="宋体" w:hAnsi="宋体" w:cs="宋体" w:eastAsia="宋体" w:hint="default"/>
          <w:sz w:val="17"/>
          <w:szCs w:val="17"/>
        </w:rPr>
      </w:pPr>
    </w:p>
    <w:p>
      <w:pPr>
        <w:pStyle w:val="BodyText"/>
        <w:spacing w:line="417" w:lineRule="auto"/>
        <w:ind w:right="66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公司报告期控股股东未发生变更。</w:t>
      </w:r>
    </w:p>
    <w:p>
      <w:pPr>
        <w:spacing w:line="240" w:lineRule="auto" w:before="12"/>
        <w:rPr>
          <w:rFonts w:ascii="宋体" w:hAnsi="宋体" w:cs="宋体" w:eastAsia="宋体" w:hint="default"/>
          <w:sz w:val="19"/>
          <w:szCs w:val="19"/>
        </w:rPr>
      </w:pPr>
    </w:p>
    <w:p>
      <w:pPr>
        <w:pStyle w:val="Heading4"/>
        <w:spacing w:line="240" w:lineRule="auto"/>
        <w:ind w:right="14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40" w:firstLine="420"/>
        <w:jc w:val="left"/>
      </w:pPr>
      <w:r>
        <w:rPr>
          <w:spacing w:val="-2"/>
        </w:rPr>
        <w:t>公司的控股股东为神码软件。由于神码软件是神州数码的全资子公司，而神州数码股权结构分散，</w:t>
      </w:r>
      <w:r>
        <w:rPr>
          <w:w w:val="100"/>
        </w:rPr>
        <w:t> </w:t>
      </w:r>
      <w:r>
        <w:rPr/>
        <w:t>不存在实际控制人，因此公司无实际控制人。</w:t>
      </w:r>
    </w:p>
    <w:p>
      <w:pPr>
        <w:pStyle w:val="BodyText"/>
        <w:spacing w:line="240" w:lineRule="auto" w:before="87"/>
        <w:ind w:right="140"/>
        <w:jc w:val="left"/>
      </w:pPr>
      <w:r>
        <w:rPr/>
        <w:t>公司最终控制层面是否存在持股比例在</w:t>
      </w:r>
      <w:r>
        <w:rPr>
          <w:spacing w:val="-56"/>
        </w:rPr>
        <w:t> </w:t>
      </w:r>
      <w:r>
        <w:rPr>
          <w:rFonts w:ascii="Times New Roman" w:hAnsi="Times New Roman" w:cs="Times New Roman" w:eastAsia="Times New Roman" w:hint="default"/>
        </w:rPr>
        <w:t>10%</w:t>
      </w:r>
      <w:r>
        <w:rPr/>
        <w:t>以上的股东情况</w:t>
      </w:r>
    </w:p>
    <w:p>
      <w:pPr>
        <w:spacing w:line="240" w:lineRule="auto" w:before="7"/>
        <w:rPr>
          <w:rFonts w:ascii="宋体" w:hAnsi="宋体" w:cs="宋体" w:eastAsia="宋体" w:hint="default"/>
          <w:sz w:val="16"/>
          <w:szCs w:val="16"/>
        </w:rPr>
      </w:pPr>
    </w:p>
    <w:p>
      <w:pPr>
        <w:pStyle w:val="BodyText"/>
        <w:spacing w:line="420" w:lineRule="auto"/>
        <w:ind w:right="84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w:t>
      </w:r>
      <w:r>
        <w:rPr>
          <w:w w:val="100"/>
        </w:rPr>
        <w:t> </w:t>
      </w:r>
      <w:r>
        <w:rPr/>
        <w:t>法人</w:t>
      </w:r>
    </w:p>
    <w:p>
      <w:pPr>
        <w:spacing w:after="0" w:line="420" w:lineRule="auto"/>
        <w:jc w:val="left"/>
        <w:sectPr>
          <w:pgSz w:w="11910" w:h="16840"/>
          <w:pgMar w:header="0" w:footer="1227" w:top="1100" w:bottom="1420" w:left="980" w:right="980"/>
        </w:sectPr>
      </w:pPr>
    </w:p>
    <w:p>
      <w:pPr>
        <w:spacing w:line="240" w:lineRule="auto" w:before="9"/>
        <w:rPr>
          <w:rFonts w:ascii="宋体" w:hAnsi="宋体" w:cs="宋体" w:eastAsia="宋体" w:hint="default"/>
          <w:sz w:val="26"/>
          <w:szCs w:val="26"/>
        </w:rPr>
      </w:pPr>
    </w:p>
    <w:p>
      <w:pPr>
        <w:pStyle w:val="BodyText"/>
        <w:spacing w:line="240" w:lineRule="auto" w:before="36"/>
        <w:ind w:right="140"/>
        <w:jc w:val="left"/>
      </w:pPr>
      <w:r>
        <w:rPr/>
        <w:t>最终控制层面持股情况</w:t>
      </w:r>
    </w:p>
    <w:p>
      <w:pPr>
        <w:spacing w:line="240" w:lineRule="auto" w:before="4"/>
        <w:rPr>
          <w:rFonts w:ascii="宋体" w:hAnsi="宋体" w:cs="宋体" w:eastAsia="宋体"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2835"/>
        <w:gridCol w:w="1985"/>
        <w:gridCol w:w="852"/>
        <w:gridCol w:w="1275"/>
        <w:gridCol w:w="1277"/>
        <w:gridCol w:w="1347"/>
      </w:tblGrid>
      <w:tr>
        <w:trPr>
          <w:trHeight w:val="443" w:hRule="exact"/>
        </w:trPr>
        <w:tc>
          <w:tcPr>
            <w:tcW w:w="283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504" w:right="0"/>
              <w:jc w:val="left"/>
              <w:rPr>
                <w:rFonts w:ascii="宋体" w:hAnsi="宋体" w:cs="宋体" w:eastAsia="宋体" w:hint="default"/>
                <w:sz w:val="18"/>
                <w:szCs w:val="18"/>
              </w:rPr>
            </w:pPr>
            <w:r>
              <w:rPr>
                <w:rFonts w:ascii="宋体" w:hAnsi="宋体" w:cs="宋体" w:eastAsia="宋体" w:hint="default"/>
                <w:sz w:val="18"/>
                <w:szCs w:val="18"/>
              </w:rPr>
              <w:t>最终控制层面股东名称</w:t>
            </w:r>
          </w:p>
        </w:tc>
        <w:tc>
          <w:tcPr>
            <w:tcW w:w="198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85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27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27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4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66" w:hRule="exact"/>
        </w:trPr>
        <w:tc>
          <w:tcPr>
            <w:tcW w:w="283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2"/>
              <w:ind w:left="14" w:right="0"/>
              <w:jc w:val="left"/>
              <w:rPr>
                <w:rFonts w:ascii="Times New Roman" w:hAnsi="Times New Roman" w:cs="Times New Roman" w:eastAsia="Times New Roman" w:hint="default"/>
                <w:sz w:val="18"/>
                <w:szCs w:val="18"/>
              </w:rPr>
            </w:pPr>
            <w:r>
              <w:rPr>
                <w:rFonts w:ascii="Times New Roman"/>
                <w:sz w:val="18"/>
              </w:rPr>
              <w:t>Sparkling Investment(BVI)</w:t>
            </w:r>
            <w:r>
              <w:rPr>
                <w:rFonts w:ascii="Times New Roman"/>
                <w:spacing w:val="-10"/>
                <w:sz w:val="18"/>
              </w:rPr>
              <w:t> </w:t>
            </w:r>
            <w:r>
              <w:rPr>
                <w:rFonts w:ascii="Times New Roman"/>
                <w:sz w:val="18"/>
              </w:rPr>
              <w:t>limited</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阎焱</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83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6736" w:type="dxa"/>
            <w:gridSpan w:val="5"/>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不详</w:t>
            </w:r>
          </w:p>
        </w:tc>
      </w:tr>
      <w:tr>
        <w:trPr>
          <w:trHeight w:val="463" w:hRule="exact"/>
        </w:trPr>
        <w:tc>
          <w:tcPr>
            <w:tcW w:w="283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经营成果、财务状况、现金流等</w:t>
            </w:r>
          </w:p>
        </w:tc>
        <w:tc>
          <w:tcPr>
            <w:tcW w:w="6736" w:type="dxa"/>
            <w:gridSpan w:val="5"/>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不详</w:t>
            </w:r>
          </w:p>
        </w:tc>
      </w:tr>
      <w:tr>
        <w:trPr>
          <w:trHeight w:val="722" w:hRule="exact"/>
        </w:trPr>
        <w:tc>
          <w:tcPr>
            <w:tcW w:w="283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49"/>
              <w:ind w:left="14" w:right="99"/>
              <w:jc w:val="left"/>
              <w:rPr>
                <w:rFonts w:ascii="宋体" w:hAnsi="宋体" w:cs="宋体" w:eastAsia="宋体" w:hint="default"/>
                <w:sz w:val="18"/>
                <w:szCs w:val="18"/>
              </w:rPr>
            </w:pPr>
            <w:r>
              <w:rPr>
                <w:rFonts w:ascii="宋体" w:hAnsi="宋体" w:cs="宋体" w:eastAsia="宋体" w:hint="default"/>
                <w:sz w:val="18"/>
                <w:szCs w:val="18"/>
              </w:rPr>
              <w:t>最终控制层面股东报告期内控制的 其他境内外上市公司的股权情况</w:t>
            </w:r>
          </w:p>
        </w:tc>
        <w:tc>
          <w:tcPr>
            <w:tcW w:w="6736" w:type="dxa"/>
            <w:gridSpan w:val="5"/>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不详</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36"/>
        <w:ind w:right="140"/>
        <w:jc w:val="left"/>
      </w:pPr>
      <w:r>
        <w:rPr/>
        <w:t>实际控制人报告期内变更</w:t>
      </w:r>
    </w:p>
    <w:p>
      <w:pPr>
        <w:spacing w:line="240" w:lineRule="auto" w:before="9"/>
        <w:rPr>
          <w:rFonts w:ascii="宋体" w:hAnsi="宋体" w:cs="宋体" w:eastAsia="宋体" w:hint="default"/>
          <w:sz w:val="17"/>
          <w:szCs w:val="17"/>
        </w:rPr>
      </w:pPr>
    </w:p>
    <w:p>
      <w:pPr>
        <w:pStyle w:val="BodyText"/>
        <w:spacing w:line="432" w:lineRule="auto"/>
        <w:ind w:right="49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t>公司报告期实际控制人未发生变更。</w:t>
      </w:r>
      <w:r>
        <w:rPr>
          <w:w w:val="100"/>
        </w:rPr>
        <w:t> </w:t>
      </w:r>
      <w:r>
        <w:rPr>
          <w:spacing w:val="-2"/>
        </w:rPr>
        <w:t>公司与实际控制人之间的产权及控制关系的方框图</w:t>
      </w:r>
    </w:p>
    <w:p>
      <w:pPr>
        <w:spacing w:line="240" w:lineRule="auto" w:before="12"/>
        <w:rPr>
          <w:rFonts w:ascii="宋体" w:hAnsi="宋体" w:cs="宋体" w:eastAsia="宋体" w:hint="default"/>
          <w:sz w:val="22"/>
          <w:szCs w:val="22"/>
        </w:rPr>
      </w:pPr>
    </w:p>
    <w:p>
      <w:pPr>
        <w:spacing w:line="4710" w:lineRule="exact"/>
        <w:ind w:left="1373"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4591049" cy="29908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36" cstate="print"/>
                    <a:stretch>
                      <a:fillRect/>
                    </a:stretch>
                  </pic:blipFill>
                  <pic:spPr>
                    <a:xfrm>
                      <a:off x="0" y="0"/>
                      <a:ext cx="4591049" cy="2990850"/>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0"/>
        <w:rPr>
          <w:rFonts w:ascii="宋体" w:hAnsi="宋体" w:cs="宋体" w:eastAsia="宋体" w:hint="default"/>
          <w:sz w:val="20"/>
          <w:szCs w:val="20"/>
        </w:rPr>
      </w:pPr>
    </w:p>
    <w:p>
      <w:pPr>
        <w:pStyle w:val="BodyText"/>
        <w:spacing w:line="240" w:lineRule="auto" w:before="145"/>
        <w:ind w:right="140"/>
        <w:jc w:val="left"/>
      </w:pPr>
      <w:r>
        <w:rPr/>
        <w:t>实际控制人通过信托或其他资产管理方式控制公司</w:t>
      </w:r>
    </w:p>
    <w:p>
      <w:pPr>
        <w:spacing w:line="240" w:lineRule="auto" w:before="12"/>
        <w:rPr>
          <w:rFonts w:ascii="宋体" w:hAnsi="宋体" w:cs="宋体" w:eastAsia="宋体" w:hint="default"/>
          <w:sz w:val="17"/>
          <w:szCs w:val="17"/>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0" w:footer="1227" w:top="1100" w:bottom="142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140"/>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1560"/>
        <w:gridCol w:w="1136"/>
        <w:gridCol w:w="991"/>
        <w:gridCol w:w="992"/>
        <w:gridCol w:w="1277"/>
        <w:gridCol w:w="3613"/>
      </w:tblGrid>
      <w:tr>
        <w:trPr>
          <w:trHeight w:val="766" w:hRule="exact"/>
        </w:trPr>
        <w:tc>
          <w:tcPr>
            <w:tcW w:w="156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13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70"/>
              <w:ind w:left="112" w:right="87"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9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99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1"/>
              <w:ind w:left="312" w:right="129"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c>
          <w:tcPr>
            <w:tcW w:w="127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361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811"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649"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4" w:right="84"/>
              <w:jc w:val="left"/>
              <w:rPr>
                <w:rFonts w:ascii="宋体" w:hAnsi="宋体" w:cs="宋体" w:eastAsia="宋体" w:hint="default"/>
                <w:sz w:val="18"/>
                <w:szCs w:val="18"/>
              </w:rPr>
            </w:pPr>
            <w:r>
              <w:rPr>
                <w:rFonts w:ascii="宋体" w:hAnsi="宋体" w:cs="宋体" w:eastAsia="宋体" w:hint="default"/>
                <w:sz w:val="18"/>
                <w:szCs w:val="18"/>
              </w:rPr>
              <w:t>天津信锐投资合伙 企业（有限合伙）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周一兵</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9"/>
              <w:jc w:val="center"/>
              <w:rPr>
                <w:rFonts w:ascii="Times New Roman" w:hAnsi="Times New Roman" w:cs="Times New Roman" w:eastAsia="Times New Roman" w:hint="default"/>
                <w:sz w:val="18"/>
                <w:szCs w:val="18"/>
              </w:rPr>
            </w:pPr>
            <w:r>
              <w:rPr>
                <w:rFonts w:ascii="Times New Roman"/>
                <w:sz w:val="18"/>
              </w:rPr>
              <w:t>57510790-9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32,951.97 </w:t>
            </w:r>
            <w:r>
              <w:rPr>
                <w:rFonts w:ascii="宋体" w:hAnsi="宋体" w:cs="宋体" w:eastAsia="宋体" w:hint="default"/>
                <w:sz w:val="18"/>
                <w:szCs w:val="18"/>
              </w:rPr>
              <w:t>万元</w:t>
            </w:r>
          </w:p>
        </w:tc>
        <w:tc>
          <w:tcPr>
            <w:tcW w:w="3613"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49"/>
              <w:ind w:left="24" w:right="12"/>
              <w:jc w:val="both"/>
              <w:rPr>
                <w:rFonts w:ascii="宋体" w:hAnsi="宋体" w:cs="宋体" w:eastAsia="宋体" w:hint="default"/>
                <w:sz w:val="18"/>
                <w:szCs w:val="18"/>
              </w:rPr>
            </w:pPr>
            <w:r>
              <w:rPr>
                <w:rFonts w:ascii="宋体" w:hAnsi="宋体" w:cs="宋体" w:eastAsia="宋体" w:hint="default"/>
                <w:spacing w:val="-3"/>
                <w:sz w:val="18"/>
                <w:szCs w:val="18"/>
              </w:rPr>
              <w:t>以自有资金对商业进行投资；投资咨询（不含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金融、证券、期货业务）；经济贸易资讯；企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业管理咨询；技术推广服务。（以上经营范围</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涉及行业许可的凭许可证件，在有效期限内经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营，国家有专项专营规定的按规定办理）。</w:t>
            </w:r>
          </w:p>
        </w:tc>
      </w:tr>
      <w:tr>
        <w:trPr>
          <w:trHeight w:val="1659" w:hRule="exact"/>
        </w:trPr>
        <w:tc>
          <w:tcPr>
            <w:tcW w:w="156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4" w:right="84"/>
              <w:jc w:val="left"/>
              <w:rPr>
                <w:rFonts w:ascii="宋体" w:hAnsi="宋体" w:cs="宋体" w:eastAsia="宋体" w:hint="default"/>
                <w:sz w:val="18"/>
                <w:szCs w:val="18"/>
              </w:rPr>
            </w:pPr>
            <w:r>
              <w:rPr>
                <w:rFonts w:ascii="宋体" w:hAnsi="宋体" w:cs="宋体" w:eastAsia="宋体" w:hint="default"/>
                <w:sz w:val="18"/>
                <w:szCs w:val="18"/>
              </w:rPr>
              <w:t>中新苏州工业园区 创业投资有限公司</w:t>
            </w:r>
          </w:p>
        </w:tc>
        <w:tc>
          <w:tcPr>
            <w:tcW w:w="1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林向红</w:t>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9"/>
              <w:jc w:val="center"/>
              <w:rPr>
                <w:rFonts w:ascii="Times New Roman" w:hAnsi="Times New Roman" w:cs="Times New Roman" w:eastAsia="Times New Roman" w:hint="default"/>
                <w:sz w:val="18"/>
                <w:szCs w:val="18"/>
              </w:rPr>
            </w:pPr>
            <w:r>
              <w:rPr>
                <w:rFonts w:ascii="Times New Roman"/>
                <w:sz w:val="18"/>
              </w:rPr>
              <w:t>73440967-3</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613" w:type="dxa"/>
            <w:tcBorders>
              <w:top w:val="single" w:sz="4" w:space="0" w:color="000000"/>
              <w:left w:val="single" w:sz="4" w:space="0" w:color="000000"/>
              <w:bottom w:val="single" w:sz="12" w:space="0" w:color="000000"/>
              <w:right w:val="single" w:sz="12" w:space="0" w:color="000000"/>
            </w:tcBorders>
          </w:tcPr>
          <w:p>
            <w:pPr>
              <w:pStyle w:val="TableParagraph"/>
              <w:spacing w:line="316" w:lineRule="auto" w:before="49"/>
              <w:ind w:left="24" w:right="8"/>
              <w:jc w:val="both"/>
              <w:rPr>
                <w:rFonts w:ascii="宋体" w:hAnsi="宋体" w:cs="宋体" w:eastAsia="宋体" w:hint="default"/>
                <w:sz w:val="18"/>
                <w:szCs w:val="18"/>
              </w:rPr>
            </w:pPr>
            <w:r>
              <w:rPr>
                <w:rFonts w:ascii="宋体" w:hAnsi="宋体" w:cs="宋体" w:eastAsia="宋体" w:hint="default"/>
                <w:spacing w:val="-3"/>
                <w:sz w:val="18"/>
                <w:szCs w:val="18"/>
              </w:rPr>
              <w:t>高新技术企业的直接投资，相关产业的创业投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资基金和创业投资管理公司的发起与管理；企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业收购、兼并、重组、上市策划，企业管理咨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询；国际经济技术交流及其相关业务；主营业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务以外的其他项目投资。</w:t>
            </w:r>
          </w:p>
        </w:tc>
      </w:tr>
    </w:tbl>
    <w:p>
      <w:pPr>
        <w:spacing w:line="240" w:lineRule="auto" w:before="3"/>
        <w:rPr>
          <w:rFonts w:ascii="宋体" w:hAnsi="宋体" w:cs="宋体" w:eastAsia="宋体" w:hint="default"/>
          <w:sz w:val="18"/>
          <w:szCs w:val="18"/>
        </w:rPr>
      </w:pPr>
    </w:p>
    <w:p>
      <w:pPr>
        <w:pStyle w:val="Heading2"/>
        <w:spacing w:line="240" w:lineRule="auto"/>
        <w:ind w:right="140"/>
        <w:jc w:val="left"/>
        <w:rPr>
          <w:b w:val="0"/>
          <w:bCs w:val="0"/>
        </w:rPr>
      </w:pPr>
      <w:r>
        <w:rPr/>
        <w:t>四、公司股东及其一致行动人在报告期提出或实施股份增持计划的情况</w:t>
      </w:r>
      <w:r>
        <w:rPr>
          <w:b w:val="0"/>
          <w:bCs w:val="0"/>
        </w:rPr>
      </w:r>
    </w:p>
    <w:p>
      <w:pPr>
        <w:spacing w:line="240" w:lineRule="auto" w:before="10"/>
        <w:rPr>
          <w:rFonts w:ascii="宋体" w:hAnsi="宋体" w:cs="宋体" w:eastAsia="宋体" w:hint="default"/>
          <w:b/>
          <w:bCs/>
          <w:sz w:val="30"/>
          <w:szCs w:val="30"/>
        </w:rPr>
      </w:pPr>
    </w:p>
    <w:p>
      <w:pPr>
        <w:pStyle w:val="BodyText"/>
        <w:spacing w:line="417" w:lineRule="auto"/>
        <w:ind w:right="2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在公司所知的范围内，没有公司股东及其一致行动人在报告期提出或实施股份增持计划。</w:t>
      </w:r>
    </w:p>
    <w:p>
      <w:pPr>
        <w:spacing w:after="0" w:line="417" w:lineRule="auto"/>
        <w:jc w:val="left"/>
        <w:sectPr>
          <w:pgSz w:w="11910" w:h="16840"/>
          <w:pgMar w:header="0"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324" w:right="2424"/>
        <w:jc w:val="center"/>
        <w:rPr>
          <w:b w:val="0"/>
          <w:bCs w:val="0"/>
        </w:rPr>
      </w:pPr>
      <w:bookmarkStart w:name="_TOC_250005" w:id="7"/>
      <w:r>
        <w:rPr/>
        <w:t>第七节优先股相关情况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pStyle w:val="BodyText"/>
        <w:spacing w:line="417" w:lineRule="auto" w:before="36"/>
        <w:ind w:right="66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报告期公司不存在优先股。</w:t>
      </w:r>
    </w:p>
    <w:p>
      <w:pPr>
        <w:spacing w:after="0" w:line="417" w:lineRule="auto"/>
        <w:jc w:val="left"/>
        <w:sectPr>
          <w:pgSz w:w="11910" w:h="16840"/>
          <w:pgMar w:header="0" w:footer="1227" w:top="1100" w:bottom="1420" w:left="980" w:right="980"/>
        </w:sectPr>
      </w:pPr>
    </w:p>
    <w:p>
      <w:pPr>
        <w:spacing w:before="15"/>
        <w:ind w:left="0" w:right="153" w:firstLine="0"/>
        <w:jc w:val="righ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8"/>
          <w:szCs w:val="18"/>
        </w:rPr>
      </w:pPr>
    </w:p>
    <w:p>
      <w:pPr>
        <w:pStyle w:val="Heading1"/>
        <w:spacing w:line="240" w:lineRule="auto"/>
        <w:ind w:left="3926" w:right="0"/>
        <w:jc w:val="left"/>
        <w:rPr>
          <w:b w:val="0"/>
          <w:bCs w:val="0"/>
        </w:rPr>
      </w:pPr>
      <w:bookmarkStart w:name="_TOC_250004" w:id="8"/>
      <w:r>
        <w:rPr/>
        <w:t>第八节董事、监事、高级管理人员和员工情况</w:t>
      </w:r>
      <w:bookmarkEnd w:id="8"/>
      <w:r>
        <w:rPr>
          <w:b w:val="0"/>
          <w:bCs w:val="0"/>
        </w:rPr>
      </w:r>
    </w:p>
    <w:p>
      <w:pPr>
        <w:spacing w:line="240" w:lineRule="auto" w:before="10"/>
        <w:rPr>
          <w:rFonts w:ascii="宋体" w:hAnsi="宋体" w:cs="宋体" w:eastAsia="宋体" w:hint="default"/>
          <w:b/>
          <w:bCs/>
          <w:sz w:val="25"/>
          <w:szCs w:val="25"/>
        </w:rPr>
      </w:pPr>
    </w:p>
    <w:p>
      <w:pPr>
        <w:pStyle w:val="Heading2"/>
        <w:spacing w:line="240" w:lineRule="auto" w:before="0"/>
        <w:ind w:left="160"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14"/>
          <w:szCs w:val="14"/>
        </w:rPr>
      </w:pPr>
    </w:p>
    <w:tbl>
      <w:tblPr>
        <w:tblW w:w="0" w:type="auto"/>
        <w:jc w:val="left"/>
        <w:tblInd w:w="116" w:type="dxa"/>
        <w:tblLayout w:type="fixed"/>
        <w:tblCellMar>
          <w:top w:w="0" w:type="dxa"/>
          <w:left w:w="0" w:type="dxa"/>
          <w:bottom w:w="0" w:type="dxa"/>
          <w:right w:w="0" w:type="dxa"/>
        </w:tblCellMar>
        <w:tblLook w:val="01E0"/>
      </w:tblPr>
      <w:tblGrid>
        <w:gridCol w:w="1023"/>
        <w:gridCol w:w="1985"/>
        <w:gridCol w:w="992"/>
        <w:gridCol w:w="994"/>
        <w:gridCol w:w="852"/>
        <w:gridCol w:w="1558"/>
        <w:gridCol w:w="1519"/>
        <w:gridCol w:w="1274"/>
        <w:gridCol w:w="1275"/>
        <w:gridCol w:w="1274"/>
        <w:gridCol w:w="1272"/>
      </w:tblGrid>
      <w:tr>
        <w:trPr>
          <w:trHeight w:val="725" w:hRule="exact"/>
        </w:trPr>
        <w:tc>
          <w:tcPr>
            <w:tcW w:w="102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姓名</w:t>
            </w:r>
          </w:p>
        </w:tc>
        <w:tc>
          <w:tcPr>
            <w:tcW w:w="198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9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9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5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5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1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27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（股）</w:t>
            </w:r>
          </w:p>
        </w:tc>
        <w:tc>
          <w:tcPr>
            <w:tcW w:w="127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9" w:right="92" w:hanging="89"/>
              <w:jc w:val="left"/>
              <w:rPr>
                <w:rFonts w:ascii="宋体" w:hAnsi="宋体" w:cs="宋体" w:eastAsia="宋体" w:hint="default"/>
                <w:sz w:val="18"/>
                <w:szCs w:val="18"/>
              </w:rPr>
            </w:pPr>
            <w:r>
              <w:rPr>
                <w:rFonts w:ascii="宋体" w:hAnsi="宋体" w:cs="宋体" w:eastAsia="宋体" w:hint="default"/>
                <w:sz w:val="18"/>
                <w:szCs w:val="18"/>
              </w:rPr>
              <w:t>本期增持股份 数量（股）</w:t>
            </w:r>
          </w:p>
        </w:tc>
        <w:tc>
          <w:tcPr>
            <w:tcW w:w="127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本期减持股份 数量（股）</w:t>
            </w:r>
          </w:p>
        </w:tc>
        <w:tc>
          <w:tcPr>
            <w:tcW w:w="127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7"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3" w:hRule="exact"/>
        </w:trPr>
        <w:tc>
          <w:tcPr>
            <w:tcW w:w="10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郭为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0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林杨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0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周一兵</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0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费建江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0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盛刚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0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缪伟刚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0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贺志强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0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罗振邦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0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王能光</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0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孟向阳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0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郑雪艳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0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杨九如</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0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许克勤</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0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何文潮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副总裁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0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厉军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副总裁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0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辛昕</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财务总监、董事会秘书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411" w:hRule="exact"/>
        </w:trPr>
        <w:tc>
          <w:tcPr>
            <w:tcW w:w="102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19"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12" w:space="0" w:color="000000"/>
              <w:right w:val="single" w:sz="4" w:space="0" w:color="000000"/>
            </w:tcBorders>
            <w:shd w:val="clear" w:color="auto" w:fill="D9D9D9"/>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12" w:space="0" w:color="000000"/>
              <w:right w:val="single" w:sz="4" w:space="0" w:color="000000"/>
            </w:tcBorders>
            <w:shd w:val="clear" w:color="auto" w:fill="D9D9D9"/>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12"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12" w:space="0" w:color="000000"/>
              <w:right w:val="single" w:sz="12" w:space="0" w:color="000000"/>
            </w:tcBorders>
            <w:shd w:val="clear" w:color="auto" w:fill="D9D9D9"/>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2"/>
        <w:rPr>
          <w:rFonts w:ascii="宋体" w:hAnsi="宋体" w:cs="宋体" w:eastAsia="宋体" w:hint="default"/>
          <w:b/>
          <w:bCs/>
          <w:sz w:val="11"/>
          <w:szCs w:val="11"/>
        </w:rPr>
      </w:pPr>
    </w:p>
    <w:p>
      <w:pPr>
        <w:spacing w:before="76"/>
        <w:ind w:left="4821" w:right="4819" w:firstLine="0"/>
        <w:jc w:val="center"/>
        <w:rPr>
          <w:rFonts w:ascii="Times New Roman" w:hAnsi="Times New Roman" w:cs="Times New Roman" w:eastAsia="Times New Roman" w:hint="default"/>
          <w:sz w:val="18"/>
          <w:szCs w:val="18"/>
        </w:rPr>
      </w:pPr>
      <w:r>
        <w:rPr>
          <w:rFonts w:ascii="Times New Roman"/>
          <w:sz w:val="18"/>
        </w:rPr>
        <w:t>72</w:t>
      </w:r>
    </w:p>
    <w:p>
      <w:pPr>
        <w:spacing w:after="0"/>
        <w:jc w:val="center"/>
        <w:rPr>
          <w:rFonts w:ascii="Times New Roman" w:hAnsi="Times New Roman" w:cs="Times New Roman" w:eastAsia="Times New Roman" w:hint="default"/>
          <w:sz w:val="18"/>
          <w:szCs w:val="18"/>
        </w:rPr>
        <w:sectPr>
          <w:headerReference w:type="default" r:id="rId37"/>
          <w:footerReference w:type="default" r:id="rId38"/>
          <w:pgSz w:w="16840" w:h="11910" w:orient="landscape"/>
          <w:pgMar w:header="0" w:footer="0" w:top="800" w:bottom="280" w:left="1280" w:right="128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ind w:right="140"/>
        <w:jc w:val="left"/>
        <w:rPr>
          <w:b w:val="0"/>
          <w:bCs w:val="0"/>
        </w:rPr>
      </w:pPr>
      <w:r>
        <w:rPr/>
        <w:t>二、任职情况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140"/>
        <w:jc w:val="left"/>
      </w:pPr>
      <w:r>
        <w:rPr/>
        <w:t>公司现任董事、监事、高级管理人员最近</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spacing w:line="240" w:lineRule="auto" w:before="6"/>
        <w:rPr>
          <w:rFonts w:ascii="宋体" w:hAnsi="宋体" w:cs="宋体" w:eastAsia="宋体" w:hint="default"/>
          <w:sz w:val="16"/>
          <w:szCs w:val="16"/>
        </w:rPr>
      </w:pPr>
    </w:p>
    <w:p>
      <w:pPr>
        <w:pStyle w:val="Heading4"/>
        <w:spacing w:line="240" w:lineRule="auto"/>
        <w:ind w:left="575" w:right="140"/>
        <w:jc w:val="left"/>
        <w:rPr>
          <w:b w:val="0"/>
          <w:bCs w:val="0"/>
        </w:rPr>
      </w:pPr>
      <w:r>
        <w:rPr/>
        <w:t>（一）董事会成员</w:t>
      </w:r>
      <w:r>
        <w:rPr>
          <w:b w:val="0"/>
          <w:bCs w:val="0"/>
        </w:rPr>
      </w:r>
    </w:p>
    <w:p>
      <w:pPr>
        <w:spacing w:line="240" w:lineRule="auto" w:before="12"/>
        <w:rPr>
          <w:rFonts w:ascii="宋体" w:hAnsi="宋体" w:cs="宋体" w:eastAsia="宋体" w:hint="default"/>
          <w:b/>
          <w:bCs/>
          <w:sz w:val="17"/>
          <w:szCs w:val="17"/>
        </w:rPr>
      </w:pPr>
    </w:p>
    <w:p>
      <w:pPr>
        <w:pStyle w:val="BodyText"/>
        <w:spacing w:line="386" w:lineRule="auto"/>
        <w:ind w:right="246" w:firstLine="420"/>
        <w:jc w:val="both"/>
        <w:rPr>
          <w:rFonts w:ascii="Times New Roman" w:hAnsi="Times New Roman" w:cs="Times New Roman" w:eastAsia="Times New Roman" w:hint="default"/>
        </w:rPr>
      </w:pPr>
      <w:r>
        <w:rPr/>
        <w:t>郭为，男，</w:t>
      </w:r>
      <w:r>
        <w:rPr>
          <w:rFonts w:ascii="Times New Roman" w:hAnsi="Times New Roman" w:cs="Times New Roman" w:eastAsia="Times New Roman" w:hint="default"/>
        </w:rPr>
        <w:t>52</w:t>
      </w:r>
      <w:r>
        <w:rPr>
          <w:rFonts w:ascii="Times New Roman" w:hAnsi="Times New Roman" w:cs="Times New Roman" w:eastAsia="Times New Roman" w:hint="default"/>
          <w:spacing w:val="-3"/>
        </w:rPr>
        <w:t> </w:t>
      </w:r>
      <w:r>
        <w:rPr/>
        <w:t>岁，毕业于中国科技大学工学院，获硕士学位。</w:t>
      </w:r>
      <w:r>
        <w:rPr>
          <w:rFonts w:ascii="Times New Roman" w:hAnsi="Times New Roman" w:cs="Times New Roman" w:eastAsia="Times New Roman" w:hint="default"/>
        </w:rPr>
        <w:t>2007 </w:t>
      </w:r>
      <w:r>
        <w:rPr/>
        <w:t>年</w:t>
      </w:r>
      <w:r>
        <w:rPr>
          <w:spacing w:val="-55"/>
        </w:rPr>
        <w:t> </w:t>
      </w:r>
      <w:r>
        <w:rPr>
          <w:rFonts w:ascii="Times New Roman" w:hAnsi="Times New Roman" w:cs="Times New Roman" w:eastAsia="Times New Roman" w:hint="default"/>
        </w:rPr>
        <w:t>4 </w:t>
      </w:r>
      <w:r>
        <w:rPr>
          <w:spacing w:val="-2"/>
        </w:rPr>
        <w:t>月</w:t>
      </w: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t>年</w:t>
      </w:r>
      <w:r>
        <w:rPr>
          <w:spacing w:val="-55"/>
        </w:rPr>
        <w:t> </w:t>
      </w:r>
      <w:r>
        <w:rPr>
          <w:rFonts w:ascii="Times New Roman" w:hAnsi="Times New Roman" w:cs="Times New Roman" w:eastAsia="Times New Roman" w:hint="default"/>
        </w:rPr>
        <w:t>3 </w:t>
      </w:r>
      <w:r>
        <w:rPr/>
        <w:t>月，任神州数</w:t>
      </w:r>
      <w:r>
        <w:rPr>
          <w:w w:val="100"/>
        </w:rPr>
        <w:t> </w:t>
      </w:r>
      <w:r>
        <w:rPr/>
        <w:t>码控股有限公司董事局主席兼首席执行官，</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月至今任神州数码控股有限公司董事局主席；</w:t>
      </w:r>
      <w:r>
        <w:rPr>
          <w:rFonts w:ascii="Times New Roman" w:hAnsi="Times New Roman" w:cs="Times New Roman" w:eastAsia="Times New Roman" w:hint="default"/>
        </w:rPr>
        <w:t>2011</w:t>
      </w:r>
      <w:r>
        <w:rPr>
          <w:rFonts w:ascii="Times New Roman" w:hAnsi="Times New Roman" w:cs="Times New Roman" w:eastAsia="Times New Roman" w:hint="default"/>
          <w:w w:val="100"/>
        </w:rPr>
        <w:t> </w:t>
      </w:r>
      <w:r>
        <w:rPr>
          <w:w w:val="100"/>
        </w:rPr>
        <w:t>年</w:t>
      </w:r>
      <w:r>
        <w:rPr>
          <w:spacing w:val="-58"/>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4"/>
          <w:w w:val="100"/>
        </w:rPr>
        <w:t> </w:t>
      </w:r>
      <w:r>
        <w:rPr>
          <w:w w:val="100"/>
        </w:rPr>
        <w:t>月至</w:t>
      </w:r>
      <w:r>
        <w:rPr>
          <w:spacing w:val="-58"/>
          <w:w w:val="100"/>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spacing w:val="-4"/>
          <w:w w:val="100"/>
        </w:rPr>
        <w:t> </w:t>
      </w:r>
      <w:r>
        <w:rPr>
          <w:w w:val="100"/>
        </w:rPr>
        <w:t>年</w:t>
      </w:r>
      <w:r>
        <w:rPr>
          <w:spacing w:val="-60"/>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4"/>
          <w:w w:val="100"/>
        </w:rPr>
        <w:t> </w:t>
      </w:r>
      <w:r>
        <w:rPr>
          <w:spacing w:val="-8"/>
          <w:w w:val="100"/>
        </w:rPr>
        <w:t>月任鼎捷软件股份有限公司董事；</w:t>
      </w:r>
      <w:r>
        <w:rPr>
          <w:rFonts w:ascii="Times New Roman" w:hAnsi="Times New Roman" w:cs="Times New Roman" w:eastAsia="Times New Roman" w:hint="default"/>
          <w:spacing w:val="-8"/>
          <w:w w:val="100"/>
        </w:rPr>
        <w:t>2011</w:t>
      </w:r>
      <w:r>
        <w:rPr>
          <w:rFonts w:ascii="Times New Roman" w:hAnsi="Times New Roman" w:cs="Times New Roman" w:eastAsia="Times New Roman" w:hint="default"/>
          <w:spacing w:val="-4"/>
          <w:w w:val="100"/>
        </w:rPr>
        <w:t> </w:t>
      </w:r>
      <w:r>
        <w:rPr>
          <w:w w:val="100"/>
        </w:rPr>
        <w:t>年</w:t>
      </w:r>
      <w:r>
        <w:rPr>
          <w:spacing w:val="-58"/>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8"/>
          <w:w w:val="100"/>
        </w:rPr>
        <w:t> </w:t>
      </w:r>
      <w:r>
        <w:rPr>
          <w:spacing w:val="-7"/>
          <w:w w:val="100"/>
        </w:rPr>
        <w:t>月至今任慧聪网有限公司非执行董事；</w:t>
      </w:r>
      <w:r>
        <w:rPr>
          <w:rFonts w:ascii="Times New Roman" w:hAnsi="Times New Roman" w:cs="Times New Roman" w:eastAsia="Times New Roman" w:hint="default"/>
          <w:spacing w:val="-7"/>
          <w:w w:val="100"/>
        </w:rPr>
        <w:t>2010</w:t>
      </w:r>
    </w:p>
    <w:p>
      <w:pPr>
        <w:pStyle w:val="BodyText"/>
        <w:spacing w:line="386" w:lineRule="auto" w:before="35"/>
        <w:ind w:right="140"/>
        <w:jc w:val="left"/>
      </w:pP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月至今任上海浦东发展银行股份有限公司独立董事；</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月至今任泰康人寿保险股份有限公司</w:t>
      </w:r>
      <w:r>
        <w:rPr>
          <w:w w:val="100"/>
        </w:rPr>
        <w:t> </w:t>
      </w:r>
      <w:r>
        <w:rPr/>
        <w:t>独立董事；</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月至今任神州数码信息服务股份有限公司董事长。</w:t>
      </w:r>
    </w:p>
    <w:p>
      <w:pPr>
        <w:pStyle w:val="BodyText"/>
        <w:spacing w:line="386" w:lineRule="auto" w:before="76"/>
        <w:ind w:right="244" w:firstLine="420"/>
        <w:jc w:val="both"/>
      </w:pPr>
      <w:r>
        <w:rPr>
          <w:spacing w:val="-5"/>
        </w:rPr>
        <w:t>林杨，男，</w:t>
      </w:r>
      <w:r>
        <w:rPr>
          <w:rFonts w:ascii="Times New Roman" w:hAnsi="Times New Roman" w:cs="Times New Roman" w:eastAsia="Times New Roman" w:hint="default"/>
          <w:spacing w:val="-5"/>
        </w:rPr>
        <w:t>48 </w:t>
      </w:r>
      <w:r>
        <w:rPr>
          <w:spacing w:val="-3"/>
        </w:rPr>
        <w:t>岁，毕业于西安电子科技大学，获得计算机通讯学士学位，并于 </w:t>
      </w:r>
      <w:r>
        <w:rPr>
          <w:rFonts w:ascii="Times New Roman" w:hAnsi="Times New Roman" w:cs="Times New Roman" w:eastAsia="Times New Roman" w:hint="default"/>
        </w:rPr>
        <w:t>2005</w:t>
      </w:r>
      <w:r>
        <w:rPr>
          <w:rFonts w:ascii="Times New Roman" w:hAnsi="Times New Roman" w:cs="Times New Roman" w:eastAsia="Times New Roman" w:hint="default"/>
          <w:spacing w:val="-6"/>
        </w:rPr>
        <w:t> </w:t>
      </w:r>
      <w:r>
        <w:rPr/>
        <w:t>年毕业于长江商</w:t>
      </w:r>
      <w:r>
        <w:rPr>
          <w:w w:val="100"/>
        </w:rPr>
        <w:t> </w:t>
      </w:r>
      <w:r>
        <w:rPr>
          <w:spacing w:val="-12"/>
          <w:w w:val="100"/>
        </w:rPr>
        <w:t>学院，获得工商管理硕士学位。</w:t>
      </w:r>
      <w:r>
        <w:rPr>
          <w:rFonts w:ascii="Times New Roman" w:hAnsi="Times New Roman" w:cs="Times New Roman" w:eastAsia="Times New Roman" w:hint="default"/>
          <w:spacing w:val="-12"/>
          <w:w w:val="100"/>
        </w:rPr>
        <w:t>2008</w:t>
      </w:r>
      <w:r>
        <w:rPr>
          <w:rFonts w:ascii="Times New Roman" w:hAnsi="Times New Roman" w:cs="Times New Roman" w:eastAsia="Times New Roman" w:hint="default"/>
          <w:w w:val="100"/>
        </w:rPr>
        <w:t> </w:t>
      </w:r>
      <w:r>
        <w:rPr>
          <w:w w:val="100"/>
        </w:rPr>
        <w:t>年</w:t>
      </w:r>
      <w:r>
        <w:rPr>
          <w:spacing w:val="-50"/>
          <w:w w:val="100"/>
        </w:rPr>
        <w:t> </w:t>
      </w:r>
      <w:r>
        <w:rPr>
          <w:rFonts w:ascii="Times New Roman" w:hAnsi="Times New Roman" w:cs="Times New Roman" w:eastAsia="Times New Roman" w:hint="default"/>
          <w:w w:val="100"/>
        </w:rPr>
        <w:t>4 </w:t>
      </w:r>
      <w:r>
        <w:rPr>
          <w:spacing w:val="-2"/>
          <w:w w:val="100"/>
        </w:rPr>
        <w:t>月</w:t>
      </w:r>
      <w:r>
        <w:rPr>
          <w:rFonts w:ascii="Times New Roman" w:hAnsi="Times New Roman" w:cs="Times New Roman" w:eastAsia="Times New Roman" w:hint="default"/>
          <w:spacing w:val="-2"/>
          <w:w w:val="100"/>
        </w:rPr>
        <w:t>-2011</w:t>
      </w:r>
      <w:r>
        <w:rPr>
          <w:rFonts w:ascii="Times New Roman" w:hAnsi="Times New Roman" w:cs="Times New Roman" w:eastAsia="Times New Roman" w:hint="default"/>
          <w:spacing w:val="3"/>
          <w:w w:val="100"/>
        </w:rPr>
        <w:t> </w:t>
      </w:r>
      <w:r>
        <w:rPr>
          <w:w w:val="100"/>
        </w:rPr>
        <w:t>月</w:t>
      </w:r>
      <w:r>
        <w:rPr>
          <w:spacing w:val="-52"/>
          <w:w w:val="100"/>
        </w:rPr>
        <w:t> </w:t>
      </w:r>
      <w:r>
        <w:rPr>
          <w:rFonts w:ascii="Times New Roman" w:hAnsi="Times New Roman" w:cs="Times New Roman" w:eastAsia="Times New Roman" w:hint="default"/>
          <w:w w:val="100"/>
        </w:rPr>
        <w:t>3 </w:t>
      </w:r>
      <w:r>
        <w:rPr>
          <w:spacing w:val="-6"/>
          <w:w w:val="100"/>
        </w:rPr>
        <w:t>月，任神州数码控股有限公司总裁兼执行董事；</w:t>
      </w:r>
      <w:r>
        <w:rPr>
          <w:rFonts w:ascii="Times New Roman" w:hAnsi="Times New Roman" w:cs="Times New Roman" w:eastAsia="Times New Roman" w:hint="default"/>
          <w:spacing w:val="-6"/>
          <w:w w:val="100"/>
        </w:rPr>
        <w:t>2011</w:t>
      </w:r>
      <w:r>
        <w:rPr>
          <w:rFonts w:ascii="Times New Roman" w:hAnsi="Times New Roman" w:cs="Times New Roman" w:eastAsia="Times New Roman" w:hint="default"/>
          <w:spacing w:val="-51"/>
          <w:w w:val="100"/>
        </w:rPr>
        <w:t> </w:t>
      </w:r>
      <w:r>
        <w:rPr>
          <w:rFonts w:ascii="Times New Roman" w:hAnsi="Times New Roman" w:cs="Times New Roman" w:eastAsia="Times New Roman" w:hint="default"/>
          <w:spacing w:val="-51"/>
          <w:w w:val="100"/>
        </w:rPr>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月至今神州数码控股有限公司</w:t>
      </w:r>
      <w:r>
        <w:rPr>
          <w:spacing w:val="-54"/>
        </w:rPr>
        <w:t> </w:t>
      </w:r>
      <w:r>
        <w:rPr>
          <w:rFonts w:ascii="Times New Roman" w:hAnsi="Times New Roman" w:cs="Times New Roman" w:eastAsia="Times New Roman" w:hint="default"/>
        </w:rPr>
        <w:t>CEO </w:t>
      </w:r>
      <w:r>
        <w:rPr>
          <w:spacing w:val="-8"/>
        </w:rPr>
        <w:t>兼执行董事；</w:t>
      </w:r>
      <w:r>
        <w:rPr>
          <w:rFonts w:ascii="Times New Roman" w:hAnsi="Times New Roman" w:cs="Times New Roman" w:eastAsia="Times New Roman" w:hint="default"/>
          <w:spacing w:val="-8"/>
        </w:rPr>
        <w:t>2008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月至今任神州数码信息服务股份有限公司</w:t>
      </w:r>
      <w:r>
        <w:rPr>
          <w:w w:val="100"/>
        </w:rPr>
        <w:t> </w:t>
      </w:r>
      <w:r>
        <w:rPr/>
        <w:t>董事，自</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月起担任神州数码信息服务股份有限公司副董事长。</w:t>
      </w:r>
    </w:p>
    <w:p>
      <w:pPr>
        <w:pStyle w:val="BodyText"/>
        <w:spacing w:line="240" w:lineRule="auto" w:before="74"/>
        <w:ind w:left="573" w:right="140"/>
        <w:jc w:val="left"/>
      </w:pPr>
      <w:r>
        <w:rPr/>
        <w:t>周一兵，男，</w:t>
      </w:r>
      <w:r>
        <w:rPr>
          <w:rFonts w:ascii="Times New Roman" w:hAnsi="Times New Roman" w:cs="Times New Roman" w:eastAsia="Times New Roman" w:hint="default"/>
        </w:rPr>
        <w:t>51 </w:t>
      </w:r>
      <w:r>
        <w:rPr/>
        <w:t>岁，</w:t>
      </w:r>
      <w:r>
        <w:rPr>
          <w:rFonts w:ascii="Times New Roman" w:hAnsi="Times New Roman" w:cs="Times New Roman" w:eastAsia="Times New Roman" w:hint="default"/>
        </w:rPr>
        <w:t>1981 </w:t>
      </w:r>
      <w:r>
        <w:rPr/>
        <w:t>年</w:t>
      </w:r>
      <w:r>
        <w:rPr>
          <w:rFonts w:ascii="Times New Roman" w:hAnsi="Times New Roman" w:cs="Times New Roman" w:eastAsia="Times New Roman" w:hint="default"/>
        </w:rPr>
        <w:t>-1985 </w:t>
      </w:r>
      <w:r>
        <w:rPr/>
        <w:t>年，就读于中国科学技术大学，流体力学专业本科毕业；</w:t>
      </w:r>
      <w:r>
        <w:rPr>
          <w:rFonts w:ascii="Times New Roman" w:hAnsi="Times New Roman" w:cs="Times New Roman" w:eastAsia="Times New Roman" w:hint="default"/>
        </w:rPr>
        <w:t>1985</w:t>
      </w:r>
      <w:r>
        <w:rPr>
          <w:rFonts w:ascii="Times New Roman" w:hAnsi="Times New Roman" w:cs="Times New Roman" w:eastAsia="Times New Roman" w:hint="default"/>
          <w:spacing w:val="-11"/>
        </w:rPr>
        <w:t> </w:t>
      </w:r>
      <w:r>
        <w:rPr/>
        <w:t>年</w:t>
      </w:r>
    </w:p>
    <w:p>
      <w:pPr>
        <w:pStyle w:val="BodyText"/>
        <w:spacing w:line="386" w:lineRule="auto" w:before="177"/>
        <w:ind w:right="246"/>
        <w:jc w:val="both"/>
      </w:pPr>
      <w:r>
        <w:rPr>
          <w:rFonts w:ascii="Times New Roman" w:hAnsi="Times New Roman" w:cs="Times New Roman" w:eastAsia="Times New Roman" w:hint="default"/>
        </w:rPr>
        <w:t>-1989 </w:t>
      </w:r>
      <w:r>
        <w:rPr/>
        <w:t>年，就读于中国科学技术大学，获精密机械与仪器专业硕士学历。</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月，任神</w:t>
      </w:r>
      <w:r>
        <w:rPr>
          <w:w w:val="100"/>
        </w:rPr>
        <w:t> </w:t>
      </w:r>
      <w:r>
        <w:rPr/>
        <w:t>州数码控股有限公司副总裁、神州数码信息技术服务有限公司副总裁兼集成服务战略本部总裁；</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w w:val="100"/>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2"/>
        </w:rPr>
        <w:t>月</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月，任神州数码控股有限公司副总裁、神州数码信息技术服务有限公司总裁兼集成服务战</w:t>
      </w:r>
      <w:r>
        <w:rPr>
          <w:w w:val="100"/>
        </w:rPr>
        <w:t> </w:t>
      </w:r>
      <w:r>
        <w:rPr/>
        <w:t>略本部总裁；</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月至今任鼎捷软件股份有限公司董事；</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月至今任神州数码信息服务股份</w:t>
      </w:r>
      <w:r>
        <w:rPr>
          <w:w w:val="100"/>
        </w:rPr>
        <w:t> </w:t>
      </w:r>
      <w:r>
        <w:rPr/>
        <w:t>有限公司董事、总裁。</w:t>
      </w:r>
    </w:p>
    <w:p>
      <w:pPr>
        <w:pStyle w:val="BodyText"/>
        <w:spacing w:line="386" w:lineRule="auto" w:before="106"/>
        <w:ind w:right="244" w:firstLine="420"/>
        <w:jc w:val="both"/>
      </w:pPr>
      <w:r>
        <w:rPr/>
        <w:t>费建江，男，</w:t>
      </w:r>
      <w:r>
        <w:rPr>
          <w:rFonts w:ascii="Times New Roman" w:hAnsi="Times New Roman" w:cs="Times New Roman" w:eastAsia="Times New Roman" w:hint="default"/>
        </w:rPr>
        <w:t>44</w:t>
      </w:r>
      <w:r>
        <w:rPr>
          <w:rFonts w:ascii="Times New Roman" w:hAnsi="Times New Roman" w:cs="Times New Roman" w:eastAsia="Times New Roman" w:hint="default"/>
          <w:spacing w:val="-1"/>
        </w:rPr>
        <w:t> </w:t>
      </w:r>
      <w:r>
        <w:rPr/>
        <w:t>岁，西安交通大学</w:t>
      </w:r>
      <w:r>
        <w:rPr>
          <w:spacing w:val="-56"/>
        </w:rPr>
        <w:t> </w:t>
      </w:r>
      <w:r>
        <w:rPr>
          <w:rFonts w:ascii="Times New Roman" w:hAnsi="Times New Roman" w:cs="Times New Roman" w:eastAsia="Times New Roman" w:hint="default"/>
        </w:rPr>
        <w:t>EMBA</w:t>
      </w:r>
      <w:r>
        <w:rPr/>
        <w:t>，会计师。</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spacing w:val="-4"/>
        </w:rPr>
        <w:t>11 </w:t>
      </w:r>
      <w:r>
        <w:rPr/>
        <w:t>月至</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月任华亿创业投资</w:t>
      </w:r>
      <w:r>
        <w:rPr>
          <w:w w:val="100"/>
        </w:rPr>
        <w:t> </w:t>
      </w:r>
      <w:r>
        <w:rPr/>
        <w:t>管理（苏州）有限公司董事；</w:t>
      </w: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月至今任华圆管理咨询（香港）有限公司执行董事；</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w w:val="100"/>
        </w:rPr>
        <w:t> </w:t>
      </w:r>
      <w:r>
        <w:rPr/>
        <w:t>至</w:t>
      </w:r>
      <w:r>
        <w:rPr>
          <w:spacing w:val="-4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spacing w:val="-4"/>
        </w:rPr>
        <w:t>月任苏州元禾控股有限公司董事、常务副总裁；</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月至</w:t>
      </w:r>
      <w:r>
        <w:rPr>
          <w:spacing w:val="-4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月任苏州华亿创</w:t>
      </w:r>
      <w:r>
        <w:rPr>
          <w:spacing w:val="-103"/>
        </w:rPr>
        <w:t> </w:t>
      </w:r>
      <w:r>
        <w:rPr>
          <w:spacing w:val="-103"/>
        </w:rPr>
      </w:r>
      <w:r>
        <w:rPr>
          <w:spacing w:val="-14"/>
        </w:rPr>
        <w:t>业投资中心（有限合伙）董事；</w:t>
      </w:r>
      <w:r>
        <w:rPr>
          <w:rFonts w:ascii="Times New Roman" w:hAnsi="Times New Roman" w:cs="Times New Roman" w:eastAsia="Times New Roman" w:hint="default"/>
          <w:spacing w:val="-14"/>
        </w:rPr>
        <w:t>2009</w:t>
      </w:r>
      <w:r>
        <w:rPr>
          <w:rFonts w:ascii="Times New Roman" w:hAnsi="Times New Roman" w:cs="Times New Roman" w:eastAsia="Times New Roman" w:hint="default"/>
          <w:spacing w:val="12"/>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spacing w:val="-5"/>
        </w:rPr>
        <w:t>月至今任苏州相城高新创业投资有限公司董事；</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rFonts w:ascii="Times New Roman" w:hAnsi="Times New Roman" w:cs="Times New Roman" w:eastAsia="Times New Roman" w:hint="default"/>
        </w:rPr>
        <w:t>-2013</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w w:val="100"/>
        </w:rPr>
        <w:t>年</w:t>
      </w:r>
      <w:r>
        <w:rPr>
          <w:spacing w:val="-52"/>
          <w:w w:val="100"/>
        </w:rPr>
        <w:t>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spacing w:val="-2"/>
          <w:w w:val="100"/>
        </w:rPr>
        <w:t> </w:t>
      </w:r>
      <w:r>
        <w:rPr>
          <w:spacing w:val="-8"/>
          <w:w w:val="100"/>
        </w:rPr>
        <w:t>月，任中新苏州工业园区创业投资有限公司总经理；</w:t>
      </w:r>
      <w:r>
        <w:rPr>
          <w:rFonts w:ascii="Times New Roman" w:hAnsi="Times New Roman" w:cs="Times New Roman" w:eastAsia="Times New Roman" w:hint="default"/>
          <w:spacing w:val="-8"/>
          <w:w w:val="100"/>
        </w:rPr>
        <w:t>2010</w:t>
      </w:r>
      <w:r>
        <w:rPr>
          <w:rFonts w:ascii="Times New Roman" w:hAnsi="Times New Roman" w:cs="Times New Roman" w:eastAsia="Times New Roman" w:hint="default"/>
          <w:spacing w:val="1"/>
          <w:w w:val="100"/>
        </w:rPr>
        <w:t> </w:t>
      </w:r>
      <w:r>
        <w:rPr>
          <w:w w:val="100"/>
        </w:rPr>
        <w:t>年</w:t>
      </w:r>
      <w:r>
        <w:rPr>
          <w:spacing w:val="-55"/>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1"/>
          <w:w w:val="100"/>
        </w:rPr>
        <w:t> </w:t>
      </w:r>
      <w:r>
        <w:rPr>
          <w:spacing w:val="-2"/>
          <w:w w:val="100"/>
        </w:rPr>
        <w:t>月至</w:t>
      </w:r>
      <w:r>
        <w:rPr>
          <w:spacing w:val="-52"/>
          <w:w w:val="100"/>
        </w:rPr>
        <w:t> </w:t>
      </w:r>
      <w:r>
        <w:rPr>
          <w:rFonts w:ascii="Times New Roman" w:hAnsi="Times New Roman" w:cs="Times New Roman" w:eastAsia="Times New Roman" w:hint="default"/>
          <w:spacing w:val="-1"/>
          <w:w w:val="100"/>
        </w:rPr>
        <w:t>2013 </w:t>
      </w:r>
      <w:r>
        <w:rPr>
          <w:w w:val="100"/>
        </w:rPr>
        <w:t>年</w:t>
      </w:r>
      <w:r>
        <w:rPr>
          <w:spacing w:val="-52"/>
          <w:w w:val="100"/>
        </w:rPr>
        <w:t>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spacing w:val="-2"/>
          <w:w w:val="100"/>
        </w:rPr>
        <w:t> </w:t>
      </w:r>
      <w:r>
        <w:rPr>
          <w:spacing w:val="-11"/>
          <w:w w:val="100"/>
        </w:rPr>
        <w:t>月任凯瑞斯德生化（苏</w:t>
      </w:r>
    </w:p>
    <w:p>
      <w:pPr>
        <w:pStyle w:val="BodyText"/>
        <w:spacing w:line="240" w:lineRule="auto" w:before="35"/>
        <w:ind w:right="140"/>
        <w:jc w:val="left"/>
      </w:pPr>
      <w:r>
        <w:rPr>
          <w:spacing w:val="-6"/>
        </w:rPr>
        <w:t>州）有限公司董事长；</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月至</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月任苏州工业园区原点创业投资有限公司及凯风创业投资</w:t>
      </w:r>
    </w:p>
    <w:p>
      <w:pPr>
        <w:pStyle w:val="BodyText"/>
        <w:spacing w:line="240" w:lineRule="auto" w:before="177"/>
        <w:ind w:right="140"/>
        <w:jc w:val="left"/>
        <w:rPr>
          <w:rFonts w:ascii="Times New Roman" w:hAnsi="Times New Roman" w:cs="Times New Roman" w:eastAsia="Times New Roman" w:hint="default"/>
        </w:rPr>
      </w:pPr>
      <w:r>
        <w:rPr/>
        <w:t>有限公司执行董事；</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月任苏州工业园区方正国际软件有限公司董事；</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w:t>
      </w:r>
    </w:p>
    <w:p>
      <w:pPr>
        <w:pStyle w:val="BodyText"/>
        <w:spacing w:line="240" w:lineRule="auto" w:before="177"/>
        <w:ind w:right="140"/>
        <w:jc w:val="left"/>
      </w:pPr>
      <w:r>
        <w:rPr>
          <w:spacing w:val="-5"/>
        </w:rPr>
        <w:t>月至今任沪士电子股份有限公司董事；</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月至</w:t>
      </w:r>
      <w:r>
        <w:rPr>
          <w:spacing w:val="-4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spacing w:val="-8"/>
        </w:rPr>
        <w:t>月任盛科网络（苏州）有限公司董事长；</w:t>
      </w:r>
    </w:p>
    <w:p>
      <w:pPr>
        <w:pStyle w:val="BodyText"/>
        <w:spacing w:line="386" w:lineRule="auto" w:before="177"/>
        <w:ind w:right="241"/>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月至今任江苏和顺环保股份有限公司董事；</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月至今任苏州晶方半导体科技股份有限公</w:t>
      </w:r>
      <w:r>
        <w:rPr>
          <w:w w:val="100"/>
        </w:rPr>
        <w:t> </w:t>
      </w:r>
      <w:r>
        <w:rPr/>
        <w:t>司董事；</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月至今任苏州工业园区原点正则创业投资管理中心（有限合伙）执行合伙人；</w:t>
      </w:r>
      <w:r>
        <w:rPr>
          <w:rFonts w:ascii="Times New Roman" w:hAnsi="Times New Roman" w:cs="Times New Roman" w:eastAsia="Times New Roman" w:hint="default"/>
        </w:rPr>
        <w:t>2013</w:t>
      </w:r>
      <w:r>
        <w:rPr>
          <w:rFonts w:ascii="Times New Roman" w:hAnsi="Times New Roman" w:cs="Times New Roman" w:eastAsia="Times New Roman" w:hint="default"/>
          <w:w w:val="100"/>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月至今任苏州工业园区原点正则壹号创业投资企业（有限合伙）执行合伙人；</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月至今任</w:t>
      </w:r>
    </w:p>
    <w:p>
      <w:pPr>
        <w:spacing w:after="0" w:line="386" w:lineRule="auto"/>
        <w:jc w:val="left"/>
        <w:sectPr>
          <w:footerReference w:type="default" r:id="rId39"/>
          <w:pgSz w:w="11910" w:h="16840"/>
          <w:pgMar w:footer="1227" w:header="0" w:top="1100" w:bottom="1420" w:left="980" w:right="980"/>
        </w:sectPr>
      </w:pPr>
    </w:p>
    <w:p>
      <w:pPr>
        <w:spacing w:line="240" w:lineRule="auto" w:before="9"/>
        <w:rPr>
          <w:rFonts w:ascii="宋体" w:hAnsi="宋体" w:cs="宋体" w:eastAsia="宋体" w:hint="default"/>
          <w:sz w:val="26"/>
          <w:szCs w:val="26"/>
        </w:rPr>
      </w:pPr>
    </w:p>
    <w:p>
      <w:pPr>
        <w:pStyle w:val="BodyText"/>
        <w:spacing w:line="386" w:lineRule="auto" w:before="36"/>
        <w:ind w:right="290"/>
        <w:jc w:val="both"/>
      </w:pPr>
      <w:r>
        <w:rPr/>
        <w:t>苏州工业园区元禾原点创业投资管理有限公司董事及总经理；</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月至今任神州数码信息服务股份</w:t>
      </w:r>
      <w:r>
        <w:rPr>
          <w:w w:val="100"/>
        </w:rPr>
        <w:t> </w:t>
      </w:r>
      <w:r>
        <w:rPr/>
        <w:t>有限公司董事。</w:t>
      </w:r>
    </w:p>
    <w:p>
      <w:pPr>
        <w:pStyle w:val="BodyText"/>
        <w:spacing w:line="386" w:lineRule="auto" w:before="106"/>
        <w:ind w:right="141" w:firstLine="420"/>
        <w:jc w:val="left"/>
      </w:pPr>
      <w:r>
        <w:rPr/>
        <w:t>盛刚，男，</w:t>
      </w:r>
      <w:r>
        <w:rPr>
          <w:rFonts w:ascii="Times New Roman" w:hAnsi="Times New Roman" w:cs="Times New Roman" w:eastAsia="Times New Roman" w:hint="default"/>
        </w:rPr>
        <w:t>40 </w:t>
      </w:r>
      <w:r>
        <w:rPr/>
        <w:t>岁，注册会计师。</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月，任赛富亚洲投资基金高级经理、副总裁、执行董事，</w:t>
      </w:r>
      <w:r>
        <w:rPr>
          <w:w w:val="100"/>
        </w:rPr>
        <w:t> </w:t>
      </w:r>
      <w:r>
        <w:rPr/>
        <w:t>至今任赛富亚洲投资基金执行董事；</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月至今任</w:t>
      </w:r>
      <w:r>
        <w:rPr>
          <w:spacing w:val="-56"/>
        </w:rPr>
        <w:t> </w:t>
      </w:r>
      <w:r>
        <w:rPr>
          <w:rFonts w:ascii="Times New Roman" w:hAnsi="Times New Roman" w:cs="Times New Roman" w:eastAsia="Times New Roman" w:hint="default"/>
          <w:spacing w:val="-7"/>
        </w:rPr>
        <w:t>Yayi</w:t>
      </w:r>
      <w:r>
        <w:rPr>
          <w:rFonts w:ascii="Times New Roman" w:hAnsi="Times New Roman" w:cs="Times New Roman" w:eastAsia="Times New Roman" w:hint="default"/>
        </w:rPr>
        <w:t> International</w:t>
      </w:r>
      <w:r>
        <w:rPr>
          <w:rFonts w:ascii="Times New Roman" w:hAnsi="Times New Roman" w:cs="Times New Roman" w:eastAsia="Times New Roman" w:hint="default"/>
          <w:spacing w:val="-2"/>
        </w:rPr>
        <w:t> </w:t>
      </w:r>
      <w:r>
        <w:rPr>
          <w:rFonts w:ascii="Times New Roman" w:hAnsi="Times New Roman" w:cs="Times New Roman" w:eastAsia="Times New Roman" w:hint="default"/>
        </w:rPr>
        <w:t>Inc</w:t>
      </w:r>
      <w:r>
        <w:rPr>
          <w:rFonts w:ascii="Times New Roman" w:hAnsi="Times New Roman" w:cs="Times New Roman" w:eastAsia="Times New Roman" w:hint="default"/>
          <w:spacing w:val="2"/>
        </w:rPr>
        <w:t> </w:t>
      </w:r>
      <w:r>
        <w:rPr/>
        <w:t>董事；</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spacing w:val="-4"/>
        </w:rPr>
        <w:t>11 </w:t>
      </w:r>
      <w:r>
        <w:rPr/>
        <w:t>月至今任</w:t>
      </w:r>
      <w:r>
        <w:rPr>
          <w:w w:val="100"/>
        </w:rPr>
        <w:t> </w:t>
      </w:r>
      <w:r>
        <w:rPr>
          <w:rFonts w:ascii="Times New Roman" w:hAnsi="Times New Roman" w:cs="Times New Roman" w:eastAsia="Times New Roman" w:hint="default"/>
        </w:rPr>
        <w:t>Goldland</w:t>
      </w:r>
      <w:r>
        <w:rPr>
          <w:rFonts w:ascii="Times New Roman" w:hAnsi="Times New Roman" w:cs="Times New Roman" w:eastAsia="Times New Roman" w:hint="default"/>
          <w:spacing w:val="-4"/>
        </w:rPr>
        <w:t> </w:t>
      </w:r>
      <w:r>
        <w:rPr>
          <w:rFonts w:ascii="Times New Roman" w:hAnsi="Times New Roman" w:cs="Times New Roman" w:eastAsia="Times New Roman" w:hint="default"/>
        </w:rPr>
        <w:t>Digital</w:t>
      </w:r>
      <w:r>
        <w:rPr>
          <w:rFonts w:ascii="Times New Roman" w:hAnsi="Times New Roman" w:cs="Times New Roman" w:eastAsia="Times New Roman" w:hint="default"/>
          <w:spacing w:val="-2"/>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2"/>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52"/>
        </w:rPr>
        <w:t> </w:t>
      </w:r>
      <w:r>
        <w:rPr/>
        <w:t>董事；</w:t>
      </w:r>
      <w:r>
        <w:rPr>
          <w:spacing w:val="-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月至今任</w:t>
      </w:r>
      <w:r>
        <w:rPr>
          <w:spacing w:val="-54"/>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1"/>
        </w:rPr>
        <w:t> </w:t>
      </w:r>
      <w:r>
        <w:rPr>
          <w:rFonts w:ascii="Times New Roman" w:hAnsi="Times New Roman" w:cs="Times New Roman" w:eastAsia="Times New Roman" w:hint="default"/>
        </w:rPr>
        <w:t>Energy</w:t>
      </w:r>
      <w:r>
        <w:rPr>
          <w:rFonts w:ascii="Times New Roman" w:hAnsi="Times New Roman" w:cs="Times New Roman" w:eastAsia="Times New Roman" w:hint="default"/>
          <w:spacing w:val="-6"/>
        </w:rPr>
        <w:t> </w:t>
      </w:r>
      <w:r>
        <w:rPr>
          <w:rFonts w:ascii="Times New Roman" w:hAnsi="Times New Roman" w:cs="Times New Roman" w:eastAsia="Times New Roman" w:hint="default"/>
        </w:rPr>
        <w:t>Group</w:t>
      </w:r>
      <w:r>
        <w:rPr>
          <w:rFonts w:ascii="Times New Roman" w:hAnsi="Times New Roman" w:cs="Times New Roman" w:eastAsia="Times New Roman" w:hint="default"/>
          <w:spacing w:val="-1"/>
        </w:rPr>
        <w:t> </w:t>
      </w:r>
      <w:r>
        <w:rPr>
          <w:rFonts w:ascii="Times New Roman" w:hAnsi="Times New Roman" w:cs="Times New Roman" w:eastAsia="Times New Roman" w:hint="default"/>
        </w:rPr>
        <w:t>Limted </w:t>
      </w:r>
      <w:r>
        <w:rPr/>
        <w:t>董事；</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w w:val="100"/>
        </w:rPr>
        <w:t> </w:t>
      </w:r>
      <w:r>
        <w:rPr/>
        <w:t>月至今任北青航媒广告有限公司监事；</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月至今任</w:t>
      </w:r>
      <w:r>
        <w:rPr>
          <w:spacing w:val="-54"/>
        </w:rPr>
        <w:t> </w:t>
      </w:r>
      <w:r>
        <w:rPr>
          <w:rFonts w:ascii="Times New Roman" w:hAnsi="Times New Roman" w:cs="Times New Roman" w:eastAsia="Times New Roman" w:hint="default"/>
        </w:rPr>
        <w:t>BFE</w:t>
      </w:r>
      <w:r>
        <w:rPr>
          <w:rFonts w:ascii="Times New Roman" w:hAnsi="Times New Roman" w:cs="Times New Roman" w:eastAsia="Times New Roman" w:hint="default"/>
          <w:spacing w:val="-1"/>
        </w:rPr>
        <w:t> </w:t>
      </w:r>
      <w:r>
        <w:rPr>
          <w:rFonts w:ascii="Times New Roman" w:hAnsi="Times New Roman" w:cs="Times New Roman" w:eastAsia="Times New Roman" w:hint="default"/>
        </w:rPr>
        <w:t>Inc</w:t>
      </w:r>
      <w:r>
        <w:rPr>
          <w:rFonts w:ascii="Times New Roman" w:hAnsi="Times New Roman" w:cs="Times New Roman" w:eastAsia="Times New Roman" w:hint="default"/>
          <w:spacing w:val="-1"/>
        </w:rPr>
        <w:t> </w:t>
      </w:r>
      <w:r>
        <w:rPr/>
        <w:t>董事；</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月至今任神州数码信</w:t>
      </w:r>
      <w:r>
        <w:rPr>
          <w:w w:val="100"/>
        </w:rPr>
        <w:t> </w:t>
      </w:r>
      <w:r>
        <w:rPr/>
        <w:t>息服务股份有限公司董事。</w:t>
      </w:r>
    </w:p>
    <w:p>
      <w:pPr>
        <w:pStyle w:val="BodyText"/>
        <w:spacing w:line="386" w:lineRule="auto" w:before="103"/>
        <w:ind w:right="244" w:firstLine="420"/>
        <w:jc w:val="both"/>
      </w:pPr>
      <w:r>
        <w:rPr/>
        <w:t>缪伟刚，男，</w:t>
      </w:r>
      <w:r>
        <w:rPr>
          <w:rFonts w:ascii="Times New Roman" w:hAnsi="Times New Roman" w:cs="Times New Roman" w:eastAsia="Times New Roman" w:hint="default"/>
        </w:rPr>
        <w:t>42</w:t>
      </w:r>
      <w:r>
        <w:rPr>
          <w:rFonts w:ascii="Times New Roman" w:hAnsi="Times New Roman" w:cs="Times New Roman" w:eastAsia="Times New Roman" w:hint="default"/>
          <w:spacing w:val="-2"/>
        </w:rPr>
        <w:t> </w:t>
      </w:r>
      <w:r>
        <w:rPr/>
        <w:t>岁，南京大学社会学系本科毕业。</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月参加深圳证监局举办的</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年度董</w:t>
      </w:r>
      <w:r>
        <w:rPr>
          <w:w w:val="100"/>
        </w:rPr>
        <w:t> </w:t>
      </w:r>
      <w:r>
        <w:rPr/>
        <w:t>事监事培训，并获得上市公司高级管理人员培训结业证。</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月至今任昆山经济技术开发区资产经</w:t>
      </w:r>
      <w:r>
        <w:rPr>
          <w:w w:val="100"/>
        </w:rPr>
        <w:t> </w:t>
      </w:r>
      <w:r>
        <w:rPr/>
        <w:t>营有限公司任副总经理；</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月至今昆山经济技术开发区水务有限公司任执行董事、总经理、法定</w:t>
      </w:r>
      <w:r>
        <w:rPr>
          <w:w w:val="100"/>
        </w:rPr>
        <w:t> </w:t>
      </w:r>
      <w:r>
        <w:rPr/>
        <w:t>代表人；</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月至今任昆山综合保税区投资开发有限公司任执行董事、总经理、法定代表人；</w:t>
      </w:r>
      <w:r>
        <w:rPr>
          <w:rFonts w:ascii="Times New Roman" w:hAnsi="Times New Roman" w:cs="Times New Roman" w:eastAsia="Times New Roman" w:hint="default"/>
        </w:rPr>
        <w:t>2011</w:t>
      </w:r>
      <w:r>
        <w:rPr>
          <w:rFonts w:ascii="Times New Roman" w:hAnsi="Times New Roman" w:cs="Times New Roman" w:eastAsia="Times New Roman" w:hint="default"/>
          <w:w w:val="100"/>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月至今任友达光电（昆山）有限公司任董事；</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月至今任昆山开发区公交有限公司任董事；</w:t>
      </w:r>
    </w:p>
    <w:p>
      <w:pPr>
        <w:pStyle w:val="BodyText"/>
        <w:spacing w:line="398" w:lineRule="auto" w:before="35"/>
        <w:ind w:left="0" w:right="244"/>
        <w:jc w:val="right"/>
      </w:pP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月至今任昆山华东国际物流服务有限公司任董事长、法定代表人；</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月至</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w w:val="100"/>
        </w:rPr>
        <w:t> </w:t>
      </w:r>
      <w:r>
        <w:rPr>
          <w:spacing w:val="-6"/>
          <w:w w:val="100"/>
        </w:rPr>
        <w:t>任深圳市太光电信股份有限公司监事会主席，</w:t>
      </w:r>
      <w:r>
        <w:rPr>
          <w:rFonts w:ascii="Times New Roman" w:hAnsi="Times New Roman" w:cs="Times New Roman" w:eastAsia="Times New Roman" w:hint="default"/>
          <w:spacing w:val="-6"/>
          <w:w w:val="100"/>
        </w:rPr>
        <w:t>2014</w:t>
      </w:r>
      <w:r>
        <w:rPr>
          <w:rFonts w:ascii="Times New Roman" w:hAnsi="Times New Roman" w:cs="Times New Roman" w:eastAsia="Times New Roman" w:hint="default"/>
          <w:spacing w:val="-19"/>
          <w:w w:val="100"/>
        </w:rPr>
        <w:t> </w:t>
      </w:r>
      <w:r>
        <w:rPr>
          <w:w w:val="100"/>
        </w:rPr>
        <w:t>年</w:t>
      </w:r>
      <w:r>
        <w:rPr>
          <w:spacing w:val="-68"/>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9"/>
          <w:w w:val="100"/>
        </w:rPr>
        <w:t> </w:t>
      </w:r>
      <w:r>
        <w:rPr>
          <w:spacing w:val="-2"/>
          <w:w w:val="100"/>
        </w:rPr>
        <w:t>月至今任神州数码信息服务股份有限公司任董事。</w:t>
      </w:r>
      <w:r>
        <w:rPr>
          <w:w w:val="100"/>
        </w:rPr>
        <w:t> </w:t>
      </w:r>
      <w:r>
        <w:rPr>
          <w:spacing w:val="-5"/>
        </w:rPr>
        <w:t>贺志强，男，</w:t>
      </w:r>
      <w:r>
        <w:rPr>
          <w:rFonts w:ascii="Times New Roman" w:hAnsi="Times New Roman" w:cs="Times New Roman" w:eastAsia="Times New Roman" w:hint="default"/>
          <w:spacing w:val="-5"/>
        </w:rPr>
        <w:t>52 </w:t>
      </w:r>
      <w:r>
        <w:rPr>
          <w:spacing w:val="-4"/>
        </w:rPr>
        <w:t>岁，</w:t>
      </w:r>
      <w:r>
        <w:rPr>
          <w:rFonts w:ascii="Times New Roman" w:hAnsi="Times New Roman" w:cs="Times New Roman" w:eastAsia="Times New Roman" w:hint="default"/>
          <w:spacing w:val="-4"/>
        </w:rPr>
        <w:t>1984 </w:t>
      </w:r>
      <w:r>
        <w:rPr/>
        <w:t>年获北京邮电大学计算机通信工学学士学位，</w:t>
      </w:r>
      <w:r>
        <w:rPr>
          <w:rFonts w:ascii="Times New Roman" w:hAnsi="Times New Roman" w:cs="Times New Roman" w:eastAsia="Times New Roman" w:hint="default"/>
        </w:rPr>
        <w:t>1986</w:t>
      </w:r>
      <w:r>
        <w:rPr>
          <w:rFonts w:ascii="Times New Roman" w:hAnsi="Times New Roman" w:cs="Times New Roman" w:eastAsia="Times New Roman" w:hint="default"/>
          <w:spacing w:val="-2"/>
        </w:rPr>
        <w:t> </w:t>
      </w:r>
      <w:r>
        <w:rPr/>
        <w:t>年获中国科学院计算技</w:t>
      </w:r>
      <w:r>
        <w:rPr>
          <w:w w:val="100"/>
        </w:rPr>
        <w:t> </w:t>
      </w:r>
      <w:r>
        <w:rPr/>
        <w:t>术研究所计算机工程工学硕士学位。</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月参加由深交所举办的上市公司高级管理人员培训班，并</w:t>
      </w:r>
    </w:p>
    <w:p>
      <w:pPr>
        <w:pStyle w:val="BodyText"/>
        <w:spacing w:line="386" w:lineRule="auto" w:before="24"/>
        <w:ind w:right="246"/>
        <w:jc w:val="both"/>
      </w:pPr>
      <w:r>
        <w:rPr/>
        <w:t>取得独立董事结业证书。</w:t>
      </w:r>
      <w:r>
        <w:rPr>
          <w:rFonts w:ascii="Times New Roman" w:hAnsi="Times New Roman" w:cs="Times New Roman" w:eastAsia="Times New Roman" w:hint="default"/>
        </w:rPr>
        <w:t>2004</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月至今任北京联想利泰软件有限公司董事长；</w:t>
      </w: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t>年</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月至今任闪联</w:t>
      </w:r>
      <w:r>
        <w:rPr>
          <w:w w:val="100"/>
        </w:rPr>
        <w:t> </w:t>
      </w:r>
      <w:r>
        <w:rPr>
          <w:spacing w:val="-4"/>
        </w:rPr>
        <w:t>信息技术工程中心有限公司董事长及法定代表人；</w:t>
      </w:r>
      <w:r>
        <w:rPr>
          <w:rFonts w:ascii="Times New Roman" w:hAnsi="Times New Roman" w:cs="Times New Roman" w:eastAsia="Times New Roman" w:hint="default"/>
          <w:spacing w:val="-4"/>
        </w:rPr>
        <w:t>2005</w:t>
      </w:r>
      <w:r>
        <w:rPr>
          <w:rFonts w:ascii="Times New Roman" w:hAnsi="Times New Roman" w:cs="Times New Roman" w:eastAsia="Times New Roman" w:hint="default"/>
          <w:spacing w:val="5"/>
        </w:rPr>
        <w:t> </w:t>
      </w:r>
      <w:r>
        <w:rPr/>
        <w:t>年至</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月任联想集团高级副总裁兼首席技</w:t>
      </w:r>
      <w:r>
        <w:rPr>
          <w:spacing w:val="-103"/>
        </w:rPr>
        <w:t> </w:t>
      </w:r>
      <w:r>
        <w:rPr>
          <w:spacing w:val="-103"/>
        </w:rPr>
      </w:r>
      <w:r>
        <w:rPr/>
        <w:t>术官、联想研究院院长、</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月至今任联想集团高级副总裁、云服务业务集团总裁；</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3"/>
        </w:rPr>
        <w:t>月至</w:t>
      </w:r>
      <w:r>
        <w:rPr>
          <w:spacing w:val="-3"/>
          <w:w w:val="100"/>
        </w:rPr>
        <w:t> </w:t>
      </w:r>
      <w:r>
        <w:rPr/>
        <w:t>今任国民技术股份有限公司独立董事；</w:t>
      </w:r>
      <w:r>
        <w:rPr>
          <w:spacing w:val="-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月至今任神州数码信息服务股份有限公司独立董事。</w:t>
      </w:r>
    </w:p>
    <w:p>
      <w:pPr>
        <w:pStyle w:val="BodyText"/>
        <w:spacing w:line="386" w:lineRule="auto" w:before="76"/>
        <w:ind w:right="136" w:firstLine="420"/>
        <w:jc w:val="left"/>
        <w:rPr>
          <w:rFonts w:ascii="Times New Roman" w:hAnsi="Times New Roman" w:cs="Times New Roman" w:eastAsia="Times New Roman" w:hint="default"/>
        </w:rPr>
      </w:pPr>
      <w:r>
        <w:rPr/>
        <w:t>罗振邦，男，</w:t>
      </w:r>
      <w:r>
        <w:rPr>
          <w:rFonts w:ascii="Times New Roman" w:hAnsi="Times New Roman" w:cs="Times New Roman" w:eastAsia="Times New Roman" w:hint="default"/>
        </w:rPr>
        <w:t>48 </w:t>
      </w:r>
      <w:r>
        <w:rPr/>
        <w:t>岁，注册会计师、中国注册税务师、中国注册资产评估师、会计师。</w:t>
      </w:r>
      <w:r>
        <w:rPr>
          <w:rFonts w:ascii="Times New Roman" w:hAnsi="Times New Roman" w:cs="Times New Roman" w:eastAsia="Times New Roman" w:hint="default"/>
        </w:rPr>
        <w:t>1991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9"/>
        </w:rPr>
        <w:t> </w:t>
      </w:r>
      <w:r>
        <w:rPr/>
        <w:t>月，</w:t>
      </w:r>
      <w:r>
        <w:rPr>
          <w:spacing w:val="2"/>
          <w:w w:val="100"/>
        </w:rPr>
        <w:t> </w:t>
      </w:r>
      <w:r>
        <w:rPr/>
        <w:t>毕业于兰州商学院企业管理专业；</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月，获企业管理与创新硕士学位。</w:t>
      </w:r>
      <w:r>
        <w:rPr>
          <w:rFonts w:ascii="Times New Roman" w:hAnsi="Times New Roman" w:cs="Times New Roman" w:eastAsia="Times New Roman" w:hint="default"/>
        </w:rPr>
        <w:t>2002</w:t>
      </w:r>
      <w:r>
        <w:rPr>
          <w:rFonts w:ascii="Times New Roman" w:hAnsi="Times New Roman" w:cs="Times New Roman" w:eastAsia="Times New Roman" w:hint="default"/>
          <w:spacing w:val="-4"/>
        </w:rPr>
        <w:t> </w:t>
      </w:r>
      <w:r>
        <w:rPr/>
        <w:t>年获独立董事结业证</w:t>
      </w:r>
      <w:r>
        <w:rPr>
          <w:w w:val="100"/>
        </w:rPr>
        <w:t> </w:t>
      </w:r>
      <w:r>
        <w:rPr/>
        <w:t>书。</w:t>
      </w:r>
      <w:r>
        <w:rPr>
          <w:rFonts w:ascii="Times New Roman" w:hAnsi="Times New Roman" w:cs="Times New Roman" w:eastAsia="Times New Roman" w:hint="default"/>
        </w:rPr>
        <w:t>2002</w:t>
      </w:r>
      <w:r>
        <w:rPr>
          <w:rFonts w:ascii="Times New Roman" w:hAnsi="Times New Roman" w:cs="Times New Roman" w:eastAsia="Times New Roman" w:hint="default"/>
          <w:spacing w:val="-4"/>
        </w:rPr>
        <w:t> </w:t>
      </w:r>
      <w:r>
        <w:rPr/>
        <w:t>年至今任东北证券有限公司内核小组成员；</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月至今任中国航天国际控股有限公司独</w:t>
      </w:r>
      <w:r>
        <w:rPr>
          <w:w w:val="100"/>
        </w:rPr>
        <w:t> </w:t>
      </w:r>
      <w:r>
        <w:rPr/>
        <w:t>立非执行董事；</w:t>
      </w:r>
      <w:r>
        <w:rPr>
          <w:rFonts w:ascii="Times New Roman" w:hAnsi="Times New Roman" w:cs="Times New Roman" w:eastAsia="Times New Roman" w:hint="default"/>
        </w:rPr>
        <w:t>2008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月至今任立信会计师事务所（特殊普通合伙）董事、高级合伙人；</w:t>
      </w:r>
      <w:r>
        <w:rPr>
          <w:spacing w:val="-2"/>
        </w:rPr>
        <w:t> </w:t>
      </w:r>
      <w:r>
        <w:rPr>
          <w:rFonts w:ascii="Times New Roman" w:hAnsi="Times New Roman" w:cs="Times New Roman" w:eastAsia="Times New Roman" w:hint="default"/>
        </w:rPr>
        <w:t>2012 </w:t>
      </w:r>
      <w:r>
        <w:rPr/>
        <w:t>年</w:t>
      </w:r>
      <w:r>
        <w:rPr>
          <w:spacing w:val="-55"/>
        </w:rPr>
        <w:t> </w:t>
      </w:r>
      <w:r>
        <w:rPr>
          <w:rFonts w:ascii="Times New Roman" w:hAnsi="Times New Roman" w:cs="Times New Roman" w:eastAsia="Times New Roman" w:hint="default"/>
          <w:spacing w:val="-10"/>
        </w:rPr>
        <w:t>11</w:t>
      </w:r>
      <w:r>
        <w:rPr>
          <w:rFonts w:ascii="Times New Roman" w:hAnsi="Times New Roman" w:cs="Times New Roman" w:eastAsia="Times New Roman" w:hint="default"/>
        </w:rPr>
      </w:r>
    </w:p>
    <w:p>
      <w:pPr>
        <w:pStyle w:val="BodyText"/>
        <w:spacing w:line="386" w:lineRule="auto" w:before="35"/>
        <w:ind w:right="246"/>
        <w:jc w:val="both"/>
      </w:pPr>
      <w:r>
        <w:rPr/>
        <w:t>月至今任中国城市轨道交通科技控股有限公司独立非执行董事；</w:t>
      </w:r>
      <w:r>
        <w:rPr>
          <w:spacing w:val="-6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月至今任金风科技股份公司独</w:t>
      </w:r>
      <w:r>
        <w:rPr>
          <w:w w:val="100"/>
        </w:rPr>
        <w:t> </w:t>
      </w:r>
      <w:r>
        <w:rPr/>
        <w:t>立董事；</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月至今任神州数码信息服务股份有限公司独立董事。</w:t>
      </w:r>
    </w:p>
    <w:p>
      <w:pPr>
        <w:pStyle w:val="BodyText"/>
        <w:spacing w:line="386" w:lineRule="auto" w:before="74"/>
        <w:ind w:right="241" w:firstLine="420"/>
        <w:jc w:val="left"/>
      </w:pPr>
      <w:r>
        <w:rPr/>
        <w:t>王能光，男，</w:t>
      </w:r>
      <w:r>
        <w:rPr>
          <w:rFonts w:ascii="Times New Roman" w:hAnsi="Times New Roman" w:cs="Times New Roman" w:eastAsia="Times New Roman" w:hint="default"/>
        </w:rPr>
        <w:t>57</w:t>
      </w:r>
      <w:r>
        <w:rPr>
          <w:rFonts w:ascii="Times New Roman" w:hAnsi="Times New Roman" w:cs="Times New Roman" w:eastAsia="Times New Roman" w:hint="default"/>
          <w:spacing w:val="-5"/>
        </w:rPr>
        <w:t> </w:t>
      </w:r>
      <w:r>
        <w:rPr/>
        <w:t>岁，注册会计师、高级会计师。</w:t>
      </w:r>
      <w:r>
        <w:rPr>
          <w:rFonts w:ascii="Times New Roman" w:hAnsi="Times New Roman" w:cs="Times New Roman" w:eastAsia="Times New Roman" w:hint="default"/>
        </w:rPr>
        <w:t>2001</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月毕业于中共中央党校，获经济管理硕士</w:t>
      </w:r>
      <w:r>
        <w:rPr>
          <w:w w:val="100"/>
        </w:rPr>
        <w:t> </w:t>
      </w:r>
      <w:r>
        <w:rPr/>
        <w:t>学位。</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月取得独立董事资格。</w:t>
      </w:r>
      <w:r>
        <w:rPr>
          <w:rFonts w:ascii="Times New Roman" w:hAnsi="Times New Roman" w:cs="Times New Roman" w:eastAsia="Times New Roman" w:hint="default"/>
        </w:rPr>
        <w:t>2004</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月，任北京联想投资顾问有限公司董事</w:t>
      </w:r>
      <w:r>
        <w:rPr>
          <w:w w:val="100"/>
        </w:rPr>
        <w:t> </w:t>
      </w:r>
      <w:r>
        <w:rPr/>
        <w:t>总经理兼财务总监；</w:t>
      </w:r>
      <w:r>
        <w:rPr>
          <w:rFonts w:ascii="Times New Roman" w:hAnsi="Times New Roman" w:cs="Times New Roman" w:eastAsia="Times New Roman" w:hint="default"/>
        </w:rPr>
        <w:t>2005</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月至今任北京君联管理咨询有限公司董事；</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月至今任上海新四</w:t>
      </w:r>
    </w:p>
    <w:p>
      <w:pPr>
        <w:spacing w:after="0" w:line="386" w:lineRule="auto"/>
        <w:jc w:val="left"/>
        <w:sectPr>
          <w:footerReference w:type="default" r:id="rId40"/>
          <w:pgSz w:w="11910" w:h="16840"/>
          <w:pgMar w:footer="1227" w:header="0" w:top="1100" w:bottom="1420" w:left="980" w:right="980"/>
          <w:pgNumType w:start="74"/>
        </w:sectPr>
      </w:pPr>
    </w:p>
    <w:p>
      <w:pPr>
        <w:spacing w:line="240" w:lineRule="auto" w:before="9"/>
        <w:rPr>
          <w:rFonts w:ascii="宋体" w:hAnsi="宋体" w:cs="宋体" w:eastAsia="宋体" w:hint="default"/>
          <w:sz w:val="26"/>
          <w:szCs w:val="26"/>
        </w:rPr>
      </w:pPr>
    </w:p>
    <w:p>
      <w:pPr>
        <w:pStyle w:val="BodyText"/>
        <w:spacing w:line="386" w:lineRule="auto" w:before="36"/>
        <w:ind w:right="242"/>
        <w:jc w:val="both"/>
        <w:rPr>
          <w:rFonts w:ascii="Times New Roman" w:hAnsi="Times New Roman" w:cs="Times New Roman" w:eastAsia="Times New Roman" w:hint="default"/>
        </w:rPr>
      </w:pPr>
      <w:r>
        <w:rPr>
          <w:spacing w:val="-9"/>
          <w:w w:val="100"/>
        </w:rPr>
        <w:t>合木业有限公司董事；</w:t>
      </w:r>
      <w:r>
        <w:rPr>
          <w:rFonts w:ascii="Times New Roman" w:hAnsi="Times New Roman" w:cs="Times New Roman" w:eastAsia="Times New Roman" w:hint="default"/>
          <w:spacing w:val="-9"/>
          <w:w w:val="100"/>
        </w:rPr>
        <w:t>2006</w:t>
      </w:r>
      <w:r>
        <w:rPr>
          <w:rFonts w:ascii="Times New Roman" w:hAnsi="Times New Roman" w:cs="Times New Roman" w:eastAsia="Times New Roman" w:hint="default"/>
          <w:spacing w:val="1"/>
          <w:w w:val="100"/>
        </w:rPr>
        <w:t> </w:t>
      </w:r>
      <w:r>
        <w:rPr>
          <w:w w:val="100"/>
        </w:rPr>
        <w:t>年</w:t>
      </w:r>
      <w:r>
        <w:rPr>
          <w:spacing w:val="-52"/>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w w:val="100"/>
        </w:rPr>
        <w:t> </w:t>
      </w:r>
      <w:r>
        <w:rPr>
          <w:spacing w:val="-1"/>
          <w:w w:val="100"/>
        </w:rPr>
        <w:t>月至今任</w:t>
      </w:r>
      <w:r>
        <w:rPr>
          <w:spacing w:val="-52"/>
          <w:w w:val="100"/>
        </w:rPr>
        <w:t> </w:t>
      </w:r>
      <w:r>
        <w:rPr>
          <w:rFonts w:ascii="Times New Roman" w:hAnsi="Times New Roman" w:cs="Times New Roman" w:eastAsia="Times New Roman" w:hint="default"/>
          <w:spacing w:val="-3"/>
          <w:w w:val="100"/>
        </w:rPr>
        <w:t>LC</w:t>
      </w:r>
      <w:r>
        <w:rPr>
          <w:rFonts w:ascii="Times New Roman" w:hAnsi="Times New Roman" w:cs="Times New Roman" w:eastAsia="Times New Roman" w:hint="default"/>
          <w:spacing w:val="1"/>
          <w:w w:val="100"/>
        </w:rPr>
        <w:t> </w:t>
      </w:r>
      <w:r>
        <w:rPr>
          <w:rFonts w:ascii="Times New Roman" w:hAnsi="Times New Roman" w:cs="Times New Roman" w:eastAsia="Times New Roman" w:hint="default"/>
          <w:spacing w:val="-2"/>
          <w:w w:val="100"/>
        </w:rPr>
        <w:t>Fund</w:t>
      </w:r>
      <w:r>
        <w:rPr>
          <w:rFonts w:ascii="Times New Roman" w:hAnsi="Times New Roman" w:cs="Times New Roman" w:eastAsia="Times New Roman" w:hint="default"/>
          <w:spacing w:val="1"/>
          <w:w w:val="100"/>
        </w:rPr>
        <w:t> </w:t>
      </w:r>
      <w:r>
        <w:rPr>
          <w:rFonts w:ascii="Times New Roman" w:hAnsi="Times New Roman" w:cs="Times New Roman" w:eastAsia="Times New Roman" w:hint="default"/>
          <w:spacing w:val="-1"/>
          <w:w w:val="100"/>
        </w:rPr>
        <w:t>III</w:t>
      </w:r>
      <w:r>
        <w:rPr>
          <w:rFonts w:ascii="Times New Roman" w:hAnsi="Times New Roman" w:cs="Times New Roman" w:eastAsia="Times New Roman" w:hint="default"/>
          <w:spacing w:val="-2"/>
          <w:w w:val="100"/>
        </w:rPr>
        <w:t> </w:t>
      </w:r>
      <w:r>
        <w:rPr>
          <w:rFonts w:ascii="Times New Roman" w:hAnsi="Times New Roman" w:cs="Times New Roman" w:eastAsia="Times New Roman" w:hint="default"/>
          <w:w w:val="100"/>
        </w:rPr>
        <w:t>GP</w:t>
      </w:r>
      <w:r>
        <w:rPr>
          <w:rFonts w:ascii="Times New Roman" w:hAnsi="Times New Roman" w:cs="Times New Roman" w:eastAsia="Times New Roman" w:hint="default"/>
          <w:spacing w:val="-4"/>
          <w:w w:val="100"/>
        </w:rPr>
        <w:t> </w:t>
      </w:r>
      <w:r>
        <w:rPr>
          <w:rFonts w:ascii="Times New Roman" w:hAnsi="Times New Roman" w:cs="Times New Roman" w:eastAsia="Times New Roman" w:hint="default"/>
          <w:spacing w:val="-2"/>
          <w:w w:val="100"/>
        </w:rPr>
        <w:t>Limited</w:t>
      </w:r>
      <w:r>
        <w:rPr>
          <w:rFonts w:ascii="Times New Roman" w:hAnsi="Times New Roman" w:cs="Times New Roman" w:eastAsia="Times New Roman" w:hint="default"/>
          <w:spacing w:val="1"/>
          <w:w w:val="100"/>
        </w:rPr>
        <w:t> </w:t>
      </w:r>
      <w:r>
        <w:rPr>
          <w:spacing w:val="-15"/>
          <w:w w:val="100"/>
        </w:rPr>
        <w:t>董事；</w:t>
      </w:r>
      <w:r>
        <w:rPr>
          <w:rFonts w:ascii="Times New Roman" w:hAnsi="Times New Roman" w:cs="Times New Roman" w:eastAsia="Times New Roman" w:hint="default"/>
          <w:spacing w:val="-15"/>
          <w:w w:val="100"/>
        </w:rPr>
        <w:t>2008</w:t>
      </w:r>
      <w:r>
        <w:rPr>
          <w:rFonts w:ascii="Times New Roman" w:hAnsi="Times New Roman" w:cs="Times New Roman" w:eastAsia="Times New Roman" w:hint="default"/>
          <w:spacing w:val="-1"/>
          <w:w w:val="100"/>
        </w:rPr>
        <w:t> </w:t>
      </w:r>
      <w:r>
        <w:rPr>
          <w:w w:val="100"/>
        </w:rPr>
        <w:t>年</w:t>
      </w:r>
      <w:r>
        <w:rPr>
          <w:spacing w:val="-54"/>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1"/>
          <w:w w:val="100"/>
        </w:rPr>
        <w:t> </w:t>
      </w:r>
      <w:r>
        <w:rPr>
          <w:spacing w:val="-1"/>
          <w:w w:val="100"/>
        </w:rPr>
        <w:t>月至今任</w:t>
      </w:r>
      <w:r>
        <w:rPr>
          <w:spacing w:val="-52"/>
          <w:w w:val="100"/>
        </w:rPr>
        <w:t> </w:t>
      </w:r>
      <w:r>
        <w:rPr>
          <w:rFonts w:ascii="Times New Roman" w:hAnsi="Times New Roman" w:cs="Times New Roman" w:eastAsia="Times New Roman" w:hint="default"/>
          <w:spacing w:val="-3"/>
          <w:w w:val="100"/>
        </w:rPr>
        <w:t>LC</w:t>
      </w:r>
      <w:r>
        <w:rPr>
          <w:rFonts w:ascii="Times New Roman" w:hAnsi="Times New Roman" w:cs="Times New Roman" w:eastAsia="Times New Roman" w:hint="default"/>
          <w:spacing w:val="1"/>
          <w:w w:val="100"/>
        </w:rPr>
        <w:t> </w:t>
      </w:r>
      <w:r>
        <w:rPr>
          <w:rFonts w:ascii="Times New Roman" w:hAnsi="Times New Roman" w:cs="Times New Roman" w:eastAsia="Times New Roman" w:hint="default"/>
          <w:spacing w:val="-2"/>
          <w:w w:val="100"/>
        </w:rPr>
        <w:t>Fund</w:t>
      </w:r>
      <w:r>
        <w:rPr>
          <w:rFonts w:ascii="Times New Roman" w:hAnsi="Times New Roman" w:cs="Times New Roman" w:eastAsia="Times New Roman" w:hint="default"/>
          <w:spacing w:val="1"/>
          <w:w w:val="100"/>
        </w:rPr>
        <w:t> </w:t>
      </w:r>
      <w:r>
        <w:rPr>
          <w:rFonts w:ascii="Times New Roman" w:hAnsi="Times New Roman" w:cs="Times New Roman" w:eastAsia="Times New Roman" w:hint="default"/>
          <w:spacing w:val="-2"/>
          <w:w w:val="100"/>
        </w:rPr>
        <w:t>IV </w:t>
      </w:r>
      <w:r>
        <w:rPr>
          <w:rFonts w:ascii="Times New Roman" w:hAnsi="Times New Roman" w:cs="Times New Roman" w:eastAsia="Times New Roman" w:hint="default"/>
          <w:spacing w:val="-1"/>
          <w:w w:val="100"/>
        </w:rPr>
        <w:t>GP</w:t>
      </w:r>
      <w:r>
        <w:rPr>
          <w:rFonts w:ascii="Times New Roman" w:hAnsi="Times New Roman" w:cs="Times New Roman" w:eastAsia="Times New Roman" w:hint="default"/>
          <w:w w:val="100"/>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5"/>
        </w:rPr>
        <w:t> </w:t>
      </w:r>
      <w:r>
        <w:rPr>
          <w:spacing w:val="-8"/>
        </w:rPr>
        <w:t>董事；</w:t>
      </w:r>
      <w:r>
        <w:rPr>
          <w:rFonts w:ascii="Times New Roman" w:hAnsi="Times New Roman" w:cs="Times New Roman" w:eastAsia="Times New Roman" w:hint="default"/>
          <w:spacing w:val="-8"/>
        </w:rPr>
        <w:t>2009</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spacing w:val="-4"/>
        </w:rPr>
        <w:t>月至今任广州市美尚企业管理有限公司董事；</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月至今任山东玲珑轮胎股</w:t>
      </w:r>
      <w:r>
        <w:rPr>
          <w:spacing w:val="-102"/>
        </w:rPr>
        <w:t> </w:t>
      </w:r>
      <w:r>
        <w:rPr>
          <w:spacing w:val="-102"/>
        </w:rPr>
      </w:r>
      <w:r>
        <w:rPr>
          <w:spacing w:val="-4"/>
        </w:rPr>
        <w:t>份有限公司董事；</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月至今任</w:t>
      </w:r>
      <w:r>
        <w:rPr>
          <w:spacing w:val="-52"/>
        </w:rPr>
        <w:t> </w:t>
      </w:r>
      <w:r>
        <w:rPr>
          <w:rFonts w:ascii="Times New Roman" w:hAnsi="Times New Roman" w:cs="Times New Roman" w:eastAsia="Times New Roman" w:hint="default"/>
          <w:spacing w:val="-3"/>
        </w:rPr>
        <w:t>LC</w:t>
      </w:r>
      <w:r>
        <w:rPr>
          <w:rFonts w:ascii="Times New Roman" w:hAnsi="Times New Roman" w:cs="Times New Roman" w:eastAsia="Times New Roman" w:hint="default"/>
          <w:spacing w:val="1"/>
        </w:rPr>
        <w:t> </w:t>
      </w:r>
      <w:r>
        <w:rPr>
          <w:rFonts w:ascii="Times New Roman" w:hAnsi="Times New Roman" w:cs="Times New Roman" w:eastAsia="Times New Roman" w:hint="default"/>
        </w:rPr>
        <w:t>Fund</w:t>
      </w:r>
      <w:r>
        <w:rPr>
          <w:rFonts w:ascii="Times New Roman" w:hAnsi="Times New Roman" w:cs="Times New Roman" w:eastAsia="Times New Roman" w:hint="default"/>
          <w:spacing w:val="-4"/>
        </w:rPr>
        <w:t> </w:t>
      </w:r>
      <w:r>
        <w:rPr>
          <w:rFonts w:ascii="Times New Roman" w:hAnsi="Times New Roman" w:cs="Times New Roman" w:eastAsia="Times New Roman" w:hint="default"/>
        </w:rPr>
        <w:t>VGP</w:t>
      </w:r>
      <w:r>
        <w:rPr>
          <w:rFonts w:ascii="Times New Roman" w:hAnsi="Times New Roman" w:cs="Times New Roman" w:eastAsia="Times New Roman" w:hint="default"/>
          <w:spacing w:val="-6"/>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1"/>
        </w:rPr>
        <w:t> </w:t>
      </w:r>
      <w:r>
        <w:rPr>
          <w:spacing w:val="-5"/>
        </w:rPr>
        <w:t>董事；</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月至今任河南中德宝汽车销</w:t>
      </w:r>
      <w:r>
        <w:rPr>
          <w:w w:val="100"/>
        </w:rPr>
        <w:t> </w:t>
      </w:r>
      <w:r>
        <w:rPr>
          <w:spacing w:val="-6"/>
        </w:rPr>
        <w:t>售服务有限公司董事；</w:t>
      </w:r>
      <w:r>
        <w:rPr>
          <w:rFonts w:ascii="Times New Roman" w:hAnsi="Times New Roman" w:cs="Times New Roman" w:eastAsia="Times New Roman" w:hint="default"/>
          <w:spacing w:val="-6"/>
        </w:rPr>
        <w:t>2011</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月至</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spacing w:val="-6"/>
        </w:rPr>
        <w:t>月，任原神州数码信息服务股份有限公司独立董事；</w:t>
      </w:r>
      <w:r>
        <w:rPr>
          <w:rFonts w:ascii="Times New Roman" w:hAnsi="Times New Roman" w:cs="Times New Roman" w:eastAsia="Times New Roman" w:hint="default"/>
          <w:spacing w:val="-6"/>
        </w:rPr>
        <w:t>2011</w:t>
      </w:r>
    </w:p>
    <w:p>
      <w:pPr>
        <w:pStyle w:val="BodyText"/>
        <w:spacing w:line="240" w:lineRule="auto" w:before="35"/>
        <w:ind w:right="140"/>
        <w:jc w:val="left"/>
        <w:rPr>
          <w:rFonts w:ascii="Times New Roman" w:hAnsi="Times New Roman" w:cs="Times New Roman" w:eastAsia="Times New Roman" w:hint="default"/>
        </w:rPr>
      </w:pPr>
      <w:r>
        <w:rPr>
          <w:w w:val="100"/>
        </w:rPr>
        <w:t>年</w:t>
      </w:r>
      <w:r>
        <w:rPr>
          <w:spacing w:val="-65"/>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15"/>
        </w:rPr>
        <w:t> </w:t>
      </w:r>
      <w:r>
        <w:rPr>
          <w:w w:val="100"/>
        </w:rPr>
        <w:t>月</w:t>
      </w:r>
      <w:r>
        <w:rPr>
          <w:spacing w:val="-3"/>
          <w:w w:val="100"/>
        </w:rPr>
        <w:t>至</w:t>
      </w:r>
      <w:r>
        <w:rPr>
          <w:w w:val="100"/>
        </w:rPr>
        <w:t>今</w:t>
      </w:r>
      <w:r>
        <w:rPr>
          <w:spacing w:val="-3"/>
          <w:w w:val="100"/>
        </w:rPr>
        <w:t>任</w:t>
      </w:r>
      <w:r>
        <w:rPr>
          <w:w w:val="100"/>
        </w:rPr>
        <w:t>河</w:t>
      </w:r>
      <w:r>
        <w:rPr>
          <w:spacing w:val="-3"/>
          <w:w w:val="100"/>
        </w:rPr>
        <w:t>南</w:t>
      </w:r>
      <w:r>
        <w:rPr>
          <w:w w:val="100"/>
        </w:rPr>
        <w:t>和</w:t>
      </w:r>
      <w:r>
        <w:rPr>
          <w:spacing w:val="-3"/>
          <w:w w:val="100"/>
        </w:rPr>
        <w:t>谐汽</w:t>
      </w:r>
      <w:r>
        <w:rPr>
          <w:w w:val="100"/>
        </w:rPr>
        <w:t>车贸</w:t>
      </w:r>
      <w:r>
        <w:rPr>
          <w:spacing w:val="-3"/>
          <w:w w:val="100"/>
        </w:rPr>
        <w:t>易</w:t>
      </w:r>
      <w:r>
        <w:rPr>
          <w:w w:val="100"/>
        </w:rPr>
        <w:t>有</w:t>
      </w:r>
      <w:r>
        <w:rPr>
          <w:spacing w:val="-3"/>
          <w:w w:val="100"/>
        </w:rPr>
        <w:t>限</w:t>
      </w:r>
      <w:r>
        <w:rPr>
          <w:w w:val="100"/>
        </w:rPr>
        <w:t>公</w:t>
      </w:r>
      <w:r>
        <w:rPr>
          <w:spacing w:val="-3"/>
          <w:w w:val="100"/>
        </w:rPr>
        <w:t>司</w:t>
      </w:r>
      <w:r>
        <w:rPr>
          <w:w w:val="100"/>
        </w:rPr>
        <w:t>董</w:t>
      </w:r>
      <w:r>
        <w:rPr>
          <w:spacing w:val="-3"/>
          <w:w w:val="100"/>
        </w:rPr>
        <w:t>事</w:t>
      </w:r>
      <w:r>
        <w:rPr>
          <w:spacing w:val="-106"/>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14"/>
        </w:rPr>
        <w:t> </w:t>
      </w:r>
      <w:r>
        <w:rPr>
          <w:w w:val="100"/>
        </w:rPr>
        <w:t>年</w:t>
      </w:r>
      <w:r>
        <w:rPr>
          <w:spacing w:val="-65"/>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2"/>
        </w:rPr>
        <w:t> </w:t>
      </w:r>
      <w:r>
        <w:rPr>
          <w:spacing w:val="-3"/>
          <w:w w:val="100"/>
        </w:rPr>
        <w:t>月</w:t>
      </w:r>
      <w:r>
        <w:rPr>
          <w:w w:val="100"/>
        </w:rPr>
        <w:t>至</w:t>
      </w:r>
      <w:r>
        <w:rPr>
          <w:spacing w:val="-3"/>
          <w:w w:val="100"/>
        </w:rPr>
        <w:t>今</w:t>
      </w:r>
      <w:r>
        <w:rPr>
          <w:w w:val="100"/>
        </w:rPr>
        <w:t>任</w:t>
      </w:r>
      <w:r>
        <w:rPr>
          <w:spacing w:val="-3"/>
          <w:w w:val="100"/>
        </w:rPr>
        <w:t>武</w:t>
      </w:r>
      <w:r>
        <w:rPr>
          <w:w w:val="100"/>
        </w:rPr>
        <w:t>桥</w:t>
      </w:r>
      <w:r>
        <w:rPr>
          <w:spacing w:val="-3"/>
          <w:w w:val="100"/>
        </w:rPr>
        <w:t>重</w:t>
      </w:r>
      <w:r>
        <w:rPr>
          <w:w w:val="100"/>
        </w:rPr>
        <w:t>工</w:t>
      </w:r>
      <w:r>
        <w:rPr>
          <w:spacing w:val="-3"/>
          <w:w w:val="100"/>
        </w:rPr>
        <w:t>集</w:t>
      </w:r>
      <w:r>
        <w:rPr>
          <w:w w:val="100"/>
        </w:rPr>
        <w:t>团股</w:t>
      </w:r>
      <w:r>
        <w:rPr>
          <w:spacing w:val="-3"/>
          <w:w w:val="100"/>
        </w:rPr>
        <w:t>份</w:t>
      </w:r>
      <w:r>
        <w:rPr>
          <w:w w:val="100"/>
        </w:rPr>
        <w:t>有</w:t>
      </w:r>
      <w:r>
        <w:rPr>
          <w:spacing w:val="-3"/>
          <w:w w:val="100"/>
        </w:rPr>
        <w:t>限</w:t>
      </w:r>
      <w:r>
        <w:rPr>
          <w:w w:val="100"/>
        </w:rPr>
        <w:t>公</w:t>
      </w:r>
      <w:r>
        <w:rPr>
          <w:spacing w:val="-3"/>
          <w:w w:val="100"/>
        </w:rPr>
        <w:t>司</w:t>
      </w:r>
      <w:r>
        <w:rPr>
          <w:w w:val="100"/>
        </w:rPr>
        <w:t>董</w:t>
      </w:r>
      <w:r>
        <w:rPr>
          <w:spacing w:val="-3"/>
          <w:w w:val="100"/>
        </w:rPr>
        <w:t>事</w:t>
      </w:r>
      <w:r>
        <w:rPr>
          <w:spacing w:val="-106"/>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p>
    <w:p>
      <w:pPr>
        <w:pStyle w:val="BodyText"/>
        <w:spacing w:line="386" w:lineRule="auto" w:before="177"/>
        <w:ind w:right="280"/>
        <w:jc w:val="left"/>
      </w:pP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月至今任北京君联资本管理有限公司董事总经理兼首席财务官；</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月至今任中国和谐汽车控</w:t>
      </w:r>
      <w:r>
        <w:rPr>
          <w:w w:val="100"/>
        </w:rPr>
        <w:t> </w:t>
      </w:r>
      <w:r>
        <w:rPr/>
        <w:t>股有限公司非执行董事；</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月至今任神州数码信息服务股份有限公司独立董事。</w:t>
      </w:r>
    </w:p>
    <w:p>
      <w:pPr>
        <w:pStyle w:val="Heading4"/>
        <w:spacing w:line="240" w:lineRule="auto" w:before="76"/>
        <w:ind w:left="575" w:right="140"/>
        <w:jc w:val="left"/>
        <w:rPr>
          <w:b w:val="0"/>
          <w:bCs w:val="0"/>
        </w:rPr>
      </w:pPr>
      <w:r>
        <w:rPr/>
        <w:t>（二）监事会成员</w:t>
      </w:r>
      <w:r>
        <w:rPr>
          <w:b w:val="0"/>
          <w:bCs w:val="0"/>
        </w:rPr>
      </w:r>
    </w:p>
    <w:p>
      <w:pPr>
        <w:spacing w:line="240" w:lineRule="auto" w:before="10"/>
        <w:rPr>
          <w:rFonts w:ascii="宋体" w:hAnsi="宋体" w:cs="宋体" w:eastAsia="宋体" w:hint="default"/>
          <w:b/>
          <w:bCs/>
          <w:sz w:val="17"/>
          <w:szCs w:val="17"/>
        </w:rPr>
      </w:pPr>
    </w:p>
    <w:p>
      <w:pPr>
        <w:pStyle w:val="BodyText"/>
        <w:spacing w:line="386" w:lineRule="auto"/>
        <w:ind w:right="244" w:firstLine="420"/>
        <w:jc w:val="both"/>
      </w:pPr>
      <w:r>
        <w:rPr>
          <w:spacing w:val="-5"/>
        </w:rPr>
        <w:t>郑雪艳，女，</w:t>
      </w:r>
      <w:r>
        <w:rPr>
          <w:rFonts w:ascii="Times New Roman" w:hAnsi="Times New Roman" w:cs="Times New Roman" w:eastAsia="Times New Roman" w:hint="default"/>
          <w:spacing w:val="-5"/>
        </w:rPr>
        <w:t>53 </w:t>
      </w:r>
      <w:r>
        <w:rPr>
          <w:spacing w:val="-4"/>
        </w:rPr>
        <w:t>岁，</w:t>
      </w:r>
      <w:r>
        <w:rPr>
          <w:rFonts w:ascii="Times New Roman" w:hAnsi="Times New Roman" w:cs="Times New Roman" w:eastAsia="Times New Roman" w:hint="default"/>
          <w:spacing w:val="-4"/>
        </w:rPr>
        <w:t>1987 </w:t>
      </w:r>
      <w:r>
        <w:rPr/>
        <w:t>年</w:t>
      </w:r>
      <w:r>
        <w:rPr>
          <w:rFonts w:ascii="Times New Roman" w:hAnsi="Times New Roman" w:cs="Times New Roman" w:eastAsia="Times New Roman" w:hint="default"/>
        </w:rPr>
        <w:t>-1991 </w:t>
      </w:r>
      <w:r>
        <w:rPr>
          <w:spacing w:val="-4"/>
        </w:rPr>
        <w:t>年，北京市委党校哲学系，取得本科学位；</w:t>
      </w:r>
      <w:r>
        <w:rPr>
          <w:rFonts w:ascii="Times New Roman" w:hAnsi="Times New Roman" w:cs="Times New Roman" w:eastAsia="Times New Roman" w:hint="default"/>
          <w:spacing w:val="-4"/>
        </w:rPr>
        <w:t>1998 </w:t>
      </w:r>
      <w:r>
        <w:rPr/>
        <w:t>年</w:t>
      </w:r>
      <w:r>
        <w:rPr>
          <w:rFonts w:ascii="Times New Roman" w:hAnsi="Times New Roman" w:cs="Times New Roman" w:eastAsia="Times New Roman" w:hint="default"/>
        </w:rPr>
        <w:t>-2000</w:t>
      </w:r>
      <w:r>
        <w:rPr>
          <w:rFonts w:ascii="Times New Roman" w:hAnsi="Times New Roman" w:cs="Times New Roman" w:eastAsia="Times New Roman" w:hint="default"/>
          <w:spacing w:val="20"/>
        </w:rPr>
        <w:t> </w:t>
      </w:r>
      <w:r>
        <w:rPr>
          <w:spacing w:val="-5"/>
        </w:rPr>
        <w:t>年，中国</w:t>
      </w:r>
      <w:r>
        <w:rPr>
          <w:w w:val="100"/>
        </w:rPr>
        <w:t> </w:t>
      </w:r>
      <w:r>
        <w:rPr>
          <w:spacing w:val="-4"/>
        </w:rPr>
        <w:t>社会科学研究院商业经济系，取得硕士学历。</w:t>
      </w:r>
      <w:r>
        <w:rPr>
          <w:rFonts w:ascii="Times New Roman" w:hAnsi="Times New Roman" w:cs="Times New Roman" w:eastAsia="Times New Roman" w:hint="default"/>
          <w:spacing w:val="-4"/>
        </w:rPr>
        <w:t>2004</w:t>
      </w:r>
      <w:r>
        <w:rPr>
          <w:rFonts w:ascii="Times New Roman" w:hAnsi="Times New Roman" w:cs="Times New Roman" w:eastAsia="Times New Roman" w:hint="default"/>
          <w:spacing w:val="11"/>
        </w:rPr>
        <w:t> </w:t>
      </w:r>
      <w:r>
        <w:rPr/>
        <w:t>年</w:t>
      </w:r>
      <w:r>
        <w:rPr>
          <w:spacing w:val="-40"/>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spacing w:val="-3"/>
        </w:rPr>
        <w:t>月</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3"/>
        </w:rPr>
        <w:t> </w:t>
      </w:r>
      <w:r>
        <w:rPr/>
        <w:t>年</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spacing w:val="-4"/>
        </w:rPr>
        <w:t>月，历任神州数码控股有限公司信息</w:t>
      </w:r>
      <w:r>
        <w:rPr>
          <w:spacing w:val="-99"/>
        </w:rPr>
        <w:t> </w:t>
      </w:r>
      <w:r>
        <w:rPr>
          <w:spacing w:val="-99"/>
        </w:rPr>
      </w:r>
      <w:r>
        <w:rPr/>
        <w:t>服务集团副总裁、兼企划办副主任、兼大客户部总经理，神州数码控股有限公司助理总裁；</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p>
    <w:p>
      <w:pPr>
        <w:pStyle w:val="BodyText"/>
        <w:spacing w:line="386" w:lineRule="auto" w:before="35"/>
        <w:ind w:right="140"/>
        <w:jc w:val="left"/>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3 </w:t>
      </w:r>
      <w:r>
        <w:rPr>
          <w:spacing w:val="-3"/>
        </w:rPr>
        <w:t>月，任神州数码党委副书记、神州数码集团助理总裁，兼集团办主任，兼神州数码集团财经办</w:t>
      </w:r>
      <w:r>
        <w:rPr>
          <w:spacing w:val="-82"/>
        </w:rPr>
        <w:t> </w:t>
      </w:r>
      <w:r>
        <w:rPr>
          <w:spacing w:val="-82"/>
        </w:rPr>
      </w:r>
      <w:r>
        <w:rPr/>
        <w:t>审计法务部总经理；</w:t>
      </w:r>
      <w:r>
        <w:rPr>
          <w:rFonts w:ascii="Times New Roman" w:hAnsi="Times New Roman" w:cs="Times New Roman" w:eastAsia="Times New Roman" w:hint="default"/>
        </w:rPr>
        <w:t>2012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月，任神州数码党委副书记，神州数码控股有限公司副总裁，</w:t>
      </w:r>
      <w:r>
        <w:rPr>
          <w:w w:val="100"/>
        </w:rPr>
        <w:t> </w:t>
      </w:r>
      <w:r>
        <w:rPr>
          <w:spacing w:val="-8"/>
        </w:rPr>
        <w:t>兼集团办主任，兼法务部总经理，兼审计部总经理；</w:t>
      </w:r>
      <w:r>
        <w:rPr>
          <w:rFonts w:ascii="Times New Roman" w:hAnsi="Times New Roman" w:cs="Times New Roman" w:eastAsia="Times New Roman" w:hint="default"/>
          <w:spacing w:val="-8"/>
        </w:rPr>
        <w:t>2013</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月至</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月任神州数码党委副书记、</w:t>
      </w:r>
      <w:r>
        <w:rPr>
          <w:spacing w:val="-94"/>
        </w:rPr>
        <w:t> </w:t>
      </w:r>
      <w:r>
        <w:rPr>
          <w:spacing w:val="-94"/>
        </w:rPr>
      </w:r>
      <w:r>
        <w:rPr/>
        <w:t>神州数码控股有限公司副总裁、兼审计法务部总经理；</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月至今任神州数码信息服务股份有限公</w:t>
      </w:r>
      <w:r>
        <w:rPr>
          <w:w w:val="100"/>
        </w:rPr>
        <w:t> </w:t>
      </w:r>
      <w:r>
        <w:rPr/>
        <w:t>司监事会主席。</w:t>
      </w:r>
    </w:p>
    <w:p>
      <w:pPr>
        <w:pStyle w:val="BodyText"/>
        <w:spacing w:line="386" w:lineRule="auto" w:before="106"/>
        <w:ind w:right="244" w:firstLine="420"/>
        <w:jc w:val="both"/>
      </w:pPr>
      <w:r>
        <w:rPr>
          <w:spacing w:val="-9"/>
        </w:rPr>
        <w:t>杨九如，男，</w:t>
      </w:r>
      <w:r>
        <w:rPr>
          <w:rFonts w:ascii="Times New Roman" w:hAnsi="Times New Roman" w:cs="Times New Roman" w:eastAsia="Times New Roman" w:hint="default"/>
          <w:spacing w:val="-9"/>
        </w:rPr>
        <w:t>57</w:t>
      </w:r>
      <w:r>
        <w:rPr>
          <w:rFonts w:ascii="Times New Roman" w:hAnsi="Times New Roman" w:cs="Times New Roman" w:eastAsia="Times New Roman" w:hint="default"/>
          <w:spacing w:val="6"/>
        </w:rPr>
        <w:t> </w:t>
      </w:r>
      <w:r>
        <w:rPr>
          <w:spacing w:val="-6"/>
        </w:rPr>
        <w:t>岁，</w:t>
      </w:r>
      <w:r>
        <w:rPr>
          <w:rFonts w:ascii="Times New Roman" w:hAnsi="Times New Roman" w:cs="Times New Roman" w:eastAsia="Times New Roman" w:hint="default"/>
          <w:spacing w:val="-6"/>
        </w:rPr>
        <w:t>1982</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spacing w:val="-6"/>
        </w:rPr>
        <w:t>月，毕业于内蒙古大学物理系，本科学历。</w:t>
      </w:r>
      <w:r>
        <w:rPr>
          <w:rFonts w:ascii="Times New Roman" w:hAnsi="Times New Roman" w:cs="Times New Roman" w:eastAsia="Times New Roman" w:hint="default"/>
          <w:spacing w:val="-6"/>
        </w:rPr>
        <w:t>2009</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spacing w:val="-2"/>
        </w:rPr>
        <w:t>月</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w w:val="100"/>
        </w:rPr>
        <w:t> </w:t>
      </w:r>
      <w:r>
        <w:rPr/>
        <w:t>任神州数码控股有限公司行政部总经理；</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月至</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月任神州数码控股有限公司科技地产</w:t>
      </w:r>
      <w:r>
        <w:rPr>
          <w:w w:val="100"/>
        </w:rPr>
        <w:t> </w:t>
      </w:r>
      <w:r>
        <w:rPr/>
        <w:t>本部北区投资总监；</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月至今任神州数码控股有限公司金融服务战略本部科技地产本部北京事业</w:t>
      </w:r>
      <w:r>
        <w:rPr>
          <w:w w:val="100"/>
        </w:rPr>
        <w:t> </w:t>
      </w:r>
      <w:r>
        <w:rPr/>
        <w:t>部总经理；</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月至今任神州数码信息服务股份有限公司监事。</w:t>
      </w:r>
    </w:p>
    <w:p>
      <w:pPr>
        <w:pStyle w:val="BodyText"/>
        <w:spacing w:line="386" w:lineRule="auto" w:before="76"/>
        <w:ind w:right="244" w:firstLine="420"/>
        <w:jc w:val="both"/>
      </w:pPr>
      <w:r>
        <w:rPr>
          <w:spacing w:val="-9"/>
        </w:rPr>
        <w:t>许克勤，男，</w:t>
      </w:r>
      <w:r>
        <w:rPr>
          <w:rFonts w:ascii="Times New Roman" w:hAnsi="Times New Roman" w:cs="Times New Roman" w:eastAsia="Times New Roman" w:hint="default"/>
          <w:spacing w:val="-9"/>
        </w:rPr>
        <w:t>52 </w:t>
      </w:r>
      <w:r>
        <w:rPr>
          <w:spacing w:val="-7"/>
        </w:rPr>
        <w:t>岁，</w:t>
      </w:r>
      <w:r>
        <w:rPr>
          <w:rFonts w:ascii="Times New Roman" w:hAnsi="Times New Roman" w:cs="Times New Roman" w:eastAsia="Times New Roman" w:hint="default"/>
          <w:spacing w:val="-7"/>
        </w:rPr>
        <w:t>1986 </w:t>
      </w:r>
      <w:r>
        <w:rPr>
          <w:spacing w:val="-5"/>
        </w:rPr>
        <w:t>年毕业于西安交通大学电子工程系，本科学历，经济师。</w:t>
      </w:r>
      <w:r>
        <w:rPr>
          <w:rFonts w:ascii="Times New Roman" w:hAnsi="Times New Roman" w:cs="Times New Roman" w:eastAsia="Times New Roman" w:hint="default"/>
          <w:spacing w:val="-5"/>
        </w:rPr>
        <w:t>2008 </w:t>
      </w:r>
      <w:r>
        <w:rPr/>
        <w:t>年</w:t>
      </w:r>
      <w:r>
        <w:rPr>
          <w:rFonts w:ascii="Times New Roman" w:hAnsi="Times New Roman" w:cs="Times New Roman" w:eastAsia="Times New Roman" w:hint="default"/>
        </w:rPr>
        <w:t>-2010</w:t>
      </w:r>
      <w:r>
        <w:rPr>
          <w:rFonts w:ascii="Times New Roman" w:hAnsi="Times New Roman" w:cs="Times New Roman" w:eastAsia="Times New Roman" w:hint="default"/>
          <w:spacing w:val="31"/>
        </w:rPr>
        <w:t> </w:t>
      </w:r>
      <w:r>
        <w:rPr/>
        <w:t>年，</w:t>
      </w:r>
      <w:r>
        <w:rPr>
          <w:w w:val="100"/>
        </w:rPr>
        <w:t> </w:t>
      </w:r>
      <w:r>
        <w:rPr/>
        <w:t>任神州数码信息技术服务有限公司系统集成本部常务副总裁；</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spacing w:val="-3"/>
        </w:rPr>
        <w:t>年至今任企划办副主任；</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103"/>
        </w:rPr>
        <w:t> </w:t>
      </w:r>
      <w:r>
        <w:rPr/>
        <w:t>至今任神州数码信息服务股份有限公司职工监事。</w:t>
      </w:r>
    </w:p>
    <w:p>
      <w:pPr>
        <w:pStyle w:val="Heading4"/>
        <w:spacing w:line="240" w:lineRule="auto" w:before="104"/>
        <w:ind w:left="575" w:right="140"/>
        <w:jc w:val="left"/>
        <w:rPr>
          <w:b w:val="0"/>
          <w:bCs w:val="0"/>
        </w:rPr>
      </w:pPr>
      <w:r>
        <w:rPr/>
        <w:t>（三）高级管理人员</w:t>
      </w:r>
      <w:r>
        <w:rPr>
          <w:b w:val="0"/>
          <w:bCs w:val="0"/>
        </w:rPr>
      </w:r>
    </w:p>
    <w:p>
      <w:pPr>
        <w:spacing w:line="240" w:lineRule="auto" w:before="12"/>
        <w:rPr>
          <w:rFonts w:ascii="宋体" w:hAnsi="宋体" w:cs="宋体" w:eastAsia="宋体" w:hint="default"/>
          <w:b/>
          <w:bCs/>
          <w:sz w:val="17"/>
          <w:szCs w:val="17"/>
        </w:rPr>
      </w:pPr>
    </w:p>
    <w:p>
      <w:pPr>
        <w:pStyle w:val="BodyText"/>
        <w:spacing w:line="386" w:lineRule="auto"/>
        <w:ind w:right="244" w:firstLine="420"/>
        <w:jc w:val="both"/>
      </w:pPr>
      <w:r>
        <w:rPr/>
        <w:t>何文潮，男，</w:t>
      </w:r>
      <w:r>
        <w:rPr>
          <w:rFonts w:ascii="Times New Roman" w:hAnsi="Times New Roman" w:cs="Times New Roman" w:eastAsia="Times New Roman" w:hint="default"/>
        </w:rPr>
        <w:t>44</w:t>
      </w:r>
      <w:r>
        <w:rPr>
          <w:rFonts w:ascii="Times New Roman" w:hAnsi="Times New Roman" w:cs="Times New Roman" w:eastAsia="Times New Roman" w:hint="default"/>
          <w:spacing w:val="-5"/>
        </w:rPr>
        <w:t> </w:t>
      </w:r>
      <w:r>
        <w:rPr/>
        <w:t>岁，毕业于厦门大学数学系数学专业，获理学学士学位。</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月至今任神州数</w:t>
      </w:r>
      <w:r>
        <w:rPr>
          <w:w w:val="100"/>
        </w:rPr>
        <w:t> </w:t>
      </w:r>
      <w:r>
        <w:rPr/>
        <w:t>码金信科技股份有限公司总裁；</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月至今任神州数码信息服务股份有限公司副总裁。</w:t>
      </w:r>
    </w:p>
    <w:p>
      <w:pPr>
        <w:pStyle w:val="BodyText"/>
        <w:spacing w:line="386" w:lineRule="auto" w:before="76"/>
        <w:ind w:right="245" w:firstLine="420"/>
        <w:jc w:val="both"/>
      </w:pPr>
      <w:r>
        <w:rPr>
          <w:spacing w:val="-4"/>
          <w:w w:val="100"/>
        </w:rPr>
        <w:t>厉军，男，</w:t>
      </w:r>
      <w:r>
        <w:rPr>
          <w:rFonts w:ascii="Times New Roman" w:hAnsi="Times New Roman" w:cs="Times New Roman" w:eastAsia="Times New Roman" w:hint="default"/>
          <w:spacing w:val="-4"/>
          <w:w w:val="100"/>
        </w:rPr>
        <w:t>52</w:t>
      </w:r>
      <w:r>
        <w:rPr>
          <w:rFonts w:ascii="Times New Roman" w:hAnsi="Times New Roman" w:cs="Times New Roman" w:eastAsia="Times New Roman" w:hint="default"/>
          <w:spacing w:val="12"/>
          <w:w w:val="100"/>
        </w:rPr>
        <w:t> </w:t>
      </w:r>
      <w:r>
        <w:rPr>
          <w:spacing w:val="-6"/>
          <w:w w:val="100"/>
        </w:rPr>
        <w:t>岁，工程师。毕业于东北工学院管理工程系（现东北大学管理科学与工程学院），本科</w:t>
      </w:r>
      <w:r>
        <w:rPr>
          <w:w w:val="100"/>
        </w:rPr>
        <w:t> </w:t>
      </w:r>
      <w:r>
        <w:rPr/>
        <w:t>学历。于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月取得董事会秘书资格证明。</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月至今先后任神州数码控股有限公司副总裁</w:t>
      </w:r>
      <w:r>
        <w:rPr>
          <w:w w:val="100"/>
        </w:rPr>
        <w:t> </w:t>
      </w:r>
      <w:r>
        <w:rPr/>
        <w:t>兼软件与服务战略本部总裁、神州数码融信软件有限公司总裁；</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spacing w:val="-2"/>
        </w:rPr>
        <w:t>月</w:t>
      </w: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t>年</w:t>
      </w:r>
      <w:r>
        <w:rPr>
          <w:spacing w:val="-55"/>
        </w:rPr>
        <w:t> </w:t>
      </w:r>
      <w:r>
        <w:rPr>
          <w:rFonts w:ascii="Times New Roman" w:hAnsi="Times New Roman" w:cs="Times New Roman" w:eastAsia="Times New Roman" w:hint="default"/>
        </w:rPr>
        <w:t>1 </w:t>
      </w:r>
      <w:r>
        <w:rPr/>
        <w:t>月，任神州数码</w:t>
      </w:r>
    </w:p>
    <w:p>
      <w:pPr>
        <w:spacing w:after="0" w:line="386" w:lineRule="auto"/>
        <w:jc w:val="both"/>
        <w:sectPr>
          <w:footerReference w:type="default" r:id="rId41"/>
          <w:pgSz w:w="11910" w:h="16840"/>
          <w:pgMar w:footer="1227" w:header="0" w:top="1100" w:bottom="1420" w:left="980" w:right="980"/>
          <w:pgNumType w:start="75"/>
        </w:sectPr>
      </w:pPr>
    </w:p>
    <w:p>
      <w:pPr>
        <w:spacing w:line="240" w:lineRule="auto" w:before="9"/>
        <w:rPr>
          <w:rFonts w:ascii="宋体" w:hAnsi="宋体" w:cs="宋体" w:eastAsia="宋体" w:hint="default"/>
          <w:sz w:val="26"/>
          <w:szCs w:val="26"/>
        </w:rPr>
      </w:pPr>
    </w:p>
    <w:p>
      <w:pPr>
        <w:pStyle w:val="BodyText"/>
        <w:spacing w:line="240" w:lineRule="auto" w:before="36"/>
        <w:ind w:right="140"/>
        <w:jc w:val="left"/>
      </w:pPr>
      <w:r>
        <w:rPr/>
        <w:t>信息服务股份有限公司董事；</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月至今任神州数码信息服务股份有限公司副总裁。</w:t>
      </w:r>
    </w:p>
    <w:p>
      <w:pPr>
        <w:spacing w:line="240" w:lineRule="auto" w:before="9"/>
        <w:rPr>
          <w:rFonts w:ascii="宋体" w:hAnsi="宋体" w:cs="宋体" w:eastAsia="宋体" w:hint="default"/>
          <w:sz w:val="16"/>
          <w:szCs w:val="16"/>
        </w:rPr>
      </w:pPr>
    </w:p>
    <w:p>
      <w:pPr>
        <w:pStyle w:val="BodyText"/>
        <w:spacing w:line="386" w:lineRule="auto"/>
        <w:ind w:right="244" w:firstLine="420"/>
        <w:jc w:val="both"/>
      </w:pPr>
      <w:r>
        <w:rPr>
          <w:spacing w:val="-5"/>
        </w:rPr>
        <w:t>辛昕，女，</w:t>
      </w:r>
      <w:r>
        <w:rPr>
          <w:rFonts w:ascii="Times New Roman" w:hAnsi="Times New Roman" w:cs="Times New Roman" w:eastAsia="Times New Roman" w:hint="default"/>
          <w:spacing w:val="-5"/>
        </w:rPr>
        <w:t>38</w:t>
      </w:r>
      <w:r>
        <w:rPr>
          <w:rFonts w:ascii="Times New Roman" w:hAnsi="Times New Roman" w:cs="Times New Roman" w:eastAsia="Times New Roman" w:hint="default"/>
          <w:spacing w:val="3"/>
        </w:rPr>
        <w:t> </w:t>
      </w:r>
      <w:r>
        <w:rPr>
          <w:spacing w:val="-3"/>
        </w:rPr>
        <w:t>岁，</w:t>
      </w:r>
      <w:r>
        <w:rPr>
          <w:rFonts w:ascii="Times New Roman" w:hAnsi="Times New Roman" w:cs="Times New Roman" w:eastAsia="Times New Roman" w:hint="default"/>
          <w:spacing w:val="-3"/>
        </w:rPr>
        <w:t>1998</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spacing w:val="-3"/>
        </w:rPr>
        <w:t>月毕业于东北大学会计学专业，本科学历。</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月取得董事会秘书</w:t>
      </w:r>
      <w:r>
        <w:rPr>
          <w:w w:val="100"/>
        </w:rPr>
        <w:t> </w:t>
      </w:r>
      <w:r>
        <w:rPr/>
        <w:t>资格。</w:t>
      </w:r>
      <w:r>
        <w:rPr>
          <w:rFonts w:ascii="Times New Roman" w:hAnsi="Times New Roman" w:cs="Times New Roman" w:eastAsia="Times New Roman" w:hint="default"/>
        </w:rPr>
        <w:t>2008 </w:t>
      </w:r>
      <w:r>
        <w:rPr/>
        <w:t>年</w:t>
      </w:r>
      <w:r>
        <w:rPr>
          <w:spacing w:val="-55"/>
        </w:rPr>
        <w:t> </w:t>
      </w:r>
      <w:r>
        <w:rPr>
          <w:rFonts w:ascii="Times New Roman" w:hAnsi="Times New Roman" w:cs="Times New Roman" w:eastAsia="Times New Roman" w:hint="default"/>
        </w:rPr>
        <w:t>4 </w:t>
      </w:r>
      <w:r>
        <w:rPr>
          <w:spacing w:val="-2"/>
        </w:rPr>
        <w:t>月</w:t>
      </w:r>
      <w:r>
        <w:rPr>
          <w:rFonts w:ascii="Times New Roman" w:hAnsi="Times New Roman" w:cs="Times New Roman" w:eastAsia="Times New Roman" w:hint="default"/>
          <w:spacing w:val="-2"/>
        </w:rPr>
        <w:t>-2011 </w:t>
      </w:r>
      <w:r>
        <w:rPr/>
        <w:t>年</w:t>
      </w:r>
      <w:r>
        <w:rPr>
          <w:spacing w:val="-53"/>
        </w:rPr>
        <w:t> </w:t>
      </w:r>
      <w:r>
        <w:rPr>
          <w:rFonts w:ascii="Times New Roman" w:hAnsi="Times New Roman" w:cs="Times New Roman" w:eastAsia="Times New Roman" w:hint="default"/>
        </w:rPr>
        <w:t>3 </w:t>
      </w:r>
      <w:r>
        <w:rPr/>
        <w:t>月，任神州数码控股有限公司金融服务事业部副总经理；</w:t>
      </w:r>
      <w:r>
        <w:rPr>
          <w:rFonts w:ascii="Times New Roman" w:hAnsi="Times New Roman" w:cs="Times New Roman" w:eastAsia="Times New Roman" w:hint="default"/>
        </w:rPr>
        <w:t>2011 </w:t>
      </w:r>
      <w:r>
        <w:rPr/>
        <w:t>年</w:t>
      </w:r>
      <w:r>
        <w:rPr>
          <w:spacing w:val="-55"/>
        </w:rPr>
        <w:t> </w:t>
      </w:r>
      <w:r>
        <w:rPr>
          <w:rFonts w:ascii="Times New Roman" w:hAnsi="Times New Roman" w:cs="Times New Roman" w:eastAsia="Times New Roman" w:hint="default"/>
        </w:rPr>
        <w:t>4 </w:t>
      </w:r>
      <w:r>
        <w:rPr>
          <w:spacing w:val="-3"/>
        </w:rPr>
        <w:t>月</w:t>
      </w:r>
      <w:r>
        <w:rPr>
          <w:rFonts w:ascii="Times New Roman" w:hAnsi="Times New Roman" w:cs="Times New Roman" w:eastAsia="Times New Roman" w:hint="default"/>
          <w:spacing w:val="-3"/>
        </w:rPr>
        <w:t>-2011</w:t>
      </w:r>
      <w:r>
        <w:rPr>
          <w:rFonts w:ascii="Times New Roman" w:hAnsi="Times New Roman" w:cs="Times New Roman" w:eastAsia="Times New Roman" w:hint="default"/>
          <w:w w:val="100"/>
        </w:rPr>
        <w:t> </w:t>
      </w:r>
      <w:r>
        <w:rPr>
          <w:w w:val="100"/>
        </w:rPr>
        <w:t>年</w:t>
      </w:r>
      <w:r>
        <w:rPr>
          <w:spacing w:val="-51"/>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2"/>
          <w:w w:val="100"/>
        </w:rPr>
        <w:t> </w:t>
      </w:r>
      <w:r>
        <w:rPr>
          <w:spacing w:val="-8"/>
          <w:w w:val="100"/>
        </w:rPr>
        <w:t>月，任神州数码控股有限公司企业发展部副总经理；</w:t>
      </w:r>
      <w:r>
        <w:rPr>
          <w:rFonts w:ascii="Times New Roman" w:hAnsi="Times New Roman" w:cs="Times New Roman" w:eastAsia="Times New Roman" w:hint="default"/>
          <w:spacing w:val="-8"/>
          <w:w w:val="100"/>
        </w:rPr>
        <w:t>2014</w:t>
      </w:r>
      <w:r>
        <w:rPr>
          <w:rFonts w:ascii="Times New Roman" w:hAnsi="Times New Roman" w:cs="Times New Roman" w:eastAsia="Times New Roman" w:hint="default"/>
          <w:spacing w:val="2"/>
          <w:w w:val="100"/>
        </w:rPr>
        <w:t> </w:t>
      </w:r>
      <w:r>
        <w:rPr>
          <w:w w:val="100"/>
        </w:rPr>
        <w:t>年</w:t>
      </w:r>
      <w:r>
        <w:rPr>
          <w:spacing w:val="-54"/>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2"/>
          <w:w w:val="100"/>
        </w:rPr>
        <w:t> </w:t>
      </w:r>
      <w:r>
        <w:rPr>
          <w:spacing w:val="-2"/>
          <w:w w:val="100"/>
        </w:rPr>
        <w:t>月至今任鼎捷软件股份有限公司董事；</w:t>
      </w:r>
    </w:p>
    <w:p>
      <w:pPr>
        <w:pStyle w:val="BodyText"/>
        <w:spacing w:line="386" w:lineRule="auto" w:before="35"/>
        <w:ind w:right="289"/>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月起任神州数码信息服务股份有限公司董事会秘书，现任神州数码信息服务股份有限公司财务</w:t>
      </w:r>
      <w:r>
        <w:rPr>
          <w:w w:val="100"/>
        </w:rPr>
        <w:t> </w:t>
      </w:r>
      <w:r>
        <w:rPr/>
        <w:t>总监兼董事会秘书。</w:t>
      </w:r>
    </w:p>
    <w:p>
      <w:pPr>
        <w:pStyle w:val="BodyText"/>
        <w:spacing w:line="240" w:lineRule="auto" w:before="103"/>
        <w:ind w:right="140"/>
        <w:jc w:val="left"/>
      </w:pPr>
      <w:r>
        <w:rPr/>
        <w:t>在股东单位任职情况</w:t>
      </w:r>
    </w:p>
    <w:p>
      <w:pPr>
        <w:spacing w:line="240" w:lineRule="auto" w:before="12"/>
        <w:rPr>
          <w:rFonts w:ascii="宋体" w:hAnsi="宋体" w:cs="宋体" w:eastAsia="宋体" w:hint="default"/>
          <w:sz w:val="17"/>
          <w:szCs w:val="17"/>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1200"/>
        <w:gridCol w:w="2770"/>
        <w:gridCol w:w="1486"/>
        <w:gridCol w:w="1491"/>
        <w:gridCol w:w="1135"/>
        <w:gridCol w:w="1488"/>
      </w:tblGrid>
      <w:tr>
        <w:trPr>
          <w:trHeight w:val="722" w:hRule="exact"/>
        </w:trPr>
        <w:tc>
          <w:tcPr>
            <w:tcW w:w="120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77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8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8" w:right="106" w:hanging="361"/>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4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3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2" w:right="110"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4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49"/>
              <w:ind w:left="199" w:right="96"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66"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7"/>
              <w:jc w:val="center"/>
              <w:rPr>
                <w:rFonts w:ascii="宋体" w:hAnsi="宋体" w:cs="宋体" w:eastAsia="宋体" w:hint="default"/>
                <w:sz w:val="18"/>
                <w:szCs w:val="18"/>
              </w:rPr>
            </w:pPr>
            <w:r>
              <w:rPr>
                <w:rFonts w:ascii="宋体" w:hAnsi="宋体" w:cs="宋体" w:eastAsia="宋体" w:hint="default"/>
                <w:sz w:val="18"/>
                <w:szCs w:val="18"/>
              </w:rPr>
              <w:t>郭为</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82"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周一兵</w:t>
            </w:r>
          </w:p>
        </w:tc>
        <w:tc>
          <w:tcPr>
            <w:tcW w:w="2770"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天津信锐投资合伙企</w:t>
            </w:r>
            <w:r>
              <w:rPr>
                <w:rFonts w:ascii="宋体" w:hAnsi="宋体" w:cs="宋体" w:eastAsia="宋体" w:hint="default"/>
                <w:spacing w:val="-80"/>
                <w:sz w:val="18"/>
                <w:szCs w:val="18"/>
              </w:rPr>
              <w:t>业</w:t>
            </w:r>
            <w:r>
              <w:rPr>
                <w:rFonts w:ascii="宋体" w:hAnsi="宋体" w:cs="宋体" w:eastAsia="宋体" w:hint="default"/>
                <w:sz w:val="18"/>
                <w:szCs w:val="18"/>
              </w:rPr>
              <w:t>（有限</w:t>
            </w:r>
            <w:r>
              <w:rPr>
                <w:rFonts w:ascii="宋体" w:hAnsi="宋体" w:cs="宋体" w:eastAsia="宋体" w:hint="default"/>
                <w:spacing w:val="2"/>
                <w:sz w:val="18"/>
                <w:szCs w:val="18"/>
              </w:rPr>
              <w:t>合</w:t>
            </w:r>
            <w:r>
              <w:rPr>
                <w:rFonts w:ascii="宋体" w:hAnsi="宋体" w:cs="宋体" w:eastAsia="宋体" w:hint="default"/>
                <w:sz w:val="18"/>
                <w:szCs w:val="18"/>
              </w:rPr>
              <w:t>伙</w:t>
            </w:r>
          </w:p>
        </w:tc>
        <w:tc>
          <w:tcPr>
            <w:tcW w:w="148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80"/>
              <w:ind w:left="-12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2"/>
                <w:sz w:val="18"/>
                <w:szCs w:val="18"/>
              </w:rPr>
              <w:t> </w:t>
            </w:r>
            <w:r>
              <w:rPr>
                <w:rFonts w:ascii="宋体" w:hAnsi="宋体" w:cs="宋体" w:eastAsia="宋体" w:hint="default"/>
                <w:sz w:val="18"/>
                <w:szCs w:val="18"/>
              </w:rPr>
              <w:t>执行事务合伙人</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3" w:hRule="exact"/>
        </w:trPr>
        <w:tc>
          <w:tcPr>
            <w:tcW w:w="120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林杨</w:t>
            </w:r>
          </w:p>
        </w:tc>
        <w:tc>
          <w:tcPr>
            <w:tcW w:w="27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482"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宋体" w:hAnsi="宋体" w:cs="宋体" w:eastAsia="宋体" w:hint="default"/>
          <w:sz w:val="5"/>
          <w:szCs w:val="5"/>
        </w:rPr>
      </w:pPr>
    </w:p>
    <w:p>
      <w:pPr>
        <w:pStyle w:val="BodyText"/>
        <w:spacing w:line="240" w:lineRule="auto" w:before="36"/>
        <w:ind w:right="140"/>
        <w:jc w:val="left"/>
      </w:pPr>
      <w:r>
        <w:rPr/>
        <w:pict>
          <v:group style="position:absolute;margin-left:256.609985pt;margin-top:-49.296322pt;width:71.45pt;height:19.6pt;mso-position-horizontal-relative:page;mso-position-vertical-relative:paragraph;z-index:-1116520" coordorigin="5132,-986" coordsize="1429,392">
            <v:shape style="position:absolute;left:5132;top:-986;width:1429;height:392" coordorigin="5132,-986" coordsize="1429,392" path="m5132,-595l6561,-595,6561,-986,5132,-986,5132,-595xe" filled="true" fillcolor="#ffffff" stroked="false">
              <v:path arrowok="t"/>
              <v:fill type="solid"/>
            </v:shape>
            <w10:wrap type="none"/>
          </v:group>
        </w:pict>
      </w:r>
      <w:r>
        <w:rPr/>
        <w:t>在其他单位任职情况</w:t>
      </w:r>
    </w:p>
    <w:p>
      <w:pPr>
        <w:spacing w:line="240" w:lineRule="auto" w:before="9"/>
        <w:rPr>
          <w:rFonts w:ascii="宋体" w:hAnsi="宋体" w:cs="宋体" w:eastAsia="宋体" w:hint="default"/>
          <w:sz w:val="17"/>
          <w:szCs w:val="17"/>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1200"/>
        <w:gridCol w:w="2770"/>
        <w:gridCol w:w="1486"/>
        <w:gridCol w:w="1491"/>
        <w:gridCol w:w="1560"/>
        <w:gridCol w:w="1064"/>
      </w:tblGrid>
      <w:tr>
        <w:trPr>
          <w:trHeight w:val="1037" w:hRule="exact"/>
        </w:trPr>
        <w:tc>
          <w:tcPr>
            <w:tcW w:w="120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7"/>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77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8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287" w:right="286"/>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4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6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49"/>
              <w:ind w:left="76" w:right="65"/>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郭为</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董事局主席</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郭为</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鼎捷软件股份有限公司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7"/>
              <w:jc w:val="center"/>
              <w:rPr>
                <w:rFonts w:ascii="宋体" w:hAnsi="宋体" w:cs="宋体" w:eastAsia="宋体" w:hint="default"/>
                <w:sz w:val="18"/>
                <w:szCs w:val="18"/>
              </w:rPr>
            </w:pPr>
            <w:r>
              <w:rPr>
                <w:rFonts w:ascii="宋体" w:hAnsi="宋体" w:cs="宋体" w:eastAsia="宋体" w:hint="default"/>
                <w:sz w:val="18"/>
                <w:szCs w:val="18"/>
              </w:rPr>
              <w:t>郭为</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慧聪网有限公司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非执行董事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郭为</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上海浦东发展银行股份有限公司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郭为</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泰康人寿保险股份有限公司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6"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7"/>
              <w:jc w:val="center"/>
              <w:rPr>
                <w:rFonts w:ascii="宋体" w:hAnsi="宋体" w:cs="宋体" w:eastAsia="宋体" w:hint="default"/>
                <w:sz w:val="18"/>
                <w:szCs w:val="18"/>
              </w:rPr>
            </w:pPr>
            <w:r>
              <w:rPr>
                <w:rFonts w:ascii="宋体" w:hAnsi="宋体" w:cs="宋体" w:eastAsia="宋体" w:hint="default"/>
                <w:sz w:val="18"/>
                <w:szCs w:val="18"/>
              </w:rPr>
              <w:t>林杨</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CEO </w:t>
            </w:r>
            <w:r>
              <w:rPr>
                <w:rFonts w:ascii="宋体" w:hAnsi="宋体" w:cs="宋体" w:eastAsia="宋体" w:hint="default"/>
                <w:sz w:val="18"/>
                <w:szCs w:val="18"/>
              </w:rPr>
              <w:t>兼执行董事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周一兵</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鼎捷软件股份有限公司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费建江</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31" w:right="27" w:hanging="900"/>
              <w:jc w:val="left"/>
              <w:rPr>
                <w:rFonts w:ascii="宋体" w:hAnsi="宋体" w:cs="宋体" w:eastAsia="宋体" w:hint="default"/>
                <w:sz w:val="18"/>
                <w:szCs w:val="18"/>
              </w:rPr>
            </w:pPr>
            <w:r>
              <w:rPr>
                <w:rFonts w:ascii="宋体" w:hAnsi="宋体" w:cs="宋体" w:eastAsia="宋体" w:hint="default"/>
                <w:sz w:val="18"/>
                <w:szCs w:val="18"/>
              </w:rPr>
              <w:t>苏州工业园区元禾原点创业投资管 理有限公司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费建江</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571" w:right="27" w:hanging="540"/>
              <w:jc w:val="left"/>
              <w:rPr>
                <w:rFonts w:ascii="宋体" w:hAnsi="宋体" w:cs="宋体" w:eastAsia="宋体" w:hint="default"/>
                <w:sz w:val="18"/>
                <w:szCs w:val="18"/>
              </w:rPr>
            </w:pPr>
            <w:r>
              <w:rPr>
                <w:rFonts w:ascii="宋体" w:hAnsi="宋体" w:cs="宋体" w:eastAsia="宋体" w:hint="default"/>
                <w:sz w:val="18"/>
                <w:szCs w:val="18"/>
              </w:rPr>
              <w:t>苏州工业园区原点正则壹号创业投 资企业（有限合伙）</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执行合伙人</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2" w:hRule="exact"/>
        </w:trPr>
        <w:tc>
          <w:tcPr>
            <w:tcW w:w="120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费建江</w:t>
            </w:r>
          </w:p>
        </w:tc>
        <w:tc>
          <w:tcPr>
            <w:tcW w:w="2770"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49"/>
              <w:ind w:left="571" w:right="27" w:hanging="540"/>
              <w:jc w:val="left"/>
              <w:rPr>
                <w:rFonts w:ascii="宋体" w:hAnsi="宋体" w:cs="宋体" w:eastAsia="宋体" w:hint="default"/>
                <w:sz w:val="18"/>
                <w:szCs w:val="18"/>
              </w:rPr>
            </w:pPr>
            <w:r>
              <w:rPr>
                <w:rFonts w:ascii="宋体" w:hAnsi="宋体" w:cs="宋体" w:eastAsia="宋体" w:hint="default"/>
                <w:sz w:val="18"/>
                <w:szCs w:val="18"/>
              </w:rPr>
              <w:t>苏州工业园区原点正则创业投资管 理中心（有限合伙）</w:t>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执行合伙人</w:t>
            </w:r>
          </w:p>
        </w:tc>
        <w:tc>
          <w:tcPr>
            <w:tcW w:w="14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12" w:space="0" w:color="000000"/>
              <w:right w:val="single" w:sz="4" w:space="0" w:color="000000"/>
            </w:tcBorders>
          </w:tcPr>
          <w:p>
            <w:pPr/>
          </w:p>
        </w:tc>
        <w:tc>
          <w:tcPr>
            <w:tcW w:w="106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1200"/>
        <w:gridCol w:w="2770"/>
        <w:gridCol w:w="1486"/>
        <w:gridCol w:w="1491"/>
        <w:gridCol w:w="1560"/>
        <w:gridCol w:w="1064"/>
      </w:tblGrid>
      <w:tr>
        <w:trPr>
          <w:trHeight w:val="476" w:hRule="exact"/>
        </w:trPr>
        <w:tc>
          <w:tcPr>
            <w:tcW w:w="120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费建江</w:t>
            </w:r>
          </w:p>
        </w:tc>
        <w:tc>
          <w:tcPr>
            <w:tcW w:w="27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苏州晶方半导体科技股份有限公司</w:t>
            </w:r>
          </w:p>
        </w:tc>
        <w:tc>
          <w:tcPr>
            <w:tcW w:w="14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6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费建江</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华圆管理咨询（香港）有限公司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费建江</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苏州相城高新创业投资有限公司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费建江</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1023" w:right="296" w:hanging="721"/>
              <w:jc w:val="left"/>
              <w:rPr>
                <w:rFonts w:ascii="宋体" w:hAnsi="宋体" w:cs="宋体" w:eastAsia="宋体" w:hint="default"/>
                <w:sz w:val="18"/>
                <w:szCs w:val="18"/>
              </w:rPr>
            </w:pPr>
            <w:r>
              <w:rPr>
                <w:rFonts w:ascii="宋体" w:hAnsi="宋体" w:cs="宋体" w:eastAsia="宋体" w:hint="default"/>
                <w:sz w:val="18"/>
                <w:szCs w:val="18"/>
              </w:rPr>
              <w:t>苏州工业园区原点创业投资 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5"/>
              <w:jc w:val="center"/>
              <w:rPr>
                <w:rFonts w:ascii="宋体" w:hAnsi="宋体" w:cs="宋体" w:eastAsia="宋体" w:hint="default"/>
                <w:sz w:val="18"/>
                <w:szCs w:val="18"/>
              </w:rPr>
            </w:pPr>
            <w:r>
              <w:rPr>
                <w:rFonts w:ascii="宋体" w:hAnsi="宋体" w:cs="宋体" w:eastAsia="宋体" w:hint="default"/>
                <w:sz w:val="18"/>
                <w:szCs w:val="18"/>
              </w:rPr>
              <w:t>费建江</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凯风创业投资有限公司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费建江</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沪士电子股份有限公司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费建江</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江苏和顺环保股份有限公司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right="7"/>
              <w:jc w:val="center"/>
              <w:rPr>
                <w:rFonts w:ascii="宋体" w:hAnsi="宋体" w:cs="宋体" w:eastAsia="宋体" w:hint="default"/>
                <w:sz w:val="18"/>
                <w:szCs w:val="18"/>
              </w:rPr>
            </w:pPr>
            <w:r>
              <w:rPr>
                <w:rFonts w:ascii="宋体" w:hAnsi="宋体" w:cs="宋体" w:eastAsia="宋体" w:hint="default"/>
                <w:sz w:val="18"/>
                <w:szCs w:val="18"/>
              </w:rPr>
              <w:t>盛刚</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 w:right="0"/>
              <w:jc w:val="center"/>
              <w:rPr>
                <w:rFonts w:ascii="宋体" w:hAnsi="宋体" w:cs="宋体" w:eastAsia="宋体" w:hint="default"/>
                <w:sz w:val="18"/>
                <w:szCs w:val="18"/>
              </w:rPr>
            </w:pPr>
            <w:r>
              <w:rPr>
                <w:rFonts w:ascii="宋体" w:hAnsi="宋体" w:cs="宋体" w:eastAsia="宋体" w:hint="default"/>
                <w:sz w:val="18"/>
                <w:szCs w:val="18"/>
              </w:rPr>
              <w:t>赛富亚洲投资基金</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43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盛刚</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Goldland Digital (China)</w:t>
            </w:r>
            <w:r>
              <w:rPr>
                <w:rFonts w:ascii="Times New Roman"/>
                <w:spacing w:val="-11"/>
                <w:sz w:val="18"/>
              </w:rPr>
              <w:t> </w:t>
            </w:r>
            <w:r>
              <w:rPr>
                <w:rFonts w:ascii="Times New Roman"/>
                <w:sz w:val="18"/>
              </w:rPr>
              <w:t>Limited</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盛刚</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pacing w:val="-6"/>
                <w:sz w:val="18"/>
              </w:rPr>
              <w:t>Yayi </w:t>
            </w:r>
            <w:r>
              <w:rPr>
                <w:rFonts w:ascii="Times New Roman"/>
                <w:sz w:val="18"/>
              </w:rPr>
              <w:t>International</w:t>
            </w:r>
            <w:r>
              <w:rPr>
                <w:rFonts w:ascii="Times New Roman"/>
                <w:spacing w:val="5"/>
                <w:sz w:val="18"/>
              </w:rPr>
              <w:t> </w:t>
            </w:r>
            <w:r>
              <w:rPr>
                <w:rFonts w:ascii="Times New Roman"/>
                <w:sz w:val="18"/>
              </w:rPr>
              <w:t>Inc.</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7"/>
              <w:jc w:val="center"/>
              <w:rPr>
                <w:rFonts w:ascii="宋体" w:hAnsi="宋体" w:cs="宋体" w:eastAsia="宋体" w:hint="default"/>
                <w:sz w:val="18"/>
                <w:szCs w:val="18"/>
              </w:rPr>
            </w:pPr>
            <w:r>
              <w:rPr>
                <w:rFonts w:ascii="宋体" w:hAnsi="宋体" w:cs="宋体" w:eastAsia="宋体" w:hint="default"/>
                <w:sz w:val="18"/>
                <w:szCs w:val="18"/>
              </w:rPr>
              <w:t>盛刚</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China Energy Group</w:t>
            </w:r>
            <w:r>
              <w:rPr>
                <w:rFonts w:ascii="Times New Roman"/>
                <w:spacing w:val="-13"/>
                <w:sz w:val="18"/>
              </w:rPr>
              <w:t> </w:t>
            </w:r>
            <w:r>
              <w:rPr>
                <w:rFonts w:ascii="Times New Roman"/>
                <w:sz w:val="18"/>
              </w:rPr>
              <w:t>Limted</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盛刚</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北青航媒广告有限公司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盛刚</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 w:right="0"/>
              <w:jc w:val="center"/>
              <w:rPr>
                <w:rFonts w:ascii="Times New Roman" w:hAnsi="Times New Roman" w:cs="Times New Roman" w:eastAsia="Times New Roman" w:hint="default"/>
                <w:sz w:val="18"/>
                <w:szCs w:val="18"/>
              </w:rPr>
            </w:pPr>
            <w:r>
              <w:rPr>
                <w:rFonts w:ascii="Times New Roman"/>
                <w:sz w:val="18"/>
              </w:rPr>
              <w:t>BFE Inc</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6"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缪伟刚</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1023" w:right="207" w:hanging="812"/>
              <w:jc w:val="left"/>
              <w:rPr>
                <w:rFonts w:ascii="宋体" w:hAnsi="宋体" w:cs="宋体" w:eastAsia="宋体" w:hint="default"/>
                <w:sz w:val="18"/>
                <w:szCs w:val="18"/>
              </w:rPr>
            </w:pPr>
            <w:r>
              <w:rPr>
                <w:rFonts w:ascii="宋体" w:hAnsi="宋体" w:cs="宋体" w:eastAsia="宋体" w:hint="default"/>
                <w:sz w:val="18"/>
                <w:szCs w:val="18"/>
              </w:rPr>
              <w:t>昆山经济技术开发区资产经营 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缪伟刚</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昆山经济技术开发区水务有限公司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7" w:right="106"/>
              <w:jc w:val="left"/>
              <w:rPr>
                <w:rFonts w:ascii="宋体" w:hAnsi="宋体" w:cs="宋体" w:eastAsia="宋体" w:hint="default"/>
                <w:sz w:val="18"/>
                <w:szCs w:val="18"/>
              </w:rPr>
            </w:pPr>
            <w:r>
              <w:rPr>
                <w:rFonts w:ascii="宋体" w:hAnsi="宋体" w:cs="宋体" w:eastAsia="宋体" w:hint="default"/>
                <w:sz w:val="18"/>
                <w:szCs w:val="18"/>
              </w:rPr>
              <w:t>执行董事、总经 理、法定代表人</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缪伟刚</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昆山综合保税区投资开发有限公司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7" w:right="106"/>
              <w:jc w:val="left"/>
              <w:rPr>
                <w:rFonts w:ascii="宋体" w:hAnsi="宋体" w:cs="宋体" w:eastAsia="宋体" w:hint="default"/>
                <w:sz w:val="18"/>
                <w:szCs w:val="18"/>
              </w:rPr>
            </w:pPr>
            <w:r>
              <w:rPr>
                <w:rFonts w:ascii="宋体" w:hAnsi="宋体" w:cs="宋体" w:eastAsia="宋体" w:hint="default"/>
                <w:sz w:val="18"/>
                <w:szCs w:val="18"/>
              </w:rPr>
              <w:t>执行董事、总经 理、法定代表人</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缪伟刚</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友达光电（昆山）有限公司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缪伟刚</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昆山开发区公交有限公司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缪伟刚</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昆山华东国际物流服务有限公司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48" w:right="22" w:hanging="625"/>
              <w:jc w:val="left"/>
              <w:rPr>
                <w:rFonts w:ascii="宋体" w:hAnsi="宋体" w:cs="宋体" w:eastAsia="宋体" w:hint="default"/>
                <w:sz w:val="18"/>
                <w:szCs w:val="18"/>
              </w:rPr>
            </w:pPr>
            <w:r>
              <w:rPr>
                <w:rFonts w:ascii="宋体" w:hAnsi="宋体" w:cs="宋体" w:eastAsia="宋体" w:hint="default"/>
                <w:spacing w:val="-2"/>
                <w:sz w:val="18"/>
                <w:szCs w:val="18"/>
              </w:rPr>
              <w:t>董事长、法定代表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
              <w:jc w:val="center"/>
              <w:rPr>
                <w:rFonts w:ascii="宋体" w:hAnsi="宋体" w:cs="宋体" w:eastAsia="宋体" w:hint="default"/>
                <w:sz w:val="18"/>
                <w:szCs w:val="18"/>
              </w:rPr>
            </w:pPr>
            <w:r>
              <w:rPr>
                <w:rFonts w:ascii="宋体" w:hAnsi="宋体" w:cs="宋体" w:eastAsia="宋体" w:hint="default"/>
                <w:sz w:val="18"/>
                <w:szCs w:val="18"/>
              </w:rPr>
              <w:t>贺志强</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5" w:right="0"/>
              <w:jc w:val="center"/>
              <w:rPr>
                <w:rFonts w:ascii="宋体" w:hAnsi="宋体" w:cs="宋体" w:eastAsia="宋体" w:hint="default"/>
                <w:sz w:val="18"/>
                <w:szCs w:val="18"/>
              </w:rPr>
            </w:pPr>
            <w:r>
              <w:rPr>
                <w:rFonts w:ascii="宋体" w:hAnsi="宋体" w:cs="宋体" w:eastAsia="宋体" w:hint="default"/>
                <w:sz w:val="18"/>
                <w:szCs w:val="18"/>
              </w:rPr>
              <w:t>联想集团</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高级副总裁兼首 </w:t>
            </w:r>
            <w:r>
              <w:rPr>
                <w:rFonts w:ascii="宋体" w:hAnsi="宋体" w:cs="宋体" w:eastAsia="宋体" w:hint="default"/>
                <w:spacing w:val="-2"/>
                <w:sz w:val="18"/>
                <w:szCs w:val="18"/>
              </w:rPr>
              <w:t>席技术官、联想研</w:t>
            </w:r>
            <w:r>
              <w:rPr>
                <w:rFonts w:ascii="宋体" w:hAnsi="宋体" w:cs="宋体" w:eastAsia="宋体" w:hint="default"/>
                <w:sz w:val="18"/>
                <w:szCs w:val="18"/>
              </w:rPr>
              <w:t> 究院院长</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3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
              <w:jc w:val="center"/>
              <w:rPr>
                <w:rFonts w:ascii="宋体" w:hAnsi="宋体" w:cs="宋体" w:eastAsia="宋体" w:hint="default"/>
                <w:sz w:val="18"/>
                <w:szCs w:val="18"/>
              </w:rPr>
            </w:pPr>
            <w:r>
              <w:rPr>
                <w:rFonts w:ascii="宋体" w:hAnsi="宋体" w:cs="宋体" w:eastAsia="宋体" w:hint="default"/>
                <w:sz w:val="18"/>
                <w:szCs w:val="18"/>
              </w:rPr>
              <w:t>贺志强</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5" w:right="0"/>
              <w:jc w:val="center"/>
              <w:rPr>
                <w:rFonts w:ascii="宋体" w:hAnsi="宋体" w:cs="宋体" w:eastAsia="宋体" w:hint="default"/>
                <w:sz w:val="18"/>
                <w:szCs w:val="18"/>
              </w:rPr>
            </w:pPr>
            <w:r>
              <w:rPr>
                <w:rFonts w:ascii="宋体" w:hAnsi="宋体" w:cs="宋体" w:eastAsia="宋体" w:hint="default"/>
                <w:sz w:val="18"/>
                <w:szCs w:val="18"/>
              </w:rPr>
              <w:t>联想集团</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联想集团高级副 </w:t>
            </w:r>
            <w:r>
              <w:rPr>
                <w:rFonts w:ascii="宋体" w:hAnsi="宋体" w:cs="宋体" w:eastAsia="宋体" w:hint="default"/>
                <w:spacing w:val="-2"/>
                <w:sz w:val="18"/>
                <w:szCs w:val="18"/>
              </w:rPr>
              <w:t>总裁，云服务业务</w:t>
            </w:r>
            <w:r>
              <w:rPr>
                <w:rFonts w:ascii="宋体" w:hAnsi="宋体" w:cs="宋体" w:eastAsia="宋体" w:hint="default"/>
                <w:sz w:val="18"/>
                <w:szCs w:val="18"/>
              </w:rPr>
              <w:t> 集团总裁</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3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贺志强</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国民技术股份有限公司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贺志强</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闪联信息技术工程中心有限公司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48" w:right="22" w:hanging="625"/>
              <w:jc w:val="left"/>
              <w:rPr>
                <w:rFonts w:ascii="宋体" w:hAnsi="宋体" w:cs="宋体" w:eastAsia="宋体" w:hint="default"/>
                <w:sz w:val="18"/>
                <w:szCs w:val="18"/>
              </w:rPr>
            </w:pPr>
            <w:r>
              <w:rPr>
                <w:rFonts w:ascii="宋体" w:hAnsi="宋体" w:cs="宋体" w:eastAsia="宋体" w:hint="default"/>
                <w:spacing w:val="-2"/>
                <w:sz w:val="18"/>
                <w:szCs w:val="18"/>
              </w:rPr>
              <w:t>董事长、法定代表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20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贺志强</w:t>
            </w:r>
          </w:p>
        </w:tc>
        <w:tc>
          <w:tcPr>
            <w:tcW w:w="27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北京联想利泰软件有限公司</w:t>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12" w:space="0" w:color="000000"/>
              <w:right w:val="single" w:sz="4" w:space="0" w:color="000000"/>
            </w:tcBorders>
          </w:tcPr>
          <w:p>
            <w:pPr/>
          </w:p>
        </w:tc>
        <w:tc>
          <w:tcPr>
            <w:tcW w:w="106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1227" w:top="1100" w:bottom="142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256.609985pt;margin-top:74.995979pt;width:71.45pt;height:19.75pt;mso-position-horizontal-relative:page;mso-position-vertical-relative:page;z-index:-1116496" coordorigin="5132,1500" coordsize="1429,395">
            <v:shape style="position:absolute;left:5132;top:1500;width:1429;height:395" coordorigin="5132,1500" coordsize="1429,395" path="m5132,1894l6561,1894,6561,1500,5132,1500,5132,1894xe" filled="true" fillcolor="#ffffff" stroked="false">
              <v:path arrowok="t"/>
              <v:fill type="solid"/>
            </v:shape>
            <w10:wrap type="none"/>
          </v:group>
        </w:pict>
      </w:r>
    </w:p>
    <w:tbl>
      <w:tblPr>
        <w:tblW w:w="0" w:type="auto"/>
        <w:jc w:val="left"/>
        <w:tblInd w:w="138" w:type="dxa"/>
        <w:tblLayout w:type="fixed"/>
        <w:tblCellMar>
          <w:top w:w="0" w:type="dxa"/>
          <w:left w:w="0" w:type="dxa"/>
          <w:bottom w:w="0" w:type="dxa"/>
          <w:right w:w="0" w:type="dxa"/>
        </w:tblCellMar>
        <w:tblLook w:val="01E0"/>
      </w:tblPr>
      <w:tblGrid>
        <w:gridCol w:w="1200"/>
        <w:gridCol w:w="2770"/>
        <w:gridCol w:w="313"/>
        <w:gridCol w:w="1173"/>
        <w:gridCol w:w="1491"/>
        <w:gridCol w:w="1560"/>
        <w:gridCol w:w="1064"/>
      </w:tblGrid>
      <w:tr>
        <w:trPr>
          <w:trHeight w:val="476" w:hRule="exact"/>
        </w:trPr>
        <w:tc>
          <w:tcPr>
            <w:tcW w:w="120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罗振邦</w:t>
            </w:r>
          </w:p>
        </w:tc>
        <w:tc>
          <w:tcPr>
            <w:tcW w:w="2770" w:type="dxa"/>
            <w:tcBorders>
              <w:top w:val="single" w:sz="12" w:space="0" w:color="000000"/>
              <w:left w:val="single" w:sz="4" w:space="0" w:color="000000"/>
              <w:bottom w:val="single" w:sz="4" w:space="0" w:color="000000"/>
              <w:right w:val="single" w:sz="10" w:space="0" w:color="FFFFFF"/>
            </w:tcBorders>
          </w:tcPr>
          <w:p>
            <w:pPr>
              <w:pStyle w:val="TableParagraph"/>
              <w:spacing w:line="240" w:lineRule="auto" w:before="80"/>
              <w:ind w:right="75"/>
              <w:jc w:val="center"/>
              <w:rPr>
                <w:rFonts w:ascii="宋体" w:hAnsi="宋体" w:cs="宋体" w:eastAsia="宋体" w:hint="default"/>
                <w:sz w:val="18"/>
                <w:szCs w:val="18"/>
              </w:rPr>
            </w:pPr>
            <w:r>
              <w:rPr>
                <w:rFonts w:ascii="宋体" w:hAnsi="宋体" w:cs="宋体" w:eastAsia="宋体" w:hint="default"/>
                <w:sz w:val="18"/>
                <w:szCs w:val="18"/>
              </w:rPr>
              <w:t>立信会计师事务</w:t>
            </w:r>
            <w:r>
              <w:rPr>
                <w:rFonts w:ascii="宋体" w:hAnsi="宋体" w:cs="宋体" w:eastAsia="宋体" w:hint="default"/>
                <w:spacing w:val="-80"/>
                <w:sz w:val="18"/>
                <w:szCs w:val="18"/>
              </w:rPr>
              <w:t>所</w:t>
            </w:r>
            <w:r>
              <w:rPr>
                <w:rFonts w:ascii="宋体" w:hAnsi="宋体" w:cs="宋体" w:eastAsia="宋体" w:hint="default"/>
                <w:sz w:val="18"/>
                <w:szCs w:val="18"/>
              </w:rPr>
              <w:t>（特殊普通</w:t>
            </w:r>
            <w:r>
              <w:rPr>
                <w:rFonts w:ascii="宋体" w:hAnsi="宋体" w:cs="宋体" w:eastAsia="宋体" w:hint="default"/>
                <w:spacing w:val="2"/>
                <w:sz w:val="18"/>
                <w:szCs w:val="18"/>
              </w:rPr>
              <w:t>合</w:t>
            </w:r>
            <w:r>
              <w:rPr>
                <w:rFonts w:ascii="宋体" w:hAnsi="宋体" w:cs="宋体" w:eastAsia="宋体" w:hint="default"/>
                <w:sz w:val="18"/>
                <w:szCs w:val="18"/>
              </w:rPr>
              <w:t>伙</w:t>
            </w:r>
          </w:p>
        </w:tc>
        <w:tc>
          <w:tcPr>
            <w:tcW w:w="313" w:type="dxa"/>
            <w:tcBorders>
              <w:top w:val="single" w:sz="12" w:space="0" w:color="000000"/>
              <w:left w:val="single" w:sz="10" w:space="0" w:color="FFFFFF"/>
              <w:bottom w:val="single" w:sz="4" w:space="0" w:color="000000"/>
              <w:right w:val="nil" w:sz="6" w:space="0" w:color="auto"/>
            </w:tcBorders>
          </w:tcPr>
          <w:p>
            <w:pPr>
              <w:pStyle w:val="TableParagraph"/>
              <w:spacing w:line="240" w:lineRule="auto" w:before="80"/>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117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0"/>
              <w:ind w:left="24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12" w:space="0" w:color="000000"/>
              <w:left w:val="single" w:sz="4" w:space="0" w:color="000000"/>
              <w:bottom w:val="single" w:sz="4" w:space="0" w:color="000000"/>
              <w:right w:val="single" w:sz="4" w:space="0" w:color="000000"/>
            </w:tcBorders>
          </w:tcPr>
          <w:p>
            <w:pPr/>
          </w:p>
        </w:tc>
        <w:tc>
          <w:tcPr>
            <w:tcW w:w="106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罗振邦</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中国航天国际控股有限公司</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54"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罗振邦</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023" w:right="296" w:hanging="721"/>
              <w:jc w:val="left"/>
              <w:rPr>
                <w:rFonts w:ascii="宋体" w:hAnsi="宋体" w:cs="宋体" w:eastAsia="宋体" w:hint="default"/>
                <w:sz w:val="18"/>
                <w:szCs w:val="18"/>
              </w:rPr>
            </w:pPr>
            <w:r>
              <w:rPr>
                <w:rFonts w:ascii="宋体" w:hAnsi="宋体" w:cs="宋体" w:eastAsia="宋体" w:hint="default"/>
                <w:sz w:val="18"/>
                <w:szCs w:val="18"/>
              </w:rPr>
              <w:t>中国城市轨道交通科技控股 有限公司</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罗振邦</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东北证券股份有限公司</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6" w:right="0"/>
              <w:jc w:val="left"/>
              <w:rPr>
                <w:rFonts w:ascii="宋体" w:hAnsi="宋体" w:cs="宋体" w:eastAsia="宋体" w:hint="default"/>
                <w:sz w:val="18"/>
                <w:szCs w:val="18"/>
              </w:rPr>
            </w:pPr>
            <w:r>
              <w:rPr>
                <w:rFonts w:ascii="宋体" w:hAnsi="宋体" w:cs="宋体" w:eastAsia="宋体" w:hint="default"/>
                <w:sz w:val="18"/>
                <w:szCs w:val="18"/>
              </w:rPr>
              <w:t>内核小组成员</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6"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5"/>
              <w:jc w:val="center"/>
              <w:rPr>
                <w:rFonts w:ascii="宋体" w:hAnsi="宋体" w:cs="宋体" w:eastAsia="宋体" w:hint="default"/>
                <w:sz w:val="18"/>
                <w:szCs w:val="18"/>
              </w:rPr>
            </w:pPr>
            <w:r>
              <w:rPr>
                <w:rFonts w:ascii="宋体" w:hAnsi="宋体" w:cs="宋体" w:eastAsia="宋体" w:hint="default"/>
                <w:sz w:val="18"/>
                <w:szCs w:val="18"/>
              </w:rPr>
              <w:t>罗振邦</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金风科技股份公司</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7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罗振邦</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北京国瑞兴业地产股份有限公司</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王能光</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北京君联资本管理有限公司</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6"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right="5"/>
              <w:jc w:val="center"/>
              <w:rPr>
                <w:rFonts w:ascii="宋体" w:hAnsi="宋体" w:cs="宋体" w:eastAsia="宋体" w:hint="default"/>
                <w:sz w:val="18"/>
                <w:szCs w:val="18"/>
              </w:rPr>
            </w:pPr>
            <w:r>
              <w:rPr>
                <w:rFonts w:ascii="宋体" w:hAnsi="宋体" w:cs="宋体" w:eastAsia="宋体" w:hint="default"/>
                <w:sz w:val="18"/>
                <w:szCs w:val="18"/>
              </w:rPr>
              <w:t>王能光</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 w:right="0"/>
              <w:jc w:val="center"/>
              <w:rPr>
                <w:rFonts w:ascii="宋体" w:hAnsi="宋体" w:cs="宋体" w:eastAsia="宋体" w:hint="default"/>
                <w:sz w:val="18"/>
                <w:szCs w:val="18"/>
              </w:rPr>
            </w:pPr>
            <w:r>
              <w:rPr>
                <w:rFonts w:ascii="宋体" w:hAnsi="宋体" w:cs="宋体" w:eastAsia="宋体" w:hint="default"/>
                <w:sz w:val="18"/>
                <w:szCs w:val="18"/>
              </w:rPr>
              <w:t>北京君联管理咨询有限公司</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王能光</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上海新四合木业有限公司</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王能光</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广州市美尚企业管理有限公司</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5"/>
              <w:jc w:val="center"/>
              <w:rPr>
                <w:rFonts w:ascii="宋体" w:hAnsi="宋体" w:cs="宋体" w:eastAsia="宋体" w:hint="default"/>
                <w:sz w:val="18"/>
                <w:szCs w:val="18"/>
              </w:rPr>
            </w:pPr>
            <w:r>
              <w:rPr>
                <w:rFonts w:ascii="宋体" w:hAnsi="宋体" w:cs="宋体" w:eastAsia="宋体" w:hint="default"/>
                <w:sz w:val="18"/>
                <w:szCs w:val="18"/>
              </w:rPr>
              <w:t>王能光</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武桥重工集团股份有限公司</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王能光</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山东玲珑轮胎股份有限公司</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王能光</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河南和谐汽车贸易有限公司</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5"/>
              <w:jc w:val="center"/>
              <w:rPr>
                <w:rFonts w:ascii="宋体" w:hAnsi="宋体" w:cs="宋体" w:eastAsia="宋体" w:hint="default"/>
                <w:sz w:val="18"/>
                <w:szCs w:val="18"/>
              </w:rPr>
            </w:pPr>
            <w:r>
              <w:rPr>
                <w:rFonts w:ascii="宋体" w:hAnsi="宋体" w:cs="宋体" w:eastAsia="宋体" w:hint="default"/>
                <w:sz w:val="18"/>
                <w:szCs w:val="18"/>
              </w:rPr>
              <w:t>王能光</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河南中德宝汽车销售服务有限公司</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王能光</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中国和谐汽车控股有限公司</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87"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王能光</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LC Fund III GP</w:t>
            </w:r>
            <w:r>
              <w:rPr>
                <w:rFonts w:ascii="Times New Roman"/>
                <w:spacing w:val="-15"/>
                <w:sz w:val="18"/>
              </w:rPr>
              <w:t> </w:t>
            </w:r>
            <w:r>
              <w:rPr>
                <w:rFonts w:ascii="Times New Roman"/>
                <w:sz w:val="18"/>
              </w:rPr>
              <w:t>Limited</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5"/>
              <w:jc w:val="center"/>
              <w:rPr>
                <w:rFonts w:ascii="宋体" w:hAnsi="宋体" w:cs="宋体" w:eastAsia="宋体" w:hint="default"/>
                <w:sz w:val="18"/>
                <w:szCs w:val="18"/>
              </w:rPr>
            </w:pPr>
            <w:r>
              <w:rPr>
                <w:rFonts w:ascii="宋体" w:hAnsi="宋体" w:cs="宋体" w:eastAsia="宋体" w:hint="default"/>
                <w:sz w:val="18"/>
                <w:szCs w:val="18"/>
              </w:rPr>
              <w:t>王能光</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LC Fund IV GP</w:t>
            </w:r>
            <w:r>
              <w:rPr>
                <w:rFonts w:ascii="Times New Roman"/>
                <w:spacing w:val="-19"/>
                <w:sz w:val="18"/>
              </w:rPr>
              <w:t> </w:t>
            </w:r>
            <w:r>
              <w:rPr>
                <w:rFonts w:ascii="Times New Roman"/>
                <w:sz w:val="18"/>
              </w:rPr>
              <w:t>Limited</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王能光</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LC Fund V GP</w:t>
            </w:r>
            <w:r>
              <w:rPr>
                <w:rFonts w:ascii="Times New Roman"/>
                <w:spacing w:val="-20"/>
                <w:sz w:val="18"/>
              </w:rPr>
              <w:t> </w:t>
            </w:r>
            <w:r>
              <w:rPr>
                <w:rFonts w:ascii="Times New Roman"/>
                <w:sz w:val="18"/>
              </w:rPr>
              <w:t>Limited</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辛昕</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鼎捷软件股份有限公司</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郑雪艳</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87" w:right="106" w:hanging="180"/>
              <w:jc w:val="left"/>
              <w:rPr>
                <w:rFonts w:ascii="宋体" w:hAnsi="宋体" w:cs="宋体" w:eastAsia="宋体" w:hint="default"/>
                <w:sz w:val="18"/>
                <w:szCs w:val="18"/>
              </w:rPr>
            </w:pPr>
            <w:r>
              <w:rPr>
                <w:rFonts w:ascii="宋体" w:hAnsi="宋体" w:cs="宋体" w:eastAsia="宋体" w:hint="default"/>
                <w:sz w:val="18"/>
                <w:szCs w:val="18"/>
              </w:rPr>
              <w:t>副总裁兼审计法 务部总经理</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杨九如</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87" w:right="106" w:hanging="180"/>
              <w:jc w:val="left"/>
              <w:rPr>
                <w:rFonts w:ascii="宋体" w:hAnsi="宋体" w:cs="宋体" w:eastAsia="宋体" w:hint="default"/>
                <w:sz w:val="18"/>
                <w:szCs w:val="18"/>
              </w:rPr>
            </w:pPr>
            <w:r>
              <w:rPr>
                <w:rFonts w:ascii="宋体" w:hAnsi="宋体" w:cs="宋体" w:eastAsia="宋体" w:hint="default"/>
                <w:sz w:val="18"/>
                <w:szCs w:val="18"/>
              </w:rPr>
              <w:t>科技地产本部北 区投资总监</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5" w:hRule="exact"/>
        </w:trPr>
        <w:tc>
          <w:tcPr>
            <w:tcW w:w="120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4" w:lineRule="auto" w:before="52"/>
              <w:ind w:left="1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1" w:type="dxa"/>
            <w:gridSpan w:val="6"/>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140"/>
        <w:jc w:val="left"/>
        <w:rPr>
          <w:b w:val="0"/>
          <w:bCs w:val="0"/>
        </w:rPr>
      </w:pPr>
      <w:r>
        <w:rPr/>
        <w:t>三、董事、监事、高级管理人员报酬情况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140"/>
        <w:jc w:val="left"/>
      </w:pPr>
      <w:r>
        <w:rPr/>
        <w:t>董事、监事、高级管理人员报酬的决策程序、确定依据、实际支付情况</w:t>
      </w:r>
    </w:p>
    <w:p>
      <w:pPr>
        <w:spacing w:line="240" w:lineRule="auto" w:before="12"/>
        <w:rPr>
          <w:rFonts w:ascii="宋体" w:hAnsi="宋体" w:cs="宋体" w:eastAsia="宋体" w:hint="default"/>
          <w:sz w:val="17"/>
          <w:szCs w:val="17"/>
        </w:rPr>
      </w:pPr>
    </w:p>
    <w:p>
      <w:pPr>
        <w:pStyle w:val="BodyText"/>
        <w:spacing w:line="386" w:lineRule="auto"/>
        <w:ind w:right="140" w:firstLine="420"/>
        <w:jc w:val="left"/>
      </w:pPr>
      <w:r>
        <w:rPr>
          <w:rFonts w:ascii="Times New Roman" w:hAnsi="Times New Roman" w:cs="Times New Roman" w:eastAsia="Times New Roman" w:hint="default"/>
        </w:rPr>
        <w:t>1</w:t>
      </w:r>
      <w:r>
        <w:rPr/>
        <w:t>、董事、监事、高级管理人员津贴（薪酬）根据岗位责任，参考公司业绩、行业水平等综合确认：</w:t>
      </w:r>
      <w:r>
        <w:rPr>
          <w:w w:val="100"/>
        </w:rPr>
        <w:t> </w:t>
      </w:r>
      <w:r>
        <w:rPr>
          <w:spacing w:val="-3"/>
        </w:rPr>
        <w:t>在公司担任具体管理职务的董事、监事、高级管理人员依据其在公司的任职岗位领取相应薪酬</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10"/>
        </w:rPr>
        <w:t> </w:t>
      </w:r>
      <w:r>
        <w:rPr>
          <w:spacing w:val="-3"/>
        </w:rPr>
        <w:t>并经董事</w:t>
      </w:r>
      <w:r>
        <w:rPr/>
      </w:r>
    </w:p>
    <w:p>
      <w:pPr>
        <w:spacing w:after="0" w:line="386" w:lineRule="auto"/>
        <w:jc w:val="left"/>
        <w:sectPr>
          <w:pgSz w:w="11910" w:h="16840"/>
          <w:pgMar w:header="0" w:footer="1227" w:top="1100" w:bottom="1420" w:left="980" w:right="980"/>
        </w:sectPr>
      </w:pPr>
    </w:p>
    <w:p>
      <w:pPr>
        <w:spacing w:line="240" w:lineRule="auto" w:before="9"/>
        <w:rPr>
          <w:rFonts w:ascii="宋体" w:hAnsi="宋体" w:cs="宋体" w:eastAsia="宋体" w:hint="default"/>
          <w:sz w:val="26"/>
          <w:szCs w:val="26"/>
        </w:rPr>
      </w:pPr>
    </w:p>
    <w:p>
      <w:pPr>
        <w:pStyle w:val="BodyText"/>
        <w:spacing w:line="408" w:lineRule="auto" w:before="36"/>
        <w:ind w:right="140"/>
        <w:jc w:val="left"/>
      </w:pPr>
      <w:r>
        <w:rPr>
          <w:spacing w:val="-2"/>
        </w:rPr>
        <w:t>会薪酬与考核委员会考评；不在公司担任具体管理职务的董事、监事，不在本公司领取薪酬；独立董事</w:t>
      </w:r>
      <w:r>
        <w:rPr>
          <w:spacing w:val="-21"/>
        </w:rPr>
        <w:t> </w:t>
      </w:r>
      <w:r>
        <w:rPr>
          <w:spacing w:val="-21"/>
        </w:rPr>
      </w:r>
      <w:r>
        <w:rPr/>
        <w:t>依据公司董事会或股东大会决议中的相关规定领取独立董事津贴。</w:t>
      </w:r>
    </w:p>
    <w:p>
      <w:pPr>
        <w:pStyle w:val="BodyText"/>
        <w:spacing w:line="386" w:lineRule="auto" w:before="87"/>
        <w:ind w:right="140" w:firstLine="420"/>
        <w:jc w:val="left"/>
      </w:pPr>
      <w:r>
        <w:rPr>
          <w:rFonts w:ascii="Times New Roman" w:hAnsi="Times New Roman" w:cs="Times New Roman" w:eastAsia="Times New Roman" w:hint="default"/>
          <w:spacing w:val="-7"/>
          <w:w w:val="100"/>
        </w:rPr>
        <w:t>2</w:t>
      </w:r>
      <w:r>
        <w:rPr>
          <w:spacing w:val="-7"/>
          <w:w w:val="100"/>
        </w:rPr>
        <w:t>、公司严格按照董事、监事、高级管理人员津贴（薪酬）的决策程序与确定依据支付津贴（薪酬），</w:t>
      </w:r>
      <w:r>
        <w:rPr>
          <w:w w:val="100"/>
        </w:rPr>
        <w:t> </w:t>
      </w:r>
      <w:r>
        <w:rPr/>
        <w:t>实际支付情况详见下表。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ind w:right="140"/>
        <w:jc w:val="left"/>
      </w:pPr>
      <w:r>
        <w:rPr/>
        <w:t>公司报告期内董事、监事和高级管理人员报酬情况</w:t>
      </w:r>
    </w:p>
    <w:p>
      <w:pPr>
        <w:spacing w:before="178"/>
        <w:ind w:left="0" w:right="249"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198"/>
        <w:gridCol w:w="1196"/>
        <w:gridCol w:w="1195"/>
        <w:gridCol w:w="1196"/>
        <w:gridCol w:w="1198"/>
        <w:gridCol w:w="1196"/>
        <w:gridCol w:w="1195"/>
        <w:gridCol w:w="1198"/>
      </w:tblGrid>
      <w:tr>
        <w:trPr>
          <w:trHeight w:val="725" w:hRule="exact"/>
        </w:trPr>
        <w:tc>
          <w:tcPr>
            <w:tcW w:w="119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姓名</w:t>
            </w:r>
          </w:p>
        </w:tc>
        <w:tc>
          <w:tcPr>
            <w:tcW w:w="11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2"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51"/>
              <w:ind w:left="232" w:right="45"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63" w:hRule="exact"/>
        </w:trPr>
        <w:tc>
          <w:tcPr>
            <w:tcW w:w="11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9"/>
              <w:jc w:val="center"/>
              <w:rPr>
                <w:rFonts w:ascii="宋体" w:hAnsi="宋体" w:cs="宋体" w:eastAsia="宋体" w:hint="default"/>
                <w:sz w:val="18"/>
                <w:szCs w:val="18"/>
              </w:rPr>
            </w:pPr>
            <w:r>
              <w:rPr>
                <w:rFonts w:ascii="宋体" w:hAnsi="宋体" w:cs="宋体" w:eastAsia="宋体" w:hint="default"/>
                <w:sz w:val="18"/>
                <w:szCs w:val="18"/>
              </w:rPr>
              <w:t>郭为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 w:right="0"/>
              <w:jc w:val="center"/>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3"/>
              <w:jc w:val="right"/>
              <w:rPr>
                <w:rFonts w:ascii="Times New Roman" w:hAnsi="Times New Roman" w:cs="Times New Roman" w:eastAsia="Times New Roman" w:hint="default"/>
                <w:sz w:val="18"/>
                <w:szCs w:val="18"/>
              </w:rPr>
            </w:pPr>
            <w:r>
              <w:rPr>
                <w:rFonts w:ascii="Times New Roman"/>
                <w:sz w:val="18"/>
              </w:rPr>
              <w:t>0</w:t>
            </w:r>
          </w:p>
        </w:tc>
      </w:tr>
      <w:tr>
        <w:trPr>
          <w:trHeight w:val="466" w:hRule="exact"/>
        </w:trPr>
        <w:tc>
          <w:tcPr>
            <w:tcW w:w="11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9"/>
              <w:jc w:val="center"/>
              <w:rPr>
                <w:rFonts w:ascii="宋体" w:hAnsi="宋体" w:cs="宋体" w:eastAsia="宋体" w:hint="default"/>
                <w:sz w:val="18"/>
                <w:szCs w:val="18"/>
              </w:rPr>
            </w:pPr>
            <w:r>
              <w:rPr>
                <w:rFonts w:ascii="宋体" w:hAnsi="宋体" w:cs="宋体" w:eastAsia="宋体" w:hint="default"/>
                <w:sz w:val="18"/>
                <w:szCs w:val="18"/>
              </w:rPr>
              <w:t>林杨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3"/>
              <w:jc w:val="righ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11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周一兵</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 w:right="0"/>
              <w:jc w:val="center"/>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236.58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236.58</w:t>
            </w:r>
          </w:p>
        </w:tc>
      </w:tr>
      <w:tr>
        <w:trPr>
          <w:trHeight w:val="463" w:hRule="exact"/>
        </w:trPr>
        <w:tc>
          <w:tcPr>
            <w:tcW w:w="11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费建江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 w:right="0"/>
              <w:jc w:val="center"/>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3"/>
              <w:jc w:val="right"/>
              <w:rPr>
                <w:rFonts w:ascii="Times New Roman" w:hAnsi="Times New Roman" w:cs="Times New Roman" w:eastAsia="Times New Roman" w:hint="default"/>
                <w:sz w:val="18"/>
                <w:szCs w:val="18"/>
              </w:rPr>
            </w:pPr>
            <w:r>
              <w:rPr>
                <w:rFonts w:ascii="Times New Roman"/>
                <w:sz w:val="18"/>
              </w:rPr>
              <w:t>0</w:t>
            </w:r>
          </w:p>
        </w:tc>
      </w:tr>
      <w:tr>
        <w:trPr>
          <w:trHeight w:val="466" w:hRule="exact"/>
        </w:trPr>
        <w:tc>
          <w:tcPr>
            <w:tcW w:w="11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9"/>
              <w:jc w:val="center"/>
              <w:rPr>
                <w:rFonts w:ascii="宋体" w:hAnsi="宋体" w:cs="宋体" w:eastAsia="宋体" w:hint="default"/>
                <w:sz w:val="18"/>
                <w:szCs w:val="18"/>
              </w:rPr>
            </w:pPr>
            <w:r>
              <w:rPr>
                <w:rFonts w:ascii="宋体" w:hAnsi="宋体" w:cs="宋体" w:eastAsia="宋体" w:hint="default"/>
                <w:sz w:val="18"/>
                <w:szCs w:val="18"/>
              </w:rPr>
              <w:t>盛刚</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3"/>
              <w:jc w:val="righ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11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缪伟刚</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 w:right="0"/>
              <w:jc w:val="center"/>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3"/>
              <w:jc w:val="righ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11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贺志强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 w:right="0"/>
              <w:jc w:val="center"/>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8.8</w:t>
            </w:r>
          </w:p>
        </w:tc>
      </w:tr>
      <w:tr>
        <w:trPr>
          <w:trHeight w:val="466" w:hRule="exact"/>
        </w:trPr>
        <w:tc>
          <w:tcPr>
            <w:tcW w:w="11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7"/>
              <w:jc w:val="center"/>
              <w:rPr>
                <w:rFonts w:ascii="宋体" w:hAnsi="宋体" w:cs="宋体" w:eastAsia="宋体" w:hint="default"/>
                <w:sz w:val="18"/>
                <w:szCs w:val="18"/>
              </w:rPr>
            </w:pPr>
            <w:r>
              <w:rPr>
                <w:rFonts w:ascii="宋体" w:hAnsi="宋体" w:cs="宋体" w:eastAsia="宋体" w:hint="default"/>
                <w:sz w:val="18"/>
                <w:szCs w:val="18"/>
              </w:rPr>
              <w:t>罗振邦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1"/>
              <w:jc w:val="right"/>
              <w:rPr>
                <w:rFonts w:ascii="Times New Roman" w:hAnsi="Times New Roman" w:cs="Times New Roman" w:eastAsia="Times New Roman" w:hint="default"/>
                <w:sz w:val="18"/>
                <w:szCs w:val="18"/>
              </w:rPr>
            </w:pPr>
            <w:r>
              <w:rPr>
                <w:rFonts w:ascii="Times New Roman"/>
                <w:sz w:val="18"/>
              </w:rPr>
              <w:t>9.6</w:t>
            </w:r>
          </w:p>
        </w:tc>
      </w:tr>
      <w:tr>
        <w:trPr>
          <w:trHeight w:val="463" w:hRule="exact"/>
        </w:trPr>
        <w:tc>
          <w:tcPr>
            <w:tcW w:w="11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孟向阳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 w:right="0"/>
              <w:jc w:val="center"/>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2.4</w:t>
            </w:r>
          </w:p>
        </w:tc>
      </w:tr>
      <w:tr>
        <w:trPr>
          <w:trHeight w:val="463" w:hRule="exact"/>
        </w:trPr>
        <w:tc>
          <w:tcPr>
            <w:tcW w:w="11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王能光</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 w:right="0"/>
              <w:jc w:val="center"/>
              <w:rPr>
                <w:rFonts w:ascii="Times New Roman" w:hAnsi="Times New Roman" w:cs="Times New Roman" w:eastAsia="Times New Roman" w:hint="default"/>
                <w:sz w:val="18"/>
                <w:szCs w:val="18"/>
              </w:rPr>
            </w:pPr>
            <w:r>
              <w:rPr>
                <w:rFonts w:ascii="Times New Roman"/>
                <w:sz w:val="18"/>
              </w:rPr>
              <w:t>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3"/>
              <w:jc w:val="right"/>
              <w:rPr>
                <w:rFonts w:ascii="Times New Roman" w:hAnsi="Times New Roman" w:cs="Times New Roman" w:eastAsia="Times New Roman" w:hint="default"/>
                <w:sz w:val="18"/>
                <w:szCs w:val="18"/>
              </w:rPr>
            </w:pPr>
            <w:r>
              <w:rPr>
                <w:rFonts w:ascii="Times New Roman"/>
                <w:sz w:val="18"/>
              </w:rPr>
              <w:t>0</w:t>
            </w:r>
          </w:p>
        </w:tc>
      </w:tr>
      <w:tr>
        <w:trPr>
          <w:trHeight w:val="466" w:hRule="exact"/>
        </w:trPr>
        <w:tc>
          <w:tcPr>
            <w:tcW w:w="11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7"/>
              <w:jc w:val="center"/>
              <w:rPr>
                <w:rFonts w:ascii="宋体" w:hAnsi="宋体" w:cs="宋体" w:eastAsia="宋体" w:hint="default"/>
                <w:sz w:val="18"/>
                <w:szCs w:val="18"/>
              </w:rPr>
            </w:pPr>
            <w:r>
              <w:rPr>
                <w:rFonts w:ascii="宋体" w:hAnsi="宋体" w:cs="宋体" w:eastAsia="宋体" w:hint="default"/>
                <w:sz w:val="18"/>
                <w:szCs w:val="18"/>
              </w:rPr>
              <w:t>郑雪艳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3"/>
              <w:jc w:val="righ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11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杨九如</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 w:right="0"/>
              <w:jc w:val="center"/>
              <w:rPr>
                <w:rFonts w:ascii="Times New Roman" w:hAnsi="Times New Roman" w:cs="Times New Roman" w:eastAsia="Times New Roman" w:hint="default"/>
                <w:sz w:val="18"/>
                <w:szCs w:val="18"/>
              </w:rPr>
            </w:pPr>
            <w:r>
              <w:rPr>
                <w:rFonts w:ascii="Times New Roman"/>
                <w:sz w:val="18"/>
              </w:rPr>
              <w:t>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3"/>
              <w:jc w:val="righ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11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许克勤</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 w:right="0"/>
              <w:jc w:val="center"/>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71.31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71.31</w:t>
            </w:r>
          </w:p>
        </w:tc>
      </w:tr>
      <w:tr>
        <w:trPr>
          <w:trHeight w:val="466" w:hRule="exact"/>
        </w:trPr>
        <w:tc>
          <w:tcPr>
            <w:tcW w:w="11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7"/>
              <w:jc w:val="center"/>
              <w:rPr>
                <w:rFonts w:ascii="宋体" w:hAnsi="宋体" w:cs="宋体" w:eastAsia="宋体" w:hint="default"/>
                <w:sz w:val="18"/>
                <w:szCs w:val="18"/>
              </w:rPr>
            </w:pPr>
            <w:r>
              <w:rPr>
                <w:rFonts w:ascii="宋体" w:hAnsi="宋体" w:cs="宋体" w:eastAsia="宋体" w:hint="default"/>
                <w:sz w:val="18"/>
                <w:szCs w:val="18"/>
              </w:rPr>
              <w:t>何文潮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92.2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1"/>
              <w:jc w:val="right"/>
              <w:rPr>
                <w:rFonts w:ascii="Times New Roman" w:hAnsi="Times New Roman" w:cs="Times New Roman" w:eastAsia="Times New Roman" w:hint="default"/>
                <w:sz w:val="18"/>
                <w:szCs w:val="18"/>
              </w:rPr>
            </w:pPr>
            <w:r>
              <w:rPr>
                <w:rFonts w:ascii="Times New Roman"/>
                <w:sz w:val="18"/>
              </w:rPr>
              <w:t>92.2</w:t>
            </w:r>
          </w:p>
        </w:tc>
      </w:tr>
      <w:tr>
        <w:trPr>
          <w:trHeight w:val="464" w:hRule="exact"/>
        </w:trPr>
        <w:tc>
          <w:tcPr>
            <w:tcW w:w="11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9"/>
              <w:jc w:val="center"/>
              <w:rPr>
                <w:rFonts w:ascii="宋体" w:hAnsi="宋体" w:cs="宋体" w:eastAsia="宋体" w:hint="default"/>
                <w:sz w:val="18"/>
                <w:szCs w:val="18"/>
              </w:rPr>
            </w:pPr>
            <w:r>
              <w:rPr>
                <w:rFonts w:ascii="宋体" w:hAnsi="宋体" w:cs="宋体" w:eastAsia="宋体" w:hint="default"/>
                <w:sz w:val="18"/>
                <w:szCs w:val="18"/>
              </w:rPr>
              <w:t>厉军</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 w:right="0"/>
              <w:jc w:val="center"/>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122.34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11"/>
              <w:jc w:val="right"/>
              <w:rPr>
                <w:rFonts w:ascii="Times New Roman" w:hAnsi="Times New Roman" w:cs="Times New Roman" w:eastAsia="Times New Roman" w:hint="default"/>
                <w:sz w:val="18"/>
                <w:szCs w:val="18"/>
              </w:rPr>
            </w:pPr>
            <w:r>
              <w:rPr>
                <w:rFonts w:ascii="Times New Roman"/>
                <w:spacing w:val="-1"/>
                <w:sz w:val="18"/>
              </w:rPr>
              <w:t>122.34</w:t>
            </w:r>
          </w:p>
        </w:tc>
      </w:tr>
      <w:tr>
        <w:trPr>
          <w:trHeight w:val="715" w:hRule="exact"/>
        </w:trPr>
        <w:tc>
          <w:tcPr>
            <w:tcW w:w="11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辛昕</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2" w:right="51" w:hanging="180"/>
              <w:jc w:val="left"/>
              <w:rPr>
                <w:rFonts w:ascii="宋体" w:hAnsi="宋体" w:cs="宋体" w:eastAsia="宋体" w:hint="default"/>
                <w:sz w:val="18"/>
                <w:szCs w:val="18"/>
              </w:rPr>
            </w:pPr>
            <w:r>
              <w:rPr>
                <w:rFonts w:ascii="宋体" w:hAnsi="宋体" w:cs="宋体" w:eastAsia="宋体" w:hint="default"/>
                <w:sz w:val="18"/>
                <w:szCs w:val="18"/>
              </w:rPr>
              <w:t>财务总监、董 事会秘书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86.76</w:t>
            </w:r>
          </w:p>
        </w:tc>
      </w:tr>
      <w:tr>
        <w:trPr>
          <w:trHeight w:val="470" w:hRule="exact"/>
        </w:trPr>
        <w:tc>
          <w:tcPr>
            <w:tcW w:w="119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0"/>
              <w:ind w:right="9"/>
              <w:jc w:val="center"/>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629.99</w:t>
            </w:r>
          </w:p>
        </w:tc>
        <w:tc>
          <w:tcPr>
            <w:tcW w:w="11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629.99</w:t>
            </w:r>
          </w:p>
        </w:tc>
      </w:tr>
    </w:tbl>
    <w:p>
      <w:pPr>
        <w:spacing w:line="240" w:lineRule="auto" w:before="6"/>
        <w:rPr>
          <w:rFonts w:ascii="宋体" w:hAnsi="宋体" w:cs="宋体" w:eastAsia="宋体" w:hint="default"/>
          <w:sz w:val="5"/>
          <w:szCs w:val="5"/>
        </w:rPr>
      </w:pPr>
    </w:p>
    <w:p>
      <w:pPr>
        <w:pStyle w:val="BodyText"/>
        <w:spacing w:line="240" w:lineRule="auto" w:before="36"/>
        <w:ind w:right="140"/>
        <w:jc w:val="left"/>
      </w:pPr>
      <w:r>
        <w:rPr/>
        <w:t>公司董事、监事、高级管理人员报告期内被授予的股权激励情况</w:t>
      </w:r>
    </w:p>
    <w:p>
      <w:pPr>
        <w:spacing w:line="240" w:lineRule="auto" w:before="12"/>
        <w:rPr>
          <w:rFonts w:ascii="宋体" w:hAnsi="宋体" w:cs="宋体" w:eastAsia="宋体" w:hint="default"/>
          <w:sz w:val="17"/>
          <w:szCs w:val="17"/>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0" w:footer="1227" w:top="1100" w:bottom="1420" w:left="980" w:right="980"/>
        </w:sectPr>
      </w:pPr>
    </w:p>
    <w:p>
      <w:pPr>
        <w:spacing w:line="240" w:lineRule="auto" w:before="9"/>
        <w:rPr>
          <w:rFonts w:ascii="宋体" w:hAnsi="宋体" w:cs="宋体" w:eastAsia="宋体" w:hint="default"/>
          <w:sz w:val="19"/>
          <w:szCs w:val="19"/>
        </w:rPr>
      </w:pPr>
    </w:p>
    <w:p>
      <w:pPr>
        <w:pStyle w:val="Heading2"/>
        <w:spacing w:line="240" w:lineRule="auto"/>
        <w:ind w:left="233" w:right="138"/>
        <w:jc w:val="left"/>
        <w:rPr>
          <w:b w:val="0"/>
          <w:bCs w:val="0"/>
        </w:rPr>
      </w:pPr>
      <w:r>
        <w:rPr/>
        <w:t>四、公司董事、监事、高级管理人员变动情况</w:t>
      </w:r>
      <w:r>
        <w:rPr>
          <w:b w:val="0"/>
          <w:bCs w:val="0"/>
        </w:rPr>
      </w:r>
    </w:p>
    <w:p>
      <w:pPr>
        <w:spacing w:line="240" w:lineRule="auto" w:before="12"/>
        <w:rPr>
          <w:rFonts w:ascii="宋体" w:hAnsi="宋体" w:cs="宋体" w:eastAsia="宋体" w:hint="default"/>
          <w:b/>
          <w:bCs/>
          <w:sz w:val="25"/>
          <w:szCs w:val="25"/>
        </w:rPr>
      </w:pPr>
    </w:p>
    <w:tbl>
      <w:tblPr>
        <w:tblW w:w="0" w:type="auto"/>
        <w:jc w:val="left"/>
        <w:tblInd w:w="218" w:type="dxa"/>
        <w:tblLayout w:type="fixed"/>
        <w:tblCellMar>
          <w:top w:w="0" w:type="dxa"/>
          <w:left w:w="0" w:type="dxa"/>
          <w:bottom w:w="0" w:type="dxa"/>
          <w:right w:w="0" w:type="dxa"/>
        </w:tblCellMar>
        <w:tblLook w:val="01E0"/>
      </w:tblPr>
      <w:tblGrid>
        <w:gridCol w:w="1330"/>
        <w:gridCol w:w="1330"/>
        <w:gridCol w:w="1332"/>
        <w:gridCol w:w="1539"/>
        <w:gridCol w:w="4038"/>
      </w:tblGrid>
      <w:tr>
        <w:trPr>
          <w:trHeight w:val="437" w:hRule="exact"/>
        </w:trPr>
        <w:tc>
          <w:tcPr>
            <w:tcW w:w="133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3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03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0"/>
              <w:ind w:left="9"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502" w:hRule="exact"/>
        </w:trPr>
        <w:tc>
          <w:tcPr>
            <w:tcW w:w="1330" w:type="dxa"/>
            <w:tcBorders>
              <w:top w:val="single" w:sz="12" w:space="0" w:color="D2D2D2"/>
              <w:left w:val="single" w:sz="12" w:space="0" w:color="000000"/>
              <w:bottom w:val="single" w:sz="4" w:space="0" w:color="000000"/>
              <w:right w:val="single" w:sz="4"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hAnsi="宋体" w:cs="宋体" w:eastAsia="宋体" w:hint="default"/>
                <w:sz w:val="18"/>
                <w:szCs w:val="18"/>
              </w:rPr>
              <w:t>孟向阳</w:t>
            </w:r>
          </w:p>
        </w:tc>
        <w:tc>
          <w:tcPr>
            <w:tcW w:w="133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39"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4038" w:type="dxa"/>
            <w:tcBorders>
              <w:top w:val="single" w:sz="12" w:space="0" w:color="D2D2D2"/>
              <w:left w:val="single" w:sz="4" w:space="0" w:color="000000"/>
              <w:bottom w:val="single" w:sz="4" w:space="0" w:color="000000"/>
              <w:right w:val="single" w:sz="12" w:space="0" w:color="000000"/>
            </w:tcBorders>
          </w:tcPr>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报告期内辞职</w:t>
            </w:r>
          </w:p>
        </w:tc>
      </w:tr>
      <w:tr>
        <w:trPr>
          <w:trHeight w:val="470" w:hRule="exact"/>
        </w:trPr>
        <w:tc>
          <w:tcPr>
            <w:tcW w:w="133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王能光</w:t>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5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报告期内聘请</w:t>
            </w:r>
          </w:p>
        </w:tc>
      </w:tr>
    </w:tbl>
    <w:p>
      <w:pPr>
        <w:spacing w:line="240" w:lineRule="auto" w:before="3"/>
        <w:rPr>
          <w:rFonts w:ascii="宋体" w:hAnsi="宋体" w:cs="宋体" w:eastAsia="宋体" w:hint="default"/>
          <w:b/>
          <w:bCs/>
          <w:sz w:val="18"/>
          <w:szCs w:val="18"/>
        </w:rPr>
      </w:pPr>
    </w:p>
    <w:p>
      <w:pPr>
        <w:pStyle w:val="Heading2"/>
        <w:spacing w:line="240" w:lineRule="auto"/>
        <w:ind w:left="233" w:right="138"/>
        <w:jc w:val="left"/>
        <w:rPr>
          <w:b w:val="0"/>
          <w:bCs w:val="0"/>
        </w:rPr>
      </w:pPr>
      <w:r>
        <w:rPr/>
        <w:t>五、报告期核心技术团队或关键技术人员变动情况（非董事、监事、高级管理人员）</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left="233" w:right="138"/>
        <w:jc w:val="left"/>
      </w:pPr>
      <w:r>
        <w:rPr/>
        <w:t>公司在报告期内无核心技术团队或关键技术人员变动。</w:t>
      </w:r>
    </w:p>
    <w:p>
      <w:pPr>
        <w:spacing w:line="240" w:lineRule="auto" w:before="12"/>
        <w:rPr>
          <w:rFonts w:ascii="宋体" w:hAnsi="宋体" w:cs="宋体" w:eastAsia="宋体" w:hint="default"/>
          <w:sz w:val="29"/>
          <w:szCs w:val="29"/>
        </w:rPr>
      </w:pPr>
    </w:p>
    <w:p>
      <w:pPr>
        <w:pStyle w:val="Heading2"/>
        <w:spacing w:line="240" w:lineRule="auto" w:before="0"/>
        <w:ind w:left="233" w:right="138"/>
        <w:jc w:val="left"/>
        <w:rPr>
          <w:b w:val="0"/>
          <w:bCs w:val="0"/>
        </w:rPr>
      </w:pPr>
      <w:r>
        <w:rPr/>
        <w:t>六、公司员工情况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233" w:right="138"/>
        <w:jc w:val="left"/>
      </w:pPr>
      <w:r>
        <w:rPr/>
        <w:t>截止</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日，公司员工总人数</w:t>
      </w:r>
      <w:r>
        <w:rPr>
          <w:spacing w:val="-53"/>
        </w:rPr>
        <w:t> </w:t>
      </w:r>
      <w:r>
        <w:rPr>
          <w:rFonts w:ascii="Times New Roman" w:hAnsi="Times New Roman" w:cs="Times New Roman" w:eastAsia="Times New Roman" w:hint="default"/>
        </w:rPr>
        <w:t>4,182</w:t>
      </w:r>
      <w:r>
        <w:rPr>
          <w:rFonts w:ascii="Times New Roman" w:hAnsi="Times New Roman" w:cs="Times New Roman" w:eastAsia="Times New Roman" w:hint="default"/>
          <w:spacing w:val="-1"/>
        </w:rPr>
        <w:t> </w:t>
      </w:r>
      <w:r>
        <w:rPr/>
        <w:t>人，公司员工的专业构成及教育情况如下表：</w:t>
      </w:r>
    </w:p>
    <w:p>
      <w:pPr>
        <w:spacing w:line="240" w:lineRule="auto" w:before="9"/>
        <w:rPr>
          <w:rFonts w:ascii="宋体" w:hAnsi="宋体" w:cs="宋体" w:eastAsia="宋体" w:hint="default"/>
          <w:sz w:val="16"/>
          <w:szCs w:val="16"/>
        </w:rPr>
      </w:pPr>
    </w:p>
    <w:p>
      <w:pPr>
        <w:pStyle w:val="Heading4"/>
        <w:spacing w:line="240" w:lineRule="auto"/>
        <w:ind w:left="233" w:right="138"/>
        <w:jc w:val="left"/>
        <w:rPr>
          <w:b w:val="0"/>
          <w:bCs w:val="0"/>
        </w:rPr>
      </w:pPr>
      <w:r>
        <w:rPr>
          <w:rFonts w:ascii="Times New Roman" w:hAnsi="Times New Roman" w:cs="Times New Roman" w:eastAsia="Times New Roman" w:hint="default"/>
        </w:rPr>
        <w:t>1</w:t>
      </w:r>
      <w:r>
        <w:rPr/>
        <w:t>、专业构成</w:t>
      </w:r>
      <w:r>
        <w:rPr>
          <w:b w:val="0"/>
          <w:bCs w:val="0"/>
        </w:rPr>
      </w:r>
    </w:p>
    <w:p>
      <w:pPr>
        <w:spacing w:line="240" w:lineRule="auto" w:before="10"/>
        <w:rPr>
          <w:rFonts w:ascii="宋体" w:hAnsi="宋体" w:cs="宋体" w:eastAsia="宋体" w:hint="default"/>
          <w:b/>
          <w:bCs/>
          <w:sz w:val="11"/>
          <w:szCs w:val="11"/>
        </w:rPr>
      </w:pPr>
    </w:p>
    <w:tbl>
      <w:tblPr>
        <w:tblW w:w="0" w:type="auto"/>
        <w:jc w:val="left"/>
        <w:tblInd w:w="110" w:type="dxa"/>
        <w:tblLayout w:type="fixed"/>
        <w:tblCellMar>
          <w:top w:w="0" w:type="dxa"/>
          <w:left w:w="0" w:type="dxa"/>
          <w:bottom w:w="0" w:type="dxa"/>
          <w:right w:w="0" w:type="dxa"/>
        </w:tblCellMar>
        <w:tblLook w:val="01E0"/>
      </w:tblPr>
      <w:tblGrid>
        <w:gridCol w:w="3171"/>
        <w:gridCol w:w="3171"/>
        <w:gridCol w:w="3171"/>
      </w:tblGrid>
      <w:tr>
        <w:trPr>
          <w:trHeight w:val="473" w:hRule="exact"/>
        </w:trPr>
        <w:tc>
          <w:tcPr>
            <w:tcW w:w="3171" w:type="dxa"/>
            <w:tcBorders>
              <w:top w:val="single" w:sz="12" w:space="0" w:color="000000"/>
              <w:left w:val="single" w:sz="12" w:space="0" w:color="000000"/>
              <w:bottom w:val="single" w:sz="4" w:space="0" w:color="000000"/>
              <w:right w:val="single" w:sz="2" w:space="0" w:color="000000"/>
            </w:tcBorders>
            <w:shd w:val="clear" w:color="auto" w:fill="D9D9D9"/>
          </w:tcPr>
          <w:p>
            <w:pPr>
              <w:pStyle w:val="TableParagraph"/>
              <w:spacing w:line="240" w:lineRule="auto" w:before="80"/>
              <w:ind w:right="1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3171" w:type="dxa"/>
            <w:tcBorders>
              <w:top w:val="single" w:sz="12" w:space="0" w:color="000000"/>
              <w:left w:val="single" w:sz="2" w:space="0" w:color="000000"/>
              <w:bottom w:val="single" w:sz="4" w:space="0" w:color="000000"/>
              <w:right w:val="single" w:sz="4" w:space="0" w:color="000000"/>
            </w:tcBorders>
            <w:shd w:val="clear" w:color="auto" w:fill="D9D9D9"/>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3171"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80"/>
              <w:ind w:left="7" w:right="0"/>
              <w:jc w:val="center"/>
              <w:rPr>
                <w:rFonts w:ascii="宋体" w:hAnsi="宋体" w:cs="宋体" w:eastAsia="宋体" w:hint="default"/>
                <w:sz w:val="18"/>
                <w:szCs w:val="18"/>
              </w:rPr>
            </w:pPr>
            <w:r>
              <w:rPr>
                <w:rFonts w:ascii="宋体" w:hAnsi="宋体" w:cs="宋体" w:eastAsia="宋体" w:hint="default"/>
                <w:sz w:val="18"/>
                <w:szCs w:val="18"/>
              </w:rPr>
              <w:t>占比（</w:t>
            </w:r>
            <w:r>
              <w:rPr>
                <w:rFonts w:ascii="宋体" w:hAnsi="宋体" w:cs="宋体" w:eastAsia="宋体" w:hint="default"/>
                <w:sz w:val="18"/>
                <w:szCs w:val="18"/>
              </w:rPr>
              <w:t>%</w:t>
            </w:r>
            <w:r>
              <w:rPr>
                <w:rFonts w:ascii="宋体" w:hAnsi="宋体" w:cs="宋体" w:eastAsia="宋体" w:hint="default"/>
                <w:sz w:val="18"/>
                <w:szCs w:val="18"/>
              </w:rPr>
              <w:t>）</w:t>
            </w:r>
          </w:p>
        </w:tc>
      </w:tr>
      <w:tr>
        <w:trPr>
          <w:trHeight w:val="466" w:hRule="exact"/>
        </w:trPr>
        <w:tc>
          <w:tcPr>
            <w:tcW w:w="3171" w:type="dxa"/>
            <w:tcBorders>
              <w:top w:val="single" w:sz="4" w:space="0" w:color="000000"/>
              <w:left w:val="single" w:sz="12" w:space="0" w:color="000000"/>
              <w:bottom w:val="single" w:sz="4" w:space="0" w:color="000000"/>
              <w:right w:val="single" w:sz="2" w:space="0" w:color="000000"/>
            </w:tcBorders>
            <w:shd w:val="clear" w:color="auto" w:fill="D9D9D9"/>
          </w:tcPr>
          <w:p>
            <w:pPr>
              <w:pStyle w:val="TableParagraph"/>
              <w:spacing w:line="240" w:lineRule="auto" w:before="80"/>
              <w:ind w:right="12"/>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3171"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sz w:val="18"/>
              </w:rPr>
              <w:t>3166</w:t>
            </w:r>
          </w:p>
        </w:tc>
        <w:tc>
          <w:tcPr>
            <w:tcW w:w="31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12" w:right="0"/>
              <w:jc w:val="center"/>
              <w:rPr>
                <w:rFonts w:ascii="宋体" w:hAnsi="宋体" w:cs="宋体" w:eastAsia="宋体" w:hint="default"/>
                <w:sz w:val="18"/>
                <w:szCs w:val="18"/>
              </w:rPr>
            </w:pPr>
            <w:r>
              <w:rPr>
                <w:rFonts w:ascii="宋体"/>
                <w:sz w:val="18"/>
              </w:rPr>
              <w:t>76</w:t>
            </w:r>
          </w:p>
        </w:tc>
      </w:tr>
      <w:tr>
        <w:trPr>
          <w:trHeight w:val="463" w:hRule="exact"/>
        </w:trPr>
        <w:tc>
          <w:tcPr>
            <w:tcW w:w="3171" w:type="dxa"/>
            <w:tcBorders>
              <w:top w:val="single" w:sz="4" w:space="0" w:color="000000"/>
              <w:left w:val="single" w:sz="12" w:space="0" w:color="000000"/>
              <w:bottom w:val="single" w:sz="4" w:space="0" w:color="000000"/>
              <w:right w:val="single" w:sz="2" w:space="0" w:color="000000"/>
            </w:tcBorders>
            <w:shd w:val="clear" w:color="auto" w:fill="D9D9D9"/>
          </w:tcPr>
          <w:p>
            <w:pPr>
              <w:pStyle w:val="TableParagraph"/>
              <w:spacing w:line="240" w:lineRule="auto" w:before="80"/>
              <w:ind w:right="12"/>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3171"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80"/>
              <w:ind w:left="5" w:right="0"/>
              <w:jc w:val="center"/>
              <w:rPr>
                <w:rFonts w:ascii="宋体" w:hAnsi="宋体" w:cs="宋体" w:eastAsia="宋体" w:hint="default"/>
                <w:sz w:val="18"/>
                <w:szCs w:val="18"/>
              </w:rPr>
            </w:pPr>
            <w:r>
              <w:rPr>
                <w:rFonts w:ascii="宋体"/>
                <w:sz w:val="18"/>
              </w:rPr>
              <w:t>628</w:t>
            </w:r>
          </w:p>
        </w:tc>
        <w:tc>
          <w:tcPr>
            <w:tcW w:w="31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12" w:right="0"/>
              <w:jc w:val="center"/>
              <w:rPr>
                <w:rFonts w:ascii="宋体" w:hAnsi="宋体" w:cs="宋体" w:eastAsia="宋体" w:hint="default"/>
                <w:sz w:val="18"/>
                <w:szCs w:val="18"/>
              </w:rPr>
            </w:pPr>
            <w:r>
              <w:rPr>
                <w:rFonts w:ascii="宋体"/>
                <w:sz w:val="18"/>
              </w:rPr>
              <w:t>15</w:t>
            </w:r>
          </w:p>
        </w:tc>
      </w:tr>
      <w:tr>
        <w:trPr>
          <w:trHeight w:val="463" w:hRule="exact"/>
        </w:trPr>
        <w:tc>
          <w:tcPr>
            <w:tcW w:w="3171" w:type="dxa"/>
            <w:tcBorders>
              <w:top w:val="single" w:sz="4" w:space="0" w:color="000000"/>
              <w:left w:val="single" w:sz="12" w:space="0" w:color="000000"/>
              <w:bottom w:val="single" w:sz="4" w:space="0" w:color="000000"/>
              <w:right w:val="single" w:sz="2" w:space="0" w:color="000000"/>
            </w:tcBorders>
            <w:shd w:val="clear" w:color="auto" w:fill="D9D9D9"/>
          </w:tcPr>
          <w:p>
            <w:pPr>
              <w:pStyle w:val="TableParagraph"/>
              <w:spacing w:line="240" w:lineRule="auto" w:before="80"/>
              <w:ind w:right="12"/>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3171"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80"/>
              <w:ind w:left="5" w:right="0"/>
              <w:jc w:val="center"/>
              <w:rPr>
                <w:rFonts w:ascii="宋体" w:hAnsi="宋体" w:cs="宋体" w:eastAsia="宋体" w:hint="default"/>
                <w:sz w:val="18"/>
                <w:szCs w:val="18"/>
              </w:rPr>
            </w:pPr>
            <w:r>
              <w:rPr>
                <w:rFonts w:ascii="宋体"/>
                <w:sz w:val="18"/>
              </w:rPr>
              <w:t>79</w:t>
            </w:r>
          </w:p>
        </w:tc>
        <w:tc>
          <w:tcPr>
            <w:tcW w:w="31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6" w:right="0"/>
              <w:jc w:val="center"/>
              <w:rPr>
                <w:rFonts w:ascii="宋体" w:hAnsi="宋体" w:cs="宋体" w:eastAsia="宋体" w:hint="default"/>
                <w:sz w:val="18"/>
                <w:szCs w:val="18"/>
              </w:rPr>
            </w:pPr>
            <w:r>
              <w:rPr>
                <w:rFonts w:ascii="宋体"/>
                <w:sz w:val="18"/>
              </w:rPr>
              <w:t>2</w:t>
            </w:r>
          </w:p>
        </w:tc>
      </w:tr>
      <w:tr>
        <w:trPr>
          <w:trHeight w:val="466" w:hRule="exact"/>
        </w:trPr>
        <w:tc>
          <w:tcPr>
            <w:tcW w:w="3171" w:type="dxa"/>
            <w:tcBorders>
              <w:top w:val="single" w:sz="4" w:space="0" w:color="000000"/>
              <w:left w:val="single" w:sz="12" w:space="0" w:color="000000"/>
              <w:bottom w:val="single" w:sz="4" w:space="0" w:color="000000"/>
              <w:right w:val="single" w:sz="2" w:space="0" w:color="000000"/>
            </w:tcBorders>
            <w:shd w:val="clear" w:color="auto" w:fill="D9D9D9"/>
          </w:tcPr>
          <w:p>
            <w:pPr>
              <w:pStyle w:val="TableParagraph"/>
              <w:spacing w:line="240" w:lineRule="auto" w:before="80"/>
              <w:ind w:right="12"/>
              <w:jc w:val="center"/>
              <w:rPr>
                <w:rFonts w:ascii="宋体" w:hAnsi="宋体" w:cs="宋体" w:eastAsia="宋体" w:hint="default"/>
                <w:sz w:val="18"/>
                <w:szCs w:val="18"/>
              </w:rPr>
            </w:pPr>
            <w:r>
              <w:rPr>
                <w:rFonts w:ascii="宋体" w:hAnsi="宋体" w:cs="宋体" w:eastAsia="宋体" w:hint="default"/>
                <w:sz w:val="18"/>
                <w:szCs w:val="18"/>
              </w:rPr>
              <w:t>行政、管理及其他人员</w:t>
            </w:r>
          </w:p>
        </w:tc>
        <w:tc>
          <w:tcPr>
            <w:tcW w:w="3171"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80"/>
              <w:ind w:left="5" w:right="0"/>
              <w:jc w:val="center"/>
              <w:rPr>
                <w:rFonts w:ascii="宋体" w:hAnsi="宋体" w:cs="宋体" w:eastAsia="宋体" w:hint="default"/>
                <w:sz w:val="18"/>
                <w:szCs w:val="18"/>
              </w:rPr>
            </w:pPr>
            <w:r>
              <w:rPr>
                <w:rFonts w:ascii="宋体"/>
                <w:sz w:val="18"/>
              </w:rPr>
              <w:t>309</w:t>
            </w:r>
          </w:p>
        </w:tc>
        <w:tc>
          <w:tcPr>
            <w:tcW w:w="31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6" w:right="0"/>
              <w:jc w:val="center"/>
              <w:rPr>
                <w:rFonts w:ascii="宋体" w:hAnsi="宋体" w:cs="宋体" w:eastAsia="宋体" w:hint="default"/>
                <w:sz w:val="18"/>
                <w:szCs w:val="18"/>
              </w:rPr>
            </w:pPr>
            <w:r>
              <w:rPr>
                <w:rFonts w:ascii="宋体"/>
                <w:sz w:val="18"/>
              </w:rPr>
              <w:t>7</w:t>
            </w:r>
          </w:p>
        </w:tc>
      </w:tr>
      <w:tr>
        <w:trPr>
          <w:trHeight w:val="475" w:hRule="exact"/>
        </w:trPr>
        <w:tc>
          <w:tcPr>
            <w:tcW w:w="3171" w:type="dxa"/>
            <w:tcBorders>
              <w:top w:val="single" w:sz="4" w:space="0" w:color="000000"/>
              <w:left w:val="single" w:sz="12" w:space="0" w:color="000000"/>
              <w:bottom w:val="single" w:sz="12" w:space="0" w:color="000000"/>
              <w:right w:val="single" w:sz="2" w:space="0" w:color="000000"/>
            </w:tcBorders>
            <w:shd w:val="clear" w:color="auto" w:fill="D9D9D9"/>
          </w:tcPr>
          <w:p>
            <w:pPr>
              <w:pStyle w:val="TableParagraph"/>
              <w:spacing w:line="240" w:lineRule="auto" w:before="80"/>
              <w:ind w:right="12"/>
              <w:jc w:val="center"/>
              <w:rPr>
                <w:rFonts w:ascii="宋体" w:hAnsi="宋体" w:cs="宋体" w:eastAsia="宋体" w:hint="default"/>
                <w:sz w:val="18"/>
                <w:szCs w:val="18"/>
              </w:rPr>
            </w:pPr>
            <w:r>
              <w:rPr>
                <w:rFonts w:ascii="宋体" w:hAnsi="宋体" w:cs="宋体" w:eastAsia="宋体" w:hint="default"/>
                <w:sz w:val="18"/>
                <w:szCs w:val="18"/>
              </w:rPr>
              <w:t>合计</w:t>
            </w:r>
          </w:p>
        </w:tc>
        <w:tc>
          <w:tcPr>
            <w:tcW w:w="3171" w:type="dxa"/>
            <w:tcBorders>
              <w:top w:val="single" w:sz="4" w:space="0" w:color="000000"/>
              <w:left w:val="single" w:sz="2" w:space="0" w:color="000000"/>
              <w:bottom w:val="single" w:sz="12"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sz w:val="18"/>
              </w:rPr>
              <w:t>4182</w:t>
            </w:r>
          </w:p>
        </w:tc>
        <w:tc>
          <w:tcPr>
            <w:tcW w:w="317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left="12" w:right="0"/>
              <w:jc w:val="center"/>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p>
      <w:pPr>
        <w:spacing w:line="3221" w:lineRule="exact"/>
        <w:ind w:left="2083" w:right="0" w:firstLine="0"/>
        <w:rPr>
          <w:rFonts w:ascii="宋体" w:hAnsi="宋体" w:cs="宋体" w:eastAsia="宋体" w:hint="default"/>
          <w:sz w:val="20"/>
          <w:szCs w:val="20"/>
        </w:rPr>
      </w:pPr>
      <w:r>
        <w:rPr>
          <w:rFonts w:ascii="宋体" w:hAnsi="宋体" w:cs="宋体" w:eastAsia="宋体" w:hint="default"/>
          <w:position w:val="-63"/>
          <w:sz w:val="20"/>
          <w:szCs w:val="20"/>
        </w:rPr>
        <w:drawing>
          <wp:inline distT="0" distB="0" distL="0" distR="0">
            <wp:extent cx="3780248" cy="204558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42" cstate="print"/>
                    <a:stretch>
                      <a:fillRect/>
                    </a:stretch>
                  </pic:blipFill>
                  <pic:spPr>
                    <a:xfrm>
                      <a:off x="0" y="0"/>
                      <a:ext cx="3780248" cy="2045589"/>
                    </a:xfrm>
                    <a:prstGeom prst="rect">
                      <a:avLst/>
                    </a:prstGeom>
                  </pic:spPr>
                </pic:pic>
              </a:graphicData>
            </a:graphic>
          </wp:inline>
        </w:drawing>
      </w:r>
      <w:r>
        <w:rPr>
          <w:rFonts w:ascii="宋体" w:hAnsi="宋体" w:cs="宋体" w:eastAsia="宋体" w:hint="default"/>
          <w:position w:val="-63"/>
          <w:sz w:val="20"/>
          <w:szCs w:val="20"/>
        </w:rPr>
      </w:r>
    </w:p>
    <w:p>
      <w:pPr>
        <w:spacing w:after="0" w:line="3221" w:lineRule="exact"/>
        <w:rPr>
          <w:rFonts w:ascii="宋体" w:hAnsi="宋体" w:cs="宋体" w:eastAsia="宋体" w:hint="default"/>
          <w:sz w:val="20"/>
          <w:szCs w:val="20"/>
        </w:rPr>
        <w:sectPr>
          <w:pgSz w:w="11910" w:h="16840"/>
          <w:pgMar w:header="0" w:footer="1227" w:top="1100" w:bottom="1420" w:left="900" w:right="980"/>
        </w:sectPr>
      </w:pPr>
    </w:p>
    <w:p>
      <w:pPr>
        <w:spacing w:line="240" w:lineRule="auto" w:before="9"/>
        <w:rPr>
          <w:rFonts w:ascii="宋体" w:hAnsi="宋体" w:cs="宋体" w:eastAsia="宋体" w:hint="default"/>
          <w:b/>
          <w:bCs/>
          <w:sz w:val="26"/>
          <w:szCs w:val="26"/>
        </w:rPr>
      </w:pPr>
    </w:p>
    <w:p>
      <w:pPr>
        <w:pStyle w:val="Heading4"/>
        <w:spacing w:line="240" w:lineRule="auto" w:before="36"/>
        <w:ind w:left="233" w:right="138"/>
        <w:jc w:val="left"/>
        <w:rPr>
          <w:b w:val="0"/>
          <w:bCs w:val="0"/>
        </w:rPr>
      </w:pPr>
      <w:r>
        <w:rPr>
          <w:rFonts w:ascii="Times New Roman" w:hAnsi="Times New Roman" w:cs="Times New Roman" w:eastAsia="Times New Roman" w:hint="default"/>
        </w:rPr>
        <w:t>2</w:t>
      </w:r>
      <w:r>
        <w:rPr/>
        <w:t>、教育情况</w:t>
      </w:r>
      <w:r>
        <w:rPr>
          <w:b w:val="0"/>
          <w:bCs w:val="0"/>
        </w:rPr>
      </w:r>
    </w:p>
    <w:p>
      <w:pPr>
        <w:spacing w:line="240" w:lineRule="auto" w:before="10"/>
        <w:rPr>
          <w:rFonts w:ascii="宋体" w:hAnsi="宋体" w:cs="宋体" w:eastAsia="宋体" w:hint="default"/>
          <w:b/>
          <w:bCs/>
          <w:sz w:val="11"/>
          <w:szCs w:val="11"/>
        </w:rPr>
      </w:pPr>
    </w:p>
    <w:tbl>
      <w:tblPr>
        <w:tblW w:w="0" w:type="auto"/>
        <w:jc w:val="left"/>
        <w:tblInd w:w="110" w:type="dxa"/>
        <w:tblLayout w:type="fixed"/>
        <w:tblCellMar>
          <w:top w:w="0" w:type="dxa"/>
          <w:left w:w="0" w:type="dxa"/>
          <w:bottom w:w="0" w:type="dxa"/>
          <w:right w:w="0" w:type="dxa"/>
        </w:tblCellMar>
        <w:tblLook w:val="01E0"/>
      </w:tblPr>
      <w:tblGrid>
        <w:gridCol w:w="3131"/>
        <w:gridCol w:w="3130"/>
        <w:gridCol w:w="3131"/>
      </w:tblGrid>
      <w:tr>
        <w:trPr>
          <w:trHeight w:val="473" w:hRule="exact"/>
        </w:trPr>
        <w:tc>
          <w:tcPr>
            <w:tcW w:w="3131"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4"/>
              <w:ind w:right="12"/>
              <w:jc w:val="center"/>
              <w:rPr>
                <w:rFonts w:ascii="宋体" w:hAnsi="宋体" w:cs="宋体" w:eastAsia="宋体" w:hint="default"/>
                <w:sz w:val="20"/>
                <w:szCs w:val="20"/>
              </w:rPr>
            </w:pPr>
            <w:r>
              <w:rPr>
                <w:rFonts w:ascii="宋体" w:hAnsi="宋体" w:cs="宋体" w:eastAsia="宋体" w:hint="default"/>
                <w:sz w:val="20"/>
                <w:szCs w:val="20"/>
              </w:rPr>
              <w:t>学历构成</w:t>
            </w:r>
          </w:p>
        </w:tc>
        <w:tc>
          <w:tcPr>
            <w:tcW w:w="3130"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right="3"/>
              <w:jc w:val="center"/>
              <w:rPr>
                <w:rFonts w:ascii="宋体" w:hAnsi="宋体" w:cs="宋体" w:eastAsia="宋体" w:hint="default"/>
                <w:sz w:val="20"/>
                <w:szCs w:val="20"/>
              </w:rPr>
            </w:pPr>
            <w:r>
              <w:rPr>
                <w:rFonts w:ascii="宋体" w:hAnsi="宋体" w:cs="宋体" w:eastAsia="宋体" w:hint="default"/>
                <w:sz w:val="20"/>
                <w:szCs w:val="20"/>
              </w:rPr>
              <w:t>人数（人）</w:t>
            </w:r>
          </w:p>
        </w:tc>
        <w:tc>
          <w:tcPr>
            <w:tcW w:w="3131"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4"/>
              <w:ind w:left="5" w:right="0"/>
              <w:jc w:val="center"/>
              <w:rPr>
                <w:rFonts w:ascii="宋体" w:hAnsi="宋体" w:cs="宋体" w:eastAsia="宋体" w:hint="default"/>
                <w:sz w:val="20"/>
                <w:szCs w:val="20"/>
              </w:rPr>
            </w:pPr>
            <w:r>
              <w:rPr>
                <w:rFonts w:ascii="宋体" w:hAnsi="宋体" w:cs="宋体" w:eastAsia="宋体" w:hint="default"/>
                <w:sz w:val="20"/>
                <w:szCs w:val="20"/>
              </w:rPr>
              <w:t>占比（</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466" w:hRule="exact"/>
        </w:trPr>
        <w:tc>
          <w:tcPr>
            <w:tcW w:w="313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4"/>
              <w:ind w:left="-1" w:right="12"/>
              <w:jc w:val="center"/>
              <w:rPr>
                <w:rFonts w:ascii="宋体" w:hAnsi="宋体" w:cs="宋体" w:eastAsia="宋体" w:hint="default"/>
                <w:sz w:val="20"/>
                <w:szCs w:val="20"/>
              </w:rPr>
            </w:pPr>
            <w:r>
              <w:rPr>
                <w:rFonts w:ascii="宋体" w:hAnsi="宋体" w:cs="宋体" w:eastAsia="宋体" w:hint="default"/>
                <w:sz w:val="20"/>
                <w:szCs w:val="20"/>
              </w:rPr>
              <w:t>博士</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31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1"/>
              <w:ind w:left="10" w:right="0"/>
              <w:jc w:val="center"/>
              <w:rPr>
                <w:rFonts w:ascii="Times New Roman" w:hAnsi="Times New Roman" w:cs="Times New Roman" w:eastAsia="Times New Roman" w:hint="default"/>
                <w:sz w:val="20"/>
                <w:szCs w:val="20"/>
              </w:rPr>
            </w:pPr>
            <w:r>
              <w:rPr>
                <w:rFonts w:ascii="Times New Roman"/>
                <w:sz w:val="20"/>
              </w:rPr>
              <w:t>0.2</w:t>
            </w:r>
          </w:p>
        </w:tc>
      </w:tr>
      <w:tr>
        <w:trPr>
          <w:trHeight w:val="463" w:hRule="exact"/>
        </w:trPr>
        <w:tc>
          <w:tcPr>
            <w:tcW w:w="313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1"/>
              <w:ind w:left="-1" w:right="12"/>
              <w:jc w:val="center"/>
              <w:rPr>
                <w:rFonts w:ascii="宋体" w:hAnsi="宋体" w:cs="宋体" w:eastAsia="宋体" w:hint="default"/>
                <w:sz w:val="20"/>
                <w:szCs w:val="20"/>
              </w:rPr>
            </w:pPr>
            <w:r>
              <w:rPr>
                <w:rFonts w:ascii="宋体" w:hAnsi="宋体" w:cs="宋体" w:eastAsia="宋体" w:hint="default"/>
                <w:sz w:val="20"/>
                <w:szCs w:val="20"/>
              </w:rPr>
              <w:t>硕士</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sz w:val="20"/>
              </w:rPr>
              <w:t>448</w:t>
            </w:r>
          </w:p>
        </w:tc>
        <w:tc>
          <w:tcPr>
            <w:tcW w:w="31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8"/>
              <w:ind w:left="10" w:right="0"/>
              <w:jc w:val="center"/>
              <w:rPr>
                <w:rFonts w:ascii="Times New Roman" w:hAnsi="Times New Roman" w:cs="Times New Roman" w:eastAsia="Times New Roman" w:hint="default"/>
                <w:sz w:val="20"/>
                <w:szCs w:val="20"/>
              </w:rPr>
            </w:pPr>
            <w:r>
              <w:rPr>
                <w:rFonts w:ascii="Times New Roman"/>
                <w:sz w:val="20"/>
              </w:rPr>
              <w:t>10.7</w:t>
            </w:r>
          </w:p>
        </w:tc>
      </w:tr>
      <w:tr>
        <w:trPr>
          <w:trHeight w:val="463" w:hRule="exact"/>
        </w:trPr>
        <w:tc>
          <w:tcPr>
            <w:tcW w:w="313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4"/>
              <w:ind w:left="-1" w:right="12"/>
              <w:jc w:val="center"/>
              <w:rPr>
                <w:rFonts w:ascii="宋体" w:hAnsi="宋体" w:cs="宋体" w:eastAsia="宋体" w:hint="default"/>
                <w:sz w:val="20"/>
                <w:szCs w:val="20"/>
              </w:rPr>
            </w:pPr>
            <w:r>
              <w:rPr>
                <w:rFonts w:ascii="宋体" w:hAnsi="宋体" w:cs="宋体" w:eastAsia="宋体" w:hint="default"/>
                <w:sz w:val="20"/>
                <w:szCs w:val="20"/>
              </w:rPr>
              <w:t>本科</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3029</w:t>
            </w:r>
          </w:p>
        </w:tc>
        <w:tc>
          <w:tcPr>
            <w:tcW w:w="31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1"/>
              <w:ind w:left="10" w:right="0"/>
              <w:jc w:val="center"/>
              <w:rPr>
                <w:rFonts w:ascii="Times New Roman" w:hAnsi="Times New Roman" w:cs="Times New Roman" w:eastAsia="Times New Roman" w:hint="default"/>
                <w:sz w:val="20"/>
                <w:szCs w:val="20"/>
              </w:rPr>
            </w:pPr>
            <w:r>
              <w:rPr>
                <w:rFonts w:ascii="Times New Roman"/>
                <w:sz w:val="20"/>
              </w:rPr>
              <w:t>72.4</w:t>
            </w:r>
          </w:p>
        </w:tc>
      </w:tr>
      <w:tr>
        <w:trPr>
          <w:trHeight w:val="466" w:hRule="exact"/>
        </w:trPr>
        <w:tc>
          <w:tcPr>
            <w:tcW w:w="313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4"/>
              <w:ind w:right="12"/>
              <w:jc w:val="center"/>
              <w:rPr>
                <w:rFonts w:ascii="宋体" w:hAnsi="宋体" w:cs="宋体" w:eastAsia="宋体" w:hint="default"/>
                <w:sz w:val="20"/>
                <w:szCs w:val="20"/>
              </w:rPr>
            </w:pPr>
            <w:r>
              <w:rPr>
                <w:rFonts w:ascii="宋体" w:hAnsi="宋体" w:cs="宋体" w:eastAsia="宋体" w:hint="default"/>
                <w:sz w:val="20"/>
                <w:szCs w:val="20"/>
              </w:rPr>
              <w:t>大专及以下</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697</w:t>
            </w:r>
          </w:p>
        </w:tc>
        <w:tc>
          <w:tcPr>
            <w:tcW w:w="31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1"/>
              <w:ind w:left="10" w:right="0"/>
              <w:jc w:val="center"/>
              <w:rPr>
                <w:rFonts w:ascii="Times New Roman" w:hAnsi="Times New Roman" w:cs="Times New Roman" w:eastAsia="Times New Roman" w:hint="default"/>
                <w:sz w:val="20"/>
                <w:szCs w:val="20"/>
              </w:rPr>
            </w:pPr>
            <w:r>
              <w:rPr>
                <w:rFonts w:ascii="Times New Roman"/>
                <w:sz w:val="20"/>
              </w:rPr>
              <w:t>16.7</w:t>
            </w:r>
          </w:p>
        </w:tc>
      </w:tr>
      <w:tr>
        <w:trPr>
          <w:trHeight w:val="472" w:hRule="exact"/>
        </w:trPr>
        <w:tc>
          <w:tcPr>
            <w:tcW w:w="3131"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1"/>
              <w:ind w:left="-1" w:right="12"/>
              <w:jc w:val="center"/>
              <w:rPr>
                <w:rFonts w:ascii="宋体" w:hAnsi="宋体" w:cs="宋体" w:eastAsia="宋体" w:hint="default"/>
                <w:sz w:val="20"/>
                <w:szCs w:val="20"/>
              </w:rPr>
            </w:pPr>
            <w:r>
              <w:rPr>
                <w:rFonts w:ascii="宋体" w:hAnsi="宋体" w:cs="宋体" w:eastAsia="宋体" w:hint="default"/>
                <w:sz w:val="20"/>
                <w:szCs w:val="20"/>
              </w:rPr>
              <w:t>合计</w:t>
            </w:r>
          </w:p>
        </w:tc>
        <w:tc>
          <w:tcPr>
            <w:tcW w:w="31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sz w:val="20"/>
              </w:rPr>
              <w:t>4182</w:t>
            </w:r>
          </w:p>
        </w:tc>
        <w:tc>
          <w:tcPr>
            <w:tcW w:w="31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8"/>
              <w:ind w:left="9" w:right="0"/>
              <w:jc w:val="center"/>
              <w:rPr>
                <w:rFonts w:ascii="Times New Roman" w:hAnsi="Times New Roman" w:cs="Times New Roman" w:eastAsia="Times New Roman" w:hint="default"/>
                <w:sz w:val="20"/>
                <w:szCs w:val="20"/>
              </w:rPr>
            </w:pPr>
            <w:r>
              <w:rPr>
                <w:rFonts w:ascii="Times New Roman"/>
                <w:sz w:val="20"/>
              </w:rPr>
              <w:t>100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spacing w:line="3493" w:lineRule="exact"/>
        <w:ind w:left="2173"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3672486" cy="221837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43" cstate="print"/>
                    <a:stretch>
                      <a:fillRect/>
                    </a:stretch>
                  </pic:blipFill>
                  <pic:spPr>
                    <a:xfrm>
                      <a:off x="0" y="0"/>
                      <a:ext cx="3672486" cy="2218372"/>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8"/>
        <w:rPr>
          <w:rFonts w:ascii="宋体" w:hAnsi="宋体" w:cs="宋体" w:eastAsia="宋体" w:hint="default"/>
          <w:b/>
          <w:bCs/>
          <w:sz w:val="14"/>
          <w:szCs w:val="14"/>
        </w:rPr>
      </w:pPr>
    </w:p>
    <w:p>
      <w:pPr>
        <w:pStyle w:val="BodyText"/>
        <w:spacing w:line="240" w:lineRule="auto" w:before="36"/>
        <w:ind w:left="233" w:right="138"/>
        <w:jc w:val="left"/>
      </w:pPr>
      <w:r>
        <w:rPr/>
        <w:t>截至本报告期末，公司无退休人员。</w:t>
      </w:r>
    </w:p>
    <w:p>
      <w:pPr>
        <w:spacing w:after="0" w:line="240" w:lineRule="auto"/>
        <w:jc w:val="left"/>
        <w:sectPr>
          <w:pgSz w:w="11910" w:h="16840"/>
          <w:pgMar w:header="0" w:footer="1227" w:top="1100" w:bottom="1420" w:left="90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330" w:right="2424"/>
        <w:jc w:val="center"/>
        <w:rPr>
          <w:b w:val="0"/>
          <w:bCs w:val="0"/>
        </w:rPr>
      </w:pPr>
      <w:bookmarkStart w:name="_TOC_250003" w:id="9"/>
      <w:r>
        <w:rPr/>
        <w:t>第九节公司治理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140"/>
        <w:jc w:val="left"/>
        <w:rPr>
          <w:b w:val="0"/>
          <w:bCs w:val="0"/>
        </w:rPr>
      </w:pPr>
      <w:r>
        <w:rPr/>
        <w:t>一、公司治理的基本状况</w:t>
      </w:r>
      <w:r>
        <w:rPr>
          <w:b w:val="0"/>
          <w:bCs w:val="0"/>
        </w:rPr>
      </w:r>
    </w:p>
    <w:p>
      <w:pPr>
        <w:spacing w:line="240" w:lineRule="auto" w:before="10"/>
        <w:rPr>
          <w:rFonts w:ascii="宋体" w:hAnsi="宋体" w:cs="宋体" w:eastAsia="宋体" w:hint="default"/>
          <w:b/>
          <w:bCs/>
          <w:sz w:val="30"/>
          <w:szCs w:val="30"/>
        </w:rPr>
      </w:pPr>
    </w:p>
    <w:p>
      <w:pPr>
        <w:pStyle w:val="BodyText"/>
        <w:spacing w:line="400" w:lineRule="auto"/>
        <w:ind w:right="140" w:firstLine="420"/>
        <w:jc w:val="left"/>
      </w:pPr>
      <w:r>
        <w:rPr>
          <w:rFonts w:ascii="Times New Roman" w:hAnsi="Times New Roman" w:cs="Times New Roman" w:eastAsia="Times New Roman" w:hint="default"/>
          <w:w w:val="100"/>
        </w:rPr>
        <w:t>2014</w:t>
      </w:r>
      <w:r>
        <w:rPr>
          <w:rFonts w:ascii="Times New Roman" w:hAnsi="Times New Roman" w:cs="Times New Roman" w:eastAsia="Times New Roman" w:hint="default"/>
          <w:spacing w:val="1"/>
          <w:w w:val="100"/>
        </w:rPr>
        <w:t> </w:t>
      </w:r>
      <w:r>
        <w:rPr>
          <w:spacing w:val="-15"/>
          <w:w w:val="100"/>
        </w:rPr>
        <w:t>年，公司按照《公司法》、《证券法》、《上市公司治理准则》等相关法律、法规及规范文件要求，</w:t>
      </w:r>
      <w:r>
        <w:rPr>
          <w:w w:val="100"/>
        </w:rPr>
        <w:t> </w:t>
      </w:r>
      <w:r>
        <w:rPr/>
        <w:t>立足于全体股东的利益，不断提高公司经营管理水平、公司诚信度和透明度，不断完善符合现代企业制</w:t>
      </w:r>
      <w:r>
        <w:rPr>
          <w:w w:val="100"/>
        </w:rPr>
        <w:t> </w:t>
      </w:r>
      <w:r>
        <w:rPr/>
        <w:t>度要求的法人治理结构，健全公司内部控制制度，构建了与公司发展战略相匹配的内部管控体系，提高</w:t>
      </w:r>
      <w:r>
        <w:rPr>
          <w:w w:val="100"/>
        </w:rPr>
        <w:t> </w:t>
      </w:r>
      <w:r>
        <w:rPr/>
        <w:t>了公司规范运作水平。</w:t>
      </w:r>
    </w:p>
    <w:p>
      <w:pPr>
        <w:pStyle w:val="BodyText"/>
        <w:spacing w:line="408" w:lineRule="auto" w:before="91"/>
        <w:ind w:right="333" w:firstLine="420"/>
        <w:jc w:val="both"/>
      </w:pPr>
      <w:r>
        <w:rPr>
          <w:spacing w:val="-2"/>
        </w:rPr>
        <w:t>对照有关上市公司治理的规范性文件的规定和要求，公司治理的实际状况与中国证监会有关上市公</w:t>
      </w:r>
      <w:r>
        <w:rPr>
          <w:w w:val="100"/>
        </w:rPr>
        <w:t> </w:t>
      </w:r>
      <w:r>
        <w:rPr>
          <w:spacing w:val="-2"/>
        </w:rPr>
        <w:t>司治理的规范性文件的要求不存在差异。今后，公司将一如既往地不断完善公司法人治理结构，不断提</w:t>
      </w:r>
      <w:r>
        <w:rPr>
          <w:spacing w:val="-21"/>
        </w:rPr>
        <w:t> </w:t>
      </w:r>
      <w:r>
        <w:rPr>
          <w:spacing w:val="-21"/>
        </w:rPr>
      </w:r>
      <w:r>
        <w:rPr/>
        <w:t>高公司规范运作水平。</w:t>
      </w:r>
    </w:p>
    <w:p>
      <w:pPr>
        <w:pStyle w:val="Heading4"/>
        <w:spacing w:line="240" w:lineRule="auto" w:before="87"/>
        <w:ind w:left="575" w:right="140"/>
        <w:jc w:val="left"/>
        <w:rPr>
          <w:b w:val="0"/>
          <w:bCs w:val="0"/>
        </w:rPr>
      </w:pPr>
      <w:r>
        <w:rPr/>
        <w:t>（一）公司治理的情况</w:t>
      </w:r>
      <w:r>
        <w:rPr>
          <w:b w:val="0"/>
          <w:bCs w:val="0"/>
        </w:rPr>
      </w:r>
    </w:p>
    <w:p>
      <w:pPr>
        <w:spacing w:line="240" w:lineRule="auto" w:before="12"/>
        <w:rPr>
          <w:rFonts w:ascii="宋体" w:hAnsi="宋体" w:cs="宋体" w:eastAsia="宋体" w:hint="default"/>
          <w:b/>
          <w:bCs/>
          <w:sz w:val="17"/>
          <w:szCs w:val="17"/>
        </w:rPr>
      </w:pPr>
    </w:p>
    <w:p>
      <w:pPr>
        <w:pStyle w:val="BodyText"/>
        <w:spacing w:line="398" w:lineRule="auto"/>
        <w:ind w:right="237" w:firstLine="420"/>
        <w:jc w:val="left"/>
      </w:pPr>
      <w:r>
        <w:rPr>
          <w:rFonts w:ascii="Times New Roman" w:hAnsi="Times New Roman" w:cs="Times New Roman" w:eastAsia="Times New Roman" w:hint="default"/>
          <w:spacing w:val="-15"/>
          <w:w w:val="100"/>
        </w:rPr>
        <w:t>1</w:t>
      </w:r>
      <w:r>
        <w:rPr>
          <w:spacing w:val="-15"/>
          <w:w w:val="100"/>
        </w:rPr>
        <w:t>、报告期内，公司制定了《董事会议事规则》、《监事会议事规则》、《股东大会议事规则》、《对外投</w:t>
      </w:r>
      <w:r>
        <w:rPr>
          <w:w w:val="100"/>
        </w:rPr>
        <w:t> </w:t>
      </w:r>
      <w:r>
        <w:rPr>
          <w:spacing w:val="-11"/>
          <w:w w:val="100"/>
        </w:rPr>
        <w:t>资管理制度》、《信息披露事务管理制度》，并修订了《公司章程》，完善了的内部控制体系，进一步了提</w:t>
      </w:r>
      <w:r>
        <w:rPr>
          <w:spacing w:val="-75"/>
          <w:w w:val="100"/>
        </w:rPr>
        <w:t> </w:t>
      </w:r>
      <w:r>
        <w:rPr>
          <w:spacing w:val="-75"/>
          <w:w w:val="100"/>
        </w:rPr>
      </w:r>
      <w:r>
        <w:rPr/>
        <w:t>高公司治理水平，促进公司规范运作。</w:t>
      </w:r>
    </w:p>
    <w:p>
      <w:pPr>
        <w:pStyle w:val="BodyText"/>
        <w:spacing w:line="386" w:lineRule="auto" w:before="93"/>
        <w:ind w:right="140" w:firstLine="420"/>
        <w:jc w:val="left"/>
      </w:pPr>
      <w:r>
        <w:rPr>
          <w:rFonts w:ascii="Times New Roman" w:hAnsi="Times New Roman" w:cs="Times New Roman" w:eastAsia="Times New Roman" w:hint="default"/>
          <w:spacing w:val="-2"/>
        </w:rPr>
        <w:t>2</w:t>
      </w:r>
      <w:r>
        <w:rPr>
          <w:spacing w:val="-2"/>
        </w:rPr>
        <w:t>、根据财政部等五部委颁布的《企业内部控制基本规范》及相关配套指引的文件精神，按照中国证</w:t>
      </w:r>
      <w:r>
        <w:rPr>
          <w:w w:val="100"/>
        </w:rPr>
        <w:t> </w:t>
      </w:r>
      <w:r>
        <w:rPr/>
        <w:t>监会关于主板上市公司实施企业内部控制规范的工作要求，公司结合自身经营特点和所处环境，制定了</w:t>
      </w:r>
    </w:p>
    <w:p>
      <w:pPr>
        <w:pStyle w:val="BodyText"/>
        <w:spacing w:line="400" w:lineRule="auto" w:before="65"/>
        <w:ind w:right="140"/>
        <w:jc w:val="left"/>
      </w:pPr>
      <w:r>
        <w:rPr>
          <w:spacing w:val="-1"/>
          <w:w w:val="100"/>
        </w:rPr>
        <w:t>《</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spacing w:val="16"/>
          <w:w w:val="100"/>
        </w:rPr>
        <w:t> </w:t>
      </w:r>
      <w:r>
        <w:rPr>
          <w:spacing w:val="-6"/>
          <w:w w:val="100"/>
        </w:rPr>
        <w:t>年度内部控制规范实施工作方案》，并有序推进内部控制规范体系建设工作。报告期内，公司在成</w:t>
      </w:r>
      <w:r>
        <w:rPr>
          <w:spacing w:val="-99"/>
          <w:w w:val="100"/>
        </w:rPr>
        <w:t> </w:t>
      </w:r>
      <w:r>
        <w:rPr>
          <w:spacing w:val="-99"/>
          <w:w w:val="100"/>
        </w:rPr>
      </w:r>
      <w:r>
        <w:rPr/>
        <w:t>立内部控制规范领导小组及实施推进小组的基础上，外聘专业咨询机构提供全程技术支持，初步构建了</w:t>
      </w:r>
      <w:r>
        <w:rPr>
          <w:w w:val="100"/>
        </w:rPr>
        <w:t> </w:t>
      </w:r>
      <w:r>
        <w:rPr/>
        <w:t>内部控制体系及管理制度体系，形成了较为完善的内部控制体系，提高了公司经营管理水平和风险防范</w:t>
      </w:r>
      <w:r>
        <w:rPr>
          <w:w w:val="100"/>
        </w:rPr>
        <w:t> </w:t>
      </w:r>
      <w:r>
        <w:rPr/>
        <w:t>能力，促进公司可持续发展。</w:t>
      </w:r>
    </w:p>
    <w:p>
      <w:pPr>
        <w:pStyle w:val="BodyText"/>
        <w:spacing w:line="400" w:lineRule="auto" w:before="93"/>
        <w:ind w:right="140" w:firstLine="420"/>
        <w:jc w:val="left"/>
      </w:pPr>
      <w:r>
        <w:rPr>
          <w:rFonts w:ascii="Times New Roman" w:hAnsi="Times New Roman" w:cs="Times New Roman" w:eastAsia="Times New Roman" w:hint="default"/>
          <w:spacing w:val="-2"/>
        </w:rPr>
        <w:t>3</w:t>
      </w:r>
      <w:r>
        <w:rPr>
          <w:spacing w:val="-2"/>
        </w:rPr>
        <w:t>、报告期内，公司高度重视投资者关系管理工作。通过电话、电子邮件、实地调研等方式接待来访</w:t>
      </w:r>
      <w:r>
        <w:rPr>
          <w:w w:val="100"/>
        </w:rPr>
        <w:t> </w:t>
      </w:r>
      <w:r>
        <w:rPr/>
        <w:t>者和机构，认真做好投资者来电的接听、答复以及传真、电子信箱的接收和回复；通过公司网站，使广</w:t>
      </w:r>
      <w:r>
        <w:rPr>
          <w:w w:val="100"/>
        </w:rPr>
        <w:t> </w:t>
      </w:r>
      <w:r>
        <w:rPr/>
        <w:t>大投资者了解公司治理情况、信息披露情况和生产经营情况等；积极参与投资者网上交流互动活动，及</w:t>
      </w:r>
      <w:r>
        <w:rPr>
          <w:w w:val="100"/>
        </w:rPr>
        <w:t> </w:t>
      </w:r>
      <w:r>
        <w:rPr/>
        <w:t>时回复投资者的咨询。</w:t>
      </w:r>
    </w:p>
    <w:p>
      <w:pPr>
        <w:pStyle w:val="BodyText"/>
        <w:spacing w:line="386" w:lineRule="auto" w:before="93"/>
        <w:ind w:right="140" w:firstLine="420"/>
        <w:jc w:val="left"/>
      </w:pPr>
      <w:r>
        <w:rPr>
          <w:rFonts w:ascii="Times New Roman" w:hAnsi="Times New Roman" w:cs="Times New Roman" w:eastAsia="Times New Roman" w:hint="default"/>
          <w:spacing w:val="-7"/>
        </w:rPr>
        <w:t>4</w:t>
      </w:r>
      <w:r>
        <w:rPr>
          <w:spacing w:val="-7"/>
        </w:rPr>
        <w:t>、截止本报告期末，公司控股股东及其关联方不存在占用上市公司资金的情况；公司不存在违反《关</w:t>
      </w:r>
      <w:r>
        <w:rPr>
          <w:w w:val="100"/>
        </w:rPr>
        <w:t> </w:t>
      </w:r>
      <w:r>
        <w:rPr>
          <w:spacing w:val="-4"/>
          <w:w w:val="100"/>
        </w:rPr>
        <w:t>于规范上市公司与关联方资金往来及上市公司对外担保若干问题的通知》（证监发</w:t>
      </w:r>
      <w:r>
        <w:rPr>
          <w:rFonts w:ascii="Times New Roman" w:hAnsi="Times New Roman" w:cs="Times New Roman" w:eastAsia="Times New Roman" w:hint="default"/>
          <w:spacing w:val="-4"/>
          <w:w w:val="100"/>
        </w:rPr>
        <w:t>[2003]56</w:t>
      </w:r>
      <w:r>
        <w:rPr>
          <w:rFonts w:ascii="Times New Roman" w:hAnsi="Times New Roman" w:cs="Times New Roman" w:eastAsia="Times New Roman" w:hint="default"/>
          <w:spacing w:val="16"/>
          <w:w w:val="100"/>
        </w:rPr>
        <w:t> </w:t>
      </w:r>
      <w:r>
        <w:rPr>
          <w:spacing w:val="-2"/>
          <w:w w:val="100"/>
        </w:rPr>
        <w:t>号）的情形。</w:t>
      </w:r>
    </w:p>
    <w:p>
      <w:pPr>
        <w:pStyle w:val="Heading4"/>
        <w:spacing w:line="240" w:lineRule="auto" w:before="74"/>
        <w:ind w:left="575" w:right="140"/>
        <w:jc w:val="left"/>
        <w:rPr>
          <w:b w:val="0"/>
          <w:bCs w:val="0"/>
        </w:rPr>
      </w:pPr>
      <w:r>
        <w:rPr/>
        <w:t>（二）公司治理非规范的情况</w:t>
      </w:r>
      <w:r>
        <w:rPr>
          <w:b w:val="0"/>
          <w:bCs w:val="0"/>
        </w:rPr>
      </w:r>
    </w:p>
    <w:p>
      <w:pPr>
        <w:spacing w:after="0" w:line="240" w:lineRule="auto"/>
        <w:jc w:val="left"/>
        <w:sectPr>
          <w:pgSz w:w="11910" w:h="16840"/>
          <w:pgMar w:header="0" w:footer="1227" w:top="1100" w:bottom="1420" w:left="980" w:right="980"/>
        </w:sectPr>
      </w:pPr>
    </w:p>
    <w:p>
      <w:pPr>
        <w:spacing w:line="240" w:lineRule="auto" w:before="9"/>
        <w:rPr>
          <w:rFonts w:ascii="宋体" w:hAnsi="宋体" w:cs="宋体" w:eastAsia="宋体" w:hint="default"/>
          <w:b/>
          <w:bCs/>
          <w:sz w:val="26"/>
          <w:szCs w:val="26"/>
        </w:rPr>
      </w:pPr>
    </w:p>
    <w:p>
      <w:pPr>
        <w:pStyle w:val="BodyText"/>
        <w:spacing w:line="408" w:lineRule="auto" w:before="36"/>
        <w:ind w:right="140" w:firstLine="420"/>
        <w:jc w:val="left"/>
      </w:pPr>
      <w:r>
        <w:rPr>
          <w:spacing w:val="-2"/>
        </w:rPr>
        <w:t>报告期内，公司不存在向控股股东或实际控制人提供未公开信息等公司治理非规范情况；公司大股</w:t>
      </w:r>
      <w:r>
        <w:rPr>
          <w:w w:val="100"/>
        </w:rPr>
        <w:t> </w:t>
      </w:r>
      <w:r>
        <w:rPr/>
        <w:t>东或实际控制人也不存在干预上市公司生产、经营、管理等公司治理非规范情况。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ind w:right="140"/>
        <w:jc w:val="left"/>
      </w:pPr>
      <w:r>
        <w:rPr/>
        <w:t>公司治理与《公司法》和中国证监会相关规定的要求是否存在差异</w:t>
      </w:r>
    </w:p>
    <w:p>
      <w:pPr>
        <w:spacing w:line="240" w:lineRule="auto" w:before="12"/>
        <w:rPr>
          <w:rFonts w:ascii="宋体" w:hAnsi="宋体" w:cs="宋体" w:eastAsia="宋体" w:hint="default"/>
          <w:sz w:val="17"/>
          <w:szCs w:val="17"/>
        </w:rPr>
      </w:pPr>
    </w:p>
    <w:p>
      <w:pPr>
        <w:pStyle w:val="BodyText"/>
        <w:spacing w:line="420" w:lineRule="auto"/>
        <w:ind w:right="286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公司治理与《公司法》和中国证监会相关规定的要求不存在差异。</w:t>
      </w:r>
    </w:p>
    <w:p>
      <w:pPr>
        <w:pStyle w:val="BodyText"/>
        <w:spacing w:line="240" w:lineRule="auto" w:before="74"/>
        <w:ind w:right="140"/>
        <w:jc w:val="left"/>
      </w:pPr>
      <w:r>
        <w:rPr/>
        <w:t>公司治理专项活动开展情况以及内幕信息知情人登记管理制度的制定、实施情况</w:t>
      </w:r>
    </w:p>
    <w:p>
      <w:pPr>
        <w:spacing w:line="240" w:lineRule="auto" w:before="12"/>
        <w:rPr>
          <w:rFonts w:ascii="宋体" w:hAnsi="宋体" w:cs="宋体" w:eastAsia="宋体" w:hint="default"/>
          <w:sz w:val="17"/>
          <w:szCs w:val="17"/>
        </w:rPr>
      </w:pPr>
    </w:p>
    <w:p>
      <w:pPr>
        <w:pStyle w:val="BodyText"/>
        <w:spacing w:line="400" w:lineRule="auto"/>
        <w:ind w:right="140" w:firstLine="420"/>
        <w:jc w:val="left"/>
      </w:pPr>
      <w:r>
        <w:rPr/>
        <w:t>公司</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日召开的第五届董事会</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年第二次临时会议审议通过了《内幕信息及知情</w:t>
      </w:r>
      <w:r>
        <w:rPr>
          <w:w w:val="100"/>
        </w:rPr>
        <w:t> </w:t>
      </w:r>
      <w:r>
        <w:rPr>
          <w:spacing w:val="-5"/>
          <w:w w:val="100"/>
        </w:rPr>
        <w:t>人管理制度》，明确了内幕信息及内幕信息知情人的认定标准、内幕信息流转的审批程序、内幕信息知情</w:t>
      </w:r>
      <w:r>
        <w:rPr>
          <w:spacing w:val="-63"/>
          <w:w w:val="100"/>
        </w:rPr>
        <w:t> </w:t>
      </w:r>
      <w:r>
        <w:rPr>
          <w:spacing w:val="-63"/>
          <w:w w:val="100"/>
        </w:rPr>
      </w:r>
      <w:r>
        <w:rPr/>
        <w:t>人登记备案程序、内幕信息知情人的管理、内幕信息知情人的档案管理和内幕信息保密及责任追究等，</w:t>
      </w:r>
      <w:r>
        <w:rPr>
          <w:w w:val="100"/>
        </w:rPr>
        <w:t> </w:t>
      </w:r>
      <w:r>
        <w:rPr>
          <w:spacing w:val="-1"/>
          <w:w w:val="100"/>
        </w:rPr>
        <w:t>相关公告详见</w:t>
      </w:r>
      <w:r>
        <w:rPr>
          <w:spacing w:val="-51"/>
          <w:w w:val="100"/>
        </w:rPr>
        <w:t> </w:t>
      </w:r>
      <w:r>
        <w:rPr>
          <w:rFonts w:ascii="Times New Roman" w:hAnsi="Times New Roman" w:cs="Times New Roman" w:eastAsia="Times New Roman" w:hint="default"/>
          <w:spacing w:val="-1"/>
          <w:w w:val="100"/>
        </w:rPr>
        <w:t>2009 </w:t>
      </w:r>
      <w:r>
        <w:rPr>
          <w:w w:val="100"/>
        </w:rPr>
        <w:t>年</w:t>
      </w:r>
      <w:r>
        <w:rPr>
          <w:spacing w:val="-51"/>
          <w:w w:val="100"/>
        </w:rPr>
        <w:t> </w:t>
      </w:r>
      <w:r>
        <w:rPr>
          <w:rFonts w:ascii="Times New Roman" w:hAnsi="Times New Roman" w:cs="Times New Roman" w:eastAsia="Times New Roman" w:hint="default"/>
          <w:w w:val="100"/>
        </w:rPr>
        <w:t>10 </w:t>
      </w:r>
      <w:r>
        <w:rPr>
          <w:w w:val="100"/>
        </w:rPr>
        <w:t>月</w:t>
      </w:r>
      <w:r>
        <w:rPr>
          <w:spacing w:val="-51"/>
          <w:w w:val="100"/>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1"/>
          <w:w w:val="100"/>
        </w:rPr>
        <w:t> </w:t>
      </w:r>
      <w:r>
        <w:rPr>
          <w:spacing w:val="-7"/>
          <w:w w:val="100"/>
        </w:rPr>
        <w:t>日的《证券时报》和巨潮资讯网（</w:t>
      </w:r>
      <w:hyperlink r:id="rId8">
        <w:r>
          <w:rPr>
            <w:rFonts w:ascii="Times New Roman" w:hAnsi="Times New Roman" w:cs="Times New Roman" w:eastAsia="Times New Roman" w:hint="default"/>
            <w:spacing w:val="-7"/>
            <w:w w:val="100"/>
          </w:rPr>
          <w:t>http://www.cninfo.com.cn</w:t>
        </w:r>
      </w:hyperlink>
      <w:r>
        <w:rPr>
          <w:spacing w:val="-7"/>
          <w:w w:val="100"/>
        </w:rPr>
        <w:t>）。</w:t>
      </w:r>
      <w:r>
        <w:rPr>
          <w:w w:val="100"/>
        </w:rPr>
      </w:r>
    </w:p>
    <w:p>
      <w:pPr>
        <w:pStyle w:val="BodyText"/>
        <w:spacing w:line="408" w:lineRule="auto" w:before="62"/>
        <w:ind w:right="140" w:firstLine="420"/>
        <w:jc w:val="left"/>
      </w:pPr>
      <w:r>
        <w:rPr>
          <w:spacing w:val="-5"/>
          <w:w w:val="100"/>
        </w:rPr>
        <w:t>报告期内，公司严格执行《内幕信息及知情人管理制度》，本年度未发现有内幕信息知情人在影响公</w:t>
      </w:r>
      <w:r>
        <w:rPr>
          <w:w w:val="100"/>
        </w:rPr>
        <w:t> </w:t>
      </w:r>
      <w:r>
        <w:rPr/>
        <w:t>司股价的重大敏感信息披露前利用内幕信息买卖公司股份的情况，无监管处罚记录。</w:t>
      </w:r>
    </w:p>
    <w:p>
      <w:pPr>
        <w:spacing w:line="240" w:lineRule="auto" w:before="6"/>
        <w:rPr>
          <w:rFonts w:ascii="宋体" w:hAnsi="宋体" w:cs="宋体" w:eastAsia="宋体" w:hint="default"/>
          <w:sz w:val="18"/>
          <w:szCs w:val="18"/>
        </w:rPr>
      </w:pPr>
    </w:p>
    <w:p>
      <w:pPr>
        <w:pStyle w:val="Heading2"/>
        <w:spacing w:line="240" w:lineRule="auto" w:before="0"/>
        <w:ind w:right="14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994"/>
        <w:gridCol w:w="991"/>
        <w:gridCol w:w="4537"/>
        <w:gridCol w:w="850"/>
        <w:gridCol w:w="994"/>
        <w:gridCol w:w="1203"/>
      </w:tblGrid>
      <w:tr>
        <w:trPr>
          <w:trHeight w:val="412" w:hRule="exact"/>
        </w:trPr>
        <w:tc>
          <w:tcPr>
            <w:tcW w:w="99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53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85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59"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9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20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23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369" w:hRule="exact"/>
        </w:trPr>
        <w:tc>
          <w:tcPr>
            <w:tcW w:w="99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300" w:lineRule="auto"/>
              <w:ind w:left="1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 股东大会</w:t>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年年度报告》及</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年年度报告摘要</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年度董事会工作报</w:t>
            </w:r>
            <w:r>
              <w:rPr>
                <w:rFonts w:ascii="宋体" w:hAnsi="宋体" w:cs="宋体" w:eastAsia="宋体" w:hint="default"/>
                <w:spacing w:val="-3"/>
                <w:sz w:val="18"/>
                <w:szCs w:val="18"/>
              </w:rPr>
              <w:t>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年度监事会工作报</w:t>
            </w:r>
            <w:r>
              <w:rPr>
                <w:rFonts w:ascii="宋体" w:hAnsi="宋体" w:cs="宋体" w:eastAsia="宋体" w:hint="default"/>
                <w:spacing w:val="-3"/>
                <w:sz w:val="18"/>
                <w:szCs w:val="18"/>
              </w:rPr>
              <w:t>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年度财务决算报告</w:t>
            </w:r>
            <w:r>
              <w:rPr>
                <w:rFonts w:ascii="宋体" w:hAnsi="宋体" w:cs="宋体" w:eastAsia="宋体" w:hint="default"/>
                <w:spacing w:val="-94"/>
                <w:sz w:val="18"/>
                <w:szCs w:val="18"/>
              </w:rPr>
              <w:t>》</w:t>
            </w:r>
            <w:r>
              <w:rPr>
                <w:rFonts w:ascii="宋体" w:hAnsi="宋体" w:cs="宋体" w:eastAsia="宋体" w:hint="default"/>
                <w:sz w:val="18"/>
                <w:szCs w:val="18"/>
              </w:rPr>
              <w:t>；</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年度利润分配预案</w:t>
            </w:r>
            <w:r>
              <w:rPr>
                <w:rFonts w:ascii="宋体" w:hAnsi="宋体" w:cs="宋体" w:eastAsia="宋体" w:hint="default"/>
                <w:spacing w:val="-94"/>
                <w:sz w:val="18"/>
                <w:szCs w:val="18"/>
              </w:rPr>
              <w:t>》</w:t>
            </w:r>
            <w:r>
              <w:rPr>
                <w:rFonts w:ascii="宋体" w:hAnsi="宋体" w:cs="宋体" w:eastAsia="宋体" w:hint="default"/>
                <w:sz w:val="18"/>
                <w:szCs w:val="18"/>
              </w:rPr>
              <w:t>；</w:t>
            </w:r>
          </w:p>
          <w:p>
            <w:pPr>
              <w:pStyle w:val="TableParagraph"/>
              <w:spacing w:line="312" w:lineRule="auto" w:before="103"/>
              <w:ind w:left="24" w:right="2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6</w:t>
            </w:r>
            <w:r>
              <w:rPr>
                <w:rFonts w:ascii="宋体" w:hAnsi="宋体" w:cs="宋体" w:eastAsia="宋体" w:hint="default"/>
                <w:spacing w:val="-11"/>
                <w:sz w:val="18"/>
                <w:szCs w:val="18"/>
              </w:rPr>
              <w:t>、《关于聘请公司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pacing w:val="-13"/>
                <w:sz w:val="18"/>
                <w:szCs w:val="18"/>
              </w:rPr>
              <w:t>年度审计机构的议案》；</w:t>
            </w:r>
            <w:r>
              <w:rPr>
                <w:rFonts w:ascii="Times New Roman" w:hAnsi="Times New Roman" w:cs="Times New Roman" w:eastAsia="Times New Roman" w:hint="default"/>
                <w:spacing w:val="-13"/>
                <w:sz w:val="18"/>
                <w:szCs w:val="18"/>
              </w:rPr>
              <w:t>7</w:t>
            </w:r>
            <w:r>
              <w:rPr>
                <w:rFonts w:ascii="宋体" w:hAnsi="宋体" w:cs="宋体" w:eastAsia="宋体" w:hint="default"/>
                <w:spacing w:val="-13"/>
                <w:sz w:val="18"/>
                <w:szCs w:val="18"/>
              </w:rPr>
              <w:t>、《关于</w:t>
            </w:r>
            <w:r>
              <w:rPr>
                <w:rFonts w:ascii="宋体" w:hAnsi="宋体" w:cs="宋体" w:eastAsia="宋体" w:hint="default"/>
                <w:sz w:val="18"/>
                <w:szCs w:val="18"/>
              </w:rPr>
              <w:t> 神州数码信息服务股份有限公司北京分公司向北京银行 申请授信并由子公司神州数码系统集成服务有限公司提 </w:t>
            </w:r>
            <w:r>
              <w:rPr>
                <w:rFonts w:ascii="宋体" w:hAnsi="宋体" w:cs="宋体" w:eastAsia="宋体" w:hint="default"/>
                <w:spacing w:val="-12"/>
                <w:sz w:val="18"/>
                <w:szCs w:val="18"/>
              </w:rPr>
              <w:t>供担保的议案》；</w:t>
            </w:r>
          </w:p>
          <w:p>
            <w:pPr>
              <w:pStyle w:val="TableParagraph"/>
              <w:spacing w:line="300" w:lineRule="auto" w:before="61"/>
              <w:ind w:left="24"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11"/>
                <w:sz w:val="18"/>
                <w:szCs w:val="18"/>
              </w:rPr>
              <w:t>、</w:t>
            </w:r>
            <w:r>
              <w:rPr>
                <w:rFonts w:ascii="宋体" w:hAnsi="宋体" w:cs="宋体" w:eastAsia="宋体" w:hint="default"/>
                <w:sz w:val="18"/>
                <w:szCs w:val="18"/>
              </w:rPr>
              <w:t>《关于子公司神州数码系统集成服务有限公司向建设银</w:t>
            </w:r>
            <w:r>
              <w:rPr>
                <w:rFonts w:ascii="宋体" w:hAnsi="宋体" w:cs="宋体" w:eastAsia="宋体" w:hint="default"/>
                <w:sz w:val="18"/>
                <w:szCs w:val="18"/>
              </w:rPr>
              <w:t> 行申请授信并由公司提供担保的议案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0" w:lineRule="auto" w:before="72"/>
              <w:ind w:left="24"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9</w:t>
            </w:r>
            <w:r>
              <w:rPr>
                <w:rFonts w:ascii="宋体" w:hAnsi="宋体" w:cs="宋体" w:eastAsia="宋体" w:hint="default"/>
                <w:spacing w:val="-111"/>
                <w:sz w:val="18"/>
                <w:szCs w:val="18"/>
              </w:rPr>
              <w:t>、</w:t>
            </w:r>
            <w:r>
              <w:rPr>
                <w:rFonts w:ascii="宋体" w:hAnsi="宋体" w:cs="宋体" w:eastAsia="宋体" w:hint="default"/>
                <w:sz w:val="18"/>
                <w:szCs w:val="18"/>
              </w:rPr>
              <w:t>《关于子公司神州数码系统集成服务有限公司向交通银</w:t>
            </w:r>
            <w:r>
              <w:rPr>
                <w:rFonts w:ascii="宋体" w:hAnsi="宋体" w:cs="宋体" w:eastAsia="宋体" w:hint="default"/>
                <w:sz w:val="18"/>
                <w:szCs w:val="18"/>
              </w:rPr>
              <w:t> 行申请综合授信并由公司提供担保的议案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9" w:lineRule="auto" w:before="72"/>
              <w:ind w:left="24"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、《关于公司及北京分公司和下属子公司神州数码系统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集成服务有限公司、神州数码信息系统有限公司、神州数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码金信科技股份有限公司向广发银行申请综合授信并由</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全部审议 通过</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319" w:lineRule="auto"/>
              <w:ind w:left="24" w:right="77"/>
              <w:jc w:val="left"/>
              <w:rPr>
                <w:rFonts w:ascii="宋体" w:hAnsi="宋体" w:cs="宋体" w:eastAsia="宋体" w:hint="default"/>
                <w:sz w:val="18"/>
                <w:szCs w:val="18"/>
              </w:rPr>
            </w:pPr>
            <w:r>
              <w:rPr>
                <w:rFonts w:ascii="宋体" w:hAnsi="宋体" w:cs="宋体" w:eastAsia="宋体" w:hint="default"/>
                <w:sz w:val="18"/>
                <w:szCs w:val="18"/>
              </w:rPr>
              <w:t>证券时报及巨 潮资讯网</w:t>
            </w:r>
          </w:p>
          <w:p>
            <w:pPr>
              <w:pStyle w:val="TableParagraph"/>
              <w:spacing w:line="300" w:lineRule="auto" w:before="17"/>
              <w:ind w:left="24"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w:t>
            </w:r>
          </w:p>
        </w:tc>
      </w:tr>
    </w:tbl>
    <w:p>
      <w:pPr>
        <w:spacing w:after="0" w:line="300" w:lineRule="auto"/>
        <w:jc w:val="left"/>
        <w:rPr>
          <w:rFonts w:ascii="宋体" w:hAnsi="宋体" w:cs="宋体" w:eastAsia="宋体" w:hint="default"/>
          <w:sz w:val="18"/>
          <w:szCs w:val="18"/>
        </w:rPr>
        <w:sectPr>
          <w:pgSz w:w="11910" w:h="16840"/>
          <w:pgMar w:header="0" w:footer="1227" w:top="1100" w:bottom="1420" w:left="980" w:right="980"/>
        </w:sectPr>
      </w:pPr>
    </w:p>
    <w:p>
      <w:pPr>
        <w:spacing w:line="240" w:lineRule="auto" w:before="8"/>
        <w:rPr>
          <w:rFonts w:ascii="宋体" w:hAnsi="宋体" w:cs="宋体" w:eastAsia="宋体" w:hint="default"/>
          <w:b/>
          <w:bCs/>
          <w:sz w:val="24"/>
          <w:szCs w:val="24"/>
        </w:rPr>
      </w:pPr>
      <w:r>
        <w:rPr/>
        <w:pict>
          <v:shape style="position:absolute;margin-left:374.779999pt;margin-top:253.705978pt;width:50.75pt;height:58.6pt;mso-position-horizontal-relative:page;mso-position-vertical-relative:page;z-index:-111647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2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38" w:type="dxa"/>
        <w:tblLayout w:type="fixed"/>
        <w:tblCellMar>
          <w:top w:w="0" w:type="dxa"/>
          <w:left w:w="0" w:type="dxa"/>
          <w:bottom w:w="0" w:type="dxa"/>
          <w:right w:w="0" w:type="dxa"/>
        </w:tblCellMar>
        <w:tblLook w:val="01E0"/>
      </w:tblPr>
      <w:tblGrid>
        <w:gridCol w:w="994"/>
        <w:gridCol w:w="991"/>
        <w:gridCol w:w="4537"/>
        <w:gridCol w:w="850"/>
        <w:gridCol w:w="994"/>
        <w:gridCol w:w="1203"/>
      </w:tblGrid>
      <w:tr>
        <w:trPr>
          <w:trHeight w:val="382" w:hRule="exact"/>
        </w:trPr>
        <w:tc>
          <w:tcPr>
            <w:tcW w:w="994" w:type="dxa"/>
            <w:tcBorders>
              <w:top w:val="single" w:sz="12" w:space="0" w:color="000000"/>
              <w:left w:val="single" w:sz="12" w:space="0" w:color="000000"/>
              <w:bottom w:val="single" w:sz="12" w:space="0" w:color="000000"/>
              <w:right w:val="single" w:sz="4" w:space="0" w:color="000000"/>
            </w:tcBorders>
          </w:tcPr>
          <w:p>
            <w:pPr/>
          </w:p>
        </w:tc>
        <w:tc>
          <w:tcPr>
            <w:tcW w:w="991" w:type="dxa"/>
            <w:tcBorders>
              <w:top w:val="single" w:sz="12" w:space="0" w:color="000000"/>
              <w:left w:val="single" w:sz="4" w:space="0" w:color="000000"/>
              <w:bottom w:val="single" w:sz="12" w:space="0" w:color="000000"/>
              <w:right w:val="single" w:sz="4" w:space="0" w:color="000000"/>
            </w:tcBorders>
          </w:tcPr>
          <w:p>
            <w:pPr/>
          </w:p>
        </w:tc>
        <w:tc>
          <w:tcPr>
            <w:tcW w:w="453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公司提供担保的议案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850" w:type="dxa"/>
            <w:tcBorders>
              <w:top w:val="single" w:sz="12" w:space="0" w:color="000000"/>
              <w:left w:val="single" w:sz="4" w:space="0" w:color="000000"/>
              <w:bottom w:val="single" w:sz="12" w:space="0" w:color="000000"/>
              <w:right w:val="single" w:sz="4" w:space="0" w:color="000000"/>
            </w:tcBorders>
          </w:tcPr>
          <w:p>
            <w:pPr/>
          </w:p>
        </w:tc>
        <w:tc>
          <w:tcPr>
            <w:tcW w:w="994" w:type="dxa"/>
            <w:tcBorders>
              <w:top w:val="single" w:sz="12" w:space="0" w:color="000000"/>
              <w:left w:val="single" w:sz="4" w:space="0" w:color="000000"/>
              <w:bottom w:val="single" w:sz="12" w:space="0" w:color="000000"/>
              <w:right w:val="single" w:sz="4" w:space="0" w:color="000000"/>
            </w:tcBorders>
          </w:tcPr>
          <w:p>
            <w:pPr/>
          </w:p>
        </w:tc>
        <w:tc>
          <w:tcPr>
            <w:tcW w:w="1203" w:type="dxa"/>
            <w:tcBorders>
              <w:top w:val="single" w:sz="12" w:space="0" w:color="000000"/>
              <w:left w:val="single" w:sz="4"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b/>
          <w:bCs/>
          <w:sz w:val="19"/>
          <w:szCs w:val="19"/>
        </w:rPr>
      </w:pPr>
    </w:p>
    <w:p>
      <w:pPr>
        <w:pStyle w:val="Heading4"/>
        <w:spacing w:line="240" w:lineRule="auto" w:before="36"/>
        <w:ind w:right="140"/>
        <w:jc w:val="left"/>
        <w:rPr>
          <w:b w:val="0"/>
          <w:bCs w:val="0"/>
        </w:rPr>
      </w:pPr>
      <w:r>
        <w:rPr/>
        <w:pict>
          <v:group style="position:absolute;margin-left:381.070007pt;margin-top:54.623669pt;width:44.45pt;height:152.450pt;mso-position-horizontal-relative:page;mso-position-vertical-relative:paragraph;z-index:-1116448" coordorigin="7621,1092" coordsize="889,3049">
            <v:group style="position:absolute;left:7621;top:1092;width:889;height:1174" coordorigin="7621,1092" coordsize="889,1174">
              <v:shape style="position:absolute;left:7621;top:1092;width:889;height:1174" coordorigin="7621,1092" coordsize="889,1174" path="m7621,2266l8510,2266,8510,1092,7621,1092,7621,2266xe" filled="true" fillcolor="#ffffff" stroked="false">
                <v:path arrowok="t"/>
                <v:fill type="solid"/>
              </v:shape>
            </v:group>
            <v:group style="position:absolute;left:7632;top:2266;width:2;height:704" coordorigin="7632,2266" coordsize="2,704">
              <v:shape style="position:absolute;left:7632;top:2266;width:2;height:704" coordorigin="7632,2266" coordsize="0,704" path="m7632,2266l7632,2969e" filled="false" stroked="true" strokeweight="1.08pt" strokecolor="#ffffff">
                <v:path arrowok="t"/>
              </v:shape>
            </v:group>
            <v:group style="position:absolute;left:7621;top:2969;width:889;height:1172" coordorigin="7621,2969" coordsize="889,1172">
              <v:shape style="position:absolute;left:7621;top:2969;width:889;height:1172" coordorigin="7621,2969" coordsize="889,1172" path="m7621,4141l8510,4141,8510,2969,7621,2969,7621,4141xe" filled="true" fillcolor="#ffffff" stroked="false">
                <v:path arrowok="t"/>
                <v:fill type="solid"/>
              </v:shape>
            </v:group>
            <w10:wrap type="none"/>
          </v:group>
        </w:pict>
      </w:r>
      <w:r>
        <w:rPr>
          <w:rFonts w:ascii="Times New Roman" w:hAnsi="Times New Roman" w:cs="Times New Roman" w:eastAsia="Times New Roman" w:hint="default"/>
        </w:rPr>
        <w:t>2</w:t>
      </w:r>
      <w:r>
        <w:rPr/>
        <w:t>、本报告期临时股东大会情况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994"/>
        <w:gridCol w:w="986"/>
        <w:gridCol w:w="4501"/>
        <w:gridCol w:w="901"/>
        <w:gridCol w:w="984"/>
        <w:gridCol w:w="1203"/>
      </w:tblGrid>
      <w:tr>
        <w:trPr>
          <w:trHeight w:val="412" w:hRule="exact"/>
        </w:trPr>
        <w:tc>
          <w:tcPr>
            <w:tcW w:w="99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8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50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0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6"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98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20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23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058" w:hRule="exact"/>
        </w:trPr>
        <w:tc>
          <w:tcPr>
            <w:tcW w:w="99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7" w:lineRule="auto" w:before="124"/>
              <w:ind w:left="1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年度第 一次临时股 东大会</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《关于变更公司注册资本的议案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《关于修订</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部</w:t>
            </w:r>
            <w:r>
              <w:rPr>
                <w:rFonts w:ascii="宋体" w:hAnsi="宋体" w:cs="宋体" w:eastAsia="宋体" w:hint="default"/>
                <w:spacing w:val="2"/>
                <w:sz w:val="18"/>
                <w:szCs w:val="18"/>
              </w:rPr>
              <w:t>分</w:t>
            </w:r>
            <w:r>
              <w:rPr>
                <w:rFonts w:ascii="宋体" w:hAnsi="宋体" w:cs="宋体" w:eastAsia="宋体" w:hint="default"/>
                <w:sz w:val="18"/>
                <w:szCs w:val="18"/>
              </w:rPr>
              <w:t>条款的议案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4" w:lineRule="auto" w:before="101"/>
              <w:ind w:left="23" w:right="-33"/>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、《关于补选董事会成员的议案》，采用累积投票选举方</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式，补选产生公司第六届董事会非独立董事、独立董事； </w:t>
            </w: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、《关于补选监事会成员的议案》，采用累积投票选举方</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6"/>
                <w:sz w:val="18"/>
                <w:szCs w:val="18"/>
              </w:rPr>
              <w:t>式，补选产生公司第六届监事会监事；</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、《关于变更法定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2"/>
                <w:sz w:val="18"/>
                <w:szCs w:val="18"/>
              </w:rPr>
              <w:t>代表人的议案》；</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《关于聘请公司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宋体" w:hAnsi="宋体" w:cs="宋体" w:eastAsia="宋体" w:hint="default"/>
                <w:spacing w:val="-3"/>
                <w:sz w:val="18"/>
                <w:szCs w:val="18"/>
              </w:rPr>
              <w:t>审</w:t>
            </w:r>
            <w:r>
              <w:rPr>
                <w:rFonts w:ascii="宋体" w:hAnsi="宋体" w:cs="宋体" w:eastAsia="宋体" w:hint="default"/>
                <w:sz w:val="18"/>
                <w:szCs w:val="18"/>
              </w:rPr>
              <w:t>计机构的议案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7</w:t>
            </w:r>
            <w:r>
              <w:rPr>
                <w:rFonts w:ascii="宋体" w:hAnsi="宋体" w:cs="宋体" w:eastAsia="宋体" w:hint="default"/>
                <w:spacing w:val="-147"/>
                <w:sz w:val="18"/>
                <w:szCs w:val="18"/>
              </w:rPr>
              <w:t>、</w:t>
            </w:r>
            <w:r>
              <w:rPr>
                <w:rFonts w:ascii="宋体" w:hAnsi="宋体" w:cs="宋体" w:eastAsia="宋体" w:hint="default"/>
                <w:sz w:val="18"/>
                <w:szCs w:val="18"/>
              </w:rPr>
              <w:t>《关于提请股东大会授权董事会办理相关事宜的议案》</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4" w:lineRule="auto"/>
              <w:ind w:left="24" w:right="146"/>
              <w:jc w:val="left"/>
              <w:rPr>
                <w:rFonts w:ascii="宋体" w:hAnsi="宋体" w:cs="宋体" w:eastAsia="宋体" w:hint="default"/>
                <w:sz w:val="18"/>
                <w:szCs w:val="18"/>
              </w:rPr>
            </w:pPr>
            <w:r>
              <w:rPr>
                <w:rFonts w:ascii="宋体" w:hAnsi="宋体" w:cs="宋体" w:eastAsia="宋体" w:hint="default"/>
                <w:sz w:val="18"/>
                <w:szCs w:val="18"/>
              </w:rPr>
              <w:t>全部审议 通过</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4" w:lineRule="auto"/>
              <w:ind w:left="24" w:right="77"/>
              <w:jc w:val="left"/>
              <w:rPr>
                <w:rFonts w:ascii="宋体" w:hAnsi="宋体" w:cs="宋体" w:eastAsia="宋体" w:hint="default"/>
                <w:sz w:val="18"/>
                <w:szCs w:val="18"/>
              </w:rPr>
            </w:pPr>
            <w:r>
              <w:rPr>
                <w:rFonts w:ascii="宋体" w:hAnsi="宋体" w:cs="宋体" w:eastAsia="宋体" w:hint="default"/>
                <w:sz w:val="18"/>
                <w:szCs w:val="18"/>
              </w:rPr>
              <w:t>证券时报及巨 潮资讯网</w:t>
            </w:r>
          </w:p>
          <w:p>
            <w:pPr>
              <w:pStyle w:val="TableParagraph"/>
              <w:spacing w:line="300" w:lineRule="auto" w:before="20"/>
              <w:ind w:left="24"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w:t>
            </w:r>
          </w:p>
        </w:tc>
      </w:tr>
      <w:tr>
        <w:trPr>
          <w:trHeight w:val="5170" w:hRule="exact"/>
        </w:trPr>
        <w:tc>
          <w:tcPr>
            <w:tcW w:w="99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307" w:lineRule="auto"/>
              <w:ind w:left="1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年度第 二次临时股 东大会</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《关于修订</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部</w:t>
            </w:r>
            <w:r>
              <w:rPr>
                <w:rFonts w:ascii="宋体" w:hAnsi="宋体" w:cs="宋体" w:eastAsia="宋体" w:hint="default"/>
                <w:spacing w:val="2"/>
                <w:sz w:val="18"/>
                <w:szCs w:val="18"/>
              </w:rPr>
              <w:t>分</w:t>
            </w:r>
            <w:r>
              <w:rPr>
                <w:rFonts w:ascii="宋体" w:hAnsi="宋体" w:cs="宋体" w:eastAsia="宋体" w:hint="default"/>
                <w:sz w:val="18"/>
                <w:szCs w:val="18"/>
              </w:rPr>
              <w:t>条款的议案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3"/>
              <w:ind w:left="23"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《关于修订</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股东大会议事规则</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1"/>
              <w:ind w:left="23"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《关于修订</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董事会议事规则</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3"/>
              <w:ind w:left="23"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《关于修订</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监事会议事规则</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3"/>
              <w:ind w:left="23"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《关于制定</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对外投资管理制度</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1"/>
              <w:ind w:left="23"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《关于修订</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信息披露事务管理制度</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3"/>
              <w:ind w:left="23"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7</w:t>
            </w:r>
            <w:r>
              <w:rPr>
                <w:rFonts w:ascii="宋体" w:hAnsi="宋体" w:cs="宋体" w:eastAsia="宋体" w:hint="default"/>
                <w:spacing w:val="-92"/>
                <w:sz w:val="18"/>
                <w:szCs w:val="18"/>
              </w:rPr>
              <w:t>、</w:t>
            </w:r>
            <w:r>
              <w:rPr>
                <w:rFonts w:ascii="宋体" w:hAnsi="宋体" w:cs="宋体" w:eastAsia="宋体" w:hint="default"/>
                <w:sz w:val="18"/>
                <w:szCs w:val="18"/>
              </w:rPr>
              <w:t>《关于调整独立董事津贴的议案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4"/>
              <w:ind w:left="23"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92"/>
                <w:sz w:val="18"/>
                <w:szCs w:val="18"/>
              </w:rPr>
              <w:t>、</w:t>
            </w:r>
            <w:r>
              <w:rPr>
                <w:rFonts w:ascii="宋体" w:hAnsi="宋体" w:cs="宋体" w:eastAsia="宋体" w:hint="default"/>
                <w:sz w:val="18"/>
                <w:szCs w:val="18"/>
              </w:rPr>
              <w:t>《关于预计</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年度日常</w:t>
            </w:r>
            <w:r>
              <w:rPr>
                <w:rFonts w:ascii="宋体" w:hAnsi="宋体" w:cs="宋体" w:eastAsia="宋体" w:hint="default"/>
                <w:spacing w:val="-3"/>
                <w:sz w:val="18"/>
                <w:szCs w:val="18"/>
              </w:rPr>
              <w:t>关</w:t>
            </w:r>
            <w:r>
              <w:rPr>
                <w:rFonts w:ascii="宋体" w:hAnsi="宋体" w:cs="宋体" w:eastAsia="宋体" w:hint="default"/>
                <w:sz w:val="18"/>
                <w:szCs w:val="18"/>
              </w:rPr>
              <w:t>联交易的议案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0" w:lineRule="auto" w:before="101"/>
              <w:ind w:left="23"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9</w:t>
            </w:r>
            <w:r>
              <w:rPr>
                <w:rFonts w:ascii="宋体" w:hAnsi="宋体" w:cs="宋体" w:eastAsia="宋体" w:hint="default"/>
                <w:spacing w:val="-147"/>
                <w:sz w:val="18"/>
                <w:szCs w:val="18"/>
              </w:rPr>
              <w:t>、</w:t>
            </w:r>
            <w:r>
              <w:rPr>
                <w:rFonts w:ascii="宋体" w:hAnsi="宋体" w:cs="宋体" w:eastAsia="宋体" w:hint="default"/>
                <w:sz w:val="18"/>
                <w:szCs w:val="18"/>
              </w:rPr>
              <w:t>《关于公司及其下属子公司使用自有闲置资金购买保本</w:t>
            </w:r>
            <w:r>
              <w:rPr>
                <w:rFonts w:ascii="宋体" w:hAnsi="宋体" w:cs="宋体" w:eastAsia="宋体" w:hint="default"/>
                <w:sz w:val="18"/>
                <w:szCs w:val="18"/>
              </w:rPr>
              <w:t> 型银行理财产品的议案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9" w:lineRule="auto" w:before="72"/>
              <w:ind w:left="23" w:right="2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、《关于公司和下属子公司神州数码系统集成服务有限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公司、神州数码信息系统有限公司共用授信额度并互相提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2"/>
                <w:sz w:val="18"/>
                <w:szCs w:val="18"/>
              </w:rPr>
              <w:t>供担保的议案》；</w:t>
            </w:r>
          </w:p>
          <w:p>
            <w:pPr>
              <w:pStyle w:val="TableParagraph"/>
              <w:spacing w:line="300" w:lineRule="auto" w:before="65"/>
              <w:ind w:left="23" w:right="6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《关于全资子公司为其下属子公司神州数码集成系统</w:t>
            </w:r>
            <w:r>
              <w:rPr>
                <w:rFonts w:ascii="宋体" w:hAnsi="宋体" w:cs="宋体" w:eastAsia="宋体" w:hint="default"/>
                <w:sz w:val="18"/>
                <w:szCs w:val="18"/>
              </w:rPr>
              <w:t> 有限公司在南洋商业银行申请授信提供担保的议案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58"/>
              <w:ind w:left="24" w:right="146"/>
              <w:jc w:val="left"/>
              <w:rPr>
                <w:rFonts w:ascii="宋体" w:hAnsi="宋体" w:cs="宋体" w:eastAsia="宋体" w:hint="default"/>
                <w:sz w:val="18"/>
                <w:szCs w:val="18"/>
              </w:rPr>
            </w:pPr>
            <w:r>
              <w:rPr>
                <w:rFonts w:ascii="宋体" w:hAnsi="宋体" w:cs="宋体" w:eastAsia="宋体" w:hint="default"/>
                <w:sz w:val="18"/>
                <w:szCs w:val="18"/>
              </w:rPr>
              <w:t>全部审议 通过</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314" w:lineRule="auto"/>
              <w:ind w:left="24" w:right="77"/>
              <w:jc w:val="left"/>
              <w:rPr>
                <w:rFonts w:ascii="宋体" w:hAnsi="宋体" w:cs="宋体" w:eastAsia="宋体" w:hint="default"/>
                <w:sz w:val="18"/>
                <w:szCs w:val="18"/>
              </w:rPr>
            </w:pPr>
            <w:r>
              <w:rPr>
                <w:rFonts w:ascii="宋体" w:hAnsi="宋体" w:cs="宋体" w:eastAsia="宋体" w:hint="default"/>
                <w:sz w:val="18"/>
                <w:szCs w:val="18"/>
              </w:rPr>
              <w:t>证券时报及巨 潮资讯网</w:t>
            </w:r>
          </w:p>
          <w:p>
            <w:pPr>
              <w:pStyle w:val="TableParagraph"/>
              <w:spacing w:line="300" w:lineRule="auto" w:before="21"/>
              <w:ind w:left="24"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w:t>
            </w:r>
          </w:p>
        </w:tc>
      </w:tr>
      <w:tr>
        <w:trPr>
          <w:trHeight w:val="1340" w:hRule="exact"/>
        </w:trPr>
        <w:tc>
          <w:tcPr>
            <w:tcW w:w="99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7" w:lineRule="auto"/>
              <w:ind w:left="1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年度第 三次临时股 东大会</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《关于更换公司独立董事的议案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4"/>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《关于修改〈公司章程〉部分条款的议案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4" w:right="146"/>
              <w:jc w:val="left"/>
              <w:rPr>
                <w:rFonts w:ascii="宋体" w:hAnsi="宋体" w:cs="宋体" w:eastAsia="宋体" w:hint="default"/>
                <w:sz w:val="18"/>
                <w:szCs w:val="18"/>
              </w:rPr>
            </w:pPr>
            <w:r>
              <w:rPr>
                <w:rFonts w:ascii="宋体" w:hAnsi="宋体" w:cs="宋体" w:eastAsia="宋体" w:hint="default"/>
                <w:sz w:val="18"/>
                <w:szCs w:val="18"/>
              </w:rPr>
              <w:t>全部审议 通过</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3" w:type="dxa"/>
            <w:tcBorders>
              <w:top w:val="single" w:sz="4" w:space="0" w:color="000000"/>
              <w:left w:val="single" w:sz="4" w:space="0" w:color="000000"/>
              <w:bottom w:val="single" w:sz="4" w:space="0" w:color="000000"/>
              <w:right w:val="single" w:sz="12"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证券时报及巨 潮资讯网</w:t>
            </w:r>
          </w:p>
          <w:p>
            <w:pPr>
              <w:pStyle w:val="TableParagraph"/>
              <w:spacing w:line="300" w:lineRule="auto" w:before="21"/>
              <w:ind w:left="24"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w:t>
            </w:r>
          </w:p>
        </w:tc>
      </w:tr>
      <w:tr>
        <w:trPr>
          <w:trHeight w:val="2362" w:hRule="exact"/>
        </w:trPr>
        <w:tc>
          <w:tcPr>
            <w:tcW w:w="99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307" w:lineRule="auto"/>
              <w:ind w:left="1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年度第 四次临时股 东大会</w:t>
            </w:r>
          </w:p>
        </w:tc>
        <w:tc>
          <w:tcPr>
            <w:tcW w:w="9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01" w:type="dxa"/>
            <w:tcBorders>
              <w:top w:val="single" w:sz="4" w:space="0" w:color="000000"/>
              <w:left w:val="single" w:sz="4" w:space="0" w:color="000000"/>
              <w:bottom w:val="single" w:sz="12"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47"/>
                <w:sz w:val="18"/>
                <w:szCs w:val="18"/>
              </w:rPr>
              <w:t>、</w:t>
            </w:r>
            <w:r>
              <w:rPr>
                <w:rFonts w:ascii="宋体" w:hAnsi="宋体" w:cs="宋体" w:eastAsia="宋体" w:hint="default"/>
                <w:sz w:val="18"/>
                <w:szCs w:val="18"/>
              </w:rPr>
              <w:t>《关于公司向特定对象发行股份购买资产并募集配套资</w:t>
            </w:r>
            <w:r>
              <w:rPr>
                <w:rFonts w:ascii="宋体" w:hAnsi="宋体" w:cs="宋体" w:eastAsia="宋体" w:hint="default"/>
                <w:sz w:val="18"/>
                <w:szCs w:val="18"/>
              </w:rPr>
              <w:t> 金符合相关法律、法规规定的议案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0" w:lineRule="auto" w:before="70"/>
              <w:ind w:left="23"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47"/>
                <w:sz w:val="18"/>
                <w:szCs w:val="18"/>
              </w:rPr>
              <w:t>、</w:t>
            </w:r>
            <w:r>
              <w:rPr>
                <w:rFonts w:ascii="宋体" w:hAnsi="宋体" w:cs="宋体" w:eastAsia="宋体" w:hint="default"/>
                <w:sz w:val="18"/>
                <w:szCs w:val="18"/>
              </w:rPr>
              <w:t>《关于公司向特定对象发行股份购买资产并募集配套资</w:t>
            </w:r>
            <w:r>
              <w:rPr>
                <w:rFonts w:ascii="宋体" w:hAnsi="宋体" w:cs="宋体" w:eastAsia="宋体" w:hint="default"/>
                <w:sz w:val="18"/>
                <w:szCs w:val="18"/>
              </w:rPr>
              <w:t> 金方案的议案（修订</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0" w:lineRule="auto" w:before="72"/>
              <w:ind w:left="23"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47"/>
                <w:sz w:val="18"/>
                <w:szCs w:val="18"/>
              </w:rPr>
              <w:t>、</w:t>
            </w:r>
            <w:r>
              <w:rPr>
                <w:rFonts w:ascii="宋体" w:hAnsi="宋体" w:cs="宋体" w:eastAsia="宋体" w:hint="default"/>
                <w:sz w:val="18"/>
                <w:szCs w:val="18"/>
              </w:rPr>
              <w:t>《关于本次发行股份及支付现金购买资产不构成关联交</w:t>
            </w:r>
            <w:r>
              <w:rPr>
                <w:rFonts w:ascii="宋体" w:hAnsi="宋体" w:cs="宋体" w:eastAsia="宋体" w:hint="default"/>
                <w:sz w:val="18"/>
                <w:szCs w:val="18"/>
              </w:rPr>
              <w:t> 易议案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72"/>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《关于</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神州数码信息服务股份有限公司向特定对象发</w:t>
            </w:r>
          </w:p>
        </w:tc>
        <w:tc>
          <w:tcPr>
            <w:tcW w:w="9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314" w:lineRule="auto"/>
              <w:ind w:left="24" w:right="146"/>
              <w:jc w:val="left"/>
              <w:rPr>
                <w:rFonts w:ascii="宋体" w:hAnsi="宋体" w:cs="宋体" w:eastAsia="宋体" w:hint="default"/>
                <w:sz w:val="18"/>
                <w:szCs w:val="18"/>
              </w:rPr>
            </w:pPr>
            <w:r>
              <w:rPr>
                <w:rFonts w:ascii="宋体" w:hAnsi="宋体" w:cs="宋体" w:eastAsia="宋体" w:hint="default"/>
                <w:sz w:val="18"/>
                <w:szCs w:val="18"/>
              </w:rPr>
              <w:t>全部审议 通过</w:t>
            </w:r>
          </w:p>
        </w:tc>
        <w:tc>
          <w:tcPr>
            <w:tcW w:w="9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314" w:lineRule="auto"/>
              <w:ind w:left="24" w:right="77"/>
              <w:jc w:val="left"/>
              <w:rPr>
                <w:rFonts w:ascii="宋体" w:hAnsi="宋体" w:cs="宋体" w:eastAsia="宋体" w:hint="default"/>
                <w:sz w:val="18"/>
                <w:szCs w:val="18"/>
              </w:rPr>
            </w:pPr>
            <w:r>
              <w:rPr>
                <w:rFonts w:ascii="宋体" w:hAnsi="宋体" w:cs="宋体" w:eastAsia="宋体" w:hint="default"/>
                <w:sz w:val="18"/>
                <w:szCs w:val="18"/>
              </w:rPr>
              <w:t>证券时报及巨 潮资讯网</w:t>
            </w:r>
          </w:p>
          <w:p>
            <w:pPr>
              <w:pStyle w:val="TableParagraph"/>
              <w:spacing w:line="300" w:lineRule="auto" w:before="20"/>
              <w:ind w:left="24"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w:t>
            </w:r>
          </w:p>
        </w:tc>
      </w:tr>
    </w:tbl>
    <w:p>
      <w:pPr>
        <w:spacing w:after="0" w:line="300" w:lineRule="auto"/>
        <w:jc w:val="left"/>
        <w:rPr>
          <w:rFonts w:ascii="宋体" w:hAnsi="宋体" w:cs="宋体" w:eastAsia="宋体" w:hint="default"/>
          <w:sz w:val="18"/>
          <w:szCs w:val="18"/>
        </w:rPr>
        <w:sectPr>
          <w:pgSz w:w="11910" w:h="16840"/>
          <w:pgMar w:header="0" w:footer="1227" w:top="1100" w:bottom="1420" w:left="980" w:right="980"/>
        </w:sectPr>
      </w:pPr>
    </w:p>
    <w:p>
      <w:pPr>
        <w:spacing w:line="240" w:lineRule="auto" w:before="8"/>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994"/>
        <w:gridCol w:w="986"/>
        <w:gridCol w:w="4501"/>
        <w:gridCol w:w="901"/>
        <w:gridCol w:w="984"/>
        <w:gridCol w:w="1203"/>
      </w:tblGrid>
      <w:tr>
        <w:trPr>
          <w:trHeight w:val="330" w:hRule="exact"/>
        </w:trPr>
        <w:tc>
          <w:tcPr>
            <w:tcW w:w="994" w:type="dxa"/>
            <w:vMerge w:val="restart"/>
            <w:tcBorders>
              <w:top w:val="single" w:sz="12" w:space="0" w:color="000000"/>
              <w:left w:val="single" w:sz="12" w:space="0" w:color="000000"/>
              <w:right w:val="single" w:sz="4" w:space="0" w:color="000000"/>
            </w:tcBorders>
          </w:tcPr>
          <w:p>
            <w:pPr/>
          </w:p>
        </w:tc>
        <w:tc>
          <w:tcPr>
            <w:tcW w:w="986" w:type="dxa"/>
            <w:vMerge w:val="restart"/>
            <w:tcBorders>
              <w:top w:val="single" w:sz="12" w:space="0" w:color="000000"/>
              <w:left w:val="single" w:sz="4" w:space="0" w:color="000000"/>
              <w:right w:val="single" w:sz="4" w:space="0" w:color="000000"/>
            </w:tcBorders>
          </w:tcPr>
          <w:p>
            <w:pPr/>
          </w:p>
        </w:tc>
        <w:tc>
          <w:tcPr>
            <w:tcW w:w="450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行股份购买资产并募集配套资金报告书</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w:t>
            </w:r>
          </w:p>
        </w:tc>
        <w:tc>
          <w:tcPr>
            <w:tcW w:w="901" w:type="dxa"/>
            <w:vMerge w:val="restart"/>
            <w:tcBorders>
              <w:top w:val="single" w:sz="12" w:space="0" w:color="000000"/>
              <w:left w:val="single" w:sz="4" w:space="0" w:color="000000"/>
              <w:right w:val="single" w:sz="4" w:space="0" w:color="000000"/>
            </w:tcBorders>
          </w:tcPr>
          <w:p>
            <w:pPr/>
          </w:p>
        </w:tc>
        <w:tc>
          <w:tcPr>
            <w:tcW w:w="984" w:type="dxa"/>
            <w:vMerge w:val="restart"/>
            <w:tcBorders>
              <w:top w:val="single" w:sz="12" w:space="0" w:color="000000"/>
              <w:left w:val="single" w:sz="4" w:space="0" w:color="000000"/>
              <w:right w:val="single" w:sz="4" w:space="0" w:color="000000"/>
            </w:tcBorders>
          </w:tcPr>
          <w:p>
            <w:pPr/>
          </w:p>
        </w:tc>
        <w:tc>
          <w:tcPr>
            <w:tcW w:w="1203" w:type="dxa"/>
            <w:vMerge w:val="restart"/>
            <w:tcBorders>
              <w:top w:val="single" w:sz="12" w:space="0" w:color="000000"/>
              <w:left w:val="single" w:sz="4" w:space="0" w:color="000000"/>
              <w:right w:val="single" w:sz="12" w:space="0" w:color="000000"/>
            </w:tcBorders>
          </w:tcPr>
          <w:p>
            <w:pPr/>
          </w:p>
        </w:tc>
      </w:tr>
      <w:tr>
        <w:trPr>
          <w:trHeight w:val="326"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37"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《关于公司与中农信达全体股东签署附生效条件</w:t>
            </w:r>
            <w:r>
              <w:rPr>
                <w:rFonts w:ascii="宋体" w:hAnsi="宋体" w:cs="宋体" w:eastAsia="宋体" w:hint="default"/>
                <w:spacing w:val="1"/>
                <w:sz w:val="18"/>
                <w:szCs w:val="18"/>
              </w:rPr>
              <w:t>的</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发</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12"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行股份及支付现金购买资产协议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及</w:t>
            </w:r>
            <w:r>
              <w:rPr>
                <w:rFonts w:ascii="Times New Roman" w:hAnsi="Times New Roman" w:cs="Times New Roman" w:eastAsia="Times New Roman" w:hint="default"/>
                <w:sz w:val="18"/>
                <w:szCs w:val="18"/>
              </w:rPr>
              <w:t>&lt;</w:t>
            </w:r>
            <w:r>
              <w:rPr>
                <w:rFonts w:ascii="宋体" w:hAnsi="宋体" w:cs="宋体" w:eastAsia="宋体" w:hint="default"/>
                <w:sz w:val="18"/>
                <w:szCs w:val="18"/>
              </w:rPr>
              <w:t>发行股份及支付现</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32"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金购买资产协议之补充协议</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32"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《关于公司与中农信达全体股东签署附生效条件的</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利</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31"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润补偿协议</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及</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利润补偿协</w:t>
            </w:r>
            <w:r>
              <w:rPr>
                <w:rFonts w:ascii="宋体" w:hAnsi="宋体" w:cs="宋体" w:eastAsia="宋体" w:hint="default"/>
                <w:spacing w:val="2"/>
                <w:sz w:val="18"/>
                <w:szCs w:val="18"/>
              </w:rPr>
              <w:t>议</w:t>
            </w:r>
            <w:r>
              <w:rPr>
                <w:rFonts w:ascii="宋体" w:hAnsi="宋体" w:cs="宋体" w:eastAsia="宋体" w:hint="default"/>
                <w:sz w:val="18"/>
                <w:szCs w:val="18"/>
              </w:rPr>
              <w:t>之补充协议</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31"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7</w:t>
            </w:r>
            <w:r>
              <w:rPr>
                <w:rFonts w:ascii="宋体" w:hAnsi="宋体" w:cs="宋体" w:eastAsia="宋体" w:hint="default"/>
                <w:spacing w:val="-92"/>
                <w:sz w:val="18"/>
                <w:szCs w:val="18"/>
              </w:rPr>
              <w:t>、</w:t>
            </w:r>
            <w:r>
              <w:rPr>
                <w:rFonts w:ascii="宋体" w:hAnsi="宋体" w:cs="宋体" w:eastAsia="宋体" w:hint="default"/>
                <w:sz w:val="18"/>
                <w:szCs w:val="18"/>
              </w:rPr>
              <w:t>《关于本次交易符合</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关于规范上市公司重大资产重组</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32"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若干问题的规定</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第四条规定的议案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32"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47"/>
                <w:sz w:val="18"/>
                <w:szCs w:val="18"/>
              </w:rPr>
              <w:t>、</w:t>
            </w:r>
            <w:r>
              <w:rPr>
                <w:rFonts w:ascii="宋体" w:hAnsi="宋体" w:cs="宋体" w:eastAsia="宋体" w:hint="default"/>
                <w:sz w:val="18"/>
                <w:szCs w:val="18"/>
              </w:rPr>
              <w:t>《神州数码信息服务股份有限公司关于聘请本次交易相</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28"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关中介机构的议案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38"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9</w:t>
            </w:r>
            <w:r>
              <w:rPr>
                <w:rFonts w:ascii="宋体" w:hAnsi="宋体" w:cs="宋体" w:eastAsia="宋体" w:hint="default"/>
                <w:spacing w:val="-121"/>
                <w:sz w:val="18"/>
                <w:szCs w:val="18"/>
              </w:rPr>
              <w:t>、</w:t>
            </w:r>
            <w:r>
              <w:rPr>
                <w:rFonts w:ascii="宋体" w:hAnsi="宋体" w:cs="宋体" w:eastAsia="宋体" w:hint="default"/>
                <w:sz w:val="18"/>
                <w:szCs w:val="18"/>
              </w:rPr>
              <w:t>《关于批准本次交易有关审计</w:t>
            </w:r>
            <w:r>
              <w:rPr>
                <w:rFonts w:ascii="宋体" w:hAnsi="宋体" w:cs="宋体" w:eastAsia="宋体" w:hint="default"/>
                <w:spacing w:val="-29"/>
                <w:sz w:val="18"/>
                <w:szCs w:val="18"/>
              </w:rPr>
              <w:t>、</w:t>
            </w:r>
            <w:r>
              <w:rPr>
                <w:rFonts w:ascii="宋体" w:hAnsi="宋体" w:cs="宋体" w:eastAsia="宋体" w:hint="default"/>
                <w:sz w:val="18"/>
                <w:szCs w:val="18"/>
              </w:rPr>
              <w:t>评估和盈利预测审核报</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26"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告的议案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36"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10</w:t>
            </w:r>
            <w:r>
              <w:rPr>
                <w:rFonts w:ascii="宋体" w:hAnsi="宋体" w:cs="宋体" w:eastAsia="宋体" w:hint="default"/>
                <w:spacing w:val="-92"/>
                <w:sz w:val="18"/>
                <w:szCs w:val="18"/>
              </w:rPr>
              <w:t>、</w:t>
            </w:r>
            <w:r>
              <w:rPr>
                <w:rFonts w:ascii="宋体" w:hAnsi="宋体" w:cs="宋体" w:eastAsia="宋体" w:hint="default"/>
                <w:sz w:val="18"/>
                <w:szCs w:val="18"/>
              </w:rPr>
              <w:t>《关于提请股东大会授权董事会全权办理本次向特定</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27"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对象发行股份并募集配套资金相关事宜的议案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37"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宋体" w:hAnsi="宋体" w:cs="宋体" w:eastAsia="宋体" w:hint="default"/>
                <w:spacing w:val="-152"/>
                <w:sz w:val="18"/>
                <w:szCs w:val="18"/>
              </w:rPr>
              <w:t>、</w:t>
            </w:r>
            <w:r>
              <w:rPr>
                <w:rFonts w:ascii="宋体" w:hAnsi="宋体" w:cs="宋体" w:eastAsia="宋体" w:hint="default"/>
                <w:sz w:val="18"/>
                <w:szCs w:val="18"/>
              </w:rPr>
              <w:t>《关于本次交易符合关于</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修改上市公司重大资产重组</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32"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与配套融资相关规定的决定</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第七条的议案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32"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12</w:t>
            </w:r>
            <w:r>
              <w:rPr>
                <w:rFonts w:ascii="宋体" w:hAnsi="宋体" w:cs="宋体" w:eastAsia="宋体" w:hint="default"/>
                <w:spacing w:val="-92"/>
                <w:sz w:val="18"/>
                <w:szCs w:val="18"/>
              </w:rPr>
              <w:t>、</w:t>
            </w:r>
            <w:r>
              <w:rPr>
                <w:rFonts w:ascii="宋体" w:hAnsi="宋体" w:cs="宋体" w:eastAsia="宋体" w:hint="default"/>
                <w:sz w:val="18"/>
                <w:szCs w:val="18"/>
              </w:rPr>
              <w:t>《关于子公司神州数码系统集成服务有限公司向北京</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26"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银行申请授信并由公司提供担保的议案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36"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13</w:t>
            </w:r>
            <w:r>
              <w:rPr>
                <w:rFonts w:ascii="宋体" w:hAnsi="宋体" w:cs="宋体" w:eastAsia="宋体" w:hint="default"/>
                <w:spacing w:val="-92"/>
                <w:sz w:val="18"/>
                <w:szCs w:val="18"/>
              </w:rPr>
              <w:t>、</w:t>
            </w:r>
            <w:r>
              <w:rPr>
                <w:rFonts w:ascii="宋体" w:hAnsi="宋体" w:cs="宋体" w:eastAsia="宋体" w:hint="default"/>
                <w:sz w:val="18"/>
                <w:szCs w:val="18"/>
              </w:rPr>
              <w:t>《关于公司及北京分公司和下属子公司神州数码系统</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07"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集成服务有限公司、神州数码信息系统有限公司、神州数</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12"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码金信科技股份有限公司向中信银行申请综合授信并由</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33"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公司提供担保的议案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37" w:hRule="exact"/>
        </w:trPr>
        <w:tc>
          <w:tcPr>
            <w:tcW w:w="994" w:type="dxa"/>
            <w:vMerge/>
            <w:tcBorders>
              <w:left w:val="single" w:sz="12"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450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14</w:t>
            </w:r>
            <w:r>
              <w:rPr>
                <w:rFonts w:ascii="宋体" w:hAnsi="宋体" w:cs="宋体" w:eastAsia="宋体" w:hint="default"/>
                <w:spacing w:val="-92"/>
                <w:sz w:val="18"/>
                <w:szCs w:val="18"/>
              </w:rPr>
              <w:t>、</w:t>
            </w:r>
            <w:r>
              <w:rPr>
                <w:rFonts w:ascii="宋体" w:hAnsi="宋体" w:cs="宋体" w:eastAsia="宋体" w:hint="default"/>
                <w:sz w:val="18"/>
                <w:szCs w:val="18"/>
              </w:rPr>
              <w:t>《关于子公司神州数码集成系统有限公司向远东国际</w:t>
            </w:r>
          </w:p>
        </w:tc>
        <w:tc>
          <w:tcPr>
            <w:tcW w:w="901"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03" w:type="dxa"/>
            <w:vMerge/>
            <w:tcBorders>
              <w:left w:val="single" w:sz="4" w:space="0" w:color="000000"/>
              <w:right w:val="single" w:sz="12" w:space="0" w:color="000000"/>
            </w:tcBorders>
          </w:tcPr>
          <w:p>
            <w:pPr/>
          </w:p>
        </w:tc>
      </w:tr>
      <w:tr>
        <w:trPr>
          <w:trHeight w:val="362" w:hRule="exact"/>
        </w:trPr>
        <w:tc>
          <w:tcPr>
            <w:tcW w:w="994" w:type="dxa"/>
            <w:vMerge/>
            <w:tcBorders>
              <w:left w:val="single" w:sz="12" w:space="0" w:color="000000"/>
              <w:bottom w:val="single" w:sz="12" w:space="0" w:color="000000"/>
              <w:right w:val="single" w:sz="4" w:space="0" w:color="000000"/>
            </w:tcBorders>
          </w:tcPr>
          <w:p>
            <w:pPr/>
          </w:p>
        </w:tc>
        <w:tc>
          <w:tcPr>
            <w:tcW w:w="986" w:type="dxa"/>
            <w:vMerge/>
            <w:tcBorders>
              <w:left w:val="single" w:sz="4" w:space="0" w:color="000000"/>
              <w:bottom w:val="single" w:sz="12" w:space="0" w:color="000000"/>
              <w:right w:val="single" w:sz="4" w:space="0" w:color="000000"/>
            </w:tcBorders>
          </w:tcPr>
          <w:p>
            <w:pPr/>
          </w:p>
        </w:tc>
        <w:tc>
          <w:tcPr>
            <w:tcW w:w="450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商业银行申请授信并由公司提供担保的议案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01" w:type="dxa"/>
            <w:vMerge/>
            <w:tcBorders>
              <w:left w:val="single" w:sz="4" w:space="0" w:color="000000"/>
              <w:bottom w:val="single" w:sz="12" w:space="0" w:color="000000"/>
              <w:right w:val="single" w:sz="4" w:space="0" w:color="000000"/>
            </w:tcBorders>
          </w:tcPr>
          <w:p>
            <w:pPr/>
          </w:p>
        </w:tc>
        <w:tc>
          <w:tcPr>
            <w:tcW w:w="984" w:type="dxa"/>
            <w:vMerge/>
            <w:tcBorders>
              <w:left w:val="single" w:sz="4" w:space="0" w:color="000000"/>
              <w:bottom w:val="single" w:sz="12" w:space="0" w:color="000000"/>
              <w:right w:val="single" w:sz="4" w:space="0" w:color="000000"/>
            </w:tcBorders>
          </w:tcPr>
          <w:p>
            <w:pPr/>
          </w:p>
        </w:tc>
        <w:tc>
          <w:tcPr>
            <w:tcW w:w="1203" w:type="dxa"/>
            <w:vMerge/>
            <w:tcBorders>
              <w:left w:val="single" w:sz="4"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b/>
          <w:bCs/>
          <w:sz w:val="19"/>
          <w:szCs w:val="19"/>
        </w:rPr>
      </w:pPr>
    </w:p>
    <w:p>
      <w:pPr>
        <w:pStyle w:val="Heading4"/>
        <w:spacing w:line="240" w:lineRule="auto" w:before="36"/>
        <w:ind w:right="140"/>
        <w:jc w:val="left"/>
        <w:rPr>
          <w:b w:val="0"/>
          <w:bCs w:val="0"/>
        </w:rPr>
      </w:pP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0" w:footer="1227" w:top="1100" w:bottom="1420" w:left="980" w:right="980"/>
        </w:sectPr>
      </w:pPr>
    </w:p>
    <w:p>
      <w:pPr>
        <w:spacing w:line="240" w:lineRule="auto" w:before="9"/>
        <w:rPr>
          <w:rFonts w:ascii="宋体" w:hAnsi="宋体" w:cs="宋体" w:eastAsia="宋体" w:hint="default"/>
          <w:sz w:val="19"/>
          <w:szCs w:val="19"/>
        </w:rPr>
      </w:pPr>
    </w:p>
    <w:p>
      <w:pPr>
        <w:pStyle w:val="Heading2"/>
        <w:spacing w:line="240" w:lineRule="auto"/>
        <w:ind w:right="140"/>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1625"/>
        <w:gridCol w:w="1323"/>
        <w:gridCol w:w="1325"/>
        <w:gridCol w:w="1325"/>
        <w:gridCol w:w="1323"/>
        <w:gridCol w:w="1325"/>
        <w:gridCol w:w="1325"/>
      </w:tblGrid>
      <w:tr>
        <w:trPr>
          <w:trHeight w:val="444" w:hRule="exact"/>
        </w:trPr>
        <w:tc>
          <w:tcPr>
            <w:tcW w:w="9571" w:type="dxa"/>
            <w:gridSpan w:val="7"/>
            <w:tcBorders>
              <w:top w:val="single" w:sz="12"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69" w:hRule="exact"/>
        </w:trPr>
        <w:tc>
          <w:tcPr>
            <w:tcW w:w="162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3"/>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4"/>
              <w:ind w:left="297" w:right="206" w:hanging="92"/>
              <w:jc w:val="left"/>
              <w:rPr>
                <w:rFonts w:ascii="宋体" w:hAnsi="宋体" w:cs="宋体" w:eastAsia="宋体" w:hint="default"/>
                <w:sz w:val="18"/>
                <w:szCs w:val="18"/>
              </w:rPr>
            </w:pPr>
            <w:r>
              <w:rPr>
                <w:rFonts w:ascii="宋体" w:hAnsi="宋体" w:cs="宋体" w:eastAsia="宋体" w:hint="default"/>
                <w:sz w:val="18"/>
                <w:szCs w:val="18"/>
              </w:rPr>
              <w:t>以通讯方式 参加次数</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83"/>
              <w:ind w:left="117" w:right="17"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63" w:hRule="exact"/>
        </w:trPr>
        <w:tc>
          <w:tcPr>
            <w:tcW w:w="16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贺志强</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12" w:right="0"/>
              <w:jc w:val="left"/>
              <w:rPr>
                <w:rFonts w:ascii="Times New Roman" w:hAnsi="Times New Roman" w:cs="Times New Roman" w:eastAsia="Times New Roman" w:hint="default"/>
                <w:sz w:val="18"/>
                <w:szCs w:val="18"/>
              </w:rPr>
            </w:pPr>
            <w:r>
              <w:rPr>
                <w:rFonts w:ascii="Times New Roman"/>
                <w:sz w:val="18"/>
              </w:rPr>
              <w:t>3</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16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罗振邦</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12" w:right="0"/>
              <w:jc w:val="left"/>
              <w:rPr>
                <w:rFonts w:ascii="Times New Roman" w:hAnsi="Times New Roman" w:cs="Times New Roman" w:eastAsia="Times New Roman" w:hint="default"/>
                <w:sz w:val="18"/>
                <w:szCs w:val="18"/>
              </w:rPr>
            </w:pPr>
            <w:r>
              <w:rPr>
                <w:rFonts w:ascii="Times New Roman"/>
                <w:sz w:val="18"/>
              </w:rPr>
              <w:t>3</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6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王能光</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12" w:right="0"/>
              <w:jc w:val="left"/>
              <w:rPr>
                <w:rFonts w:ascii="Times New Roman" w:hAnsi="Times New Roman" w:cs="Times New Roman" w:eastAsia="Times New Roman" w:hint="default"/>
                <w:sz w:val="18"/>
                <w:szCs w:val="18"/>
              </w:rPr>
            </w:pPr>
            <w:r>
              <w:rPr>
                <w:rFonts w:ascii="Times New Roman"/>
                <w:sz w:val="18"/>
              </w:rPr>
              <w:t>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625" w:type="dxa"/>
            <w:tcBorders>
              <w:top w:val="single" w:sz="4" w:space="0" w:color="000000"/>
              <w:left w:val="single" w:sz="12" w:space="0" w:color="000000"/>
              <w:bottom w:val="single" w:sz="16" w:space="0" w:color="D2D2D2"/>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孟向阳</w:t>
            </w:r>
          </w:p>
        </w:tc>
        <w:tc>
          <w:tcPr>
            <w:tcW w:w="1323"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12" w:right="0"/>
              <w:jc w:val="left"/>
              <w:rPr>
                <w:rFonts w:ascii="Times New Roman" w:hAnsi="Times New Roman" w:cs="Times New Roman" w:eastAsia="Times New Roman" w:hint="default"/>
                <w:sz w:val="18"/>
                <w:szCs w:val="18"/>
              </w:rPr>
            </w:pPr>
            <w:r>
              <w:rPr>
                <w:rFonts w:ascii="Times New Roman"/>
                <w:sz w:val="18"/>
              </w:rPr>
              <w:t>2</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2948" w:type="dxa"/>
            <w:gridSpan w:val="2"/>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10" w:space="0" w:color="D2D2D2"/>
              <w:bottom w:val="single" w:sz="12" w:space="0" w:color="000000"/>
              <w:right w:val="single" w:sz="12" w:space="0" w:color="000000"/>
            </w:tcBorders>
          </w:tcPr>
          <w:p>
            <w:pPr>
              <w:pStyle w:val="TableParagraph"/>
              <w:spacing w:line="240" w:lineRule="auto" w:before="122"/>
              <w:ind w:right="13"/>
              <w:jc w:val="right"/>
              <w:rPr>
                <w:rFonts w:ascii="Times New Roman" w:hAnsi="Times New Roman" w:cs="Times New Roman" w:eastAsia="Times New Roman" w:hint="default"/>
                <w:sz w:val="18"/>
                <w:szCs w:val="18"/>
              </w:rPr>
            </w:pPr>
            <w:r>
              <w:rPr>
                <w:rFonts w:ascii="Times New Roman"/>
                <w:sz w:val="18"/>
              </w:rPr>
              <w:t>3</w:t>
            </w:r>
          </w:p>
        </w:tc>
      </w:tr>
    </w:tbl>
    <w:p>
      <w:pPr>
        <w:spacing w:before="49"/>
        <w:ind w:left="153" w:right="140" w:firstLine="0"/>
        <w:jc w:val="left"/>
        <w:rPr>
          <w:rFonts w:ascii="宋体" w:hAnsi="宋体" w:cs="宋体" w:eastAsia="宋体" w:hint="default"/>
          <w:sz w:val="18"/>
          <w:szCs w:val="18"/>
        </w:rPr>
      </w:pPr>
      <w:r>
        <w:rPr>
          <w:rFonts w:ascii="宋体" w:hAnsi="宋体" w:cs="宋体" w:eastAsia="宋体" w:hint="default"/>
          <w:sz w:val="18"/>
          <w:szCs w:val="18"/>
        </w:rPr>
        <w:t>注：独立董事贺志强先生、罗振邦先生于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日上任，独立董事王能光先生于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日上任；独立董</w:t>
      </w:r>
    </w:p>
    <w:p>
      <w:pPr>
        <w:spacing w:before="63"/>
        <w:ind w:left="153" w:right="140" w:firstLine="0"/>
        <w:jc w:val="left"/>
        <w:rPr>
          <w:rFonts w:ascii="宋体" w:hAnsi="宋体" w:cs="宋体" w:eastAsia="宋体" w:hint="default"/>
          <w:sz w:val="18"/>
          <w:szCs w:val="18"/>
        </w:rPr>
      </w:pPr>
      <w:r>
        <w:rPr>
          <w:rFonts w:ascii="宋体" w:hAnsi="宋体" w:cs="宋体" w:eastAsia="宋体" w:hint="default"/>
          <w:sz w:val="18"/>
          <w:szCs w:val="18"/>
        </w:rPr>
        <w:t>事孟向阳先生于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日离任。</w:t>
      </w:r>
    </w:p>
    <w:p>
      <w:pPr>
        <w:pStyle w:val="BodyText"/>
        <w:spacing w:line="240" w:lineRule="auto" w:before="157"/>
        <w:ind w:right="140"/>
        <w:jc w:val="left"/>
      </w:pPr>
      <w:r>
        <w:rPr/>
        <w:t>连续两次未亲自出席董事会的说明：无</w:t>
      </w:r>
    </w:p>
    <w:p>
      <w:pPr>
        <w:spacing w:line="670" w:lineRule="atLeast" w:before="37"/>
        <w:ind w:left="153" w:right="452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、独立董事对公司有关事项提出异议的情况</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独立董事对公司有关事项是否提出异议</w:t>
      </w:r>
    </w:p>
    <w:p>
      <w:pPr>
        <w:spacing w:line="240" w:lineRule="auto" w:before="12"/>
        <w:rPr>
          <w:rFonts w:ascii="宋体" w:hAnsi="宋体" w:cs="宋体" w:eastAsia="宋体" w:hint="default"/>
          <w:sz w:val="17"/>
          <w:szCs w:val="17"/>
        </w:rPr>
      </w:pPr>
    </w:p>
    <w:p>
      <w:pPr>
        <w:pStyle w:val="BodyText"/>
        <w:spacing w:line="417" w:lineRule="auto"/>
        <w:ind w:right="452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报告期内独立董事对公司有关事项未提出异议。</w:t>
      </w:r>
    </w:p>
    <w:p>
      <w:pPr>
        <w:spacing w:line="240" w:lineRule="auto" w:before="12"/>
        <w:rPr>
          <w:rFonts w:ascii="宋体" w:hAnsi="宋体" w:cs="宋体" w:eastAsia="宋体" w:hint="default"/>
          <w:sz w:val="19"/>
          <w:szCs w:val="19"/>
        </w:rPr>
      </w:pPr>
    </w:p>
    <w:p>
      <w:pPr>
        <w:pStyle w:val="Heading4"/>
        <w:spacing w:line="240" w:lineRule="auto"/>
        <w:ind w:right="14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40"/>
        <w:jc w:val="left"/>
      </w:pPr>
      <w:r>
        <w:rPr/>
        <w:t>独立董事对公司有关建议是否被采纳</w:t>
      </w:r>
    </w:p>
    <w:p>
      <w:pPr>
        <w:spacing w:line="240" w:lineRule="auto" w:before="9"/>
        <w:rPr>
          <w:rFonts w:ascii="宋体" w:hAnsi="宋体" w:cs="宋体" w:eastAsia="宋体" w:hint="default"/>
          <w:sz w:val="17"/>
          <w:szCs w:val="17"/>
        </w:rPr>
      </w:pPr>
    </w:p>
    <w:p>
      <w:pPr>
        <w:pStyle w:val="BodyText"/>
        <w:spacing w:line="420" w:lineRule="auto"/>
        <w:ind w:right="4524"/>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独立董事对公司有关建议被采纳或未被采纳的说明</w:t>
      </w:r>
    </w:p>
    <w:p>
      <w:pPr>
        <w:pStyle w:val="BodyText"/>
        <w:spacing w:line="408" w:lineRule="auto" w:before="77"/>
        <w:ind w:right="333" w:firstLine="420"/>
        <w:jc w:val="both"/>
      </w:pPr>
      <w:r>
        <w:rPr>
          <w:spacing w:val="-11"/>
          <w:w w:val="100"/>
        </w:rPr>
        <w:t>报告期内，公司独立董事根据《公司法》、《证券法》、《关于在上市公司建立独立董事制度的指导意</w:t>
      </w:r>
      <w:r>
        <w:rPr>
          <w:w w:val="100"/>
        </w:rPr>
        <w:t> </w:t>
      </w:r>
      <w:r>
        <w:rPr>
          <w:spacing w:val="-6"/>
          <w:w w:val="100"/>
        </w:rPr>
        <w:t>见》、《公司章程》及《独立董事制度》等开展工作，积极参加报告期内的历次会议，关注公司运作，独</w:t>
      </w:r>
      <w:r>
        <w:rPr>
          <w:spacing w:val="-102"/>
          <w:w w:val="100"/>
        </w:rPr>
        <w:t> </w:t>
      </w:r>
      <w:r>
        <w:rPr>
          <w:spacing w:val="-102"/>
          <w:w w:val="100"/>
        </w:rPr>
      </w:r>
      <w:r>
        <w:rPr>
          <w:spacing w:val="-2"/>
        </w:rPr>
        <w:t>立履行职责，对公司的日常经营和重大决策提供专业性建议，对报告期内公司发生的各项需要独立董事</w:t>
      </w:r>
      <w:r>
        <w:rPr>
          <w:spacing w:val="-21"/>
        </w:rPr>
        <w:t> </w:t>
      </w:r>
      <w:r>
        <w:rPr>
          <w:spacing w:val="-21"/>
        </w:rPr>
      </w:r>
      <w:r>
        <w:rPr>
          <w:spacing w:val="-2"/>
        </w:rPr>
        <w:t>发表意见的事项出具了独立、公正的独立意见，提高了公司决策的科学性，为完善公司监督机制，维护</w:t>
      </w:r>
      <w:r>
        <w:rPr>
          <w:spacing w:val="-21"/>
        </w:rPr>
        <w:t> </w:t>
      </w:r>
      <w:r>
        <w:rPr>
          <w:spacing w:val="-21"/>
        </w:rPr>
      </w:r>
      <w:r>
        <w:rPr/>
        <w:t>公司和全体股东的合法权益发挥了应有的作用。</w:t>
      </w:r>
    </w:p>
    <w:p>
      <w:pPr>
        <w:spacing w:after="0" w:line="408" w:lineRule="auto"/>
        <w:jc w:val="both"/>
        <w:sectPr>
          <w:pgSz w:w="11910" w:h="16840"/>
          <w:pgMar w:header="0" w:footer="1227" w:top="1100" w:bottom="1420" w:left="980" w:right="980"/>
        </w:sectPr>
      </w:pPr>
    </w:p>
    <w:p>
      <w:pPr>
        <w:spacing w:line="240" w:lineRule="auto" w:before="9"/>
        <w:rPr>
          <w:rFonts w:ascii="宋体" w:hAnsi="宋体" w:cs="宋体" w:eastAsia="宋体" w:hint="default"/>
          <w:sz w:val="19"/>
          <w:szCs w:val="19"/>
        </w:rPr>
      </w:pPr>
    </w:p>
    <w:p>
      <w:pPr>
        <w:pStyle w:val="Heading2"/>
        <w:spacing w:line="240" w:lineRule="auto"/>
        <w:ind w:right="140"/>
        <w:jc w:val="left"/>
        <w:rPr>
          <w:b w:val="0"/>
          <w:bCs w:val="0"/>
        </w:rPr>
      </w:pPr>
      <w:r>
        <w:rPr/>
        <w:t>四、董事会下设专门委员会在报告期内履行职责情况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pStyle w:val="Heading4"/>
        <w:spacing w:line="240" w:lineRule="auto"/>
        <w:ind w:left="575" w:right="140"/>
        <w:jc w:val="left"/>
        <w:rPr>
          <w:b w:val="0"/>
          <w:bCs w:val="0"/>
        </w:rPr>
      </w:pPr>
      <w:r>
        <w:rPr/>
        <w:t>（一）审计委员会履职情况</w:t>
      </w:r>
      <w:r>
        <w:rPr>
          <w:b w:val="0"/>
          <w:bCs w:val="0"/>
        </w:rPr>
      </w:r>
    </w:p>
    <w:p>
      <w:pPr>
        <w:spacing w:line="240" w:lineRule="auto" w:before="9"/>
        <w:rPr>
          <w:rFonts w:ascii="宋体" w:hAnsi="宋体" w:cs="宋体" w:eastAsia="宋体" w:hint="default"/>
          <w:b/>
          <w:bCs/>
          <w:sz w:val="17"/>
          <w:szCs w:val="17"/>
        </w:rPr>
      </w:pPr>
    </w:p>
    <w:p>
      <w:pPr>
        <w:pStyle w:val="BodyText"/>
        <w:spacing w:line="240" w:lineRule="auto"/>
        <w:ind w:left="573" w:right="140"/>
        <w:jc w:val="left"/>
      </w:pPr>
      <w:r>
        <w:rPr>
          <w:rFonts w:ascii="Times New Roman" w:hAnsi="Times New Roman" w:cs="Times New Roman" w:eastAsia="Times New Roman" w:hint="default"/>
        </w:rPr>
        <w:t>1</w:t>
      </w:r>
      <w:r>
        <w:rPr/>
        <w:t>、报告期内，董事会审计委员会共召开</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次会议，主要工作情况如下：</w:t>
      </w:r>
    </w:p>
    <w:p>
      <w:pPr>
        <w:spacing w:line="240" w:lineRule="auto" w:before="9"/>
        <w:rPr>
          <w:rFonts w:ascii="宋体" w:hAnsi="宋体" w:cs="宋体" w:eastAsia="宋体" w:hint="default"/>
          <w:sz w:val="16"/>
          <w:szCs w:val="16"/>
        </w:rPr>
      </w:pPr>
    </w:p>
    <w:p>
      <w:pPr>
        <w:pStyle w:val="BodyText"/>
        <w:spacing w:line="240" w:lineRule="auto"/>
        <w:ind w:left="573" w:right="14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日，董事会审计委员会召开</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年度第一次会议，审议通过了《关于聘请公司</w:t>
      </w:r>
    </w:p>
    <w:p>
      <w:pPr>
        <w:pStyle w:val="BodyText"/>
        <w:spacing w:line="240" w:lineRule="auto" w:before="177"/>
        <w:ind w:right="140"/>
        <w:jc w:val="left"/>
      </w:pPr>
      <w:r>
        <w:rPr>
          <w:rFonts w:ascii="Times New Roman" w:hAnsi="Times New Roman" w:cs="Times New Roman" w:eastAsia="Times New Roman" w:hint="default"/>
          <w:w w:val="100"/>
        </w:rPr>
        <w:t>2013</w:t>
      </w:r>
      <w:r>
        <w:rPr>
          <w:rFonts w:ascii="Times New Roman" w:hAnsi="Times New Roman" w:cs="Times New Roman" w:eastAsia="Times New Roman" w:hint="default"/>
          <w:spacing w:val="-3"/>
        </w:rPr>
        <w:t> </w:t>
      </w:r>
      <w:r>
        <w:rPr>
          <w:w w:val="100"/>
        </w:rPr>
        <w:t>年</w:t>
      </w:r>
      <w:r>
        <w:rPr>
          <w:spacing w:val="-3"/>
          <w:w w:val="100"/>
        </w:rPr>
        <w:t>度</w:t>
      </w:r>
      <w:r>
        <w:rPr>
          <w:w w:val="100"/>
        </w:rPr>
        <w:t>审</w:t>
      </w:r>
      <w:r>
        <w:rPr>
          <w:spacing w:val="-3"/>
          <w:w w:val="100"/>
        </w:rPr>
        <w:t>计</w:t>
      </w:r>
      <w:r>
        <w:rPr>
          <w:w w:val="100"/>
        </w:rPr>
        <w:t>机</w:t>
      </w:r>
      <w:r>
        <w:rPr>
          <w:spacing w:val="-3"/>
          <w:w w:val="100"/>
        </w:rPr>
        <w:t>构</w:t>
      </w:r>
      <w:r>
        <w:rPr>
          <w:w w:val="100"/>
        </w:rPr>
        <w:t>的</w:t>
      </w:r>
      <w:r>
        <w:rPr>
          <w:spacing w:val="-3"/>
          <w:w w:val="100"/>
        </w:rPr>
        <w:t>议案</w:t>
      </w:r>
      <w:r>
        <w:rPr>
          <w:spacing w:val="-106"/>
          <w:w w:val="100"/>
        </w:rPr>
        <w:t>》</w:t>
      </w:r>
      <w:r>
        <w:rPr>
          <w:w w:val="100"/>
        </w:rPr>
        <w:t>。</w:t>
      </w:r>
    </w:p>
    <w:p>
      <w:pPr>
        <w:spacing w:line="240" w:lineRule="auto" w:before="9"/>
        <w:rPr>
          <w:rFonts w:ascii="宋体" w:hAnsi="宋体" w:cs="宋体" w:eastAsia="宋体" w:hint="default"/>
          <w:sz w:val="16"/>
          <w:szCs w:val="16"/>
        </w:rPr>
      </w:pPr>
    </w:p>
    <w:p>
      <w:pPr>
        <w:pStyle w:val="BodyText"/>
        <w:spacing w:line="240" w:lineRule="auto"/>
        <w:ind w:left="573" w:right="140"/>
        <w:jc w:val="left"/>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6"/>
        </w:rPr>
        <w:t> </w:t>
      </w:r>
      <w:r>
        <w:rPr>
          <w:spacing w:val="-4"/>
        </w:rPr>
        <w:t>日，审计委员会召开</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spacing w:val="-3"/>
        </w:rPr>
        <w:t>年度第二次会议，审议通过了《关于调整会计政策和</w:t>
      </w:r>
    </w:p>
    <w:p>
      <w:pPr>
        <w:pStyle w:val="BodyText"/>
        <w:spacing w:line="386" w:lineRule="auto" w:before="177"/>
        <w:ind w:right="333"/>
        <w:jc w:val="left"/>
      </w:pPr>
      <w:r>
        <w:rPr>
          <w:w w:val="100"/>
        </w:rPr>
        <w:t>会计</w:t>
      </w:r>
      <w:r>
        <w:rPr>
          <w:spacing w:val="-3"/>
          <w:w w:val="100"/>
        </w:rPr>
        <w:t>估</w:t>
      </w:r>
      <w:r>
        <w:rPr>
          <w:w w:val="100"/>
        </w:rPr>
        <w:t>计</w:t>
      </w:r>
      <w:r>
        <w:rPr>
          <w:spacing w:val="-3"/>
          <w:w w:val="100"/>
        </w:rPr>
        <w:t>的</w:t>
      </w:r>
      <w:r>
        <w:rPr>
          <w:w w:val="100"/>
        </w:rPr>
        <w:t>议</w:t>
      </w:r>
      <w:r>
        <w:rPr>
          <w:spacing w:val="-3"/>
          <w:w w:val="100"/>
        </w:rPr>
        <w:t>案</w:t>
      </w:r>
      <w:r>
        <w:rPr>
          <w:spacing w:val="-106"/>
          <w:w w:val="100"/>
        </w:rPr>
        <w:t>》、</w:t>
      </w:r>
      <w:r>
        <w:rPr>
          <w:spacing w:val="-3"/>
          <w:w w:val="100"/>
        </w:rPr>
        <w:t>《</w:t>
      </w:r>
      <w:r>
        <w:rPr>
          <w:w w:val="100"/>
        </w:rPr>
        <w:t>关</w:t>
      </w:r>
      <w:r>
        <w:rPr>
          <w:spacing w:val="-3"/>
          <w:w w:val="100"/>
        </w:rPr>
        <w:t>于</w:t>
      </w:r>
      <w:r>
        <w:rPr>
          <w:w w:val="100"/>
        </w:rPr>
        <w:t>预计</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014</w:t>
      </w:r>
      <w:r>
        <w:rPr>
          <w:rFonts w:ascii="Times New Roman" w:hAnsi="Times New Roman" w:cs="Times New Roman" w:eastAsia="Times New Roman" w:hint="default"/>
          <w:spacing w:val="-3"/>
        </w:rPr>
        <w:t> </w:t>
      </w:r>
      <w:r>
        <w:rPr>
          <w:w w:val="100"/>
        </w:rPr>
        <w:t>年</w:t>
      </w:r>
      <w:r>
        <w:rPr>
          <w:spacing w:val="-3"/>
          <w:w w:val="100"/>
        </w:rPr>
        <w:t>度</w:t>
      </w:r>
      <w:r>
        <w:rPr>
          <w:w w:val="100"/>
        </w:rPr>
        <w:t>日</w:t>
      </w:r>
      <w:r>
        <w:rPr>
          <w:spacing w:val="-3"/>
          <w:w w:val="100"/>
        </w:rPr>
        <w:t>常</w:t>
      </w:r>
      <w:r>
        <w:rPr>
          <w:w w:val="100"/>
        </w:rPr>
        <w:t>关</w:t>
      </w:r>
      <w:r>
        <w:rPr>
          <w:spacing w:val="-3"/>
          <w:w w:val="100"/>
        </w:rPr>
        <w:t>联交</w:t>
      </w:r>
      <w:r>
        <w:rPr>
          <w:w w:val="100"/>
        </w:rPr>
        <w:t>易的</w:t>
      </w:r>
      <w:r>
        <w:rPr>
          <w:spacing w:val="-3"/>
          <w:w w:val="100"/>
        </w:rPr>
        <w:t>议</w:t>
      </w:r>
      <w:r>
        <w:rPr>
          <w:w w:val="100"/>
        </w:rPr>
        <w:t>案</w:t>
      </w:r>
      <w:r>
        <w:rPr>
          <w:spacing w:val="-108"/>
          <w:w w:val="100"/>
        </w:rPr>
        <w:t>》</w:t>
      </w:r>
      <w:r>
        <w:rPr>
          <w:w w:val="100"/>
        </w:rPr>
        <w:t>，</w:t>
      </w:r>
      <w:r>
        <w:rPr>
          <w:spacing w:val="-3"/>
          <w:w w:val="100"/>
        </w:rPr>
        <w:t>以</w:t>
      </w:r>
      <w:r>
        <w:rPr>
          <w:w w:val="100"/>
        </w:rPr>
        <w:t>及</w:t>
      </w:r>
      <w:r>
        <w:rPr>
          <w:spacing w:val="-3"/>
          <w:w w:val="100"/>
        </w:rPr>
        <w:t>《</w:t>
      </w:r>
      <w:r>
        <w:rPr>
          <w:w w:val="100"/>
        </w:rPr>
        <w:t>关</w:t>
      </w:r>
      <w:r>
        <w:rPr>
          <w:spacing w:val="-3"/>
          <w:w w:val="100"/>
        </w:rPr>
        <w:t>于公</w:t>
      </w:r>
      <w:r>
        <w:rPr>
          <w:w w:val="100"/>
        </w:rPr>
        <w:t>司及</w:t>
      </w:r>
      <w:r>
        <w:rPr>
          <w:spacing w:val="-3"/>
          <w:w w:val="100"/>
        </w:rPr>
        <w:t>其</w:t>
      </w:r>
      <w:r>
        <w:rPr>
          <w:w w:val="100"/>
        </w:rPr>
        <w:t>下</w:t>
      </w:r>
      <w:r>
        <w:rPr>
          <w:spacing w:val="-3"/>
          <w:w w:val="100"/>
        </w:rPr>
        <w:t>属</w:t>
      </w:r>
      <w:r>
        <w:rPr>
          <w:w w:val="100"/>
        </w:rPr>
        <w:t>子</w:t>
      </w:r>
      <w:r>
        <w:rPr>
          <w:spacing w:val="-3"/>
          <w:w w:val="100"/>
        </w:rPr>
        <w:t>公</w:t>
      </w:r>
      <w:r>
        <w:rPr>
          <w:w w:val="100"/>
        </w:rPr>
        <w:t>司</w:t>
      </w:r>
      <w:r>
        <w:rPr>
          <w:spacing w:val="-3"/>
          <w:w w:val="100"/>
        </w:rPr>
        <w:t>使</w:t>
      </w:r>
      <w:r>
        <w:rPr>
          <w:w w:val="100"/>
        </w:rPr>
        <w:t>用自</w:t>
      </w:r>
      <w:r>
        <w:rPr>
          <w:w w:val="100"/>
        </w:rPr>
        <w:t> 有闲</w:t>
      </w:r>
      <w:r>
        <w:rPr>
          <w:spacing w:val="-3"/>
          <w:w w:val="100"/>
        </w:rPr>
        <w:t>置</w:t>
      </w:r>
      <w:r>
        <w:rPr>
          <w:w w:val="100"/>
        </w:rPr>
        <w:t>资</w:t>
      </w:r>
      <w:r>
        <w:rPr>
          <w:spacing w:val="-3"/>
          <w:w w:val="100"/>
        </w:rPr>
        <w:t>金</w:t>
      </w:r>
      <w:r>
        <w:rPr>
          <w:w w:val="100"/>
        </w:rPr>
        <w:t>购</w:t>
      </w:r>
      <w:r>
        <w:rPr>
          <w:spacing w:val="-3"/>
          <w:w w:val="100"/>
        </w:rPr>
        <w:t>买</w:t>
      </w:r>
      <w:r>
        <w:rPr>
          <w:w w:val="100"/>
        </w:rPr>
        <w:t>保</w:t>
      </w:r>
      <w:r>
        <w:rPr>
          <w:spacing w:val="-3"/>
          <w:w w:val="100"/>
        </w:rPr>
        <w:t>本</w:t>
      </w:r>
      <w:r>
        <w:rPr>
          <w:w w:val="100"/>
        </w:rPr>
        <w:t>型</w:t>
      </w:r>
      <w:r>
        <w:rPr>
          <w:spacing w:val="-3"/>
          <w:w w:val="100"/>
        </w:rPr>
        <w:t>银</w:t>
      </w:r>
      <w:r>
        <w:rPr>
          <w:w w:val="100"/>
        </w:rPr>
        <w:t>行理</w:t>
      </w:r>
      <w:r>
        <w:rPr>
          <w:spacing w:val="-3"/>
          <w:w w:val="100"/>
        </w:rPr>
        <w:t>财</w:t>
      </w:r>
      <w:r>
        <w:rPr>
          <w:w w:val="100"/>
        </w:rPr>
        <w:t>产</w:t>
      </w:r>
      <w:r>
        <w:rPr>
          <w:spacing w:val="-3"/>
          <w:w w:val="100"/>
        </w:rPr>
        <w:t>品</w:t>
      </w:r>
      <w:r>
        <w:rPr>
          <w:w w:val="100"/>
        </w:rPr>
        <w:t>的</w:t>
      </w:r>
      <w:r>
        <w:rPr>
          <w:spacing w:val="-3"/>
          <w:w w:val="100"/>
        </w:rPr>
        <w:t>议</w:t>
      </w:r>
      <w:r>
        <w:rPr>
          <w:w w:val="100"/>
        </w:rPr>
        <w:t>案</w:t>
      </w:r>
      <w:r>
        <w:rPr>
          <w:spacing w:val="-108"/>
          <w:w w:val="100"/>
        </w:rPr>
        <w:t>》</w:t>
      </w:r>
      <w:r>
        <w:rPr>
          <w:w w:val="100"/>
        </w:rPr>
        <w:t>。</w:t>
      </w:r>
    </w:p>
    <w:p>
      <w:pPr>
        <w:pStyle w:val="BodyText"/>
        <w:spacing w:line="386" w:lineRule="auto" w:before="103"/>
        <w:ind w:right="287" w:firstLine="42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日，审计委员会召开</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年度第三次会议，听取了公司</w:t>
      </w:r>
      <w:r>
        <w:rPr>
          <w:spacing w:val="-5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年度生产经营情</w:t>
      </w:r>
      <w:r>
        <w:rPr>
          <w:w w:val="100"/>
        </w:rPr>
        <w:t> </w:t>
      </w:r>
      <w:r>
        <w:rPr/>
        <w:t>况和重大事项进展情况的全面汇报；审议通过了《 </w:t>
      </w:r>
      <w:r>
        <w:rPr>
          <w:rFonts w:ascii="Times New Roman" w:hAnsi="Times New Roman" w:cs="Times New Roman" w:eastAsia="Times New Roman" w:hint="default"/>
        </w:rPr>
        <w:t>2013 </w:t>
      </w:r>
      <w:r>
        <w:rPr/>
        <w:t>年年报审计安排情况表》和《</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年度财务报</w:t>
      </w:r>
      <w:r>
        <w:rPr>
          <w:w w:val="100"/>
        </w:rPr>
        <w:t> </w:t>
      </w:r>
      <w:r>
        <w:rPr>
          <w:spacing w:val="-31"/>
          <w:w w:val="100"/>
        </w:rPr>
        <w:t>告》（初稿）。</w:t>
      </w:r>
    </w:p>
    <w:p>
      <w:pPr>
        <w:pStyle w:val="BodyText"/>
        <w:spacing w:line="386" w:lineRule="auto" w:before="106"/>
        <w:ind w:right="140" w:firstLine="420"/>
        <w:jc w:val="left"/>
      </w:pPr>
      <w:r>
        <w:rPr>
          <w:spacing w:val="-5"/>
        </w:rPr>
        <w:t>（</w:t>
      </w: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spacing w:val="-5"/>
        </w:rPr>
        <w:t>日，审计委员会召开</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spacing w:val="-5"/>
        </w:rPr>
        <w:t>年度第四次会议，审议通过了《</w:t>
      </w:r>
      <w:r>
        <w:rPr>
          <w:rFonts w:ascii="Times New Roman" w:hAnsi="Times New Roman" w:cs="Times New Roman" w:eastAsia="Times New Roman" w:hint="default"/>
          <w:spacing w:val="-5"/>
        </w:rPr>
        <w:t>2013</w:t>
      </w:r>
      <w:r>
        <w:rPr>
          <w:rFonts w:ascii="Times New Roman" w:hAnsi="Times New Roman" w:cs="Times New Roman" w:eastAsia="Times New Roman" w:hint="default"/>
          <w:spacing w:val="5"/>
        </w:rPr>
        <w:t> </w:t>
      </w:r>
      <w:r>
        <w:rPr/>
        <w:t>年度财务报告》</w:t>
      </w:r>
      <w:r>
        <w:rPr>
          <w:w w:val="100"/>
        </w:rPr>
        <w:t> </w:t>
      </w:r>
      <w:r>
        <w:rPr>
          <w:spacing w:val="-1"/>
          <w:w w:val="100"/>
        </w:rPr>
        <w:t>和《</w:t>
      </w:r>
      <w:r>
        <w:rPr>
          <w:rFonts w:ascii="Times New Roman" w:hAnsi="Times New Roman" w:cs="Times New Roman" w:eastAsia="Times New Roman" w:hint="default"/>
          <w:spacing w:val="-1"/>
          <w:w w:val="100"/>
        </w:rPr>
        <w:t>2013</w:t>
      </w:r>
      <w:r>
        <w:rPr>
          <w:rFonts w:ascii="Times New Roman" w:hAnsi="Times New Roman" w:cs="Times New Roman" w:eastAsia="Times New Roman" w:hint="default"/>
          <w:spacing w:val="1"/>
          <w:w w:val="100"/>
        </w:rPr>
        <w:t> </w:t>
      </w:r>
      <w:r>
        <w:rPr>
          <w:spacing w:val="-12"/>
          <w:w w:val="100"/>
        </w:rPr>
        <w:t>年度内部审计报告》。</w:t>
      </w:r>
    </w:p>
    <w:p>
      <w:pPr>
        <w:pStyle w:val="BodyText"/>
        <w:spacing w:line="240" w:lineRule="auto" w:before="76"/>
        <w:ind w:left="573" w:right="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日，审计委员会召开</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年度第五次会议，审议通过了《</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年度财务报告》</w:t>
      </w:r>
    </w:p>
    <w:p>
      <w:pPr>
        <w:pStyle w:val="BodyText"/>
        <w:spacing w:line="386" w:lineRule="auto" w:before="177"/>
        <w:ind w:right="246"/>
        <w:jc w:val="left"/>
      </w:pPr>
      <w:r>
        <w:rPr>
          <w:w w:val="100"/>
        </w:rPr>
        <w:t>（定</w:t>
      </w:r>
      <w:r>
        <w:rPr>
          <w:spacing w:val="-3"/>
          <w:w w:val="100"/>
        </w:rPr>
        <w:t>稿</w:t>
      </w:r>
      <w:r>
        <w:rPr>
          <w:spacing w:val="-106"/>
          <w:w w:val="100"/>
        </w:rPr>
        <w:t>）</w:t>
      </w:r>
      <w:r>
        <w:rPr>
          <w:spacing w:val="-113"/>
          <w:w w:val="100"/>
        </w:rPr>
        <w:t>、</w:t>
      </w:r>
      <w:r>
        <w:rPr>
          <w:spacing w:val="-3"/>
          <w:w w:val="100"/>
        </w:rPr>
        <w:t>《</w:t>
      </w:r>
      <w:r>
        <w:rPr>
          <w:w w:val="100"/>
        </w:rPr>
        <w:t>审</w:t>
      </w:r>
      <w:r>
        <w:rPr>
          <w:spacing w:val="-3"/>
          <w:w w:val="100"/>
        </w:rPr>
        <w:t>计</w:t>
      </w:r>
      <w:r>
        <w:rPr>
          <w:w w:val="100"/>
        </w:rPr>
        <w:t>委</w:t>
      </w:r>
      <w:r>
        <w:rPr>
          <w:spacing w:val="-3"/>
          <w:w w:val="100"/>
        </w:rPr>
        <w:t>员</w:t>
      </w:r>
      <w:r>
        <w:rPr>
          <w:w w:val="100"/>
        </w:rPr>
        <w:t>会</w:t>
      </w:r>
      <w:r>
        <w:rPr>
          <w:spacing w:val="-3"/>
          <w:w w:val="100"/>
        </w:rPr>
        <w:t>履</w:t>
      </w:r>
      <w:r>
        <w:rPr>
          <w:w w:val="100"/>
        </w:rPr>
        <w:t>职情</w:t>
      </w:r>
      <w:r>
        <w:rPr>
          <w:spacing w:val="-3"/>
          <w:w w:val="100"/>
        </w:rPr>
        <w:t>况</w:t>
      </w:r>
      <w:r>
        <w:rPr>
          <w:w w:val="100"/>
        </w:rPr>
        <w:t>报</w:t>
      </w:r>
      <w:r>
        <w:rPr>
          <w:spacing w:val="-3"/>
          <w:w w:val="100"/>
        </w:rPr>
        <w:t>告</w:t>
      </w:r>
      <w:r>
        <w:rPr>
          <w:w w:val="100"/>
        </w:rPr>
        <w:t>暨</w:t>
      </w:r>
      <w:r>
        <w:rPr>
          <w:spacing w:val="-3"/>
          <w:w w:val="100"/>
        </w:rPr>
        <w:t>关</w:t>
      </w:r>
      <w:r>
        <w:rPr>
          <w:w w:val="100"/>
        </w:rPr>
        <w:t>于</w:t>
      </w:r>
      <w:r>
        <w:rPr>
          <w:spacing w:val="-3"/>
          <w:w w:val="100"/>
        </w:rPr>
        <w:t>会</w:t>
      </w:r>
      <w:r>
        <w:rPr>
          <w:w w:val="100"/>
        </w:rPr>
        <w:t>计</w:t>
      </w:r>
      <w:r>
        <w:rPr>
          <w:spacing w:val="-3"/>
          <w:w w:val="100"/>
        </w:rPr>
        <w:t>师</w:t>
      </w:r>
      <w:r>
        <w:rPr>
          <w:w w:val="100"/>
        </w:rPr>
        <w:t>事</w:t>
      </w:r>
      <w:r>
        <w:rPr>
          <w:spacing w:val="-3"/>
          <w:w w:val="100"/>
        </w:rPr>
        <w:t>务</w:t>
      </w:r>
      <w:r>
        <w:rPr>
          <w:w w:val="100"/>
        </w:rPr>
        <w:t>所</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spacing w:val="-3"/>
          <w:w w:val="100"/>
        </w:rPr>
        <w:t>年</w:t>
      </w:r>
      <w:r>
        <w:rPr>
          <w:w w:val="100"/>
        </w:rPr>
        <w:t>度</w:t>
      </w:r>
      <w:r>
        <w:rPr>
          <w:spacing w:val="-3"/>
          <w:w w:val="100"/>
        </w:rPr>
        <w:t>审</w:t>
      </w:r>
      <w:r>
        <w:rPr>
          <w:w w:val="100"/>
        </w:rPr>
        <w:t>计</w:t>
      </w:r>
      <w:r>
        <w:rPr>
          <w:spacing w:val="-3"/>
          <w:w w:val="100"/>
        </w:rPr>
        <w:t>工作</w:t>
      </w:r>
      <w:r>
        <w:rPr>
          <w:w w:val="100"/>
        </w:rPr>
        <w:t>的总</w:t>
      </w:r>
      <w:r>
        <w:rPr>
          <w:spacing w:val="-3"/>
          <w:w w:val="100"/>
        </w:rPr>
        <w:t>结</w:t>
      </w:r>
      <w:r>
        <w:rPr>
          <w:w w:val="100"/>
        </w:rPr>
        <w:t>报</w:t>
      </w:r>
      <w:r>
        <w:rPr>
          <w:spacing w:val="-3"/>
          <w:w w:val="100"/>
        </w:rPr>
        <w:t>告</w:t>
      </w:r>
      <w:r>
        <w:rPr>
          <w:spacing w:val="-106"/>
          <w:w w:val="100"/>
        </w:rPr>
        <w:t>》</w:t>
      </w:r>
      <w:r>
        <w:rPr>
          <w:spacing w:val="-113"/>
          <w:w w:val="100"/>
        </w:rPr>
        <w:t>、</w:t>
      </w:r>
      <w:r>
        <w:rPr>
          <w:spacing w:val="-3"/>
          <w:w w:val="100"/>
        </w:rPr>
        <w:t>《</w:t>
      </w:r>
      <w:r>
        <w:rPr>
          <w:w w:val="100"/>
        </w:rPr>
        <w:t>关</w:t>
      </w:r>
      <w:r>
        <w:rPr>
          <w:spacing w:val="-3"/>
          <w:w w:val="100"/>
        </w:rPr>
        <w:t>于聘请</w:t>
      </w:r>
      <w:r>
        <w:rPr>
          <w:w w:val="100"/>
        </w:rPr>
        <w:t>公</w:t>
      </w:r>
      <w:r>
        <w:rPr>
          <w:w w:val="100"/>
        </w:rPr>
        <w:t> 司</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spacing w:val="-3"/>
          <w:w w:val="100"/>
        </w:rPr>
        <w:t>年</w:t>
      </w:r>
      <w:r>
        <w:rPr>
          <w:w w:val="100"/>
        </w:rPr>
        <w:t>度</w:t>
      </w:r>
      <w:r>
        <w:rPr>
          <w:spacing w:val="-3"/>
          <w:w w:val="100"/>
        </w:rPr>
        <w:t>审</w:t>
      </w:r>
      <w:r>
        <w:rPr>
          <w:w w:val="100"/>
        </w:rPr>
        <w:t>计</w:t>
      </w:r>
      <w:r>
        <w:rPr>
          <w:spacing w:val="-3"/>
          <w:w w:val="100"/>
        </w:rPr>
        <w:t>机</w:t>
      </w:r>
      <w:r>
        <w:rPr>
          <w:w w:val="100"/>
        </w:rPr>
        <w:t>构</w:t>
      </w:r>
      <w:r>
        <w:rPr>
          <w:spacing w:val="-3"/>
          <w:w w:val="100"/>
        </w:rPr>
        <w:t>的议</w:t>
      </w:r>
      <w:r>
        <w:rPr>
          <w:w w:val="100"/>
        </w:rPr>
        <w:t>案</w:t>
      </w:r>
      <w:r>
        <w:rPr>
          <w:spacing w:val="-106"/>
          <w:w w:val="100"/>
        </w:rPr>
        <w:t>》</w:t>
      </w:r>
      <w:r>
        <w:rPr>
          <w:spacing w:val="-3"/>
          <w:w w:val="100"/>
        </w:rPr>
        <w:t>，</w:t>
      </w:r>
      <w:r>
        <w:rPr>
          <w:w w:val="100"/>
        </w:rPr>
        <w:t>以</w:t>
      </w:r>
      <w:r>
        <w:rPr>
          <w:spacing w:val="-3"/>
          <w:w w:val="100"/>
        </w:rPr>
        <w:t>及</w:t>
      </w:r>
      <w:r>
        <w:rPr>
          <w:w w:val="100"/>
        </w:rPr>
        <w:t>《</w:t>
      </w:r>
      <w:r>
        <w:rPr>
          <w:spacing w:val="-3"/>
          <w:w w:val="100"/>
        </w:rPr>
        <w:t>关</w:t>
      </w:r>
      <w:r>
        <w:rPr>
          <w:spacing w:val="-1"/>
          <w:w w:val="100"/>
        </w:rPr>
        <w:t>于</w:t>
      </w:r>
      <w:r>
        <w:rPr>
          <w:rFonts w:ascii="Times New Roman" w:hAnsi="Times New Roman" w:cs="Times New Roman" w:eastAsia="Times New Roman" w:hint="default"/>
          <w:spacing w:val="-2"/>
          <w:w w:val="100"/>
        </w:rPr>
        <w:t>&lt;</w:t>
      </w:r>
      <w:r>
        <w:rPr>
          <w:rFonts w:ascii="Times New Roman" w:hAnsi="Times New Roman" w:cs="Times New Roman" w:eastAsia="Times New Roman" w:hint="default"/>
          <w:w w:val="100"/>
        </w:rPr>
        <w:t>2014</w:t>
      </w:r>
      <w:r>
        <w:rPr>
          <w:rFonts w:ascii="Times New Roman" w:hAnsi="Times New Roman" w:cs="Times New Roman" w:eastAsia="Times New Roman" w:hint="default"/>
          <w:spacing w:val="-2"/>
        </w:rPr>
        <w:t> </w:t>
      </w:r>
      <w:r>
        <w:rPr>
          <w:spacing w:val="-3"/>
          <w:w w:val="100"/>
        </w:rPr>
        <w:t>年</w:t>
      </w:r>
      <w:r>
        <w:rPr>
          <w:w w:val="100"/>
        </w:rPr>
        <w:t>度内</w:t>
      </w:r>
      <w:r>
        <w:rPr>
          <w:spacing w:val="-3"/>
          <w:w w:val="100"/>
        </w:rPr>
        <w:t>部</w:t>
      </w:r>
      <w:r>
        <w:rPr>
          <w:w w:val="100"/>
        </w:rPr>
        <w:t>控</w:t>
      </w:r>
      <w:r>
        <w:rPr>
          <w:spacing w:val="-3"/>
          <w:w w:val="100"/>
        </w:rPr>
        <w:t>制</w:t>
      </w:r>
      <w:r>
        <w:rPr>
          <w:w w:val="100"/>
        </w:rPr>
        <w:t>规</w:t>
      </w:r>
      <w:r>
        <w:rPr>
          <w:spacing w:val="-3"/>
          <w:w w:val="100"/>
        </w:rPr>
        <w:t>范</w:t>
      </w:r>
      <w:r>
        <w:rPr>
          <w:w w:val="100"/>
        </w:rPr>
        <w:t>实</w:t>
      </w:r>
      <w:r>
        <w:rPr>
          <w:spacing w:val="-3"/>
          <w:w w:val="100"/>
        </w:rPr>
        <w:t>施</w:t>
      </w:r>
      <w:r>
        <w:rPr>
          <w:w w:val="100"/>
        </w:rPr>
        <w:t>工</w:t>
      </w:r>
      <w:r>
        <w:rPr>
          <w:spacing w:val="-3"/>
          <w:w w:val="100"/>
        </w:rPr>
        <w:t>作</w:t>
      </w:r>
      <w:r>
        <w:rPr>
          <w:w w:val="100"/>
        </w:rPr>
        <w:t>方</w:t>
      </w:r>
      <w:r>
        <w:rPr>
          <w:spacing w:val="-3"/>
          <w:w w:val="100"/>
        </w:rPr>
        <w:t>案</w:t>
      </w:r>
      <w:r>
        <w:rPr>
          <w:rFonts w:ascii="Times New Roman" w:hAnsi="Times New Roman" w:cs="Times New Roman" w:eastAsia="Times New Roman" w:hint="default"/>
          <w:w w:val="100"/>
        </w:rPr>
        <w:t>&gt;</w:t>
      </w:r>
      <w:r>
        <w:rPr>
          <w:spacing w:val="-3"/>
          <w:w w:val="100"/>
        </w:rPr>
        <w:t>的</w:t>
      </w:r>
      <w:r>
        <w:rPr>
          <w:w w:val="100"/>
        </w:rPr>
        <w:t>议案</w:t>
      </w:r>
      <w:r>
        <w:rPr>
          <w:spacing w:val="-108"/>
          <w:w w:val="100"/>
        </w:rPr>
        <w:t>》</w:t>
      </w:r>
      <w:r>
        <w:rPr>
          <w:w w:val="100"/>
        </w:rPr>
        <w:t>。</w:t>
      </w:r>
    </w:p>
    <w:p>
      <w:pPr>
        <w:pStyle w:val="BodyText"/>
        <w:spacing w:line="386" w:lineRule="auto" w:before="74"/>
        <w:ind w:right="140" w:firstLine="42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日，审计委员会召开</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年度第六次会议，审议通过了《</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年半年度财务</w:t>
      </w:r>
      <w:r>
        <w:rPr>
          <w:w w:val="100"/>
        </w:rPr>
        <w:t> </w:t>
      </w:r>
      <w:r>
        <w:rPr>
          <w:spacing w:val="-7"/>
          <w:w w:val="100"/>
        </w:rPr>
        <w:t>报告》和《关于变更会计政策的议案》。</w:t>
      </w:r>
    </w:p>
    <w:p>
      <w:pPr>
        <w:pStyle w:val="BodyText"/>
        <w:spacing w:line="240" w:lineRule="auto" w:before="106"/>
        <w:ind w:left="573" w:right="140"/>
        <w:jc w:val="left"/>
      </w:pPr>
      <w:r>
        <w:rPr>
          <w:rFonts w:ascii="Times New Roman" w:hAnsi="Times New Roman" w:cs="Times New Roman" w:eastAsia="Times New Roman" w:hint="default"/>
        </w:rPr>
        <w:t>2</w:t>
      </w:r>
      <w:r>
        <w:rPr/>
        <w:t>、审计委员会在公司</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年度财务报告编制过程中，主要履行了以下工作职责：</w:t>
      </w:r>
    </w:p>
    <w:p>
      <w:pPr>
        <w:spacing w:line="240" w:lineRule="auto" w:before="6"/>
        <w:rPr>
          <w:rFonts w:ascii="宋体" w:hAnsi="宋体" w:cs="宋体" w:eastAsia="宋体" w:hint="default"/>
          <w:sz w:val="16"/>
          <w:szCs w:val="16"/>
        </w:rPr>
      </w:pPr>
    </w:p>
    <w:p>
      <w:pPr>
        <w:pStyle w:val="BodyText"/>
        <w:spacing w:line="420" w:lineRule="auto"/>
        <w:ind w:left="573" w:right="140"/>
        <w:jc w:val="left"/>
      </w:pPr>
      <w:r>
        <w:rPr/>
        <w:t>（</w:t>
      </w:r>
      <w:r>
        <w:rPr>
          <w:rFonts w:ascii="Times New Roman" w:hAnsi="Times New Roman" w:cs="Times New Roman" w:eastAsia="Times New Roman" w:hint="default"/>
        </w:rPr>
        <w:t>1</w:t>
      </w:r>
      <w:r>
        <w:rPr/>
        <w:t>）与负责公司的年审注册会计师协商确定了</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年度财务报告审计工作的时间安排；</w:t>
      </w:r>
      <w:r>
        <w:rPr>
          <w:w w:val="100"/>
        </w:rPr>
        <w:t> </w:t>
      </w:r>
      <w:r>
        <w:rPr>
          <w:spacing w:val="-2"/>
        </w:rPr>
        <w:t>会计师进场前，审计委员会提前对年审进行全面部署，与会计师事务所年审注册会计师沟通确定了</w:t>
      </w:r>
    </w:p>
    <w:p>
      <w:pPr>
        <w:pStyle w:val="BodyText"/>
        <w:spacing w:line="240" w:lineRule="auto" w:before="35"/>
        <w:ind w:right="140"/>
        <w:jc w:val="left"/>
      </w:pPr>
      <w:r>
        <w:rPr/>
        <w:t>公司</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年度审计工作的时间安排等事宜。</w:t>
      </w:r>
    </w:p>
    <w:p>
      <w:pPr>
        <w:spacing w:line="240" w:lineRule="auto" w:before="9"/>
        <w:rPr>
          <w:rFonts w:ascii="宋体" w:hAnsi="宋体" w:cs="宋体" w:eastAsia="宋体" w:hint="default"/>
          <w:sz w:val="16"/>
          <w:szCs w:val="16"/>
        </w:rPr>
      </w:pPr>
    </w:p>
    <w:p>
      <w:pPr>
        <w:pStyle w:val="BodyText"/>
        <w:spacing w:line="386" w:lineRule="auto"/>
        <w:ind w:right="331" w:firstLine="420"/>
        <w:jc w:val="left"/>
      </w:pPr>
      <w:r>
        <w:rPr/>
        <w:t>（</w:t>
      </w:r>
      <w:r>
        <w:rPr>
          <w:rFonts w:ascii="Times New Roman" w:hAnsi="Times New Roman" w:cs="Times New Roman" w:eastAsia="Times New Roman" w:hint="default"/>
        </w:rPr>
        <w:t>2</w:t>
      </w:r>
      <w:r>
        <w:rPr/>
        <w:t>）在年审注册会计师进场前，认真审阅了公司初步编制的</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年度财务会计报表，并形成书面</w:t>
      </w:r>
      <w:r>
        <w:rPr>
          <w:w w:val="100"/>
        </w:rPr>
        <w:t> </w:t>
      </w:r>
      <w:r>
        <w:rPr/>
        <w:t>审阅意见；</w:t>
      </w:r>
    </w:p>
    <w:p>
      <w:pPr>
        <w:pStyle w:val="BodyText"/>
        <w:spacing w:line="240" w:lineRule="auto" w:before="103"/>
        <w:ind w:left="573" w:right="140"/>
        <w:jc w:val="left"/>
      </w:pPr>
      <w:r>
        <w:rPr>
          <w:w w:val="100"/>
        </w:rPr>
        <w:t>在年</w:t>
      </w:r>
      <w:r>
        <w:rPr>
          <w:spacing w:val="-3"/>
          <w:w w:val="100"/>
        </w:rPr>
        <w:t>审</w:t>
      </w:r>
      <w:r>
        <w:rPr>
          <w:w w:val="100"/>
        </w:rPr>
        <w:t>注</w:t>
      </w:r>
      <w:r>
        <w:rPr>
          <w:spacing w:val="-3"/>
          <w:w w:val="100"/>
        </w:rPr>
        <w:t>册</w:t>
      </w:r>
      <w:r>
        <w:rPr>
          <w:w w:val="100"/>
        </w:rPr>
        <w:t>会</w:t>
      </w:r>
      <w:r>
        <w:rPr>
          <w:spacing w:val="-3"/>
          <w:w w:val="100"/>
        </w:rPr>
        <w:t>计</w:t>
      </w:r>
      <w:r>
        <w:rPr>
          <w:w w:val="100"/>
        </w:rPr>
        <w:t>师</w:t>
      </w:r>
      <w:r>
        <w:rPr>
          <w:spacing w:val="-3"/>
          <w:w w:val="100"/>
        </w:rPr>
        <w:t>进</w:t>
      </w:r>
      <w:r>
        <w:rPr>
          <w:w w:val="100"/>
        </w:rPr>
        <w:t>场</w:t>
      </w:r>
      <w:r>
        <w:rPr>
          <w:spacing w:val="-3"/>
          <w:w w:val="100"/>
        </w:rPr>
        <w:t>前</w:t>
      </w:r>
      <w:r>
        <w:rPr>
          <w:w w:val="100"/>
        </w:rPr>
        <w:t>，审</w:t>
      </w:r>
      <w:r>
        <w:rPr>
          <w:spacing w:val="-3"/>
          <w:w w:val="100"/>
        </w:rPr>
        <w:t>计</w:t>
      </w:r>
      <w:r>
        <w:rPr>
          <w:w w:val="100"/>
        </w:rPr>
        <w:t>委</w:t>
      </w:r>
      <w:r>
        <w:rPr>
          <w:spacing w:val="-3"/>
          <w:w w:val="100"/>
        </w:rPr>
        <w:t>员</w:t>
      </w:r>
      <w:r>
        <w:rPr>
          <w:w w:val="100"/>
        </w:rPr>
        <w:t>会</w:t>
      </w:r>
      <w:r>
        <w:rPr>
          <w:spacing w:val="-3"/>
          <w:w w:val="100"/>
        </w:rPr>
        <w:t>审</w:t>
      </w:r>
      <w:r>
        <w:rPr>
          <w:w w:val="100"/>
        </w:rPr>
        <w:t>阅</w:t>
      </w:r>
      <w:r>
        <w:rPr>
          <w:spacing w:val="-3"/>
          <w:w w:val="100"/>
        </w:rPr>
        <w:t>了</w:t>
      </w:r>
      <w:r>
        <w:rPr>
          <w:w w:val="100"/>
        </w:rPr>
        <w:t>公</w:t>
      </w:r>
      <w:r>
        <w:rPr>
          <w:spacing w:val="-3"/>
          <w:w w:val="100"/>
        </w:rPr>
        <w:t>司</w:t>
      </w:r>
      <w:r>
        <w:rPr>
          <w:w w:val="100"/>
        </w:rPr>
        <w:t>财务</w:t>
      </w:r>
      <w:r>
        <w:rPr>
          <w:spacing w:val="-3"/>
          <w:w w:val="100"/>
        </w:rPr>
        <w:t>部</w:t>
      </w:r>
      <w:r>
        <w:rPr>
          <w:w w:val="100"/>
        </w:rPr>
        <w:t>编</w:t>
      </w:r>
      <w:r>
        <w:rPr>
          <w:spacing w:val="-3"/>
          <w:w w:val="100"/>
        </w:rPr>
        <w:t>制</w:t>
      </w:r>
      <w:r>
        <w:rPr>
          <w:w w:val="100"/>
        </w:rPr>
        <w:t>的</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014</w:t>
      </w:r>
      <w:r>
        <w:rPr>
          <w:rFonts w:ascii="Times New Roman" w:hAnsi="Times New Roman" w:cs="Times New Roman" w:eastAsia="Times New Roman" w:hint="default"/>
          <w:spacing w:val="-2"/>
        </w:rPr>
        <w:t> </w:t>
      </w:r>
      <w:r>
        <w:rPr>
          <w:w w:val="100"/>
        </w:rPr>
        <w:t>年</w:t>
      </w:r>
      <w:r>
        <w:rPr>
          <w:spacing w:val="-3"/>
          <w:w w:val="100"/>
        </w:rPr>
        <w:t>度财</w:t>
      </w:r>
      <w:r>
        <w:rPr>
          <w:w w:val="100"/>
        </w:rPr>
        <w:t>务报</w:t>
      </w:r>
      <w:r>
        <w:rPr>
          <w:spacing w:val="-3"/>
          <w:w w:val="100"/>
        </w:rPr>
        <w:t>告</w:t>
      </w:r>
      <w:r>
        <w:rPr>
          <w:w w:val="100"/>
        </w:rPr>
        <w:t>（</w:t>
      </w:r>
      <w:r>
        <w:rPr>
          <w:spacing w:val="-3"/>
          <w:w w:val="100"/>
        </w:rPr>
        <w:t>初</w:t>
      </w:r>
      <w:r>
        <w:rPr>
          <w:w w:val="100"/>
        </w:rPr>
        <w:t>稿</w:t>
      </w:r>
      <w:r>
        <w:rPr>
          <w:spacing w:val="-108"/>
          <w:w w:val="100"/>
        </w:rPr>
        <w:t>）</w:t>
      </w:r>
      <w:r>
        <w:rPr>
          <w:w w:val="100"/>
        </w:rPr>
        <w:t>，</w:t>
      </w:r>
      <w:r>
        <w:rPr>
          <w:spacing w:val="-3"/>
          <w:w w:val="100"/>
        </w:rPr>
        <w:t>对</w:t>
      </w:r>
      <w:r>
        <w:rPr>
          <w:w w:val="100"/>
        </w:rPr>
        <w:t>公</w:t>
      </w:r>
    </w:p>
    <w:p>
      <w:pPr>
        <w:pStyle w:val="BodyText"/>
        <w:spacing w:line="240" w:lineRule="auto" w:before="177"/>
        <w:ind w:right="140"/>
        <w:jc w:val="left"/>
      </w:pPr>
      <w:r>
        <w:rPr/>
        <w:t>司编制的未经审计的财务会计报表了发表首次书面意见。审计委员会认为，公司编制的</w:t>
      </w:r>
      <w:r>
        <w:rPr>
          <w:spacing w:val="-6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spacing w:val="-3"/>
        </w:rPr>
        <w:t>年度财务报</w:t>
      </w:r>
      <w:r>
        <w:rPr/>
      </w:r>
    </w:p>
    <w:p>
      <w:pPr>
        <w:pStyle w:val="BodyText"/>
        <w:spacing w:line="240" w:lineRule="auto" w:before="177"/>
        <w:ind w:right="140"/>
        <w:jc w:val="left"/>
      </w:pPr>
      <w:r>
        <w:rPr>
          <w:spacing w:val="-2"/>
        </w:rPr>
        <w:t>告（初稿）有关数据基本反映了公司</w:t>
      </w:r>
      <w:r>
        <w:rPr/>
        <w:t> </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10"/>
        </w:rPr>
        <w:t> </w:t>
      </w:r>
      <w:r>
        <w:rPr>
          <w:spacing w:val="-2"/>
        </w:rPr>
        <w:t>年度的资产负债情况和经营业绩，财务会计报表信息客观、全</w:t>
      </w:r>
    </w:p>
    <w:p>
      <w:pPr>
        <w:pStyle w:val="BodyText"/>
        <w:spacing w:line="240" w:lineRule="auto" w:before="177"/>
        <w:ind w:right="140"/>
        <w:jc w:val="left"/>
      </w:pPr>
      <w:r>
        <w:rPr/>
        <w:t>面、真实，同意以此财务会计报表为基础开展</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年度的财务审计工作。</w:t>
      </w:r>
    </w:p>
    <w:p>
      <w:pPr>
        <w:spacing w:after="0" w:line="240" w:lineRule="auto"/>
        <w:jc w:val="left"/>
        <w:sectPr>
          <w:pgSz w:w="11910" w:h="16840"/>
          <w:pgMar w:header="0" w:footer="1227" w:top="1100" w:bottom="1420" w:left="980" w:right="980"/>
        </w:sectPr>
      </w:pPr>
    </w:p>
    <w:p>
      <w:pPr>
        <w:spacing w:line="240" w:lineRule="auto" w:before="9"/>
        <w:rPr>
          <w:rFonts w:ascii="宋体" w:hAnsi="宋体" w:cs="宋体" w:eastAsia="宋体" w:hint="default"/>
          <w:sz w:val="26"/>
          <w:szCs w:val="26"/>
        </w:rPr>
      </w:pPr>
    </w:p>
    <w:p>
      <w:pPr>
        <w:pStyle w:val="BodyText"/>
        <w:spacing w:line="386" w:lineRule="auto" w:before="36"/>
        <w:ind w:right="140" w:firstLine="420"/>
        <w:jc w:val="left"/>
      </w:pPr>
      <w:r>
        <w:rPr>
          <w:spacing w:val="-2"/>
        </w:rPr>
        <w:t>（</w:t>
      </w:r>
      <w:r>
        <w:rPr>
          <w:rFonts w:ascii="Times New Roman" w:hAnsi="Times New Roman" w:cs="Times New Roman" w:eastAsia="Times New Roman" w:hint="default"/>
          <w:spacing w:val="-2"/>
        </w:rPr>
        <w:t>3</w:t>
      </w:r>
      <w:r>
        <w:rPr>
          <w:spacing w:val="-2"/>
        </w:rPr>
        <w:t>）年审注册会计师进场后，加强与年审注册会计师的沟通，在年审注册会计师出具初步审计意见</w:t>
      </w:r>
      <w:r>
        <w:rPr>
          <w:w w:val="100"/>
        </w:rPr>
        <w:t> </w:t>
      </w:r>
      <w:r>
        <w:rPr/>
        <w:t>后再一次审阅公司财务报表，并形成书面意见；</w:t>
      </w:r>
    </w:p>
    <w:p>
      <w:pPr>
        <w:pStyle w:val="BodyText"/>
        <w:spacing w:line="400" w:lineRule="auto" w:before="106"/>
        <w:ind w:right="150" w:firstLine="420"/>
        <w:jc w:val="left"/>
      </w:pPr>
      <w:r>
        <w:rPr/>
        <w:t>在年审注册会计师完成现场审计，并出具初步审计意见后，审计委员会再次审阅了财务会计报告并</w:t>
      </w:r>
      <w:r>
        <w:rPr>
          <w:w w:val="100"/>
        </w:rPr>
        <w:t> </w:t>
      </w:r>
      <w:r>
        <w:rPr/>
        <w:t>发表第二次书面意见。审计委员会认为，初步审计的</w:t>
      </w:r>
      <w:r>
        <w:rPr>
          <w:spacing w:val="-6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年度财务报告已经按照新企业会计准则及公司</w:t>
      </w:r>
      <w:r>
        <w:rPr>
          <w:w w:val="100"/>
        </w:rPr>
        <w:t> </w:t>
      </w:r>
      <w:r>
        <w:rPr>
          <w:spacing w:val="-2"/>
          <w:w w:val="100"/>
        </w:rPr>
        <w:t>有关财务制度进行编制，财务报告的编制基础、依据、原则和方法符合相关法律、法规和《公司章程》，</w:t>
      </w:r>
      <w:r>
        <w:rPr>
          <w:spacing w:val="-96"/>
          <w:w w:val="100"/>
        </w:rPr>
        <w:t> </w:t>
      </w:r>
      <w:r>
        <w:rPr>
          <w:spacing w:val="-96"/>
          <w:w w:val="100"/>
        </w:rPr>
      </w:r>
      <w:r>
        <w:rPr/>
        <w:t>所包含的信息在重大方面公允地反映了公司截至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43"/>
        </w:rPr>
        <w:t> </w:t>
      </w:r>
      <w:r>
        <w:rPr/>
        <w:t>日的财务状况以和经营成果及现金</w:t>
      </w:r>
    </w:p>
    <w:p>
      <w:pPr>
        <w:pStyle w:val="BodyText"/>
        <w:spacing w:line="240" w:lineRule="auto" w:before="21"/>
        <w:ind w:right="140"/>
        <w:jc w:val="left"/>
      </w:pPr>
      <w:r>
        <w:rPr>
          <w:spacing w:val="-2"/>
        </w:rPr>
        <w:t>流量，并同意以此数据为基础编制</w:t>
      </w:r>
      <w:r>
        <w:rPr/>
        <w:t> </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10"/>
        </w:rPr>
        <w:t> </w:t>
      </w:r>
      <w:r>
        <w:rPr>
          <w:spacing w:val="-2"/>
        </w:rPr>
        <w:t>年年度报告及摘要，并提交公司董事会进行审议。同时，要求会</w:t>
      </w:r>
    </w:p>
    <w:p>
      <w:pPr>
        <w:pStyle w:val="BodyText"/>
        <w:spacing w:line="240" w:lineRule="auto" w:before="177"/>
        <w:ind w:right="140"/>
        <w:jc w:val="left"/>
      </w:pPr>
      <w:r>
        <w:rPr/>
        <w:t>计师事务所按照计划尽快完成审计工作，以保证公司如期披露 </w:t>
      </w:r>
      <w:r>
        <w:rPr>
          <w:rFonts w:ascii="Times New Roman" w:hAnsi="Times New Roman" w:cs="Times New Roman" w:eastAsia="Times New Roman" w:hint="default"/>
        </w:rPr>
        <w:t>2014</w:t>
      </w:r>
      <w:r>
        <w:rPr>
          <w:rFonts w:ascii="Times New Roman" w:hAnsi="Times New Roman" w:cs="Times New Roman" w:eastAsia="Times New Roman" w:hint="default"/>
          <w:spacing w:val="48"/>
        </w:rPr>
        <w:t> </w:t>
      </w:r>
      <w:r>
        <w:rPr/>
        <w:t>年年度报告及摘要。</w:t>
      </w:r>
    </w:p>
    <w:p>
      <w:pPr>
        <w:spacing w:line="240" w:lineRule="auto" w:before="7"/>
        <w:rPr>
          <w:rFonts w:ascii="宋体" w:hAnsi="宋体" w:cs="宋体" w:eastAsia="宋体" w:hint="default"/>
          <w:sz w:val="16"/>
          <w:szCs w:val="16"/>
        </w:rPr>
      </w:pPr>
    </w:p>
    <w:p>
      <w:pPr>
        <w:pStyle w:val="BodyText"/>
        <w:spacing w:line="386" w:lineRule="auto"/>
        <w:ind w:right="140" w:firstLine="420"/>
        <w:jc w:val="left"/>
      </w:pPr>
      <w:r>
        <w:rPr>
          <w:spacing w:val="-2"/>
        </w:rPr>
        <w:t>（</w:t>
      </w:r>
      <w:r>
        <w:rPr>
          <w:rFonts w:ascii="Times New Roman" w:hAnsi="Times New Roman" w:cs="Times New Roman" w:eastAsia="Times New Roman" w:hint="default"/>
          <w:spacing w:val="-2"/>
        </w:rPr>
        <w:t>4</w:t>
      </w:r>
      <w:r>
        <w:rPr>
          <w:spacing w:val="-2"/>
        </w:rPr>
        <w:t>）在审计过程中注重与年审注册会计师的沟通，积极督促会计师事务所在约定时限内提交审计报</w:t>
      </w:r>
      <w:r>
        <w:rPr>
          <w:w w:val="100"/>
        </w:rPr>
        <w:t> </w:t>
      </w:r>
      <w:r>
        <w:rPr/>
        <w:t>告；</w:t>
      </w:r>
    </w:p>
    <w:p>
      <w:pPr>
        <w:pStyle w:val="BodyText"/>
        <w:spacing w:line="408" w:lineRule="auto" w:before="106"/>
        <w:ind w:right="140" w:firstLine="420"/>
        <w:jc w:val="left"/>
        <w:rPr>
          <w:rFonts w:ascii="Times New Roman" w:hAnsi="Times New Roman" w:cs="Times New Roman" w:eastAsia="Times New Roman" w:hint="default"/>
        </w:rPr>
      </w:pPr>
      <w:r>
        <w:rPr>
          <w:spacing w:val="-2"/>
        </w:rPr>
        <w:t>在审计团队进场以后，审计委员会始终保持与财务部门负责人、内控内审部负责人、主要项目负责</w:t>
      </w:r>
      <w:r>
        <w:rPr>
          <w:w w:val="100"/>
        </w:rPr>
        <w:t> </w:t>
      </w:r>
      <w:r>
        <w:rPr/>
        <w:t>人员的沟通，密切关注审计工作进展情况。在审计过程中，审计委员会分别于</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2015</w:t>
      </w:r>
    </w:p>
    <w:p>
      <w:pPr>
        <w:pStyle w:val="BodyText"/>
        <w:spacing w:line="386" w:lineRule="auto" w:before="14"/>
        <w:ind w:right="140"/>
        <w:jc w:val="left"/>
      </w:pPr>
      <w:r>
        <w:rPr>
          <w:w w:val="100"/>
        </w:rPr>
        <w:t>年</w:t>
      </w:r>
      <w:r>
        <w:rPr>
          <w:spacing w:val="-51"/>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
          <w:w w:val="100"/>
        </w:rPr>
        <w:t> </w:t>
      </w:r>
      <w:r>
        <w:rPr>
          <w:w w:val="100"/>
        </w:rPr>
        <w:t>月</w:t>
      </w:r>
      <w:r>
        <w:rPr>
          <w:spacing w:val="-51"/>
          <w:w w:val="100"/>
        </w:rPr>
        <w:t> </w:t>
      </w:r>
      <w:r>
        <w:rPr>
          <w:rFonts w:ascii="Times New Roman" w:hAnsi="Times New Roman" w:cs="Times New Roman" w:eastAsia="Times New Roman" w:hint="default"/>
          <w:w w:val="100"/>
        </w:rPr>
        <w:t>13</w:t>
      </w:r>
      <w:r>
        <w:rPr>
          <w:rFonts w:ascii="Times New Roman" w:hAnsi="Times New Roman" w:cs="Times New Roman" w:eastAsia="Times New Roman" w:hint="default"/>
          <w:spacing w:val="-1"/>
          <w:w w:val="100"/>
        </w:rPr>
        <w:t> </w:t>
      </w:r>
      <w:r>
        <w:rPr>
          <w:spacing w:val="-5"/>
          <w:w w:val="100"/>
        </w:rPr>
        <w:t>日先后二次发出《督促函》，要求会计师事务所按照审计时间完成审计工作，确保公司</w:t>
      </w:r>
      <w:r>
        <w:rPr>
          <w:spacing w:val="-50"/>
          <w:w w:val="100"/>
        </w:rPr>
        <w:t> </w:t>
      </w:r>
      <w:r>
        <w:rPr>
          <w:rFonts w:ascii="Times New Roman" w:hAnsi="Times New Roman" w:cs="Times New Roman" w:eastAsia="Times New Roman" w:hint="default"/>
          <w:spacing w:val="-1"/>
          <w:w w:val="100"/>
        </w:rPr>
        <w:t>2014 </w:t>
      </w:r>
      <w:r>
        <w:rPr>
          <w:w w:val="100"/>
        </w:rPr>
        <w:t>年 </w:t>
      </w:r>
      <w:r>
        <w:rPr/>
        <w:t>度报告及相关文件按时披露。</w:t>
      </w:r>
    </w:p>
    <w:p>
      <w:pPr>
        <w:pStyle w:val="BodyText"/>
        <w:spacing w:line="240" w:lineRule="auto" w:before="106"/>
        <w:ind w:left="573" w:right="140"/>
        <w:jc w:val="left"/>
      </w:pPr>
      <w:r>
        <w:rPr/>
        <w:t>（</w:t>
      </w:r>
      <w:r>
        <w:rPr>
          <w:rFonts w:ascii="Times New Roman" w:hAnsi="Times New Roman" w:cs="Times New Roman" w:eastAsia="Times New Roman" w:hint="default"/>
        </w:rPr>
        <w:t>5</w:t>
      </w:r>
      <w:r>
        <w:rPr/>
        <w:t>）年审注册会计师出具审计报告后，审计委员会召开会议对公司</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年度财务报告、董事会审</w:t>
      </w:r>
    </w:p>
    <w:p>
      <w:pPr>
        <w:pStyle w:val="BodyText"/>
        <w:spacing w:line="386" w:lineRule="auto" w:before="177"/>
        <w:ind w:right="332"/>
        <w:jc w:val="left"/>
      </w:pPr>
      <w:r>
        <w:rPr/>
        <w:t>计委员会履职情况报告暨关于会计师事务所</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年度审计工作的总结报告，以及聘请公司</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年度审</w:t>
      </w:r>
      <w:r>
        <w:rPr>
          <w:w w:val="100"/>
        </w:rPr>
        <w:t> </w:t>
      </w:r>
      <w:r>
        <w:rPr/>
        <w:t>计机构等事项进行了审议，形成决议后提交董事会进行审核。</w:t>
      </w:r>
    </w:p>
    <w:p>
      <w:pPr>
        <w:pStyle w:val="BodyText"/>
        <w:spacing w:line="240" w:lineRule="auto" w:before="103"/>
        <w:ind w:left="573" w:right="140"/>
        <w:jc w:val="left"/>
      </w:pPr>
      <w:r>
        <w:rPr>
          <w:rFonts w:ascii="Times New Roman" w:hAnsi="Times New Roman" w:cs="Times New Roman" w:eastAsia="Times New Roman" w:hint="default"/>
        </w:rPr>
        <w:t>3</w:t>
      </w:r>
      <w:r>
        <w:rPr/>
        <w:t>、审计委员会关于年审注册会计师从事</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年度审计工作的总结报告</w:t>
      </w:r>
    </w:p>
    <w:p>
      <w:pPr>
        <w:spacing w:line="240" w:lineRule="auto" w:before="9"/>
        <w:rPr>
          <w:rFonts w:ascii="宋体" w:hAnsi="宋体" w:cs="宋体" w:eastAsia="宋体" w:hint="default"/>
          <w:sz w:val="16"/>
          <w:szCs w:val="16"/>
        </w:rPr>
      </w:pPr>
    </w:p>
    <w:p>
      <w:pPr>
        <w:pStyle w:val="BodyText"/>
        <w:spacing w:line="393" w:lineRule="auto"/>
        <w:ind w:right="237" w:firstLine="420"/>
        <w:jc w:val="left"/>
      </w:pPr>
      <w:r>
        <w:rPr/>
        <w:t>审计委员会对</w:t>
      </w:r>
      <w:r>
        <w:rPr>
          <w:spacing w:val="-6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年度会计师事务所的审计工作进行了总结报告，认为年审注册会计师已按照中国</w:t>
      </w:r>
      <w:r>
        <w:rPr>
          <w:w w:val="100"/>
        </w:rPr>
        <w:t> </w:t>
      </w:r>
      <w:r>
        <w:rPr/>
        <w:t>注册会计师审计准则的规定执行了审计工作，审计时间充分，审计人员配置合理、执业能力胜任，出具</w:t>
      </w:r>
      <w:r>
        <w:rPr>
          <w:w w:val="100"/>
        </w:rPr>
        <w:t> </w:t>
      </w:r>
      <w:r>
        <w:rPr/>
        <w:t>的审计报告从重大方面公允地反映了公司</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日的财务状况以及</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年度的经营成果和现</w:t>
      </w:r>
      <w:r>
        <w:rPr>
          <w:w w:val="100"/>
        </w:rPr>
        <w:t> </w:t>
      </w:r>
      <w:r>
        <w:rPr/>
        <w:t>金流量，出具的审计结论符合公司的实际情况。</w:t>
      </w:r>
    </w:p>
    <w:p>
      <w:pPr>
        <w:pStyle w:val="Heading4"/>
        <w:spacing w:line="240" w:lineRule="auto" w:before="100"/>
        <w:ind w:left="575" w:right="140"/>
        <w:jc w:val="left"/>
        <w:rPr>
          <w:b w:val="0"/>
          <w:bCs w:val="0"/>
        </w:rPr>
      </w:pPr>
      <w:r>
        <w:rPr/>
        <w:t>（二）提名委员会履职情况</w:t>
      </w:r>
      <w:r>
        <w:rPr>
          <w:b w:val="0"/>
          <w:bCs w:val="0"/>
        </w:rPr>
      </w:r>
    </w:p>
    <w:p>
      <w:pPr>
        <w:spacing w:line="240" w:lineRule="auto" w:before="9"/>
        <w:rPr>
          <w:rFonts w:ascii="宋体" w:hAnsi="宋体" w:cs="宋体" w:eastAsia="宋体" w:hint="default"/>
          <w:b/>
          <w:bCs/>
          <w:sz w:val="17"/>
          <w:szCs w:val="17"/>
        </w:rPr>
      </w:pPr>
    </w:p>
    <w:p>
      <w:pPr>
        <w:pStyle w:val="BodyText"/>
        <w:spacing w:line="240" w:lineRule="auto"/>
        <w:ind w:left="573" w:right="140"/>
        <w:jc w:val="left"/>
      </w:pPr>
      <w:r>
        <w:rPr/>
        <w:t>报告期内，董事会提名委员会共召开</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次会议，主要工作情况如下：</w:t>
      </w:r>
    </w:p>
    <w:p>
      <w:pPr>
        <w:spacing w:line="240" w:lineRule="auto" w:before="9"/>
        <w:rPr>
          <w:rFonts w:ascii="宋体" w:hAnsi="宋体" w:cs="宋体" w:eastAsia="宋体" w:hint="default"/>
          <w:sz w:val="16"/>
          <w:szCs w:val="16"/>
        </w:rPr>
      </w:pPr>
    </w:p>
    <w:p>
      <w:pPr>
        <w:pStyle w:val="BodyText"/>
        <w:spacing w:line="386" w:lineRule="auto"/>
        <w:ind w:right="140" w:firstLine="42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日，董事会提名委员会召开</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年第一次会议，审议通过了《关于董事会提名第</w:t>
      </w:r>
      <w:r>
        <w:rPr>
          <w:w w:val="100"/>
        </w:rPr>
        <w:t> </w:t>
      </w:r>
      <w:r>
        <w:rPr>
          <w:spacing w:val="-6"/>
          <w:w w:val="100"/>
        </w:rPr>
        <w:t>七届董事会董事候选人、独立董事候选人的审核意见》。</w:t>
      </w:r>
    </w:p>
    <w:p>
      <w:pPr>
        <w:pStyle w:val="BodyText"/>
        <w:spacing w:line="386" w:lineRule="auto" w:before="106"/>
        <w:ind w:right="140" w:firstLine="420"/>
        <w:jc w:val="left"/>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spacing w:val="-3"/>
        </w:rPr>
        <w:t>日，董事会提名委员会召开</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spacing w:val="-3"/>
        </w:rPr>
        <w:t>年度第二次会议，审议通过了《关于董事会提名</w:t>
      </w:r>
      <w:r>
        <w:rPr>
          <w:w w:val="100"/>
        </w:rPr>
        <w:t> </w:t>
      </w:r>
      <w:r>
        <w:rPr>
          <w:spacing w:val="-6"/>
          <w:w w:val="100"/>
        </w:rPr>
        <w:t>第六届董事会董事候选人、独立董事候选人的审核意见》。</w:t>
      </w:r>
    </w:p>
    <w:p>
      <w:pPr>
        <w:spacing w:after="0" w:line="386" w:lineRule="auto"/>
        <w:jc w:val="left"/>
        <w:sectPr>
          <w:pgSz w:w="11910" w:h="16840"/>
          <w:pgMar w:header="0" w:footer="1227" w:top="1100" w:bottom="1420" w:left="980" w:right="980"/>
        </w:sectPr>
      </w:pPr>
    </w:p>
    <w:p>
      <w:pPr>
        <w:spacing w:line="240" w:lineRule="auto" w:before="9"/>
        <w:rPr>
          <w:rFonts w:ascii="宋体" w:hAnsi="宋体" w:cs="宋体" w:eastAsia="宋体" w:hint="default"/>
          <w:sz w:val="26"/>
          <w:szCs w:val="26"/>
        </w:rPr>
      </w:pPr>
    </w:p>
    <w:p>
      <w:pPr>
        <w:pStyle w:val="BodyText"/>
        <w:spacing w:line="386" w:lineRule="auto" w:before="36"/>
        <w:ind w:right="140" w:firstLine="420"/>
        <w:jc w:val="left"/>
      </w:pP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22</w:t>
      </w:r>
      <w:r>
        <w:rPr>
          <w:rFonts w:ascii="Times New Roman" w:hAnsi="Times New Roman" w:cs="Times New Roman" w:eastAsia="Times New Roman" w:hint="default"/>
          <w:spacing w:val="7"/>
        </w:rPr>
        <w:t> </w:t>
      </w:r>
      <w:r>
        <w:rPr>
          <w:spacing w:val="-3"/>
        </w:rPr>
        <w:t>日，董事会提名委员会召开</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spacing w:val="-3"/>
        </w:rPr>
        <w:t>年度第三次会议，审议通过了《关于提名公司新</w:t>
      </w:r>
      <w:r>
        <w:rPr>
          <w:w w:val="100"/>
        </w:rPr>
        <w:t> </w:t>
      </w:r>
      <w:r>
        <w:rPr>
          <w:spacing w:val="-9"/>
          <w:w w:val="100"/>
        </w:rPr>
        <w:t>一任高级管理人员的审核意见》。</w:t>
      </w:r>
    </w:p>
    <w:p>
      <w:pPr>
        <w:pStyle w:val="BodyText"/>
        <w:spacing w:line="386" w:lineRule="auto" w:before="106"/>
        <w:ind w:right="140" w:firstLine="420"/>
        <w:jc w:val="left"/>
      </w:pP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spacing w:val="-3"/>
        </w:rPr>
        <w:t>日，董事会提名委员会召开</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spacing w:val="-3"/>
        </w:rPr>
        <w:t>年第四次会议，审议通过了《关于提名公司第六</w:t>
      </w:r>
      <w:r>
        <w:rPr>
          <w:w w:val="100"/>
        </w:rPr>
        <w:t> </w:t>
      </w:r>
      <w:r>
        <w:rPr>
          <w:spacing w:val="-7"/>
          <w:w w:val="100"/>
        </w:rPr>
        <w:t>届董事会独立董事候选人的审核意见》。</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4"/>
        <w:spacing w:line="240" w:lineRule="auto"/>
        <w:ind w:left="575" w:right="140"/>
        <w:jc w:val="left"/>
        <w:rPr>
          <w:b w:val="0"/>
          <w:bCs w:val="0"/>
        </w:rPr>
      </w:pPr>
      <w:r>
        <w:rPr/>
        <w:t>（三）战略委员会履职情况</w:t>
      </w:r>
      <w:r>
        <w:rPr>
          <w:b w:val="0"/>
          <w:bCs w:val="0"/>
        </w:rPr>
      </w:r>
    </w:p>
    <w:p>
      <w:pPr>
        <w:spacing w:line="240" w:lineRule="auto" w:before="12"/>
        <w:rPr>
          <w:rFonts w:ascii="宋体" w:hAnsi="宋体" w:cs="宋体" w:eastAsia="宋体" w:hint="default"/>
          <w:b/>
          <w:bCs/>
          <w:sz w:val="17"/>
          <w:szCs w:val="17"/>
        </w:rPr>
      </w:pPr>
    </w:p>
    <w:p>
      <w:pPr>
        <w:pStyle w:val="BodyText"/>
        <w:spacing w:line="240" w:lineRule="auto"/>
        <w:ind w:left="573" w:right="140"/>
        <w:jc w:val="left"/>
      </w:pPr>
      <w:r>
        <w:rPr/>
        <w:t>报告期内，董事会战略委员会共召开</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次会议，主要工作情况如下：</w:t>
      </w:r>
    </w:p>
    <w:p>
      <w:pPr>
        <w:spacing w:line="240" w:lineRule="auto" w:before="6"/>
        <w:rPr>
          <w:rFonts w:ascii="宋体" w:hAnsi="宋体" w:cs="宋体" w:eastAsia="宋体" w:hint="default"/>
          <w:sz w:val="16"/>
          <w:szCs w:val="16"/>
        </w:rPr>
      </w:pPr>
    </w:p>
    <w:p>
      <w:pPr>
        <w:pStyle w:val="BodyText"/>
        <w:spacing w:line="386" w:lineRule="auto"/>
        <w:ind w:right="140" w:firstLine="42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日，董事会战略委员会召开</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年度第一次会议，审议通过了《</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年度发展战略</w:t>
      </w:r>
      <w:r>
        <w:rPr>
          <w:w w:val="100"/>
        </w:rPr>
        <w:t> </w:t>
      </w:r>
      <w:r>
        <w:rPr>
          <w:spacing w:val="-16"/>
          <w:w w:val="100"/>
        </w:rPr>
        <w:t>和实施计划》。</w:t>
      </w:r>
    </w:p>
    <w:p>
      <w:pPr>
        <w:spacing w:line="444" w:lineRule="auto" w:before="106"/>
        <w:ind w:left="573" w:right="2425" w:firstLine="2"/>
        <w:jc w:val="left"/>
        <w:rPr>
          <w:rFonts w:ascii="宋体" w:hAnsi="宋体" w:cs="宋体" w:eastAsia="宋体" w:hint="default"/>
          <w:sz w:val="21"/>
          <w:szCs w:val="21"/>
        </w:rPr>
      </w:pPr>
      <w:r>
        <w:rPr>
          <w:rFonts w:ascii="宋体" w:hAnsi="宋体" w:cs="宋体" w:eastAsia="宋体" w:hint="default"/>
          <w:b/>
          <w:bCs/>
          <w:sz w:val="21"/>
          <w:szCs w:val="21"/>
        </w:rPr>
        <w:t>（四）薪酬与考核委员会履职情况</w:t>
      </w:r>
      <w:r>
        <w:rPr>
          <w:rFonts w:ascii="宋体" w:hAnsi="宋体" w:cs="宋体" w:eastAsia="宋体" w:hint="default"/>
          <w:b/>
          <w:bCs/>
          <w:w w:val="100"/>
          <w:sz w:val="21"/>
          <w:szCs w:val="21"/>
        </w:rPr>
        <w:t> </w:t>
      </w:r>
      <w:r>
        <w:rPr>
          <w:rFonts w:ascii="宋体" w:hAnsi="宋体" w:cs="宋体" w:eastAsia="宋体" w:hint="default"/>
          <w:sz w:val="21"/>
          <w:szCs w:val="21"/>
        </w:rPr>
        <w:t>报告期内，董事会薪酬与考核委员会共召开</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次会议，主要工作情况如下：</w:t>
      </w:r>
    </w:p>
    <w:p>
      <w:pPr>
        <w:pStyle w:val="BodyText"/>
        <w:spacing w:line="240" w:lineRule="auto" w:before="18"/>
        <w:ind w:left="573" w:right="14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日，薪酬与考核委员会召开</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年第一次会议，经与会委员认真审议，对董事、监</w:t>
      </w:r>
    </w:p>
    <w:p>
      <w:pPr>
        <w:pStyle w:val="BodyText"/>
        <w:spacing w:line="240" w:lineRule="auto" w:before="177"/>
        <w:ind w:right="140"/>
        <w:jc w:val="left"/>
      </w:pPr>
      <w:r>
        <w:rPr/>
        <w:t>事及高管人员</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年度薪酬进行了审核，并发表了如下审核意见：</w:t>
      </w:r>
    </w:p>
    <w:p>
      <w:pPr>
        <w:spacing w:line="240" w:lineRule="auto" w:before="9"/>
        <w:rPr>
          <w:rFonts w:ascii="宋体" w:hAnsi="宋体" w:cs="宋体" w:eastAsia="宋体" w:hint="default"/>
          <w:sz w:val="16"/>
          <w:szCs w:val="16"/>
        </w:rPr>
      </w:pPr>
    </w:p>
    <w:p>
      <w:pPr>
        <w:pStyle w:val="BodyText"/>
        <w:spacing w:line="398" w:lineRule="auto"/>
        <w:ind w:right="140" w:firstLine="42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18"/>
        </w:rPr>
        <w:t> </w:t>
      </w:r>
      <w:r>
        <w:rPr/>
        <w:t>年度，公司董事、监事及高管人员能够恪尽职守，忠实勤勉履行职责，公司董事、监事、</w:t>
      </w:r>
      <w:r>
        <w:rPr>
          <w:w w:val="100"/>
        </w:rPr>
        <w:t> </w:t>
      </w:r>
      <w:r>
        <w:rPr/>
        <w:t>高级管理人员津贴（薪酬）的水平、考核及发放情况符合公司薪酬管理制度，薪酬的决策程序符合相关</w:t>
      </w:r>
      <w:r>
        <w:rPr>
          <w:w w:val="100"/>
        </w:rPr>
        <w:t> </w:t>
      </w:r>
      <w:r>
        <w:rPr/>
        <w:t>法律、法规等有关规定。</w:t>
      </w:r>
    </w:p>
    <w:p>
      <w:pPr>
        <w:pStyle w:val="BodyText"/>
        <w:spacing w:line="240" w:lineRule="auto" w:before="95"/>
        <w:ind w:left="573" w:right="140"/>
        <w:jc w:val="left"/>
      </w:pPr>
      <w:r>
        <w:rPr/>
        <w:t>（</w:t>
      </w:r>
      <w:r>
        <w:rPr>
          <w:rFonts w:ascii="Times New Roman" w:hAnsi="Times New Roman" w:cs="Times New Roman" w:eastAsia="Times New Roman" w:hint="default"/>
        </w:rPr>
        <w:t>2</w:t>
      </w:r>
      <w:r>
        <w:rPr/>
        <w:t>）公司没有实施股权激励。</w:t>
      </w:r>
    </w:p>
    <w:p>
      <w:pPr>
        <w:spacing w:line="240" w:lineRule="auto" w:before="6"/>
        <w:rPr>
          <w:rFonts w:ascii="宋体" w:hAnsi="宋体" w:cs="宋体" w:eastAsia="宋体" w:hint="default"/>
          <w:sz w:val="28"/>
          <w:szCs w:val="28"/>
        </w:rPr>
      </w:pPr>
    </w:p>
    <w:p>
      <w:pPr>
        <w:pStyle w:val="Heading2"/>
        <w:spacing w:line="240" w:lineRule="auto" w:before="0"/>
        <w:ind w:right="140"/>
        <w:jc w:val="left"/>
        <w:rPr>
          <w:b w:val="0"/>
          <w:bCs w:val="0"/>
        </w:rPr>
      </w:pPr>
      <w:r>
        <w:rPr/>
        <w:t>五、监事会工作情况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140"/>
        <w:jc w:val="left"/>
      </w:pPr>
      <w:r>
        <w:rPr/>
        <w:t>监事会在报告期内的监督活动中发现公司是否存在风险</w:t>
      </w:r>
    </w:p>
    <w:p>
      <w:pPr>
        <w:spacing w:line="240" w:lineRule="auto" w:before="12"/>
        <w:rPr>
          <w:rFonts w:ascii="宋体" w:hAnsi="宋体" w:cs="宋体" w:eastAsia="宋体" w:hint="default"/>
          <w:sz w:val="17"/>
          <w:szCs w:val="17"/>
        </w:rPr>
      </w:pPr>
    </w:p>
    <w:p>
      <w:pPr>
        <w:pStyle w:val="BodyText"/>
        <w:spacing w:line="417" w:lineRule="auto"/>
        <w:ind w:right="562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before="0"/>
        <w:ind w:right="140"/>
        <w:jc w:val="left"/>
        <w:rPr>
          <w:b w:val="0"/>
          <w:bCs w:val="0"/>
        </w:rPr>
      </w:pPr>
      <w:r>
        <w:rPr/>
        <w:t>六、公司相对于控股股东在业务、人员、资产、机构、财务等方面的独立完整情况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40" w:firstLine="420"/>
        <w:jc w:val="left"/>
      </w:pPr>
      <w:r>
        <w:rPr>
          <w:spacing w:val="-2"/>
        </w:rPr>
        <w:t>本公司法人治理结构比较健全，公司与控股股东在业务、人员、资产、机构和财务上完全独立，具</w:t>
      </w:r>
      <w:r>
        <w:rPr>
          <w:w w:val="100"/>
        </w:rPr>
        <w:t> </w:t>
      </w:r>
      <w:r>
        <w:rPr/>
        <w:t>有较为独立完整的业务及自主经营能力。具体情况如下：</w:t>
      </w:r>
    </w:p>
    <w:p>
      <w:pPr>
        <w:pStyle w:val="BodyText"/>
        <w:spacing w:line="386" w:lineRule="auto" w:before="87"/>
        <w:ind w:right="140" w:firstLine="420"/>
        <w:jc w:val="left"/>
      </w:pPr>
      <w:r>
        <w:rPr>
          <w:rFonts w:ascii="Times New Roman" w:hAnsi="Times New Roman" w:cs="Times New Roman" w:eastAsia="Times New Roman" w:hint="default"/>
          <w:spacing w:val="-2"/>
        </w:rPr>
        <w:t>1</w:t>
      </w:r>
      <w:r>
        <w:rPr>
          <w:spacing w:val="-2"/>
        </w:rPr>
        <w:t>、业务方面：公司拥有自身独立的业务和自主经营权，与控股股东不存在同业竞争或者潜在的同业</w:t>
      </w:r>
      <w:r>
        <w:rPr>
          <w:w w:val="100"/>
        </w:rPr>
        <w:t> </w:t>
      </w:r>
      <w:r>
        <w:rPr/>
        <w:t>竞争；</w:t>
      </w:r>
    </w:p>
    <w:p>
      <w:pPr>
        <w:spacing w:after="0" w:line="386" w:lineRule="auto"/>
        <w:jc w:val="left"/>
        <w:sectPr>
          <w:pgSz w:w="11910" w:h="16840"/>
          <w:pgMar w:header="0" w:footer="1227" w:top="1100" w:bottom="1420" w:left="980" w:right="980"/>
        </w:sectPr>
      </w:pPr>
    </w:p>
    <w:p>
      <w:pPr>
        <w:spacing w:line="240" w:lineRule="auto" w:before="9"/>
        <w:rPr>
          <w:rFonts w:ascii="宋体" w:hAnsi="宋体" w:cs="宋体" w:eastAsia="宋体" w:hint="default"/>
          <w:sz w:val="26"/>
          <w:szCs w:val="26"/>
        </w:rPr>
      </w:pPr>
    </w:p>
    <w:p>
      <w:pPr>
        <w:pStyle w:val="BodyText"/>
        <w:spacing w:line="400" w:lineRule="auto" w:before="36"/>
        <w:ind w:right="140" w:firstLine="420"/>
        <w:jc w:val="left"/>
      </w:pPr>
      <w:r>
        <w:rPr>
          <w:rFonts w:ascii="Times New Roman" w:hAnsi="Times New Roman" w:cs="Times New Roman" w:eastAsia="Times New Roman" w:hint="default"/>
          <w:spacing w:val="-2"/>
        </w:rPr>
        <w:t>2</w:t>
      </w:r>
      <w:r>
        <w:rPr>
          <w:spacing w:val="-2"/>
        </w:rPr>
        <w:t>、人员方面：公司人员独立于控股股东，具有独立的劳动人事管理部门，制定独立的劳动、人事及</w:t>
      </w:r>
      <w:r>
        <w:rPr>
          <w:w w:val="100"/>
        </w:rPr>
        <w:t> </w:t>
      </w:r>
      <w:r>
        <w:rPr/>
        <w:t>薪酬管理制度。公司总裁、副总裁、财务负责人、董事会秘书等高级管理人员未在控股股东单位担任除</w:t>
      </w:r>
      <w:r>
        <w:rPr>
          <w:w w:val="100"/>
        </w:rPr>
        <w:t> </w:t>
      </w:r>
      <w:r>
        <w:rPr/>
        <w:t>董事外的其他职务，没有在控股股东单位领取报酬。公司的董事、监事及高级管理人员均通过合法程序</w:t>
      </w:r>
      <w:r>
        <w:rPr>
          <w:w w:val="100"/>
        </w:rPr>
        <w:t> </w:t>
      </w:r>
      <w:r>
        <w:rPr/>
        <w:t>选聘，无控股股东干预公司董事会和股东大会已做出的人事任免决定的情况；</w:t>
      </w:r>
    </w:p>
    <w:p>
      <w:pPr>
        <w:pStyle w:val="BodyText"/>
        <w:spacing w:line="398" w:lineRule="auto" w:before="93"/>
        <w:ind w:right="140" w:firstLine="420"/>
        <w:jc w:val="left"/>
      </w:pPr>
      <w:r>
        <w:rPr>
          <w:rFonts w:ascii="Times New Roman" w:hAnsi="Times New Roman" w:cs="Times New Roman" w:eastAsia="Times New Roman" w:hint="default"/>
          <w:spacing w:val="-2"/>
        </w:rPr>
        <w:t>3</w:t>
      </w:r>
      <w:r>
        <w:rPr>
          <w:spacing w:val="-2"/>
        </w:rPr>
        <w:t>、资产方面：公司主要资产产权清晰，拥有完整的与生产经营有关的生产系统、辅助生产系统和配</w:t>
      </w:r>
      <w:r>
        <w:rPr>
          <w:w w:val="100"/>
        </w:rPr>
        <w:t> </w:t>
      </w:r>
      <w:r>
        <w:rPr/>
        <w:t>套设施；对与生产经营相关的厂房、土地、设备以及商标、非专利技术等资产均合法拥有所有权。公司</w:t>
      </w:r>
      <w:r>
        <w:rPr>
          <w:w w:val="100"/>
        </w:rPr>
        <w:t> </w:t>
      </w:r>
      <w:r>
        <w:rPr/>
        <w:t>不存在控股股东占用公司资金的情形，也未向控股股东提供任何担保；</w:t>
      </w:r>
    </w:p>
    <w:p>
      <w:pPr>
        <w:pStyle w:val="BodyText"/>
        <w:spacing w:line="398" w:lineRule="auto" w:before="93"/>
        <w:ind w:right="140" w:firstLine="420"/>
        <w:jc w:val="left"/>
      </w:pPr>
      <w:r>
        <w:rPr>
          <w:rFonts w:ascii="Times New Roman" w:hAnsi="Times New Roman" w:cs="Times New Roman" w:eastAsia="Times New Roman" w:hint="default"/>
          <w:spacing w:val="-2"/>
        </w:rPr>
        <w:t>4</w:t>
      </w:r>
      <w:r>
        <w:rPr>
          <w:spacing w:val="-2"/>
        </w:rPr>
        <w:t>、机构方面：公司设立了完全独立于控股股东的组织机构，公司董事会、监事会及其他内部机构独</w:t>
      </w:r>
      <w:r>
        <w:rPr>
          <w:w w:val="100"/>
        </w:rPr>
        <w:t> </w:t>
      </w:r>
      <w:r>
        <w:rPr/>
        <w:t>立运作，不存在与控股股东职能部门之间的从属关系。公司具有独立的办公机构，所有职能部门均独立</w:t>
      </w:r>
      <w:r>
        <w:rPr>
          <w:w w:val="100"/>
        </w:rPr>
        <w:t> </w:t>
      </w:r>
      <w:r>
        <w:rPr/>
        <w:t>行使职权，独立开展经营活动，不存在混合经营、合署办公情形；</w:t>
      </w:r>
    </w:p>
    <w:p>
      <w:pPr>
        <w:pStyle w:val="BodyText"/>
        <w:spacing w:line="398" w:lineRule="auto" w:before="95"/>
        <w:ind w:right="140" w:firstLine="420"/>
        <w:jc w:val="left"/>
      </w:pPr>
      <w:r>
        <w:rPr>
          <w:rFonts w:ascii="Times New Roman" w:hAnsi="Times New Roman" w:cs="Times New Roman" w:eastAsia="Times New Roman" w:hint="default"/>
          <w:spacing w:val="-2"/>
        </w:rPr>
        <w:t>5</w:t>
      </w:r>
      <w:r>
        <w:rPr>
          <w:spacing w:val="-2"/>
        </w:rPr>
        <w:t>、财务方面：公司设有独立的财务管理部门和财务人员，建立了独立的会计核算体系和财务管理制</w:t>
      </w:r>
      <w:r>
        <w:rPr>
          <w:w w:val="100"/>
        </w:rPr>
        <w:t> </w:t>
      </w:r>
      <w:r>
        <w:rPr/>
        <w:t>度，独立进行财务决策；独立在银行开户，没有与控股股东共用一个银行账户；独立进行税务登记，独</w:t>
      </w:r>
      <w:r>
        <w:rPr>
          <w:w w:val="100"/>
        </w:rPr>
        <w:t> </w:t>
      </w:r>
      <w:r>
        <w:rPr/>
        <w:t>立依法纳税。</w:t>
      </w:r>
    </w:p>
    <w:p>
      <w:pPr>
        <w:spacing w:line="240" w:lineRule="auto" w:before="4"/>
        <w:rPr>
          <w:rFonts w:ascii="宋体" w:hAnsi="宋体" w:cs="宋体" w:eastAsia="宋体" w:hint="default"/>
          <w:sz w:val="19"/>
          <w:szCs w:val="19"/>
        </w:rPr>
      </w:pPr>
    </w:p>
    <w:p>
      <w:pPr>
        <w:pStyle w:val="Heading2"/>
        <w:spacing w:line="240" w:lineRule="auto" w:before="0"/>
        <w:ind w:right="140"/>
        <w:jc w:val="left"/>
        <w:rPr>
          <w:b w:val="0"/>
          <w:bCs w:val="0"/>
        </w:rPr>
      </w:pPr>
      <w:r>
        <w:rPr/>
        <w:t>七、同业竞争情况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8"/>
          <w:szCs w:val="28"/>
        </w:rPr>
      </w:pPr>
    </w:p>
    <w:p>
      <w:pPr>
        <w:pStyle w:val="Heading2"/>
        <w:spacing w:line="240" w:lineRule="auto" w:before="0"/>
        <w:ind w:right="140"/>
        <w:jc w:val="left"/>
        <w:rPr>
          <w:b w:val="0"/>
          <w:bCs w:val="0"/>
        </w:rPr>
      </w:pPr>
      <w:r>
        <w:rPr/>
        <w:t>八、高级管理人员的考评及激励情况</w:t>
      </w:r>
      <w:r>
        <w:rPr>
          <w:b w:val="0"/>
          <w:bCs w:val="0"/>
        </w:rPr>
      </w:r>
    </w:p>
    <w:p>
      <w:pPr>
        <w:spacing w:line="240" w:lineRule="auto" w:before="10"/>
        <w:rPr>
          <w:rFonts w:ascii="宋体" w:hAnsi="宋体" w:cs="宋体" w:eastAsia="宋体" w:hint="default"/>
          <w:b/>
          <w:bCs/>
          <w:sz w:val="30"/>
          <w:szCs w:val="30"/>
        </w:rPr>
      </w:pPr>
    </w:p>
    <w:p>
      <w:pPr>
        <w:pStyle w:val="BodyText"/>
        <w:spacing w:line="398" w:lineRule="auto"/>
        <w:ind w:right="140" w:firstLine="420"/>
        <w:jc w:val="left"/>
      </w:pPr>
      <w:r>
        <w:rPr>
          <w:spacing w:val="-7"/>
          <w:w w:val="100"/>
        </w:rPr>
        <w:t>报告期内，公司高级管理人员严格按照《公司法》、《公司章程》及有关法律法规认真履行职责，积</w:t>
      </w:r>
      <w:r>
        <w:rPr>
          <w:w w:val="100"/>
        </w:rPr>
        <w:t> </w:t>
      </w:r>
      <w:r>
        <w:rPr>
          <w:spacing w:val="-3"/>
        </w:rPr>
        <w:t>极落实公司股东大会和董事会各项决议。公司高级管理人员依据其在公司的任职岗位领取相应薪酬</w:t>
      </w:r>
      <w:r>
        <w:rPr>
          <w:rFonts w:ascii="Times New Roman" w:hAnsi="Times New Roman" w:cs="Times New Roman" w:eastAsia="Times New Roman" w:hint="default"/>
          <w:spacing w:val="-3"/>
        </w:rPr>
        <w:t>, </w:t>
      </w:r>
      <w:r>
        <w:rPr>
          <w:spacing w:val="-3"/>
        </w:rPr>
        <w:t>并经</w:t>
      </w:r>
      <w:r>
        <w:rPr>
          <w:spacing w:val="-90"/>
        </w:rPr>
        <w:t> </w:t>
      </w:r>
      <w:r>
        <w:rPr/>
        <w:t>董事会薪酬与考核委员会考评。报告期内，公司未实施股权激励计划。</w:t>
      </w:r>
    </w:p>
    <w:p>
      <w:pPr>
        <w:spacing w:after="0" w:line="398" w:lineRule="auto"/>
        <w:jc w:val="left"/>
        <w:sectPr>
          <w:pgSz w:w="11910" w:h="16840"/>
          <w:pgMar w:header="0"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330" w:right="2424"/>
        <w:jc w:val="center"/>
        <w:rPr>
          <w:b w:val="0"/>
          <w:bCs w:val="0"/>
        </w:rPr>
      </w:pPr>
      <w:bookmarkStart w:name="_TOC_250002" w:id="10"/>
      <w:r>
        <w:rPr/>
        <w:t>第十节内部控制</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140"/>
        <w:jc w:val="left"/>
        <w:rPr>
          <w:b w:val="0"/>
          <w:bCs w:val="0"/>
        </w:rPr>
      </w:pPr>
      <w:r>
        <w:rPr/>
        <w:t>一、内部控制建设情况</w:t>
      </w:r>
      <w:r>
        <w:rPr>
          <w:b w:val="0"/>
          <w:bCs w:val="0"/>
        </w:rPr>
      </w:r>
    </w:p>
    <w:p>
      <w:pPr>
        <w:spacing w:line="240" w:lineRule="auto" w:before="8"/>
        <w:rPr>
          <w:rFonts w:ascii="宋体" w:hAnsi="宋体" w:cs="宋体" w:eastAsia="宋体" w:hint="default"/>
          <w:b/>
          <w:bCs/>
          <w:sz w:val="30"/>
          <w:szCs w:val="30"/>
        </w:rPr>
      </w:pPr>
    </w:p>
    <w:p>
      <w:pPr>
        <w:pStyle w:val="BodyText"/>
        <w:spacing w:line="393" w:lineRule="auto"/>
        <w:ind w:right="248" w:firstLine="42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年度是公司完成重大资产重组后的第一年，公司董事会及高管层高度重视内部控制建设工作，</w:t>
      </w:r>
      <w:r>
        <w:rPr>
          <w:w w:val="100"/>
        </w:rPr>
        <w:t> </w:t>
      </w:r>
      <w:r>
        <w:rPr/>
        <w:t>新一任董事会和高管层立即着手内部组织架构和职能部门的设置、内部管理制度和流程的梳理与完善等</w:t>
      </w:r>
      <w:r>
        <w:rPr>
          <w:w w:val="100"/>
        </w:rPr>
        <w:t> </w:t>
      </w:r>
      <w:r>
        <w:rPr>
          <w:spacing w:val="-4"/>
          <w:w w:val="100"/>
        </w:rPr>
        <w:t>内部控制建设工作，重新拟定《</w:t>
      </w:r>
      <w:r>
        <w:rPr>
          <w:rFonts w:ascii="Times New Roman" w:hAnsi="Times New Roman" w:cs="Times New Roman" w:eastAsia="Times New Roman" w:hint="default"/>
          <w:spacing w:val="-4"/>
          <w:w w:val="100"/>
        </w:rPr>
        <w:t>2014</w:t>
      </w:r>
      <w:r>
        <w:rPr>
          <w:rFonts w:ascii="Times New Roman" w:hAnsi="Times New Roman" w:cs="Times New Roman" w:eastAsia="Times New Roman" w:hint="default"/>
          <w:spacing w:val="8"/>
          <w:w w:val="100"/>
        </w:rPr>
        <w:t> </w:t>
      </w:r>
      <w:r>
        <w:rPr>
          <w:spacing w:val="-6"/>
          <w:w w:val="100"/>
        </w:rPr>
        <w:t>年度内部控制规范实施工作方案》，成立了内部控制规范领导小组及</w:t>
      </w:r>
      <w:r>
        <w:rPr>
          <w:spacing w:val="-103"/>
          <w:w w:val="100"/>
        </w:rPr>
        <w:t> </w:t>
      </w:r>
      <w:r>
        <w:rPr>
          <w:spacing w:val="-103"/>
          <w:w w:val="100"/>
        </w:rPr>
      </w:r>
      <w:r>
        <w:rPr/>
        <w:t>实施推进小组，明确了分管领导、责任部门、工作计划及完成时间等事项，主要工作情况如下：</w:t>
      </w:r>
    </w:p>
    <w:p>
      <w:pPr>
        <w:spacing w:line="417" w:lineRule="auto" w:before="100"/>
        <w:ind w:left="573" w:right="14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、建立健全内部组织机构</w:t>
      </w:r>
      <w:r>
        <w:rPr>
          <w:rFonts w:ascii="宋体" w:hAnsi="宋体" w:cs="宋体" w:eastAsia="宋体" w:hint="default"/>
          <w:b/>
          <w:bCs/>
          <w:w w:val="100"/>
          <w:sz w:val="21"/>
          <w:szCs w:val="21"/>
        </w:rPr>
        <w:t> </w:t>
      </w:r>
      <w:r>
        <w:rPr>
          <w:rFonts w:ascii="宋体" w:hAnsi="宋体" w:cs="宋体" w:eastAsia="宋体" w:hint="default"/>
          <w:spacing w:val="-2"/>
          <w:sz w:val="21"/>
          <w:szCs w:val="21"/>
        </w:rPr>
        <w:t>公司按照法律、法规的规定以及监管部门的要求，设立了符合公司业务规模和经营管理需要的组织</w:t>
      </w:r>
    </w:p>
    <w:p>
      <w:pPr>
        <w:pStyle w:val="BodyText"/>
        <w:spacing w:line="408" w:lineRule="auto" w:before="37"/>
        <w:ind w:right="140"/>
        <w:jc w:val="left"/>
      </w:pPr>
      <w:r>
        <w:rPr>
          <w:spacing w:val="-2"/>
        </w:rPr>
        <w:t>架构，确保了公司股东大会、董事会、监事会等机构的运作规范、有效；合理设置部门和岗位，科学划</w:t>
      </w:r>
      <w:r>
        <w:rPr>
          <w:spacing w:val="-21"/>
        </w:rPr>
        <w:t> </w:t>
      </w:r>
      <w:r>
        <w:rPr>
          <w:spacing w:val="-21"/>
        </w:rPr>
      </w:r>
      <w:r>
        <w:rPr/>
        <w:t>分职责和权限，形成各司其职、各负其责、相互配合、相互制约、环环相扣的内部控制体系。</w:t>
      </w:r>
    </w:p>
    <w:p>
      <w:pPr>
        <w:spacing w:line="420" w:lineRule="auto" w:before="87"/>
        <w:ind w:left="573" w:right="14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、拟定内控实施方案、成立内控工作组</w:t>
      </w:r>
      <w:r>
        <w:rPr>
          <w:rFonts w:ascii="宋体" w:hAnsi="宋体" w:cs="宋体" w:eastAsia="宋体" w:hint="default"/>
          <w:b/>
          <w:bCs/>
          <w:w w:val="100"/>
          <w:sz w:val="21"/>
          <w:szCs w:val="21"/>
        </w:rPr>
        <w:t> </w:t>
      </w:r>
      <w:r>
        <w:rPr>
          <w:rFonts w:ascii="宋体" w:hAnsi="宋体" w:cs="宋体" w:eastAsia="宋体" w:hint="default"/>
          <w:spacing w:val="-2"/>
          <w:sz w:val="21"/>
          <w:szCs w:val="21"/>
        </w:rPr>
        <w:t>为有序推进内部控制规范体系建设工作、提升公司经营管理水平和风险防范能力，进一步促进公司</w:t>
      </w:r>
    </w:p>
    <w:p>
      <w:pPr>
        <w:pStyle w:val="BodyText"/>
        <w:spacing w:line="398" w:lineRule="auto" w:before="35"/>
        <w:ind w:right="140"/>
        <w:jc w:val="left"/>
      </w:pPr>
      <w:r>
        <w:rPr/>
        <w:t>健康持续稳步发展、保护投资者利益，公司根据财政部、中国证监会等五部委颁布的《企业内部控制基</w:t>
      </w:r>
      <w:r>
        <w:rPr>
          <w:w w:val="100"/>
        </w:rPr>
        <w:t> </w:t>
      </w:r>
      <w:r>
        <w:rPr>
          <w:spacing w:val="-10"/>
          <w:w w:val="100"/>
        </w:rPr>
        <w:t>本规范》及相关配套指引的文件精神，拟定了《</w:t>
      </w:r>
      <w:r>
        <w:rPr>
          <w:rFonts w:ascii="Times New Roman" w:hAnsi="Times New Roman" w:cs="Times New Roman" w:eastAsia="Times New Roman" w:hint="default"/>
          <w:spacing w:val="-10"/>
          <w:w w:val="100"/>
        </w:rPr>
        <w:t>2014</w:t>
      </w:r>
      <w:r>
        <w:rPr>
          <w:rFonts w:ascii="Times New Roman" w:hAnsi="Times New Roman" w:cs="Times New Roman" w:eastAsia="Times New Roman" w:hint="default"/>
          <w:w w:val="100"/>
        </w:rPr>
        <w:t> </w:t>
      </w:r>
      <w:r>
        <w:rPr>
          <w:spacing w:val="-9"/>
          <w:w w:val="100"/>
        </w:rPr>
        <w:t>年度内部控制规范实施工作方案》，明确了责任部门、</w:t>
      </w:r>
      <w:r>
        <w:rPr>
          <w:spacing w:val="-86"/>
          <w:w w:val="100"/>
        </w:rPr>
        <w:t> </w:t>
      </w:r>
      <w:r>
        <w:rPr>
          <w:spacing w:val="-86"/>
          <w:w w:val="100"/>
        </w:rPr>
      </w:r>
      <w:r>
        <w:rPr/>
        <w:t>工作内容及时间计划，工作方案已经公司</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0"/>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日召开的第六届董事会第五次会议审议通过。</w:t>
      </w:r>
      <w:r>
        <w:rPr>
          <w:w w:val="100"/>
        </w:rPr>
        <w:t> </w:t>
      </w:r>
      <w:r>
        <w:rPr/>
        <w:t>在此基础上公司成立了内部控制规范领导小组及实施推进小组。领导小组组长和副组长分别由公司董事</w:t>
      </w:r>
      <w:r>
        <w:rPr>
          <w:w w:val="100"/>
        </w:rPr>
        <w:t> </w:t>
      </w:r>
      <w:r>
        <w:rPr/>
        <w:t>长和总裁担任，实施推进小组组长由审计法务部总经理担任。</w:t>
      </w:r>
    </w:p>
    <w:p>
      <w:pPr>
        <w:spacing w:line="420" w:lineRule="auto" w:before="93"/>
        <w:ind w:left="573" w:right="14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、组织内部控制规范专业知识培训</w:t>
      </w:r>
      <w:r>
        <w:rPr>
          <w:rFonts w:ascii="宋体" w:hAnsi="宋体" w:cs="宋体" w:eastAsia="宋体" w:hint="default"/>
          <w:b/>
          <w:bCs/>
          <w:w w:val="100"/>
          <w:sz w:val="21"/>
          <w:szCs w:val="21"/>
        </w:rPr>
        <w:t> </w:t>
      </w:r>
      <w:r>
        <w:rPr>
          <w:rFonts w:ascii="宋体" w:hAnsi="宋体" w:cs="宋体" w:eastAsia="宋体" w:hint="default"/>
          <w:spacing w:val="-2"/>
          <w:sz w:val="21"/>
          <w:szCs w:val="21"/>
        </w:rPr>
        <w:t>公司召开了内部控制规范体系建设工作启动会，确定公司内控建设的实施范围及内容，并组织内部</w:t>
      </w:r>
    </w:p>
    <w:p>
      <w:pPr>
        <w:pStyle w:val="BodyText"/>
        <w:spacing w:line="410" w:lineRule="auto" w:before="35"/>
        <w:ind w:right="140"/>
        <w:jc w:val="left"/>
      </w:pPr>
      <w:r>
        <w:rPr>
          <w:spacing w:val="-2"/>
        </w:rPr>
        <w:t>控制规范专业知识培训，使相关人员了解了内部控制相关理念，掌握内部控制实施的程序和方法，使内</w:t>
      </w:r>
      <w:r>
        <w:rPr>
          <w:spacing w:val="-21"/>
        </w:rPr>
        <w:t> </w:t>
      </w:r>
      <w:r>
        <w:rPr>
          <w:spacing w:val="-21"/>
        </w:rPr>
      </w:r>
      <w:r>
        <w:rPr/>
        <w:t>部控制真正落实到每一个业务单元和管理单元。</w:t>
      </w:r>
    </w:p>
    <w:p>
      <w:pPr>
        <w:spacing w:line="417" w:lineRule="auto" w:before="85"/>
        <w:ind w:left="573" w:right="14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、落实推进内控规范体系建设工作</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报告期内公司在成立内部控制规范领导小组及实施推进小组的基础上，外聘专业咨询机构提供全程</w:t>
      </w:r>
    </w:p>
    <w:p>
      <w:pPr>
        <w:pStyle w:val="BodyText"/>
        <w:spacing w:line="408" w:lineRule="auto" w:before="37"/>
        <w:ind w:right="333"/>
        <w:jc w:val="both"/>
      </w:pPr>
      <w:r>
        <w:rPr>
          <w:spacing w:val="-2"/>
        </w:rPr>
        <w:t>技术支持。公司已分阶段组织完成了内控理论培训、现状调研、风险评估及风险应对策略设计等主要工</w:t>
      </w:r>
      <w:r>
        <w:rPr>
          <w:spacing w:val="-21"/>
        </w:rPr>
        <w:t> </w:t>
      </w:r>
      <w:r>
        <w:rPr>
          <w:spacing w:val="-21"/>
        </w:rPr>
      </w:r>
      <w:r>
        <w:rPr>
          <w:spacing w:val="-2"/>
        </w:rPr>
        <w:t>作，具体完成了界定内控实施范围及重要业务流程、对现有政策、制度梳理和内控缺陷的查找工作，明</w:t>
      </w:r>
      <w:r>
        <w:rPr>
          <w:spacing w:val="-21"/>
        </w:rPr>
        <w:t> </w:t>
      </w:r>
      <w:r>
        <w:rPr>
          <w:spacing w:val="-21"/>
        </w:rPr>
      </w:r>
      <w:r>
        <w:rPr>
          <w:spacing w:val="-2"/>
        </w:rPr>
        <w:t>确了主要风险领域、风险点及关键控制点、应采取的内控措施、应形成的内控制度等，并针对风险评估</w:t>
      </w:r>
      <w:r>
        <w:rPr>
          <w:spacing w:val="-21"/>
        </w:rPr>
        <w:t> </w:t>
      </w:r>
      <w:r>
        <w:rPr>
          <w:spacing w:val="-21"/>
        </w:rPr>
      </w:r>
      <w:r>
        <w:rPr/>
        <w:t>发现的内控缺陷提出了整改措施，采取了有效措施督促整改到位。</w:t>
      </w:r>
    </w:p>
    <w:p>
      <w:pPr>
        <w:spacing w:after="0" w:line="408" w:lineRule="auto"/>
        <w:jc w:val="both"/>
        <w:sectPr>
          <w:headerReference w:type="default" r:id="rId44"/>
          <w:footerReference w:type="default" r:id="rId45"/>
          <w:pgSz w:w="11910" w:h="16840"/>
          <w:pgMar w:header="877" w:footer="979" w:top="1100" w:bottom="1160" w:left="980" w:right="980"/>
          <w:pgNumType w:start="91"/>
        </w:sectPr>
      </w:pPr>
    </w:p>
    <w:p>
      <w:pPr>
        <w:spacing w:line="240" w:lineRule="auto" w:before="9"/>
        <w:rPr>
          <w:rFonts w:ascii="宋体" w:hAnsi="宋体" w:cs="宋体" w:eastAsia="宋体" w:hint="default"/>
          <w:sz w:val="26"/>
          <w:szCs w:val="26"/>
        </w:rPr>
      </w:pPr>
    </w:p>
    <w:p>
      <w:pPr>
        <w:pStyle w:val="BodyText"/>
        <w:spacing w:line="408" w:lineRule="auto" w:before="36"/>
        <w:ind w:right="140" w:firstLine="420"/>
        <w:jc w:val="left"/>
      </w:pPr>
      <w:r>
        <w:rPr/>
        <w:t>报告期内，公司持续对公司内部控制现状进行梳理，包括组织体系、部门职责、岗位说明、制度流</w:t>
      </w:r>
      <w:r>
        <w:rPr>
          <w:w w:val="100"/>
        </w:rPr>
        <w:t> </w:t>
      </w:r>
      <w:r>
        <w:rPr/>
        <w:t>程等，将经过梳理后流程制度及关键控制点显性化、系统化，并按照内控规范体系进行归口对位管理。</w:t>
      </w:r>
      <w:r>
        <w:rPr>
          <w:w w:val="100"/>
        </w:rPr>
        <w:t> </w:t>
      </w:r>
      <w:r>
        <w:rPr>
          <w:spacing w:val="-4"/>
        </w:rPr>
        <w:t>同时，公司对现有的内部控制进行完善补充。在实施阶段，公司还利用穿行测试及控制测试等检验手段，</w:t>
      </w:r>
      <w:r>
        <w:rPr>
          <w:spacing w:val="-49"/>
        </w:rPr>
        <w:t> </w:t>
      </w:r>
      <w:r>
        <w:rPr>
          <w:spacing w:val="-49"/>
        </w:rPr>
      </w:r>
      <w:r>
        <w:rPr/>
        <w:t>检验内部控制设计与运行的有效性，并与内控自我评价阶段的工作相结合，为其提供资料及评价信息。</w:t>
      </w:r>
    </w:p>
    <w:p>
      <w:pPr>
        <w:pStyle w:val="BodyText"/>
        <w:spacing w:line="408" w:lineRule="auto" w:before="87"/>
        <w:ind w:right="140" w:firstLine="420"/>
        <w:jc w:val="left"/>
      </w:pPr>
      <w:r>
        <w:rPr>
          <w:spacing w:val="-2"/>
        </w:rPr>
        <w:t>报告期内，公司针对测试过程中发现的内控缺陷，及时提出整改建议并落实整改工作，并同步做好</w:t>
      </w:r>
      <w:r>
        <w:rPr>
          <w:w w:val="100"/>
        </w:rPr>
        <w:t> </w:t>
      </w:r>
      <w:r>
        <w:rPr>
          <w:spacing w:val="-2"/>
        </w:rPr>
        <w:t>内部控制手册及内部控制制度的编撰工作，对内部控制体系进行试运行，对出现的问题及时做出反应。</w:t>
      </w:r>
    </w:p>
    <w:p>
      <w:pPr>
        <w:pStyle w:val="BodyText"/>
        <w:spacing w:line="240" w:lineRule="auto" w:before="84"/>
        <w:ind w:left="573" w:right="140"/>
        <w:jc w:val="left"/>
      </w:pPr>
      <w:r>
        <w:rPr>
          <w:spacing w:val="-2"/>
        </w:rPr>
        <w:t>内控体系建设工作的开展情况基本符合《</w:t>
      </w:r>
      <w:r>
        <w:rPr>
          <w:rFonts w:ascii="Times New Roman" w:hAnsi="Times New Roman" w:cs="Times New Roman" w:eastAsia="Times New Roman" w:hint="default"/>
          <w:spacing w:val="-2"/>
        </w:rPr>
        <w:t>2014</w:t>
      </w:r>
      <w:r>
        <w:rPr>
          <w:rFonts w:ascii="Times New Roman" w:hAnsi="Times New Roman" w:cs="Times New Roman" w:eastAsia="Times New Roman" w:hint="default"/>
        </w:rPr>
        <w:t> </w:t>
      </w:r>
      <w:r>
        <w:rPr>
          <w:rFonts w:ascii="Times New Roman" w:hAnsi="Times New Roman" w:cs="Times New Roman" w:eastAsia="Times New Roman" w:hint="default"/>
          <w:spacing w:val="25"/>
        </w:rPr>
        <w:t> </w:t>
      </w:r>
      <w:r>
        <w:rPr>
          <w:spacing w:val="-2"/>
        </w:rPr>
        <w:t>年度内部控制规范实施工作方案》的进度安排。</w:t>
      </w:r>
    </w:p>
    <w:p>
      <w:pPr>
        <w:spacing w:line="240" w:lineRule="auto" w:before="9"/>
        <w:rPr>
          <w:rFonts w:ascii="宋体" w:hAnsi="宋体" w:cs="宋体" w:eastAsia="宋体" w:hint="default"/>
          <w:sz w:val="16"/>
          <w:szCs w:val="16"/>
        </w:rPr>
      </w:pPr>
    </w:p>
    <w:p>
      <w:pPr>
        <w:pStyle w:val="Heading4"/>
        <w:spacing w:line="240" w:lineRule="auto"/>
        <w:ind w:left="575" w:right="140"/>
        <w:jc w:val="left"/>
        <w:rPr>
          <w:b w:val="0"/>
          <w:bCs w:val="0"/>
        </w:rPr>
      </w:pPr>
      <w:r>
        <w:rPr>
          <w:rFonts w:ascii="Times New Roman" w:hAnsi="Times New Roman" w:cs="Times New Roman" w:eastAsia="Times New Roman" w:hint="default"/>
        </w:rPr>
        <w:t>5</w:t>
      </w:r>
      <w:r>
        <w:rPr/>
        <w:t>、内控体系建设情况的检验及验收</w:t>
      </w:r>
      <w:r>
        <w:rPr>
          <w:b w:val="0"/>
          <w:bCs w:val="0"/>
        </w:rPr>
      </w:r>
    </w:p>
    <w:p>
      <w:pPr>
        <w:spacing w:line="240" w:lineRule="auto" w:before="9"/>
        <w:rPr>
          <w:rFonts w:ascii="宋体" w:hAnsi="宋体" w:cs="宋体" w:eastAsia="宋体" w:hint="default"/>
          <w:b/>
          <w:bCs/>
          <w:sz w:val="16"/>
          <w:szCs w:val="16"/>
        </w:rPr>
      </w:pPr>
    </w:p>
    <w:p>
      <w:pPr>
        <w:pStyle w:val="BodyText"/>
        <w:spacing w:line="400" w:lineRule="auto"/>
        <w:ind w:right="241" w:firstLine="420"/>
        <w:jc w:val="left"/>
      </w:pPr>
      <w:r>
        <w:rPr/>
        <w:t>公司根据《企业内部控制评价指引》以及《</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年度内部控制规范实施工作方案》的要求，对纳入</w:t>
      </w:r>
      <w:r>
        <w:rPr>
          <w:w w:val="100"/>
        </w:rPr>
        <w:t> </w:t>
      </w:r>
      <w:r>
        <w:rPr/>
        <w:t>公司内部控制评价范围的单位开展了年度内部控制评价工作，对公司内部控制设计与运行有效性进行全</w:t>
      </w:r>
      <w:r>
        <w:rPr>
          <w:w w:val="100"/>
        </w:rPr>
        <w:t> </w:t>
      </w:r>
      <w:r>
        <w:rPr/>
        <w:t>面评价、形成评价结论、出具公司</w:t>
      </w:r>
      <w:r>
        <w:rPr>
          <w:spacing w:val="-6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年度内部控制评价报告，并经公司董事会审议通过。内部控制评</w:t>
      </w:r>
      <w:r>
        <w:rPr>
          <w:w w:val="100"/>
        </w:rPr>
        <w:t> </w:t>
      </w:r>
      <w:r>
        <w:rPr/>
        <w:t>价与内部控制的建立和实施，构成有机循环，促进公司内控体系不断完善。同时，公司委托信永中和会</w:t>
      </w:r>
      <w:r>
        <w:rPr>
          <w:w w:val="100"/>
        </w:rPr>
        <w:t> </w:t>
      </w:r>
      <w:r>
        <w:rPr/>
        <w:t>计师事务所对公司财务报告内部控制的有效性进行了审计。通过外部专业机构的独立鉴证与评价，增强</w:t>
      </w:r>
      <w:r>
        <w:rPr>
          <w:w w:val="100"/>
        </w:rPr>
        <w:t> </w:t>
      </w:r>
      <w:r>
        <w:rPr/>
        <w:t>了公司内部控制相关信息的可靠性。</w:t>
      </w:r>
    </w:p>
    <w:p>
      <w:pPr>
        <w:spacing w:line="240" w:lineRule="auto" w:before="12"/>
        <w:rPr>
          <w:rFonts w:ascii="宋体" w:hAnsi="宋体" w:cs="宋体" w:eastAsia="宋体" w:hint="default"/>
          <w:sz w:val="18"/>
          <w:szCs w:val="18"/>
        </w:rPr>
      </w:pPr>
    </w:p>
    <w:p>
      <w:pPr>
        <w:pStyle w:val="Heading2"/>
        <w:spacing w:line="240" w:lineRule="auto" w:before="0"/>
        <w:ind w:right="140"/>
        <w:jc w:val="left"/>
        <w:rPr>
          <w:b w:val="0"/>
          <w:bCs w:val="0"/>
        </w:rPr>
      </w:pPr>
      <w:r>
        <w:rPr/>
        <w:t>二、董事会关于内部控制责任的声明</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40" w:firstLine="420"/>
        <w:jc w:val="left"/>
      </w:pPr>
      <w:r>
        <w:rPr>
          <w:spacing w:val="-2"/>
        </w:rPr>
        <w:t>健全并有效实施内部控制是公司董事会的责任；监事会对董事会建立与实施内部控制进行监督；经</w:t>
      </w:r>
      <w:r>
        <w:rPr>
          <w:w w:val="100"/>
        </w:rPr>
        <w:t> </w:t>
      </w:r>
      <w:r>
        <w:rPr/>
        <w:t>理层负责组织领导公司内部控制的日常运行。</w:t>
      </w:r>
    </w:p>
    <w:p>
      <w:pPr>
        <w:pStyle w:val="BodyText"/>
        <w:spacing w:line="408" w:lineRule="auto" w:before="87"/>
        <w:ind w:right="140" w:firstLine="420"/>
        <w:jc w:val="left"/>
      </w:pPr>
      <w:r>
        <w:rPr>
          <w:spacing w:val="-2"/>
        </w:rPr>
        <w:t>内部控制的目标是：合理保证经营合法合规、资产安全、财务报告及相关信息真实完整，提高经营</w:t>
      </w:r>
      <w:r>
        <w:rPr>
          <w:w w:val="100"/>
        </w:rPr>
        <w:t> </w:t>
      </w:r>
      <w:r>
        <w:rPr/>
        <w:t>效率和效果，促进实现发展战略。</w:t>
      </w:r>
    </w:p>
    <w:p>
      <w:pPr>
        <w:pStyle w:val="BodyText"/>
        <w:spacing w:line="408" w:lineRule="auto" w:before="84"/>
        <w:ind w:right="140" w:firstLine="420"/>
        <w:jc w:val="left"/>
      </w:pPr>
      <w:r>
        <w:rPr>
          <w:spacing w:val="-2"/>
        </w:rPr>
        <w:t>由于内部控制存在固有局限性，故仅能对实现上述目标提供合理保证。公司内部控制设有检查监督</w:t>
      </w:r>
      <w:r>
        <w:rPr>
          <w:w w:val="100"/>
        </w:rPr>
        <w:t> </w:t>
      </w:r>
      <w:r>
        <w:rPr/>
        <w:t>机制，内部缺陷一经识别，公司将立即采取整改措施。</w:t>
      </w:r>
    </w:p>
    <w:p>
      <w:pPr>
        <w:spacing w:line="240" w:lineRule="auto" w:before="9"/>
        <w:rPr>
          <w:rFonts w:ascii="宋体" w:hAnsi="宋体" w:cs="宋体" w:eastAsia="宋体" w:hint="default"/>
          <w:sz w:val="18"/>
          <w:szCs w:val="18"/>
        </w:rPr>
      </w:pPr>
    </w:p>
    <w:p>
      <w:pPr>
        <w:pStyle w:val="Heading2"/>
        <w:spacing w:line="240" w:lineRule="auto" w:before="0"/>
        <w:ind w:right="140"/>
        <w:jc w:val="left"/>
        <w:rPr>
          <w:b w:val="0"/>
          <w:bCs w:val="0"/>
        </w:rPr>
      </w:pPr>
      <w:r>
        <w:rPr/>
        <w:t>三、建立财务报告内部控制的依据</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40" w:firstLine="420"/>
        <w:jc w:val="left"/>
      </w:pPr>
      <w:r>
        <w:rPr/>
        <w:t>公司依据中华人民共和国财政部等五部委联合发布的《企业内部控制基本规范》及其配套指引的要</w:t>
      </w:r>
      <w:r>
        <w:rPr>
          <w:w w:val="100"/>
        </w:rPr>
        <w:t> </w:t>
      </w:r>
      <w:r>
        <w:rPr>
          <w:spacing w:val="-4"/>
        </w:rPr>
        <w:t>求，结合公司各项内部控制制度以及一系列财务管理制度的规定，建立了财务报告内部控制体系。同时，</w:t>
      </w:r>
      <w:r>
        <w:rPr>
          <w:spacing w:val="-49"/>
        </w:rPr>
        <w:t> </w:t>
      </w:r>
      <w:r>
        <w:rPr>
          <w:spacing w:val="-49"/>
        </w:rPr>
      </w:r>
      <w:r>
        <w:rPr/>
        <w:t>公司结合自身经营管理实际状况对内部控制体系进行持续的改进与优化，以适应不断变化的外部环境及</w:t>
      </w:r>
      <w:r>
        <w:rPr>
          <w:w w:val="100"/>
        </w:rPr>
        <w:t> </w:t>
      </w:r>
      <w:r>
        <w:rPr/>
        <w:t>内部管理的要求。</w:t>
      </w:r>
    </w:p>
    <w:p>
      <w:pPr>
        <w:spacing w:after="0" w:line="408" w:lineRule="auto"/>
        <w:jc w:val="left"/>
        <w:sectPr>
          <w:pgSz w:w="11910" w:h="16840"/>
          <w:pgMar w:header="877" w:footer="979"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ind w:right="140"/>
        <w:jc w:val="left"/>
        <w:rPr>
          <w:b w:val="0"/>
          <w:bCs w:val="0"/>
        </w:rPr>
      </w:pPr>
      <w:r>
        <w:rPr/>
        <w:t>四、内部控制评价报告</w:t>
      </w:r>
      <w:r>
        <w:rPr>
          <w:b w:val="0"/>
          <w:bCs w:val="0"/>
        </w:rPr>
      </w:r>
    </w:p>
    <w:p>
      <w:pPr>
        <w:spacing w:line="240" w:lineRule="auto" w:before="13"/>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662"/>
        <w:gridCol w:w="6909"/>
      </w:tblGrid>
      <w:tr>
        <w:trPr>
          <w:trHeight w:val="456" w:hRule="exact"/>
        </w:trPr>
        <w:tc>
          <w:tcPr>
            <w:tcW w:w="9571" w:type="dxa"/>
            <w:gridSpan w:val="2"/>
            <w:tcBorders>
              <w:top w:val="single" w:sz="12"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79"/>
              <w:ind w:left="2159"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1355" w:hRule="exact"/>
        </w:trPr>
        <w:tc>
          <w:tcPr>
            <w:tcW w:w="9571" w:type="dxa"/>
            <w:gridSpan w:val="2"/>
            <w:tcBorders>
              <w:top w:val="single" w:sz="12" w:space="0" w:color="D2D2D2"/>
              <w:left w:val="single" w:sz="12" w:space="0" w:color="000000"/>
              <w:bottom w:val="single" w:sz="4" w:space="0" w:color="000000"/>
              <w:right w:val="single" w:sz="12" w:space="0" w:color="000000"/>
            </w:tcBorders>
          </w:tcPr>
          <w:p>
            <w:pPr>
              <w:pStyle w:val="TableParagraph"/>
              <w:spacing w:line="240" w:lineRule="auto" w:before="53"/>
              <w:ind w:left="14" w:right="0"/>
              <w:jc w:val="both"/>
              <w:rPr>
                <w:rFonts w:ascii="宋体" w:hAnsi="宋体" w:cs="宋体" w:eastAsia="宋体" w:hint="default"/>
                <w:sz w:val="18"/>
                <w:szCs w:val="18"/>
              </w:rPr>
            </w:pPr>
            <w:r>
              <w:rPr>
                <w:rFonts w:ascii="宋体" w:hAnsi="宋体" w:cs="宋体" w:eastAsia="宋体" w:hint="default"/>
                <w:sz w:val="18"/>
                <w:szCs w:val="18"/>
              </w:rPr>
              <w:t>公司董事会已经根据《企业内部控制基本规范</w:t>
            </w:r>
            <w:r>
              <w:rPr>
                <w:rFonts w:ascii="宋体" w:hAnsi="宋体" w:cs="宋体" w:eastAsia="宋体" w:hint="default"/>
                <w:spacing w:val="-92"/>
                <w:sz w:val="18"/>
                <w:szCs w:val="18"/>
              </w:rPr>
              <w:t>》、</w:t>
            </w:r>
            <w:r>
              <w:rPr>
                <w:rFonts w:ascii="宋体" w:hAnsi="宋体" w:cs="宋体" w:eastAsia="宋体" w:hint="default"/>
                <w:sz w:val="18"/>
                <w:szCs w:val="18"/>
              </w:rPr>
              <w:t>《企业内</w:t>
            </w:r>
            <w:r>
              <w:rPr>
                <w:rFonts w:ascii="宋体" w:hAnsi="宋体" w:cs="宋体" w:eastAsia="宋体" w:hint="default"/>
                <w:spacing w:val="2"/>
                <w:sz w:val="18"/>
                <w:szCs w:val="18"/>
              </w:rPr>
              <w:t>部</w:t>
            </w:r>
            <w:r>
              <w:rPr>
                <w:rFonts w:ascii="宋体" w:hAnsi="宋体" w:cs="宋体" w:eastAsia="宋体" w:hint="default"/>
                <w:sz w:val="18"/>
                <w:szCs w:val="18"/>
              </w:rPr>
              <w:t>控制评价指引》及其他法律法规的要求，对公司截至</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9" w:lineRule="auto" w:before="63"/>
              <w:ind w:left="14" w:right="-13"/>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日的内部控制设计与运行的有效性进行了自我评价，出具了公司《</w:t>
            </w:r>
            <w:r>
              <w:rPr>
                <w:rFonts w:ascii="Times New Roman" w:hAnsi="Times New Roman" w:cs="Times New Roman" w:eastAsia="Times New Roman" w:hint="default"/>
                <w:spacing w:val="-1"/>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年度内部控制评价报告》，并得出如下结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论：报告期内，公司对纳入评价范围的业务与事项均已建立了内部控制，并得以有效执行，达到了公司内部控制的目标， 报告期内未发现内部控制重大缺陷。</w:t>
            </w:r>
          </w:p>
        </w:tc>
      </w:tr>
      <w:tr>
        <w:trPr>
          <w:trHeight w:val="463" w:hRule="exact"/>
        </w:trPr>
        <w:tc>
          <w:tcPr>
            <w:tcW w:w="26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right="92"/>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73" w:hRule="exact"/>
        </w:trPr>
        <w:tc>
          <w:tcPr>
            <w:tcW w:w="266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0"/>
              <w:ind w:right="92"/>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hyperlink r:id="rId8">
              <w:r>
                <w:rPr>
                  <w:rFonts w:ascii="Times New Roman"/>
                  <w:sz w:val="18"/>
                </w:rPr>
                <w:t>http://www.cninfo.com.cn/</w:t>
              </w:r>
            </w:hyperlink>
          </w:p>
        </w:tc>
      </w:tr>
    </w:tbl>
    <w:p>
      <w:pPr>
        <w:spacing w:line="240" w:lineRule="auto" w:before="4"/>
        <w:rPr>
          <w:rFonts w:ascii="宋体" w:hAnsi="宋体" w:cs="宋体" w:eastAsia="宋体" w:hint="default"/>
          <w:b/>
          <w:bCs/>
          <w:sz w:val="18"/>
          <w:szCs w:val="18"/>
        </w:rPr>
      </w:pPr>
    </w:p>
    <w:p>
      <w:pPr>
        <w:pStyle w:val="Heading2"/>
        <w:spacing w:line="240" w:lineRule="auto"/>
        <w:ind w:right="140"/>
        <w:jc w:val="left"/>
        <w:rPr>
          <w:b w:val="0"/>
          <w:bCs w:val="0"/>
        </w:rPr>
      </w:pPr>
      <w:r>
        <w:rPr/>
        <w:t>五、内部控制审计报告或鉴证报告</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40"/>
        <w:jc w:val="left"/>
      </w:pPr>
      <w:r>
        <w:rPr/>
        <w:t>内部控制审计报告</w:t>
      </w:r>
    </w:p>
    <w:p>
      <w:pPr>
        <w:spacing w:line="240" w:lineRule="auto" w:before="2"/>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2662"/>
        <w:gridCol w:w="6909"/>
      </w:tblGrid>
      <w:tr>
        <w:trPr>
          <w:trHeight w:val="460" w:hRule="exact"/>
        </w:trPr>
        <w:tc>
          <w:tcPr>
            <w:tcW w:w="9571" w:type="dxa"/>
            <w:gridSpan w:val="2"/>
            <w:tcBorders>
              <w:top w:val="single" w:sz="12"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1337" w:hRule="exact"/>
        </w:trPr>
        <w:tc>
          <w:tcPr>
            <w:tcW w:w="9571" w:type="dxa"/>
            <w:gridSpan w:val="2"/>
            <w:tcBorders>
              <w:top w:val="single" w:sz="4" w:space="0" w:color="000000"/>
              <w:left w:val="single" w:sz="12" w:space="0" w:color="000000"/>
              <w:bottom w:val="single" w:sz="4" w:space="0" w:color="000000"/>
              <w:right w:val="single" w:sz="12" w:space="0" w:color="000000"/>
            </w:tcBorders>
          </w:tcPr>
          <w:p>
            <w:pPr>
              <w:pStyle w:val="TableParagraph"/>
              <w:spacing w:line="316" w:lineRule="auto" w:before="49"/>
              <w:ind w:left="14" w:right="76"/>
              <w:jc w:val="left"/>
              <w:rPr>
                <w:rFonts w:ascii="宋体" w:hAnsi="宋体" w:cs="宋体" w:eastAsia="宋体" w:hint="default"/>
                <w:sz w:val="18"/>
                <w:szCs w:val="18"/>
              </w:rPr>
            </w:pPr>
            <w:r>
              <w:rPr>
                <w:rFonts w:ascii="宋体" w:hAnsi="宋体" w:cs="宋体" w:eastAsia="宋体" w:hint="default"/>
                <w:spacing w:val="-2"/>
                <w:sz w:val="18"/>
                <w:szCs w:val="18"/>
              </w:rPr>
              <w:t>按照《企业内部控制审计指引》及中国注册会计师执业准则的相关要求，信永中和会计师事务所（特殊普通合伙）（以下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信永中和</w:t>
            </w:r>
            <w:r>
              <w:rPr>
                <w:rFonts w:ascii="Times New Roman" w:hAnsi="Times New Roman" w:cs="Times New Roman" w:eastAsia="Times New Roman" w:hint="default"/>
                <w:sz w:val="18"/>
                <w:szCs w:val="18"/>
              </w:rPr>
              <w:t>”</w:t>
            </w:r>
            <w:r>
              <w:rPr>
                <w:rFonts w:ascii="宋体" w:hAnsi="宋体" w:cs="宋体" w:eastAsia="宋体" w:hint="default"/>
                <w:sz w:val="18"/>
                <w:szCs w:val="18"/>
              </w:rPr>
              <w:t>）对公司截止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日的财务报告内部控制的有效性进行了审计，出具了信永中和</w:t>
            </w:r>
          </w:p>
          <w:p>
            <w:pPr>
              <w:pStyle w:val="TableParagraph"/>
              <w:spacing w:line="248"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X</w:t>
            </w:r>
            <w:r>
              <w:rPr>
                <w:rFonts w:ascii="Times New Roman" w:hAnsi="Times New Roman" w:cs="Times New Roman" w:eastAsia="Times New Roman" w:hint="default"/>
                <w:w w:val="99"/>
                <w:sz w:val="18"/>
                <w:szCs w:val="18"/>
              </w:rPr>
              <w:t>YZH/</w:t>
            </w:r>
            <w:r>
              <w:rPr>
                <w:rFonts w:ascii="Times New Roman" w:hAnsi="Times New Roman" w:cs="Times New Roman" w:eastAsia="Times New Roman" w:hint="default"/>
                <w:spacing w:val="-2"/>
                <w:w w:val="99"/>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3"/>
                <w:w w:val="99"/>
                <w:sz w:val="18"/>
                <w:szCs w:val="18"/>
              </w:rPr>
              <w:t>A</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宋体" w:hAnsi="宋体" w:cs="宋体" w:eastAsia="宋体" w:hint="default"/>
                <w:sz w:val="18"/>
                <w:szCs w:val="18"/>
              </w:rPr>
              <w:t>《内部控</w:t>
            </w:r>
            <w:r>
              <w:rPr>
                <w:rFonts w:ascii="宋体" w:hAnsi="宋体" w:cs="宋体" w:eastAsia="宋体" w:hint="default"/>
                <w:spacing w:val="-3"/>
                <w:sz w:val="18"/>
                <w:szCs w:val="18"/>
              </w:rPr>
              <w:t>制</w:t>
            </w:r>
            <w:r>
              <w:rPr>
                <w:rFonts w:ascii="宋体" w:hAnsi="宋体" w:cs="宋体" w:eastAsia="宋体" w:hint="default"/>
                <w:sz w:val="18"/>
                <w:szCs w:val="18"/>
              </w:rPr>
              <w:t>审计报告</w:t>
            </w:r>
            <w:r>
              <w:rPr>
                <w:rFonts w:ascii="宋体" w:hAnsi="宋体" w:cs="宋体" w:eastAsia="宋体" w:hint="default"/>
                <w:spacing w:val="-92"/>
                <w:sz w:val="18"/>
                <w:szCs w:val="18"/>
              </w:rPr>
              <w:t>》</w:t>
            </w:r>
            <w:r>
              <w:rPr>
                <w:rFonts w:ascii="宋体" w:hAnsi="宋体" w:cs="宋体" w:eastAsia="宋体" w:hint="default"/>
                <w:sz w:val="18"/>
                <w:szCs w:val="18"/>
              </w:rPr>
              <w:t>，并发表如下意见</w:t>
            </w:r>
            <w:r>
              <w:rPr>
                <w:rFonts w:ascii="宋体" w:hAnsi="宋体" w:cs="宋体" w:eastAsia="宋体" w:hint="default"/>
                <w:spacing w:val="2"/>
                <w:sz w:val="18"/>
                <w:szCs w:val="18"/>
              </w:rPr>
              <w:t>：</w:t>
            </w:r>
            <w:r>
              <w:rPr>
                <w:rFonts w:ascii="宋体" w:hAnsi="宋体" w:cs="宋体" w:eastAsia="宋体" w:hint="default"/>
                <w:sz w:val="18"/>
                <w:szCs w:val="18"/>
              </w:rPr>
              <w:t>信永中和认为，神州数码信息服务股份有限公司于</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p>
            <w:pPr>
              <w:pStyle w:val="TableParagraph"/>
              <w:spacing w:line="240" w:lineRule="auto" w:before="6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日按照《企业内部控制基本规范》和相关规定在所有重大方面保持了有效的财务报告内部控制。</w:t>
            </w:r>
          </w:p>
        </w:tc>
      </w:tr>
      <w:tr>
        <w:trPr>
          <w:trHeight w:val="466" w:hRule="exact"/>
        </w:trPr>
        <w:tc>
          <w:tcPr>
            <w:tcW w:w="26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right="92"/>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71" w:hRule="exact"/>
        </w:trPr>
        <w:tc>
          <w:tcPr>
            <w:tcW w:w="266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0"/>
              <w:ind w:right="92"/>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hyperlink r:id="rId8">
              <w:r>
                <w:rPr>
                  <w:rFonts w:ascii="Times New Roman"/>
                  <w:sz w:val="18"/>
                </w:rPr>
                <w:t>http://www.cninfo.com.cn/</w:t>
              </w:r>
            </w:hyperlink>
          </w:p>
        </w:tc>
      </w:tr>
    </w:tbl>
    <w:p>
      <w:pPr>
        <w:spacing w:line="240" w:lineRule="auto" w:before="6"/>
        <w:rPr>
          <w:rFonts w:ascii="宋体" w:hAnsi="宋体" w:cs="宋体" w:eastAsia="宋体" w:hint="default"/>
          <w:sz w:val="5"/>
          <w:szCs w:val="5"/>
        </w:rPr>
      </w:pPr>
    </w:p>
    <w:p>
      <w:pPr>
        <w:pStyle w:val="BodyText"/>
        <w:spacing w:line="240" w:lineRule="auto" w:before="36"/>
        <w:ind w:right="140"/>
        <w:jc w:val="left"/>
      </w:pPr>
      <w:r>
        <w:rPr/>
        <w:t>会计师事务所是否出具非标准意见的内部控制审计报告</w:t>
      </w:r>
    </w:p>
    <w:p>
      <w:pPr>
        <w:spacing w:line="240" w:lineRule="auto" w:before="12"/>
        <w:rPr>
          <w:rFonts w:ascii="宋体" w:hAnsi="宋体" w:cs="宋体" w:eastAsia="宋体" w:hint="default"/>
          <w:sz w:val="17"/>
          <w:szCs w:val="17"/>
        </w:rPr>
      </w:pPr>
    </w:p>
    <w:p>
      <w:pPr>
        <w:pStyle w:val="BodyText"/>
        <w:spacing w:line="417" w:lineRule="auto"/>
        <w:ind w:right="242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会计师事务所出具的内部控制审计报告与董事会的自我评价报告意见是否一致</w:t>
      </w:r>
    </w:p>
    <w:p>
      <w:pPr>
        <w:pStyle w:val="BodyText"/>
        <w:spacing w:line="240" w:lineRule="auto" w:before="78"/>
        <w:ind w:right="14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w:t>
      </w:r>
    </w:p>
    <w:p>
      <w:pPr>
        <w:spacing w:line="240" w:lineRule="auto" w:before="9"/>
        <w:rPr>
          <w:rFonts w:ascii="宋体" w:hAnsi="宋体" w:cs="宋体" w:eastAsia="宋体" w:hint="default"/>
          <w:sz w:val="28"/>
          <w:szCs w:val="28"/>
        </w:rPr>
      </w:pPr>
    </w:p>
    <w:p>
      <w:pPr>
        <w:pStyle w:val="Heading2"/>
        <w:spacing w:line="240" w:lineRule="auto" w:before="0"/>
        <w:ind w:right="140"/>
        <w:jc w:val="left"/>
        <w:rPr>
          <w:b w:val="0"/>
          <w:bCs w:val="0"/>
        </w:rPr>
      </w:pPr>
      <w:r>
        <w:rPr/>
        <w:t>六、年度报告重大差错责任追究制度的建立与执行情况</w:t>
      </w:r>
      <w:r>
        <w:rPr>
          <w:b w:val="0"/>
          <w:bCs w:val="0"/>
        </w:rPr>
      </w:r>
    </w:p>
    <w:p>
      <w:pPr>
        <w:spacing w:line="240" w:lineRule="auto" w:before="11"/>
        <w:rPr>
          <w:rFonts w:ascii="宋体" w:hAnsi="宋体" w:cs="宋体" w:eastAsia="宋体" w:hint="default"/>
          <w:b/>
          <w:bCs/>
          <w:sz w:val="30"/>
          <w:szCs w:val="30"/>
        </w:rPr>
      </w:pPr>
    </w:p>
    <w:p>
      <w:pPr>
        <w:pStyle w:val="BodyText"/>
        <w:spacing w:line="396" w:lineRule="auto"/>
        <w:ind w:right="140" w:firstLine="420"/>
        <w:jc w:val="left"/>
      </w:pPr>
      <w:r>
        <w:rPr>
          <w:spacing w:val="-11"/>
          <w:w w:val="100"/>
        </w:rPr>
        <w:t>公司根据《公司法》、《证券法》、《会计法》和《上市公司信息披露管理办法》等法律、法规及规范</w:t>
      </w:r>
      <w:r>
        <w:rPr>
          <w:w w:val="100"/>
        </w:rPr>
        <w:t> </w:t>
      </w:r>
      <w:r>
        <w:rPr>
          <w:spacing w:val="-6"/>
          <w:w w:val="100"/>
        </w:rPr>
        <w:t>性文件，制定了《年报信息披露重大差错责任追究制度》，并经公司</w:t>
      </w:r>
      <w:r>
        <w:rPr>
          <w:spacing w:val="-50"/>
          <w:w w:val="100"/>
        </w:rPr>
        <w:t> </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spacing w:val="3"/>
          <w:w w:val="100"/>
        </w:rPr>
        <w:t> </w:t>
      </w:r>
      <w:r>
        <w:rPr>
          <w:w w:val="100"/>
        </w:rPr>
        <w:t>年</w:t>
      </w:r>
      <w:r>
        <w:rPr>
          <w:spacing w:val="-53"/>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 </w:t>
      </w:r>
      <w:r>
        <w:rPr>
          <w:w w:val="100"/>
        </w:rPr>
        <w:t>月</w:t>
      </w:r>
      <w:r>
        <w:rPr>
          <w:spacing w:val="-50"/>
          <w:w w:val="100"/>
        </w:rPr>
        <w:t> </w:t>
      </w:r>
      <w:r>
        <w:rPr>
          <w:rFonts w:ascii="Times New Roman" w:hAnsi="Times New Roman" w:cs="Times New Roman" w:eastAsia="Times New Roman" w:hint="default"/>
          <w:spacing w:val="-2"/>
          <w:w w:val="100"/>
        </w:rPr>
        <w:t>23</w:t>
      </w:r>
      <w:r>
        <w:rPr>
          <w:rFonts w:ascii="Times New Roman" w:hAnsi="Times New Roman" w:cs="Times New Roman" w:eastAsia="Times New Roman" w:hint="default"/>
          <w:spacing w:val="3"/>
          <w:w w:val="100"/>
        </w:rPr>
        <w:t> </w:t>
      </w:r>
      <w:r>
        <w:rPr>
          <w:spacing w:val="-2"/>
          <w:w w:val="100"/>
        </w:rPr>
        <w:t>日召开的第五届董事</w:t>
      </w:r>
      <w:r>
        <w:rPr>
          <w:w w:val="100"/>
        </w:rPr>
        <w:t> </w:t>
      </w:r>
      <w:r>
        <w:rPr/>
        <w:t>会第四次会议审议通过后实施。该制度明确了年报信息披露重大差错的责任认定及追究，并规定一旦发</w:t>
      </w:r>
      <w:r>
        <w:rPr>
          <w:w w:val="100"/>
        </w:rPr>
        <w:t> </w:t>
      </w:r>
      <w:r>
        <w:rPr/>
        <w:t>生重大会计差错、遗漏等情况，将按照该制度对责任人进行严肃处理，相关公告详见</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w:t>
      </w:r>
      <w:r>
        <w:rPr>
          <w:w w:val="100"/>
        </w:rPr>
        <w:t> </w:t>
      </w:r>
      <w:r>
        <w:rPr>
          <w:spacing w:val="-4"/>
          <w:w w:val="100"/>
        </w:rPr>
        <w:t>的《证券时报》和巨潮资讯网（</w:t>
      </w:r>
      <w:hyperlink r:id="rId8">
        <w:r>
          <w:rPr>
            <w:rFonts w:ascii="Times New Roman" w:hAnsi="Times New Roman" w:cs="Times New Roman" w:eastAsia="Times New Roman" w:hint="default"/>
            <w:spacing w:val="-4"/>
            <w:w w:val="100"/>
          </w:rPr>
          <w:t>http://www.cninfo.com.cn</w:t>
        </w:r>
      </w:hyperlink>
      <w:r>
        <w:rPr>
          <w:spacing w:val="-4"/>
          <w:w w:val="100"/>
        </w:rPr>
        <w:t>）。报告期内，公司严格按照该制度执行，未发</w:t>
      </w:r>
      <w:r>
        <w:rPr>
          <w:spacing w:val="-56"/>
          <w:w w:val="100"/>
        </w:rPr>
        <w:t> </w:t>
      </w:r>
      <w:r>
        <w:rPr>
          <w:spacing w:val="-56"/>
          <w:w w:val="100"/>
        </w:rPr>
      </w:r>
      <w:r>
        <w:rPr/>
        <w:t>生年报信息披露重大差错的情况。</w:t>
      </w:r>
    </w:p>
    <w:p>
      <w:pPr>
        <w:spacing w:after="0" w:line="396" w:lineRule="auto"/>
        <w:jc w:val="left"/>
        <w:sectPr>
          <w:pgSz w:w="11910" w:h="16840"/>
          <w:pgMar w:header="877" w:footer="979" w:top="1100" w:bottom="1160" w:left="980" w:right="980"/>
        </w:sectPr>
      </w:pPr>
    </w:p>
    <w:p>
      <w:pPr>
        <w:spacing w:line="240" w:lineRule="auto" w:before="10"/>
        <w:rPr>
          <w:rFonts w:ascii="宋体" w:hAnsi="宋体" w:cs="宋体" w:eastAsia="宋体" w:hint="default"/>
          <w:sz w:val="17"/>
          <w:szCs w:val="17"/>
        </w:rPr>
      </w:pPr>
    </w:p>
    <w:p>
      <w:pPr>
        <w:pStyle w:val="Heading1"/>
        <w:spacing w:line="240" w:lineRule="auto"/>
        <w:ind w:left="2324" w:right="2424"/>
        <w:jc w:val="center"/>
        <w:rPr>
          <w:b w:val="0"/>
          <w:bCs w:val="0"/>
        </w:rPr>
      </w:pPr>
      <w:bookmarkStart w:name="_TOC_250001" w:id="11"/>
      <w:r>
        <w:rPr/>
        <w:t>第十一节财务报告</w:t>
      </w:r>
      <w:bookmarkEnd w:id="11"/>
      <w:r>
        <w:rPr>
          <w:b w:val="0"/>
          <w:bCs w:val="0"/>
        </w:rPr>
      </w:r>
    </w:p>
    <w:p>
      <w:pPr>
        <w:spacing w:line="240" w:lineRule="auto" w:before="3"/>
        <w:rPr>
          <w:rFonts w:ascii="宋体" w:hAnsi="宋体" w:cs="宋体" w:eastAsia="宋体" w:hint="default"/>
          <w:b/>
          <w:bCs/>
          <w:sz w:val="26"/>
          <w:szCs w:val="26"/>
        </w:rPr>
      </w:pPr>
    </w:p>
    <w:p>
      <w:pPr>
        <w:pStyle w:val="Heading2"/>
        <w:spacing w:line="240" w:lineRule="auto"/>
        <w:ind w:right="140"/>
        <w:jc w:val="left"/>
        <w:rPr>
          <w:b w:val="0"/>
          <w:bCs w:val="0"/>
        </w:rPr>
      </w:pPr>
      <w:r>
        <w:rPr/>
        <w:t>一、审计报告</w:t>
      </w:r>
      <w:r>
        <w:rPr>
          <w:b w:val="0"/>
          <w:bCs w:val="0"/>
        </w:rPr>
      </w:r>
    </w:p>
    <w:p>
      <w:pPr>
        <w:spacing w:line="240" w:lineRule="auto" w:before="2"/>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4765"/>
        <w:gridCol w:w="4799"/>
      </w:tblGrid>
      <w:tr>
        <w:trPr>
          <w:trHeight w:val="472" w:hRule="exact"/>
        </w:trPr>
        <w:tc>
          <w:tcPr>
            <w:tcW w:w="476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left="7"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99" w:type="dxa"/>
            <w:tcBorders>
              <w:top w:val="single" w:sz="12" w:space="0" w:color="000000"/>
              <w:left w:val="single" w:sz="9" w:space="0" w:color="D2D2D2"/>
              <w:bottom w:val="single" w:sz="6" w:space="0" w:color="000000"/>
              <w:right w:val="single" w:sz="12" w:space="0" w:color="000000"/>
            </w:tcBorders>
          </w:tcPr>
          <w:p>
            <w:pPr>
              <w:pStyle w:val="TableParagraph"/>
              <w:spacing w:line="240" w:lineRule="auto" w:before="119"/>
              <w:ind w:left="27"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70" w:hRule="exact"/>
        </w:trPr>
        <w:tc>
          <w:tcPr>
            <w:tcW w:w="47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99"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12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68" w:hRule="exact"/>
        </w:trPr>
        <w:tc>
          <w:tcPr>
            <w:tcW w:w="47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99"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123"/>
              <w:ind w:left="27"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69" w:hRule="exact"/>
        </w:trPr>
        <w:tc>
          <w:tcPr>
            <w:tcW w:w="47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99"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XYZH/2014A1015</w:t>
            </w:r>
          </w:p>
        </w:tc>
      </w:tr>
      <w:tr>
        <w:trPr>
          <w:trHeight w:val="472" w:hRule="exact"/>
        </w:trPr>
        <w:tc>
          <w:tcPr>
            <w:tcW w:w="476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4"/>
              <w:ind w:left="7"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99" w:type="dxa"/>
            <w:tcBorders>
              <w:top w:val="single" w:sz="6" w:space="0" w:color="000000"/>
              <w:left w:val="single" w:sz="9" w:space="0" w:color="D2D2D2"/>
              <w:bottom w:val="single" w:sz="12" w:space="0" w:color="000000"/>
              <w:right w:val="single" w:sz="12" w:space="0" w:color="000000"/>
            </w:tcBorders>
          </w:tcPr>
          <w:p>
            <w:pPr>
              <w:pStyle w:val="TableParagraph"/>
              <w:spacing w:line="240" w:lineRule="auto" w:before="124"/>
              <w:ind w:left="27" w:right="0"/>
              <w:jc w:val="left"/>
              <w:rPr>
                <w:rFonts w:ascii="宋体" w:hAnsi="宋体" w:cs="宋体" w:eastAsia="宋体" w:hint="default"/>
                <w:sz w:val="18"/>
                <w:szCs w:val="18"/>
              </w:rPr>
            </w:pPr>
            <w:r>
              <w:rPr>
                <w:rFonts w:ascii="宋体" w:hAnsi="宋体" w:cs="宋体" w:eastAsia="宋体" w:hint="default"/>
                <w:sz w:val="18"/>
                <w:szCs w:val="18"/>
              </w:rPr>
              <w:t>唐炫、晁小燕</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Heading4"/>
        <w:spacing w:line="240" w:lineRule="auto" w:before="36"/>
        <w:ind w:left="2330" w:right="2424"/>
        <w:jc w:val="center"/>
        <w:rPr>
          <w:b w:val="0"/>
          <w:bCs w:val="0"/>
        </w:rPr>
      </w:pPr>
      <w:r>
        <w:rPr/>
        <w:t>审计报告正文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spacing w:line="408" w:lineRule="auto" w:before="36"/>
        <w:ind w:left="573" w:right="140" w:hanging="420"/>
        <w:jc w:val="left"/>
        <w:rPr>
          <w:rFonts w:ascii="宋体" w:hAnsi="宋体" w:cs="宋体" w:eastAsia="宋体" w:hint="default"/>
          <w:sz w:val="21"/>
          <w:szCs w:val="21"/>
        </w:rPr>
      </w:pPr>
      <w:r>
        <w:rPr>
          <w:rFonts w:ascii="宋体" w:hAnsi="宋体" w:cs="宋体" w:eastAsia="宋体" w:hint="default"/>
          <w:b/>
          <w:bCs/>
          <w:sz w:val="21"/>
          <w:szCs w:val="21"/>
        </w:rPr>
        <w:t>神州数码信息服务股份有限公司全体股东：</w:t>
      </w:r>
      <w:r>
        <w:rPr>
          <w:rFonts w:ascii="宋体" w:hAnsi="宋体" w:cs="宋体" w:eastAsia="宋体" w:hint="default"/>
          <w:b/>
          <w:bCs/>
          <w:w w:val="100"/>
          <w:sz w:val="21"/>
          <w:szCs w:val="21"/>
        </w:rPr>
        <w:t> </w:t>
      </w:r>
      <w:r>
        <w:rPr>
          <w:rFonts w:ascii="宋体" w:hAnsi="宋体" w:cs="宋体" w:eastAsia="宋体" w:hint="default"/>
          <w:spacing w:val="-2"/>
          <w:sz w:val="21"/>
          <w:szCs w:val="21"/>
        </w:rPr>
        <w:t>我们审计了后附的神州数码信息服务股份有限公司（以下简称神州信息）财务报表，包括</w:t>
      </w:r>
      <w:r>
        <w:rPr>
          <w:rFonts w:ascii="宋体" w:hAnsi="宋体" w:cs="宋体" w:eastAsia="宋体" w:hint="default"/>
          <w:spacing w:val="-2"/>
          <w:sz w:val="21"/>
          <w:szCs w:val="21"/>
        </w:rPr>
        <w:t>2014</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p>
    <w:p>
      <w:pPr>
        <w:pStyle w:val="BodyText"/>
        <w:spacing w:line="408" w:lineRule="auto" w:before="46"/>
        <w:ind w:right="140"/>
        <w:jc w:val="left"/>
      </w:pPr>
      <w:r>
        <w:rPr>
          <w:rFonts w:ascii="宋体" w:hAnsi="宋体" w:cs="宋体" w:eastAsia="宋体" w:hint="default"/>
          <w:spacing w:val="-2"/>
        </w:rPr>
        <w:t>31</w:t>
      </w:r>
      <w:r>
        <w:rPr>
          <w:spacing w:val="-2"/>
        </w:rPr>
        <w:t>日的合并及母公司资产负债表，</w:t>
      </w:r>
      <w:r>
        <w:rPr>
          <w:rFonts w:ascii="宋体" w:hAnsi="宋体" w:cs="宋体" w:eastAsia="宋体" w:hint="default"/>
          <w:spacing w:val="-2"/>
        </w:rPr>
        <w:t>2014</w:t>
      </w:r>
      <w:r>
        <w:rPr>
          <w:spacing w:val="-2"/>
        </w:rPr>
        <w:t>年度的合并及母公司利润表、合并及母公司现金流量表、合并及母</w:t>
      </w:r>
      <w:r>
        <w:rPr>
          <w:spacing w:val="-38"/>
        </w:rPr>
        <w:t> </w:t>
      </w:r>
      <w:r>
        <w:rPr>
          <w:spacing w:val="-38"/>
        </w:rPr>
      </w:r>
      <w:r>
        <w:rPr/>
        <w:t>公司股东权益变动表以及财务报表附注。</w:t>
      </w:r>
    </w:p>
    <w:p>
      <w:pPr>
        <w:spacing w:line="408" w:lineRule="auto" w:before="46"/>
        <w:ind w:left="573" w:right="14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编制和公允列报财务报表是神州信息管理层的责任，这种责任包括：（</w:t>
      </w:r>
      <w:r>
        <w:rPr>
          <w:rFonts w:ascii="宋体" w:hAnsi="宋体" w:cs="宋体" w:eastAsia="宋体" w:hint="default"/>
          <w:spacing w:val="-2"/>
          <w:sz w:val="21"/>
          <w:szCs w:val="21"/>
        </w:rPr>
        <w:t>1</w:t>
      </w:r>
      <w:r>
        <w:rPr>
          <w:rFonts w:ascii="宋体" w:hAnsi="宋体" w:cs="宋体" w:eastAsia="宋体" w:hint="default"/>
          <w:spacing w:val="-2"/>
          <w:sz w:val="21"/>
          <w:szCs w:val="21"/>
        </w:rPr>
        <w:t>）按照企业会计准则的规定</w:t>
      </w:r>
    </w:p>
    <w:p>
      <w:pPr>
        <w:pStyle w:val="BodyText"/>
        <w:spacing w:line="408" w:lineRule="auto" w:before="46"/>
        <w:ind w:right="140"/>
        <w:jc w:val="left"/>
      </w:pPr>
      <w:r>
        <w:rPr>
          <w:spacing w:val="-2"/>
        </w:rPr>
        <w:t>编制财务报表，并使其实现公允反映；（</w:t>
      </w:r>
      <w:r>
        <w:rPr>
          <w:rFonts w:ascii="宋体" w:hAnsi="宋体" w:cs="宋体" w:eastAsia="宋体" w:hint="default"/>
          <w:spacing w:val="-2"/>
        </w:rPr>
        <w:t>2</w:t>
      </w:r>
      <w:r>
        <w:rPr>
          <w:spacing w:val="-2"/>
        </w:rPr>
        <w:t>）设计、执行和维护必要的内部控制，以使财务报表不存在由</w:t>
      </w:r>
      <w:r>
        <w:rPr>
          <w:spacing w:val="-22"/>
        </w:rPr>
        <w:t> </w:t>
      </w:r>
      <w:r>
        <w:rPr>
          <w:spacing w:val="-22"/>
        </w:rPr>
      </w:r>
      <w:r>
        <w:rPr/>
        <w:t>于舞弊或错误导致的重大错报。</w:t>
      </w:r>
    </w:p>
    <w:p>
      <w:pPr>
        <w:pStyle w:val="BodyText"/>
        <w:spacing w:line="408" w:lineRule="auto" w:before="46"/>
        <w:ind w:left="573" w:right="140" w:firstLine="2"/>
        <w:jc w:val="left"/>
      </w:pPr>
      <w:r>
        <w:rPr>
          <w:rFonts w:ascii="宋体" w:hAnsi="宋体" w:cs="宋体" w:eastAsia="宋体" w:hint="default"/>
          <w:b/>
          <w:bCs/>
        </w:rPr>
        <w:t>二、注册会计师的责任</w:t>
      </w:r>
      <w:r>
        <w:rPr>
          <w:rFonts w:ascii="宋体" w:hAnsi="宋体" w:cs="宋体" w:eastAsia="宋体" w:hint="default"/>
          <w:b/>
          <w:bCs/>
          <w:w w:val="100"/>
        </w:rPr>
        <w:t> </w:t>
      </w:r>
      <w:r>
        <w:rPr>
          <w:spacing w:val="-2"/>
        </w:rPr>
        <w:t>我们的责任是在执行审计工作的基础上对财务报表发表审计意见。我们按照中国注册会计师审计准则</w:t>
      </w:r>
    </w:p>
    <w:p>
      <w:pPr>
        <w:pStyle w:val="BodyText"/>
        <w:spacing w:line="408" w:lineRule="auto" w:before="46"/>
        <w:ind w:right="140"/>
        <w:jc w:val="left"/>
      </w:pPr>
      <w:r>
        <w:rPr>
          <w:spacing w:val="-2"/>
        </w:rPr>
        <w:t>的规定执行了审计工作。中国注册会计师审计准则要求我们遵守职业道德守则，计划和执行审计工作以对</w:t>
      </w:r>
      <w:r>
        <w:rPr>
          <w:spacing w:val="-43"/>
        </w:rPr>
        <w:t> </w:t>
      </w:r>
      <w:r>
        <w:rPr>
          <w:spacing w:val="-43"/>
        </w:rPr>
      </w:r>
      <w:r>
        <w:rPr/>
        <w:t>财务报表是否不存在重大错报获取合理保证。</w:t>
      </w:r>
    </w:p>
    <w:p>
      <w:pPr>
        <w:pStyle w:val="BodyText"/>
        <w:spacing w:line="408" w:lineRule="auto" w:before="46"/>
        <w:ind w:right="146" w:firstLine="420"/>
        <w:jc w:val="both"/>
      </w:pPr>
      <w:r>
        <w:rPr>
          <w:spacing w:val="-2"/>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r>
        <w:rPr>
          <w:spacing w:val="-43"/>
        </w:rPr>
        <w:t> </w:t>
      </w:r>
      <w:r>
        <w:rPr>
          <w:spacing w:val="-43"/>
        </w:rPr>
      </w:r>
      <w:r>
        <w:rPr/>
        <w:t>价财务报表的总体列报。</w:t>
      </w:r>
    </w:p>
    <w:p>
      <w:pPr>
        <w:pStyle w:val="BodyText"/>
        <w:spacing w:line="240" w:lineRule="auto" w:before="46"/>
        <w:ind w:left="573" w:right="140"/>
        <w:jc w:val="left"/>
      </w:pPr>
      <w:r>
        <w:rPr/>
        <w:t>我们相信，我们获取的审计证据是充分、适当的，为发表审计意见提供了基础。</w:t>
      </w:r>
    </w:p>
    <w:p>
      <w:pPr>
        <w:spacing w:after="0" w:line="240" w:lineRule="auto"/>
        <w:jc w:val="left"/>
        <w:sectPr>
          <w:pgSz w:w="11910" w:h="16840"/>
          <w:pgMar w:header="877" w:footer="979" w:top="1100" w:bottom="1160" w:left="980" w:right="980"/>
        </w:sectPr>
      </w:pPr>
    </w:p>
    <w:p>
      <w:pPr>
        <w:spacing w:line="240" w:lineRule="auto" w:before="9"/>
        <w:rPr>
          <w:rFonts w:ascii="宋体" w:hAnsi="宋体" w:cs="宋体" w:eastAsia="宋体" w:hint="default"/>
          <w:sz w:val="26"/>
          <w:szCs w:val="26"/>
        </w:rPr>
      </w:pPr>
    </w:p>
    <w:p>
      <w:pPr>
        <w:pStyle w:val="BodyText"/>
        <w:spacing w:line="408" w:lineRule="auto" w:before="36"/>
        <w:ind w:left="573" w:right="140" w:firstLine="2"/>
        <w:jc w:val="left"/>
      </w:pPr>
      <w:r>
        <w:rPr>
          <w:rFonts w:ascii="宋体" w:hAnsi="宋体" w:cs="宋体" w:eastAsia="宋体" w:hint="default"/>
          <w:b/>
          <w:bCs/>
        </w:rPr>
        <w:t>三、审计意见</w:t>
      </w:r>
      <w:r>
        <w:rPr>
          <w:rFonts w:ascii="宋体" w:hAnsi="宋体" w:cs="宋体" w:eastAsia="宋体" w:hint="default"/>
          <w:b/>
          <w:bCs/>
          <w:w w:val="100"/>
        </w:rPr>
        <w:t> </w:t>
      </w:r>
      <w:r>
        <w:rPr>
          <w:spacing w:val="2"/>
        </w:rPr>
        <w:t>我们认为，神州信息财务报表在所有重大方面按照企业会计准则的规定编制，公允反映了神州信息</w:t>
      </w:r>
    </w:p>
    <w:p>
      <w:pPr>
        <w:pStyle w:val="BodyText"/>
        <w:spacing w:line="240" w:lineRule="auto" w:before="46"/>
        <w:ind w:right="140"/>
        <w:jc w:val="left"/>
      </w:pP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2014</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2"/>
        <w:spacing w:line="240" w:lineRule="auto" w:before="0"/>
        <w:ind w:right="140"/>
        <w:jc w:val="left"/>
        <w:rPr>
          <w:b w:val="0"/>
          <w:bCs w:val="0"/>
        </w:rPr>
      </w:pPr>
      <w:r>
        <w:rPr/>
        <w:t>二、财务报表</w:t>
      </w:r>
      <w:r>
        <w:rPr>
          <w:b w:val="0"/>
          <w:bCs w:val="0"/>
        </w:rPr>
      </w:r>
    </w:p>
    <w:p>
      <w:pPr>
        <w:pStyle w:val="BodyText"/>
        <w:spacing w:line="240" w:lineRule="auto" w:before="179"/>
        <w:ind w:right="140"/>
        <w:jc w:val="left"/>
      </w:pPr>
      <w:r>
        <w:rPr/>
        <w:t>财务附注中报表的单位为：人民币元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right="14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9"/>
        <w:rPr>
          <w:rFonts w:ascii="宋体" w:hAnsi="宋体" w:cs="宋体" w:eastAsia="宋体" w:hint="default"/>
          <w:b/>
          <w:bCs/>
          <w:sz w:val="30"/>
          <w:szCs w:val="30"/>
        </w:rPr>
      </w:pPr>
    </w:p>
    <w:p>
      <w:pPr>
        <w:spacing w:before="0"/>
        <w:ind w:left="153" w:right="140" w:firstLine="0"/>
        <w:jc w:val="left"/>
        <w:rPr>
          <w:rFonts w:ascii="宋体" w:hAnsi="宋体" w:cs="宋体" w:eastAsia="宋体" w:hint="default"/>
          <w:sz w:val="18"/>
          <w:szCs w:val="18"/>
        </w:rPr>
      </w:pPr>
      <w:r>
        <w:rPr>
          <w:rFonts w:ascii="宋体" w:hAnsi="宋体" w:cs="宋体" w:eastAsia="宋体" w:hint="default"/>
          <w:sz w:val="18"/>
          <w:szCs w:val="18"/>
        </w:rPr>
        <w:t>编制单位：神州数码信息服务股份有限公司</w:t>
      </w:r>
    </w:p>
    <w:p>
      <w:pPr>
        <w:spacing w:line="240" w:lineRule="auto" w:before="8"/>
        <w:rPr>
          <w:rFonts w:ascii="宋体" w:hAnsi="宋体" w:cs="宋体" w:eastAsia="宋体" w:hint="default"/>
          <w:sz w:val="12"/>
          <w:szCs w:val="12"/>
        </w:rPr>
      </w:pPr>
    </w:p>
    <w:p>
      <w:pPr>
        <w:spacing w:before="0"/>
        <w:ind w:left="2330" w:right="2424"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before="149"/>
        <w:ind w:left="0" w:right="2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4803"/>
        <w:gridCol w:w="2278"/>
        <w:gridCol w:w="2482"/>
      </w:tblGrid>
      <w:tr>
        <w:trPr>
          <w:trHeight w:val="474" w:hRule="exact"/>
        </w:trPr>
        <w:tc>
          <w:tcPr>
            <w:tcW w:w="480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27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82"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1,702,372,776.91</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1,568,106,047.31</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36,681,950.40</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46,318,871.47</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2,239,454,591.82</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2,665,912,022.26</w:t>
            </w: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49,872,301.22</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70,112,672.13</w:t>
            </w: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143,437.50</w:t>
            </w: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79,033,420.28</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86,577,345.22</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3" w:hRule="exact"/>
        </w:trPr>
        <w:tc>
          <w:tcPr>
            <w:tcW w:w="480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78"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611,859,478.55</w:t>
            </w:r>
          </w:p>
        </w:tc>
        <w:tc>
          <w:tcPr>
            <w:tcW w:w="248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713,357,425.12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3"/>
        <w:rPr>
          <w:rFonts w:ascii="Times New Roman" w:hAnsi="Times New Roman" w:cs="Times New Roman" w:eastAsia="Times New Roman"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803"/>
        <w:gridCol w:w="2278"/>
        <w:gridCol w:w="2482"/>
      </w:tblGrid>
      <w:tr>
        <w:trPr>
          <w:trHeight w:val="474" w:hRule="exact"/>
        </w:trPr>
        <w:tc>
          <w:tcPr>
            <w:tcW w:w="480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0"/>
              <w:ind w:left="367"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278" w:type="dxa"/>
            <w:tcBorders>
              <w:top w:val="single" w:sz="12" w:space="0" w:color="000000"/>
              <w:left w:val="single" w:sz="9" w:space="0" w:color="D2D2D2"/>
              <w:bottom w:val="single" w:sz="6" w:space="0" w:color="000000"/>
              <w:right w:val="single" w:sz="6" w:space="0" w:color="000000"/>
            </w:tcBorders>
          </w:tcPr>
          <w:p>
            <w:pPr/>
          </w:p>
        </w:tc>
        <w:tc>
          <w:tcPr>
            <w:tcW w:w="2482" w:type="dxa"/>
            <w:tcBorders>
              <w:top w:val="single" w:sz="12"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200,000,000.00</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1,761,580.96</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4,919,417,956.68</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5,152,145,964.47</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82"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278" w:type="dxa"/>
            <w:tcBorders>
              <w:top w:val="single" w:sz="9" w:space="0" w:color="000000"/>
              <w:left w:val="single" w:sz="9" w:space="0" w:color="D2D2D2"/>
              <w:bottom w:val="single" w:sz="6" w:space="0" w:color="000000"/>
              <w:right w:val="single" w:sz="6" w:space="0" w:color="000000"/>
            </w:tcBorders>
          </w:tcPr>
          <w:p>
            <w:pPr/>
          </w:p>
        </w:tc>
        <w:tc>
          <w:tcPr>
            <w:tcW w:w="2482" w:type="dxa"/>
            <w:tcBorders>
              <w:top w:val="single" w:sz="9"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25,020,000.00</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85,375,372.56</w:t>
            </w: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358,455,474.77</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353,461,129.04</w:t>
            </w: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167,643,540.38</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188,557,044.57</w:t>
            </w: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255,404.17</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1,662,109.44</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35,598,787.56</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6,745,320.90</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839,684,120.57</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193,671,128.85</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4,488,051.98</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5,233,155.32</w:t>
            </w: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52,800,048.30</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45,973,101.96</w:t>
            </w: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1,483,945,427.73</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880,678,362.64</w:t>
            </w: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78" w:type="dxa"/>
            <w:tcBorders>
              <w:top w:val="single" w:sz="6" w:space="0" w:color="000000"/>
              <w:left w:val="single" w:sz="9" w:space="0" w:color="D2D2D2"/>
              <w:bottom w:val="single" w:sz="9"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6,403,363,384.41</w:t>
            </w:r>
          </w:p>
        </w:tc>
        <w:tc>
          <w:tcPr>
            <w:tcW w:w="2482" w:type="dxa"/>
            <w:tcBorders>
              <w:top w:val="single" w:sz="6" w:space="0" w:color="000000"/>
              <w:left w:val="single" w:sz="6" w:space="0" w:color="000000"/>
              <w:bottom w:val="single" w:sz="9"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6,032,824,327.11</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82"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78" w:type="dxa"/>
            <w:tcBorders>
              <w:top w:val="single" w:sz="9" w:space="0" w:color="000000"/>
              <w:left w:val="single" w:sz="9" w:space="0" w:color="D2D2D2"/>
              <w:bottom w:val="single" w:sz="6" w:space="0" w:color="000000"/>
              <w:right w:val="single" w:sz="6" w:space="0" w:color="000000"/>
            </w:tcBorders>
          </w:tcPr>
          <w:p>
            <w:pPr>
              <w:pStyle w:val="TableParagraph"/>
              <w:spacing w:line="240" w:lineRule="auto" w:before="162"/>
              <w:ind w:right="15"/>
              <w:jc w:val="right"/>
              <w:rPr>
                <w:rFonts w:ascii="Times New Roman" w:hAnsi="Times New Roman" w:cs="Times New Roman" w:eastAsia="Times New Roman" w:hint="default"/>
                <w:sz w:val="18"/>
                <w:szCs w:val="18"/>
              </w:rPr>
            </w:pPr>
            <w:r>
              <w:rPr>
                <w:rFonts w:ascii="Times New Roman"/>
                <w:spacing w:val="-1"/>
                <w:sz w:val="18"/>
              </w:rPr>
              <w:t>762,692,505.11</w:t>
            </w:r>
          </w:p>
        </w:tc>
        <w:tc>
          <w:tcPr>
            <w:tcW w:w="2482" w:type="dxa"/>
            <w:tcBorders>
              <w:top w:val="single" w:sz="9" w:space="0" w:color="000000"/>
              <w:left w:val="single" w:sz="6" w:space="0" w:color="000000"/>
              <w:bottom w:val="single" w:sz="6" w:space="0" w:color="000000"/>
              <w:right w:val="single" w:sz="12" w:space="0" w:color="000000"/>
            </w:tcBorders>
          </w:tcPr>
          <w:p>
            <w:pPr>
              <w:pStyle w:val="TableParagraph"/>
              <w:spacing w:line="240" w:lineRule="auto" w:before="162"/>
              <w:ind w:right="10"/>
              <w:jc w:val="right"/>
              <w:rPr>
                <w:rFonts w:ascii="Times New Roman" w:hAnsi="Times New Roman" w:cs="Times New Roman" w:eastAsia="Times New Roman" w:hint="default"/>
                <w:sz w:val="18"/>
                <w:szCs w:val="18"/>
              </w:rPr>
            </w:pPr>
            <w:r>
              <w:rPr>
                <w:rFonts w:ascii="Times New Roman"/>
                <w:spacing w:val="-1"/>
                <w:sz w:val="18"/>
              </w:rPr>
              <w:t>1,224,391,969.47</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2" w:hRule="exact"/>
        </w:trPr>
        <w:tc>
          <w:tcPr>
            <w:tcW w:w="480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278" w:type="dxa"/>
            <w:tcBorders>
              <w:top w:val="single" w:sz="6" w:space="0" w:color="000000"/>
              <w:left w:val="single" w:sz="9" w:space="0" w:color="D2D2D2"/>
              <w:bottom w:val="single" w:sz="12" w:space="0" w:color="000000"/>
              <w:right w:val="single" w:sz="6" w:space="0" w:color="000000"/>
            </w:tcBorders>
          </w:tcPr>
          <w:p>
            <w:pPr/>
          </w:p>
        </w:tc>
        <w:tc>
          <w:tcPr>
            <w:tcW w:w="2482"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979" w:top="1100" w:bottom="1160" w:left="980" w:right="980"/>
        </w:sectPr>
      </w:pPr>
    </w:p>
    <w:p>
      <w:pPr>
        <w:spacing w:line="240" w:lineRule="auto" w:before="3"/>
        <w:rPr>
          <w:rFonts w:ascii="Times New Roman" w:hAnsi="Times New Roman" w:cs="Times New Roman" w:eastAsia="Times New Roman"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803"/>
        <w:gridCol w:w="2278"/>
        <w:gridCol w:w="2482"/>
      </w:tblGrid>
      <w:tr>
        <w:trPr>
          <w:trHeight w:val="474" w:hRule="exact"/>
        </w:trPr>
        <w:tc>
          <w:tcPr>
            <w:tcW w:w="480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0"/>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278" w:type="dxa"/>
            <w:tcBorders>
              <w:top w:val="single" w:sz="12" w:space="0" w:color="000000"/>
              <w:left w:val="single" w:sz="9" w:space="0" w:color="D2D2D2"/>
              <w:bottom w:val="single" w:sz="6" w:space="0" w:color="000000"/>
              <w:right w:val="single" w:sz="6" w:space="0" w:color="000000"/>
            </w:tcBorders>
          </w:tcPr>
          <w:p>
            <w:pPr/>
          </w:p>
        </w:tc>
        <w:tc>
          <w:tcPr>
            <w:tcW w:w="2482" w:type="dxa"/>
            <w:tcBorders>
              <w:top w:val="single" w:sz="12"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209,703,988.93</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363,182,246.34</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1,158,422,995.29</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1,680,747,127.23</w:t>
            </w: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570,297,210.22</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414,827,160.11</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270,666,340.16</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232,487,598.81</w:t>
            </w: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152,768,859.54</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115,432,236.26</w:t>
            </w: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373,960.52</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743,278.48</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42,630,353.77</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38,181,704.07</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2,663,252.88</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4,695,474.14</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78" w:type="dxa"/>
            <w:tcBorders>
              <w:top w:val="single" w:sz="6" w:space="0" w:color="000000"/>
              <w:left w:val="single" w:sz="9" w:space="0" w:color="D2D2D2"/>
              <w:bottom w:val="single" w:sz="9"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3,170,219,466.42</w:t>
            </w:r>
          </w:p>
        </w:tc>
        <w:tc>
          <w:tcPr>
            <w:tcW w:w="2482" w:type="dxa"/>
            <w:tcBorders>
              <w:top w:val="single" w:sz="6" w:space="0" w:color="000000"/>
              <w:left w:val="single" w:sz="6" w:space="0" w:color="000000"/>
              <w:bottom w:val="single" w:sz="9"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4,074,688,794.91</w:t>
            </w: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82"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240,000,000.00</w:t>
            </w: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08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2" w:hRule="exact"/>
        </w:trPr>
        <w:tc>
          <w:tcPr>
            <w:tcW w:w="480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278" w:type="dxa"/>
            <w:tcBorders>
              <w:top w:val="single" w:sz="6" w:space="0" w:color="000000"/>
              <w:left w:val="single" w:sz="9" w:space="0" w:color="D2D2D2"/>
              <w:bottom w:val="single" w:sz="12" w:space="0" w:color="000000"/>
              <w:right w:val="single" w:sz="6" w:space="0" w:color="000000"/>
            </w:tcBorders>
          </w:tcPr>
          <w:p>
            <w:pPr/>
          </w:p>
        </w:tc>
        <w:tc>
          <w:tcPr>
            <w:tcW w:w="2482"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979" w:top="1100" w:bottom="1160" w:left="980" w:right="980"/>
        </w:sectPr>
      </w:pPr>
    </w:p>
    <w:p>
      <w:pPr>
        <w:spacing w:line="240" w:lineRule="auto" w:before="3"/>
        <w:rPr>
          <w:rFonts w:ascii="Times New Roman" w:hAnsi="Times New Roman" w:cs="Times New Roman" w:eastAsia="Times New Roman"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803"/>
        <w:gridCol w:w="2278"/>
        <w:gridCol w:w="2482"/>
      </w:tblGrid>
      <w:tr>
        <w:trPr>
          <w:trHeight w:val="474" w:hRule="exact"/>
        </w:trPr>
        <w:tc>
          <w:tcPr>
            <w:tcW w:w="480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0"/>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78" w:type="dxa"/>
            <w:tcBorders>
              <w:top w:val="single" w:sz="12" w:space="0" w:color="000000"/>
              <w:left w:val="single" w:sz="9" w:space="0" w:color="D2D2D2"/>
              <w:bottom w:val="single" w:sz="6" w:space="0" w:color="000000"/>
              <w:right w:val="single" w:sz="6" w:space="0" w:color="000000"/>
            </w:tcBorders>
          </w:tcPr>
          <w:p>
            <w:pPr/>
          </w:p>
        </w:tc>
        <w:tc>
          <w:tcPr>
            <w:tcW w:w="2482" w:type="dxa"/>
            <w:tcBorders>
              <w:top w:val="single" w:sz="12"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29,342,831.84</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34,432,732.99</w:t>
            </w: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2,286,250.00</w:t>
            </w: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271,629,081.84</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34,432,732.99</w:t>
            </w: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78" w:type="dxa"/>
            <w:tcBorders>
              <w:top w:val="single" w:sz="6" w:space="0" w:color="000000"/>
              <w:left w:val="single" w:sz="9" w:space="0" w:color="D2D2D2"/>
              <w:bottom w:val="single" w:sz="9"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3,441,848,548.26</w:t>
            </w:r>
          </w:p>
        </w:tc>
        <w:tc>
          <w:tcPr>
            <w:tcW w:w="2482" w:type="dxa"/>
            <w:tcBorders>
              <w:top w:val="single" w:sz="6" w:space="0" w:color="000000"/>
              <w:left w:val="single" w:sz="6" w:space="0" w:color="000000"/>
              <w:bottom w:val="single" w:sz="9"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4,109,121,527.90</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82"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78" w:type="dxa"/>
            <w:tcBorders>
              <w:top w:val="single" w:sz="9" w:space="0" w:color="000000"/>
              <w:left w:val="single" w:sz="9" w:space="0" w:color="D2D2D2"/>
              <w:bottom w:val="single" w:sz="6" w:space="0" w:color="000000"/>
              <w:right w:val="single" w:sz="6" w:space="0" w:color="000000"/>
            </w:tcBorders>
          </w:tcPr>
          <w:p>
            <w:pPr>
              <w:pStyle w:val="TableParagraph"/>
              <w:spacing w:line="240" w:lineRule="auto" w:before="162"/>
              <w:ind w:right="15"/>
              <w:jc w:val="right"/>
              <w:rPr>
                <w:rFonts w:ascii="Times New Roman" w:hAnsi="Times New Roman" w:cs="Times New Roman" w:eastAsia="Times New Roman" w:hint="default"/>
                <w:sz w:val="18"/>
                <w:szCs w:val="18"/>
              </w:rPr>
            </w:pPr>
            <w:r>
              <w:rPr>
                <w:rFonts w:ascii="Times New Roman"/>
                <w:spacing w:val="-1"/>
                <w:sz w:val="18"/>
              </w:rPr>
              <w:t>458,905,958.00</w:t>
            </w:r>
          </w:p>
        </w:tc>
        <w:tc>
          <w:tcPr>
            <w:tcW w:w="2482" w:type="dxa"/>
            <w:tcBorders>
              <w:top w:val="single" w:sz="9" w:space="0" w:color="000000"/>
              <w:left w:val="single" w:sz="6" w:space="0" w:color="000000"/>
              <w:bottom w:val="single" w:sz="6" w:space="0" w:color="000000"/>
              <w:right w:val="single" w:sz="12" w:space="0" w:color="000000"/>
            </w:tcBorders>
          </w:tcPr>
          <w:p>
            <w:pPr>
              <w:pStyle w:val="TableParagraph"/>
              <w:spacing w:line="240" w:lineRule="auto" w:before="162"/>
              <w:ind w:right="10"/>
              <w:jc w:val="right"/>
              <w:rPr>
                <w:rFonts w:ascii="Times New Roman" w:hAnsi="Times New Roman" w:cs="Times New Roman" w:eastAsia="Times New Roman" w:hint="default"/>
                <w:sz w:val="18"/>
                <w:szCs w:val="18"/>
              </w:rPr>
            </w:pPr>
            <w:r>
              <w:rPr>
                <w:rFonts w:ascii="Times New Roman"/>
                <w:spacing w:val="-1"/>
                <w:sz w:val="18"/>
              </w:rPr>
              <w:t>431,214,014.00</w:t>
            </w: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108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1,576,328,742.78</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881,287,279.65</w:t>
            </w: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69,885,193.50</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44,031,200.38</w:t>
            </w: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10,062,793.78</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2,322,738.36</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814,699,309.20</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542,908,224.61</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2,929,881,997.26</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1,901,763,457.00</w:t>
            </w: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31,632,838.89</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21,939,342.21</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2,961,514,836.15</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1,923,702,799.21</w:t>
            </w:r>
          </w:p>
        </w:tc>
      </w:tr>
      <w:tr>
        <w:trPr>
          <w:trHeight w:val="472" w:hRule="exact"/>
        </w:trPr>
        <w:tc>
          <w:tcPr>
            <w:tcW w:w="480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78"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6,403,363,384.41</w:t>
            </w:r>
          </w:p>
        </w:tc>
        <w:tc>
          <w:tcPr>
            <w:tcW w:w="248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6,032,824,327.11</w:t>
            </w:r>
          </w:p>
        </w:tc>
      </w:tr>
    </w:tbl>
    <w:p>
      <w:pPr>
        <w:spacing w:line="240" w:lineRule="auto" w:before="4"/>
        <w:rPr>
          <w:rFonts w:ascii="Times New Roman" w:hAnsi="Times New Roman" w:cs="Times New Roman" w:eastAsia="Times New Roman" w:hint="default"/>
          <w:sz w:val="29"/>
          <w:szCs w:val="29"/>
        </w:rPr>
      </w:pPr>
    </w:p>
    <w:p>
      <w:pPr>
        <w:spacing w:before="44"/>
        <w:ind w:left="153" w:right="140" w:firstLine="0"/>
        <w:jc w:val="left"/>
        <w:rPr>
          <w:rFonts w:ascii="宋体" w:hAnsi="宋体" w:cs="宋体" w:eastAsia="宋体" w:hint="default"/>
          <w:sz w:val="18"/>
          <w:szCs w:val="18"/>
        </w:rPr>
      </w:pPr>
      <w:r>
        <w:rPr>
          <w:rFonts w:ascii="宋体" w:hAnsi="宋体" w:cs="宋体" w:eastAsia="宋体" w:hint="default"/>
          <w:sz w:val="18"/>
          <w:szCs w:val="18"/>
        </w:rPr>
        <w:t>法定代表人：郭为主管会计工作负责人：辛昕会计机构负责人：任军</w:t>
      </w:r>
    </w:p>
    <w:p>
      <w:pPr>
        <w:spacing w:after="0"/>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7"/>
          <w:szCs w:val="27"/>
        </w:rPr>
      </w:pPr>
    </w:p>
    <w:p>
      <w:pPr>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4803"/>
        <w:gridCol w:w="2278"/>
        <w:gridCol w:w="2482"/>
      </w:tblGrid>
      <w:tr>
        <w:trPr>
          <w:trHeight w:val="472" w:hRule="exact"/>
        </w:trPr>
        <w:tc>
          <w:tcPr>
            <w:tcW w:w="480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27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82"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78" w:type="dxa"/>
            <w:tcBorders>
              <w:top w:val="single" w:sz="9" w:space="0" w:color="000000"/>
              <w:left w:val="single" w:sz="9" w:space="0" w:color="D2D2D2"/>
              <w:bottom w:val="single" w:sz="6" w:space="0" w:color="000000"/>
              <w:right w:val="single" w:sz="6" w:space="0" w:color="000000"/>
            </w:tcBorders>
          </w:tcPr>
          <w:p>
            <w:pPr>
              <w:pStyle w:val="TableParagraph"/>
              <w:spacing w:line="240" w:lineRule="auto" w:before="162"/>
              <w:ind w:right="15"/>
              <w:jc w:val="right"/>
              <w:rPr>
                <w:rFonts w:ascii="Times New Roman" w:hAnsi="Times New Roman" w:cs="Times New Roman" w:eastAsia="Times New Roman" w:hint="default"/>
                <w:sz w:val="18"/>
                <w:szCs w:val="18"/>
              </w:rPr>
            </w:pPr>
            <w:r>
              <w:rPr>
                <w:rFonts w:ascii="Times New Roman"/>
                <w:spacing w:val="-1"/>
                <w:sz w:val="18"/>
              </w:rPr>
              <w:t>355,878,845.85</w:t>
            </w:r>
          </w:p>
        </w:tc>
        <w:tc>
          <w:tcPr>
            <w:tcW w:w="2482" w:type="dxa"/>
            <w:tcBorders>
              <w:top w:val="single" w:sz="9" w:space="0" w:color="000000"/>
              <w:left w:val="single" w:sz="6" w:space="0" w:color="000000"/>
              <w:bottom w:val="single" w:sz="6" w:space="0" w:color="000000"/>
              <w:right w:val="single" w:sz="12" w:space="0" w:color="000000"/>
            </w:tcBorders>
          </w:tcPr>
          <w:p>
            <w:pPr>
              <w:pStyle w:val="TableParagraph"/>
              <w:spacing w:line="240" w:lineRule="auto" w:before="162"/>
              <w:ind w:right="10"/>
              <w:jc w:val="right"/>
              <w:rPr>
                <w:rFonts w:ascii="Times New Roman" w:hAnsi="Times New Roman" w:cs="Times New Roman" w:eastAsia="Times New Roman" w:hint="default"/>
                <w:sz w:val="18"/>
                <w:szCs w:val="18"/>
              </w:rPr>
            </w:pPr>
            <w:r>
              <w:rPr>
                <w:rFonts w:ascii="Times New Roman"/>
                <w:spacing w:val="-1"/>
                <w:sz w:val="18"/>
              </w:rPr>
              <w:t>173,956,535.00</w:t>
            </w: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7,151,978.01</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9,764,428.72</w:t>
            </w: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39,730,415.28</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253,493,518.88</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24,142,748.13</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4,705,837.24</w:t>
            </w: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157,516,512.00</w:t>
            </w: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137,603,380.25</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1,027,859.11</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23,538,391.49</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88,681,267.03</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1"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745,562,271.01</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531,629,445.98</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82"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25,000,000.00</w:t>
            </w: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1"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1,533,135,617.91</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823,135,617.91</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399,501.87</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319,238.90</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2" w:hRule="exact"/>
        </w:trPr>
        <w:tc>
          <w:tcPr>
            <w:tcW w:w="480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78" w:type="dxa"/>
            <w:tcBorders>
              <w:top w:val="single" w:sz="6" w:space="0" w:color="000000"/>
              <w:left w:val="single" w:sz="9" w:space="0" w:color="D2D2D2"/>
              <w:bottom w:val="single" w:sz="12" w:space="0" w:color="000000"/>
              <w:right w:val="single" w:sz="6" w:space="0" w:color="000000"/>
            </w:tcBorders>
          </w:tcPr>
          <w:p>
            <w:pPr/>
          </w:p>
        </w:tc>
        <w:tc>
          <w:tcPr>
            <w:tcW w:w="2482"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979" w:top="1100" w:bottom="1160" w:left="980" w:right="980"/>
        </w:sectPr>
      </w:pPr>
    </w:p>
    <w:p>
      <w:pPr>
        <w:spacing w:line="240" w:lineRule="auto" w:before="3"/>
        <w:rPr>
          <w:rFonts w:ascii="Times New Roman" w:hAnsi="Times New Roman" w:cs="Times New Roman" w:eastAsia="Times New Roman"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803"/>
        <w:gridCol w:w="2278"/>
        <w:gridCol w:w="2482"/>
      </w:tblGrid>
      <w:tr>
        <w:trPr>
          <w:trHeight w:val="474" w:hRule="exact"/>
        </w:trPr>
        <w:tc>
          <w:tcPr>
            <w:tcW w:w="480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0"/>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78" w:type="dxa"/>
            <w:tcBorders>
              <w:top w:val="single" w:sz="12" w:space="0" w:color="000000"/>
              <w:left w:val="single" w:sz="9" w:space="0" w:color="D2D2D2"/>
              <w:bottom w:val="single" w:sz="6" w:space="0" w:color="000000"/>
              <w:right w:val="single" w:sz="6" w:space="0" w:color="000000"/>
            </w:tcBorders>
          </w:tcPr>
          <w:p>
            <w:pPr/>
          </w:p>
        </w:tc>
        <w:tc>
          <w:tcPr>
            <w:tcW w:w="2482" w:type="dxa"/>
            <w:tcBorders>
              <w:top w:val="single" w:sz="12"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1,023,426.00</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46,656.00</w:t>
            </w: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652,858.35</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2"/>
                <w:sz w:val="18"/>
              </w:rPr>
              <w:t>85,111.74</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1,560,211,404.13</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823,586,624.55</w:t>
            </w: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2,305,773,675.14</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1,355,216,070.53</w:t>
            </w: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82"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22,335,686.00</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19,404,563.80</w:t>
            </w: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193,412,691.93</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363,295,313.27</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51,838,290.14</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11,001,557.64</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13,368,030.83</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12,817,963.68</w:t>
            </w: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3,122,755.45</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1,241,268.14</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18,116,969.93</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25,831,270.42</w:t>
            </w: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78" w:type="dxa"/>
            <w:tcBorders>
              <w:top w:val="single" w:sz="6" w:space="0" w:color="000000"/>
              <w:left w:val="single" w:sz="9" w:space="0" w:color="D2D2D2"/>
              <w:bottom w:val="single" w:sz="9"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302,194,424.28</w:t>
            </w:r>
          </w:p>
        </w:tc>
        <w:tc>
          <w:tcPr>
            <w:tcW w:w="2482" w:type="dxa"/>
            <w:tcBorders>
              <w:top w:val="single" w:sz="6" w:space="0" w:color="000000"/>
              <w:left w:val="single" w:sz="6" w:space="0" w:color="000000"/>
              <w:bottom w:val="single" w:sz="9"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433,591,936.95</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82"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78" w:type="dxa"/>
            <w:tcBorders>
              <w:top w:val="single" w:sz="9" w:space="0" w:color="000000"/>
              <w:left w:val="single" w:sz="9" w:space="0" w:color="D2D2D2"/>
              <w:bottom w:val="single" w:sz="6" w:space="0" w:color="000000"/>
              <w:right w:val="single" w:sz="6" w:space="0" w:color="000000"/>
            </w:tcBorders>
          </w:tcPr>
          <w:p>
            <w:pPr/>
          </w:p>
        </w:tc>
        <w:tc>
          <w:tcPr>
            <w:tcW w:w="2482" w:type="dxa"/>
            <w:tcBorders>
              <w:top w:val="single" w:sz="9"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2" w:hRule="exact"/>
        </w:trPr>
        <w:tc>
          <w:tcPr>
            <w:tcW w:w="480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78" w:type="dxa"/>
            <w:tcBorders>
              <w:top w:val="single" w:sz="6" w:space="0" w:color="000000"/>
              <w:left w:val="single" w:sz="9" w:space="0" w:color="D2D2D2"/>
              <w:bottom w:val="single" w:sz="12" w:space="0" w:color="000000"/>
              <w:right w:val="single" w:sz="6" w:space="0" w:color="000000"/>
            </w:tcBorders>
          </w:tcPr>
          <w:p>
            <w:pPr/>
          </w:p>
        </w:tc>
        <w:tc>
          <w:tcPr>
            <w:tcW w:w="2482" w:type="dxa"/>
            <w:tcBorders>
              <w:top w:val="single" w:sz="6" w:space="0" w:color="000000"/>
              <w:left w:val="single" w:sz="6" w:space="0" w:color="000000"/>
              <w:bottom w:val="single" w:sz="12" w:space="0" w:color="000000"/>
              <w:right w:val="single" w:sz="12" w:space="0" w:color="000000"/>
            </w:tcBorders>
          </w:tcPr>
          <w:p>
            <w:pPr/>
          </w:p>
        </w:tc>
      </w:tr>
    </w:tbl>
    <w:p>
      <w:pPr>
        <w:spacing w:after="0"/>
        <w:sectPr>
          <w:footerReference w:type="default" r:id="rId46"/>
          <w:pgSz w:w="11910" w:h="16840"/>
          <w:pgMar w:footer="979" w:header="877" w:top="1100" w:bottom="1160" w:left="980" w:right="980"/>
        </w:sectPr>
      </w:pPr>
    </w:p>
    <w:p>
      <w:pPr>
        <w:spacing w:line="240" w:lineRule="auto" w:before="3"/>
        <w:rPr>
          <w:rFonts w:ascii="Times New Roman" w:hAnsi="Times New Roman" w:cs="Times New Roman" w:eastAsia="Times New Roman"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803"/>
        <w:gridCol w:w="2278"/>
        <w:gridCol w:w="2482"/>
      </w:tblGrid>
      <w:tr>
        <w:trPr>
          <w:trHeight w:val="474" w:hRule="exact"/>
        </w:trPr>
        <w:tc>
          <w:tcPr>
            <w:tcW w:w="480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0"/>
              <w:ind w:left="108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78" w:type="dxa"/>
            <w:tcBorders>
              <w:top w:val="single" w:sz="12" w:space="0" w:color="000000"/>
              <w:left w:val="single" w:sz="9" w:space="0" w:color="D2D2D2"/>
              <w:bottom w:val="single" w:sz="6" w:space="0" w:color="000000"/>
              <w:right w:val="single" w:sz="6" w:space="0" w:color="000000"/>
            </w:tcBorders>
          </w:tcPr>
          <w:p>
            <w:pPr/>
          </w:p>
        </w:tc>
        <w:tc>
          <w:tcPr>
            <w:tcW w:w="2482" w:type="dxa"/>
            <w:tcBorders>
              <w:top w:val="single" w:sz="12"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78" w:type="dxa"/>
            <w:tcBorders>
              <w:top w:val="single" w:sz="6" w:space="0" w:color="000000"/>
              <w:left w:val="single" w:sz="9" w:space="0" w:color="D2D2D2"/>
              <w:bottom w:val="single" w:sz="10"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302,194,424.28</w:t>
            </w:r>
          </w:p>
        </w:tc>
        <w:tc>
          <w:tcPr>
            <w:tcW w:w="2482" w:type="dxa"/>
            <w:tcBorders>
              <w:top w:val="single" w:sz="6" w:space="0" w:color="000000"/>
              <w:left w:val="single" w:sz="6" w:space="0" w:color="000000"/>
              <w:bottom w:val="single" w:sz="10"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433,591,936.95</w:t>
            </w: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82"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458,905,958.00</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431,214,014.00</w:t>
            </w: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08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1,464,950,000.32</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769,908,537.20</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78" w:type="dxa"/>
            <w:tcBorders>
              <w:top w:val="single" w:sz="6" w:space="0" w:color="000000"/>
              <w:left w:val="single" w:sz="9" w:space="0" w:color="D2D2D2"/>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10,062,793.78</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2,322,738.36</w:t>
            </w:r>
          </w:p>
        </w:tc>
      </w:tr>
      <w:tr>
        <w:trPr>
          <w:trHeight w:val="468"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69,660,498.76</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-281,821,155.98</w:t>
            </w:r>
          </w:p>
        </w:tc>
      </w:tr>
      <w:tr>
        <w:trPr>
          <w:trHeight w:val="469" w:hRule="exact"/>
        </w:trPr>
        <w:tc>
          <w:tcPr>
            <w:tcW w:w="48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2,003,579,250.86</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921,624,133.58</w:t>
            </w:r>
          </w:p>
        </w:tc>
      </w:tr>
      <w:tr>
        <w:trPr>
          <w:trHeight w:val="472" w:hRule="exact"/>
        </w:trPr>
        <w:tc>
          <w:tcPr>
            <w:tcW w:w="480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4"/>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78"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2,305,773,675.14</w:t>
            </w:r>
          </w:p>
        </w:tc>
        <w:tc>
          <w:tcPr>
            <w:tcW w:w="248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1,355,216,070.53</w:t>
            </w:r>
          </w:p>
        </w:tc>
      </w:tr>
    </w:tbl>
    <w:p>
      <w:pPr>
        <w:spacing w:line="240" w:lineRule="auto" w:before="2"/>
        <w:rPr>
          <w:rFonts w:ascii="Times New Roman" w:hAnsi="Times New Roman" w:cs="Times New Roman" w:eastAsia="Times New Roman" w:hint="default"/>
          <w:sz w:val="29"/>
          <w:szCs w:val="29"/>
        </w:rPr>
      </w:pPr>
    </w:p>
    <w:p>
      <w:pPr>
        <w:spacing w:before="44"/>
        <w:ind w:left="153" w:right="140" w:firstLine="0"/>
        <w:jc w:val="left"/>
        <w:rPr>
          <w:rFonts w:ascii="宋体" w:hAnsi="宋体" w:cs="宋体" w:eastAsia="宋体" w:hint="default"/>
          <w:sz w:val="18"/>
          <w:szCs w:val="18"/>
        </w:rPr>
      </w:pPr>
      <w:r>
        <w:rPr>
          <w:rFonts w:ascii="宋体" w:hAnsi="宋体" w:cs="宋体" w:eastAsia="宋体" w:hint="default"/>
          <w:sz w:val="18"/>
          <w:szCs w:val="18"/>
        </w:rPr>
        <w:t>法定代表人：郭为主管会计工作负责人：辛昕会计机构负责人：任军</w:t>
      </w:r>
    </w:p>
    <w:p>
      <w:pPr>
        <w:spacing w:after="0"/>
        <w:jc w:val="left"/>
        <w:rPr>
          <w:rFonts w:ascii="宋体" w:hAnsi="宋体" w:cs="宋体" w:eastAsia="宋体" w:hint="default"/>
          <w:sz w:val="18"/>
          <w:szCs w:val="18"/>
        </w:rPr>
        <w:sectPr>
          <w:footerReference w:type="default" r:id="rId47"/>
          <w:pgSz w:w="11910" w:h="16840"/>
          <w:pgMar w:footer="979" w:header="877" w:top="1100" w:bottom="1160" w:left="980" w:right="980"/>
          <w:pgNumType w:start="101"/>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5"/>
        <w:rPr>
          <w:rFonts w:ascii="宋体" w:hAnsi="宋体" w:cs="宋体" w:eastAsia="宋体" w:hint="default"/>
          <w:b/>
          <w:bCs/>
          <w:sz w:val="27"/>
          <w:szCs w:val="27"/>
        </w:rPr>
      </w:pPr>
    </w:p>
    <w:p>
      <w:pPr>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4946"/>
        <w:gridCol w:w="2313"/>
        <w:gridCol w:w="2304"/>
      </w:tblGrid>
      <w:tr>
        <w:trPr>
          <w:trHeight w:val="472" w:hRule="exact"/>
        </w:trPr>
        <w:tc>
          <w:tcPr>
            <w:tcW w:w="494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1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left="70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9"/>
              <w:ind w:left="69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313" w:type="dxa"/>
            <w:tcBorders>
              <w:top w:val="single" w:sz="9" w:space="0" w:color="000000"/>
              <w:left w:val="single" w:sz="14" w:space="0" w:color="D2D2D2"/>
              <w:bottom w:val="single" w:sz="6" w:space="0" w:color="000000"/>
              <w:right w:val="single" w:sz="6" w:space="0" w:color="000000"/>
            </w:tcBorders>
          </w:tcPr>
          <w:p>
            <w:pPr>
              <w:pStyle w:val="TableParagraph"/>
              <w:spacing w:line="240" w:lineRule="auto" w:before="162"/>
              <w:ind w:right="18"/>
              <w:jc w:val="right"/>
              <w:rPr>
                <w:rFonts w:ascii="Times New Roman" w:hAnsi="Times New Roman" w:cs="Times New Roman" w:eastAsia="Times New Roman" w:hint="default"/>
                <w:sz w:val="18"/>
                <w:szCs w:val="18"/>
              </w:rPr>
            </w:pPr>
            <w:r>
              <w:rPr>
                <w:rFonts w:ascii="Times New Roman"/>
                <w:spacing w:val="-1"/>
                <w:sz w:val="18"/>
              </w:rPr>
              <w:t>6,559,007,918.00</w:t>
            </w:r>
          </w:p>
        </w:tc>
        <w:tc>
          <w:tcPr>
            <w:tcW w:w="2304" w:type="dxa"/>
            <w:tcBorders>
              <w:top w:val="single" w:sz="9" w:space="0" w:color="000000"/>
              <w:left w:val="single" w:sz="6" w:space="0" w:color="000000"/>
              <w:bottom w:val="single" w:sz="6" w:space="0" w:color="000000"/>
              <w:right w:val="single" w:sz="12" w:space="0" w:color="000000"/>
            </w:tcBorders>
          </w:tcPr>
          <w:p>
            <w:pPr>
              <w:pStyle w:val="TableParagraph"/>
              <w:spacing w:line="240" w:lineRule="auto" w:before="162"/>
              <w:ind w:right="13"/>
              <w:jc w:val="right"/>
              <w:rPr>
                <w:rFonts w:ascii="Times New Roman" w:hAnsi="Times New Roman" w:cs="Times New Roman" w:eastAsia="Times New Roman" w:hint="default"/>
                <w:sz w:val="18"/>
                <w:szCs w:val="18"/>
              </w:rPr>
            </w:pPr>
            <w:r>
              <w:rPr>
                <w:rFonts w:ascii="Times New Roman"/>
                <w:spacing w:val="-1"/>
                <w:sz w:val="18"/>
              </w:rPr>
              <w:t>7,713,438,140.57</w:t>
            </w: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6,559,007,918.00</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7,713,438,140.57</w:t>
            </w: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9"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7"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6,286,876,287.85</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7,518,367,633.04</w:t>
            </w: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5,357,409,536.95</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6,528,598,726.85</w:t>
            </w: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71"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24,244,336.41</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21,226,706.84</w:t>
            </w: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420,076,869.46</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447,177,409.86</w:t>
            </w:r>
          </w:p>
        </w:tc>
      </w:tr>
      <w:tr>
        <w:trPr>
          <w:trHeight w:val="469"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462,027,735.48</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370,948,787.37</w:t>
            </w:r>
          </w:p>
        </w:tc>
      </w:tr>
      <w:tr>
        <w:trPr>
          <w:trHeight w:val="469"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90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18,359,409.25</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11,676,467.39</w:t>
            </w: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4,758,400.30</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138,739,534.73</w:t>
            </w:r>
          </w:p>
        </w:tc>
      </w:tr>
      <w:tr>
        <w:trPr>
          <w:trHeight w:val="471"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right="976"/>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27"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35,761,040.55</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33,132,804.69</w:t>
            </w: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right="955"/>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31,439,150.46</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25,453,214.16</w:t>
            </w: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27"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307,892,670.70</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228,203,312.22</w:t>
            </w: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24,829,428.65</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54,328,618.36</w:t>
            </w:r>
          </w:p>
        </w:tc>
      </w:tr>
      <w:tr>
        <w:trPr>
          <w:trHeight w:val="472" w:hRule="exact"/>
        </w:trPr>
        <w:tc>
          <w:tcPr>
            <w:tcW w:w="494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727"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313"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43,953.26</w:t>
            </w:r>
          </w:p>
        </w:tc>
        <w:tc>
          <w:tcPr>
            <w:tcW w:w="230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154,824.53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4946"/>
        <w:gridCol w:w="2313"/>
        <w:gridCol w:w="2304"/>
      </w:tblGrid>
      <w:tr>
        <w:trPr>
          <w:trHeight w:val="474" w:hRule="exact"/>
        </w:trPr>
        <w:tc>
          <w:tcPr>
            <w:tcW w:w="494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0"/>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13" w:type="dxa"/>
            <w:tcBorders>
              <w:top w:val="single" w:sz="12"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1,771,593.97</w:t>
            </w:r>
          </w:p>
        </w:tc>
        <w:tc>
          <w:tcPr>
            <w:tcW w:w="230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2,343,158.48</w:t>
            </w: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27"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500,174.67</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1,098,697.02</w:t>
            </w: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330,950,505.38</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280,188,772.10</w:t>
            </w: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43,825,868.69</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37,884,176.34</w:t>
            </w: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287,124,636.69</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242,304,595.76</w:t>
            </w: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279,531,140.01</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254,718,777.19</w:t>
            </w: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7,593,496.68</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-12,414,181.43</w:t>
            </w: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25,853,993.12</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-33,291,538.38</w:t>
            </w:r>
          </w:p>
        </w:tc>
      </w:tr>
      <w:tr>
        <w:trPr>
          <w:trHeight w:val="469"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187"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25,853,993.12</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-33,291,538.38</w:t>
            </w:r>
          </w:p>
        </w:tc>
      </w:tr>
      <w:tr>
        <w:trPr>
          <w:trHeight w:val="469"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6"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822"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45" w:lineRule="auto" w:before="119"/>
              <w:ind w:left="7" w:right="100"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 综合收益中享有的份额</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2"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1"/>
              <w:ind w:left="367"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25,853,993.12</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-33,291,538.38</w:t>
            </w:r>
          </w:p>
        </w:tc>
      </w:tr>
      <w:tr>
        <w:trPr>
          <w:trHeight w:val="822"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45" w:lineRule="auto" w:before="119"/>
              <w:ind w:left="7" w:right="100"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 他综合收益中享有的份额</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-3,351,419.48</w:t>
            </w: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6"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1"/>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37,213,262.49</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-37,213,262.49</w:t>
            </w: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-8,007,849.89</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3,921,724.11</w:t>
            </w: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87"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312,978,629.81</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209,013,057.38</w:t>
            </w:r>
          </w:p>
        </w:tc>
      </w:tr>
      <w:tr>
        <w:trPr>
          <w:trHeight w:val="471"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305,385,133.13</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221,427,238.81</w:t>
            </w: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313" w:type="dxa"/>
            <w:tcBorders>
              <w:top w:val="single" w:sz="6" w:space="0" w:color="000000"/>
              <w:left w:val="single" w:sz="14" w:space="0" w:color="D2D2D2"/>
              <w:bottom w:val="single" w:sz="9"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7,593,496.68</w:t>
            </w:r>
          </w:p>
        </w:tc>
        <w:tc>
          <w:tcPr>
            <w:tcW w:w="2304" w:type="dxa"/>
            <w:tcBorders>
              <w:top w:val="single" w:sz="6" w:space="0" w:color="000000"/>
              <w:left w:val="single" w:sz="6" w:space="0" w:color="000000"/>
              <w:bottom w:val="single" w:sz="9"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-12,414,181.43</w:t>
            </w: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04"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313" w:type="dxa"/>
            <w:tcBorders>
              <w:top w:val="single" w:sz="9" w:space="0" w:color="000000"/>
              <w:left w:val="single" w:sz="14" w:space="0" w:color="D2D2D2"/>
              <w:bottom w:val="single" w:sz="6" w:space="0" w:color="000000"/>
              <w:right w:val="single" w:sz="6" w:space="0" w:color="000000"/>
            </w:tcBorders>
          </w:tcPr>
          <w:p>
            <w:pPr>
              <w:pStyle w:val="TableParagraph"/>
              <w:spacing w:line="240" w:lineRule="auto" w:before="162"/>
              <w:ind w:right="16"/>
              <w:jc w:val="right"/>
              <w:rPr>
                <w:rFonts w:ascii="Times New Roman" w:hAnsi="Times New Roman" w:cs="Times New Roman" w:eastAsia="Times New Roman" w:hint="default"/>
                <w:sz w:val="18"/>
                <w:szCs w:val="18"/>
              </w:rPr>
            </w:pPr>
            <w:r>
              <w:rPr>
                <w:rFonts w:ascii="Times New Roman"/>
                <w:spacing w:val="-1"/>
                <w:sz w:val="18"/>
              </w:rPr>
              <w:t>0.6482</w:t>
            </w:r>
          </w:p>
        </w:tc>
        <w:tc>
          <w:tcPr>
            <w:tcW w:w="2304" w:type="dxa"/>
            <w:tcBorders>
              <w:top w:val="single" w:sz="9" w:space="0" w:color="000000"/>
              <w:left w:val="single" w:sz="6" w:space="0" w:color="000000"/>
              <w:bottom w:val="single" w:sz="6" w:space="0" w:color="000000"/>
              <w:right w:val="single" w:sz="12" w:space="0" w:color="000000"/>
            </w:tcBorders>
          </w:tcPr>
          <w:p>
            <w:pPr>
              <w:pStyle w:val="TableParagraph"/>
              <w:spacing w:line="240" w:lineRule="auto" w:before="162"/>
              <w:ind w:right="11"/>
              <w:jc w:val="right"/>
              <w:rPr>
                <w:rFonts w:ascii="Times New Roman" w:hAnsi="Times New Roman" w:cs="Times New Roman" w:eastAsia="Times New Roman" w:hint="default"/>
                <w:sz w:val="18"/>
                <w:szCs w:val="18"/>
              </w:rPr>
            </w:pPr>
            <w:r>
              <w:rPr>
                <w:rFonts w:ascii="Times New Roman"/>
                <w:spacing w:val="-1"/>
                <w:sz w:val="18"/>
              </w:rPr>
              <w:t>0.7975</w:t>
            </w:r>
          </w:p>
        </w:tc>
      </w:tr>
      <w:tr>
        <w:trPr>
          <w:trHeight w:val="472" w:hRule="exact"/>
        </w:trPr>
        <w:tc>
          <w:tcPr>
            <w:tcW w:w="494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313"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0.6482</w:t>
            </w:r>
          </w:p>
        </w:tc>
        <w:tc>
          <w:tcPr>
            <w:tcW w:w="230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0.7975</w:t>
            </w:r>
          </w:p>
        </w:tc>
      </w:tr>
    </w:tbl>
    <w:p>
      <w:pPr>
        <w:spacing w:line="451" w:lineRule="auto" w:before="93"/>
        <w:ind w:left="153" w:right="684"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法定代表人：郭为主管会计工作负责人：辛昕会计机构负责人：任军</w:t>
      </w:r>
    </w:p>
    <w:p>
      <w:pPr>
        <w:spacing w:after="0" w:line="451"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Heading4"/>
        <w:spacing w:line="240" w:lineRule="auto" w:before="36"/>
        <w:ind w:right="14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7"/>
          <w:szCs w:val="27"/>
        </w:rPr>
      </w:pPr>
    </w:p>
    <w:p>
      <w:pPr>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4946"/>
        <w:gridCol w:w="2313"/>
        <w:gridCol w:w="2304"/>
      </w:tblGrid>
      <w:tr>
        <w:trPr>
          <w:trHeight w:val="472" w:hRule="exact"/>
        </w:trPr>
        <w:tc>
          <w:tcPr>
            <w:tcW w:w="494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1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left="70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9"/>
              <w:ind w:left="69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313" w:type="dxa"/>
            <w:tcBorders>
              <w:top w:val="single" w:sz="9" w:space="0" w:color="000000"/>
              <w:left w:val="single" w:sz="14" w:space="0" w:color="D2D2D2"/>
              <w:bottom w:val="single" w:sz="6" w:space="0" w:color="000000"/>
              <w:right w:val="single" w:sz="6" w:space="0" w:color="000000"/>
            </w:tcBorders>
          </w:tcPr>
          <w:p>
            <w:pPr>
              <w:pStyle w:val="TableParagraph"/>
              <w:spacing w:line="240" w:lineRule="auto" w:before="162"/>
              <w:ind w:right="17"/>
              <w:jc w:val="right"/>
              <w:rPr>
                <w:rFonts w:ascii="Times New Roman" w:hAnsi="Times New Roman" w:cs="Times New Roman" w:eastAsia="Times New Roman" w:hint="default"/>
                <w:sz w:val="18"/>
                <w:szCs w:val="18"/>
              </w:rPr>
            </w:pPr>
            <w:r>
              <w:rPr>
                <w:rFonts w:ascii="Times New Roman"/>
                <w:spacing w:val="-1"/>
                <w:sz w:val="18"/>
              </w:rPr>
              <w:t>507,794,720.55</w:t>
            </w:r>
          </w:p>
        </w:tc>
        <w:tc>
          <w:tcPr>
            <w:tcW w:w="2304" w:type="dxa"/>
            <w:tcBorders>
              <w:top w:val="single" w:sz="9" w:space="0" w:color="000000"/>
              <w:left w:val="single" w:sz="6" w:space="0" w:color="000000"/>
              <w:bottom w:val="single" w:sz="6" w:space="0" w:color="000000"/>
              <w:right w:val="single" w:sz="12" w:space="0" w:color="000000"/>
            </w:tcBorders>
          </w:tcPr>
          <w:p>
            <w:pPr>
              <w:pStyle w:val="TableParagraph"/>
              <w:spacing w:line="240" w:lineRule="auto" w:before="162"/>
              <w:ind w:right="12"/>
              <w:jc w:val="right"/>
              <w:rPr>
                <w:rFonts w:ascii="Times New Roman" w:hAnsi="Times New Roman" w:cs="Times New Roman" w:eastAsia="Times New Roman" w:hint="default"/>
                <w:sz w:val="18"/>
                <w:szCs w:val="18"/>
              </w:rPr>
            </w:pPr>
            <w:r>
              <w:rPr>
                <w:rFonts w:ascii="Times New Roman"/>
                <w:spacing w:val="-1"/>
                <w:sz w:val="18"/>
              </w:rPr>
              <w:t>11,602,398.00</w:t>
            </w: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450,203,131.40</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11,304,666.00</w:t>
            </w: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27"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1,803,252.97</w:t>
            </w: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2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2,507,377.67</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152,382.56</w:t>
            </w: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72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57,433,582.63</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12,034,795.00</w:t>
            </w:r>
          </w:p>
        </w:tc>
      </w:tr>
      <w:tr>
        <w:trPr>
          <w:trHeight w:val="469"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72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-6,714,134.95</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2,816,978.24</w:t>
            </w: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2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2,406,401.55</w:t>
            </w: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27"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358,472,457.21</w:t>
            </w: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27"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358,627,566.49</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-14,706,423.80</w:t>
            </w: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31,400.00</w:t>
            </w: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27"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5,002.94</w:t>
            </w: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27"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358,653,963.55</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-14,706,423.80</w:t>
            </w:r>
          </w:p>
        </w:tc>
      </w:tr>
      <w:tr>
        <w:trPr>
          <w:trHeight w:val="469"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-567,746.61</w:t>
            </w: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9"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7"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359,221,710.16</w:t>
            </w:r>
          </w:p>
        </w:tc>
        <w:tc>
          <w:tcPr>
            <w:tcW w:w="23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-14,706,423.80</w:t>
            </w: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71"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4"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823"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45" w:lineRule="auto" w:before="119"/>
              <w:ind w:left="7" w:right="100"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 综合收益中享有的份额</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left="367"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824" w:hRule="exact"/>
        </w:trPr>
        <w:tc>
          <w:tcPr>
            <w:tcW w:w="494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45" w:lineRule="auto" w:before="119"/>
              <w:ind w:left="7" w:right="100"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 他综合收益中享有的份额</w:t>
            </w:r>
          </w:p>
        </w:tc>
        <w:tc>
          <w:tcPr>
            <w:tcW w:w="2313" w:type="dxa"/>
            <w:tcBorders>
              <w:top w:val="single" w:sz="6" w:space="0" w:color="000000"/>
              <w:left w:val="single" w:sz="14" w:space="0" w:color="D2D2D2"/>
              <w:bottom w:val="single" w:sz="12" w:space="0" w:color="000000"/>
              <w:right w:val="single" w:sz="6" w:space="0" w:color="000000"/>
            </w:tcBorders>
          </w:tcPr>
          <w:p>
            <w:pPr/>
          </w:p>
        </w:tc>
        <w:tc>
          <w:tcPr>
            <w:tcW w:w="2304"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979" w:top="1100" w:bottom="1160" w:left="980" w:right="980"/>
        </w:sectPr>
      </w:pPr>
    </w:p>
    <w:p>
      <w:pPr>
        <w:spacing w:line="240" w:lineRule="auto" w:before="11"/>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4946"/>
        <w:gridCol w:w="2313"/>
        <w:gridCol w:w="2304"/>
      </w:tblGrid>
      <w:tr>
        <w:trPr>
          <w:trHeight w:val="474" w:hRule="exact"/>
        </w:trPr>
        <w:tc>
          <w:tcPr>
            <w:tcW w:w="494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0"/>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313" w:type="dxa"/>
            <w:tcBorders>
              <w:top w:val="single" w:sz="12" w:space="0" w:color="000000"/>
              <w:left w:val="single" w:sz="14" w:space="0" w:color="D2D2D2"/>
              <w:bottom w:val="single" w:sz="6" w:space="0" w:color="000000"/>
              <w:right w:val="single" w:sz="6" w:space="0" w:color="000000"/>
            </w:tcBorders>
          </w:tcPr>
          <w:p>
            <w:pPr/>
          </w:p>
        </w:tc>
        <w:tc>
          <w:tcPr>
            <w:tcW w:w="2304" w:type="dxa"/>
            <w:tcBorders>
              <w:top w:val="single" w:sz="12" w:space="0" w:color="000000"/>
              <w:left w:val="single" w:sz="6" w:space="0" w:color="000000"/>
              <w:bottom w:val="single" w:sz="6" w:space="0" w:color="000000"/>
              <w:right w:val="single" w:sz="12" w:space="0" w:color="000000"/>
            </w:tcBorders>
          </w:tcPr>
          <w:p>
            <w:pP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313" w:type="dxa"/>
            <w:tcBorders>
              <w:top w:val="single" w:sz="6" w:space="0" w:color="000000"/>
              <w:left w:val="single" w:sz="14" w:space="0" w:color="D2D2D2"/>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313" w:type="dxa"/>
            <w:tcBorders>
              <w:top w:val="single" w:sz="6" w:space="0" w:color="000000"/>
              <w:left w:val="single" w:sz="14" w:space="0" w:color="D2D2D2"/>
              <w:bottom w:val="single" w:sz="9"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42" w:right="0"/>
              <w:jc w:val="left"/>
              <w:rPr>
                <w:rFonts w:ascii="Times New Roman" w:hAnsi="Times New Roman" w:cs="Times New Roman" w:eastAsia="Times New Roman" w:hint="default"/>
                <w:sz w:val="18"/>
                <w:szCs w:val="18"/>
              </w:rPr>
            </w:pPr>
            <w:r>
              <w:rPr>
                <w:rFonts w:ascii="Times New Roman"/>
                <w:sz w:val="18"/>
              </w:rPr>
              <w:t>359,221,710.16</w:t>
            </w:r>
          </w:p>
        </w:tc>
        <w:tc>
          <w:tcPr>
            <w:tcW w:w="2304" w:type="dxa"/>
            <w:tcBorders>
              <w:top w:val="single" w:sz="6" w:space="0" w:color="000000"/>
              <w:left w:val="single" w:sz="6" w:space="0" w:color="000000"/>
              <w:bottom w:val="single" w:sz="9"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73" w:right="0"/>
              <w:jc w:val="left"/>
              <w:rPr>
                <w:rFonts w:ascii="Times New Roman" w:hAnsi="Times New Roman" w:cs="Times New Roman" w:eastAsia="Times New Roman" w:hint="default"/>
                <w:sz w:val="18"/>
                <w:szCs w:val="18"/>
              </w:rPr>
            </w:pPr>
            <w:r>
              <w:rPr>
                <w:rFonts w:ascii="Times New Roman"/>
                <w:sz w:val="18"/>
              </w:rPr>
              <w:t>-14,706,423.80</w:t>
            </w:r>
          </w:p>
        </w:tc>
      </w:tr>
      <w:tr>
        <w:trPr>
          <w:trHeight w:val="468"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04"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70" w:hRule="exact"/>
        </w:trPr>
        <w:tc>
          <w:tcPr>
            <w:tcW w:w="49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313" w:type="dxa"/>
            <w:tcBorders>
              <w:top w:val="single" w:sz="9" w:space="0" w:color="000000"/>
              <w:left w:val="single" w:sz="14" w:space="0" w:color="D2D2D2"/>
              <w:bottom w:val="single" w:sz="6" w:space="0" w:color="000000"/>
              <w:right w:val="single" w:sz="6" w:space="0" w:color="000000"/>
            </w:tcBorders>
          </w:tcPr>
          <w:p>
            <w:pPr/>
          </w:p>
        </w:tc>
        <w:tc>
          <w:tcPr>
            <w:tcW w:w="2304" w:type="dxa"/>
            <w:tcBorders>
              <w:top w:val="single" w:sz="9" w:space="0" w:color="000000"/>
              <w:left w:val="single" w:sz="6" w:space="0" w:color="000000"/>
              <w:bottom w:val="single" w:sz="6" w:space="0" w:color="000000"/>
              <w:right w:val="single" w:sz="12" w:space="0" w:color="000000"/>
            </w:tcBorders>
          </w:tcPr>
          <w:p>
            <w:pPr/>
          </w:p>
        </w:tc>
      </w:tr>
      <w:tr>
        <w:trPr>
          <w:trHeight w:val="471" w:hRule="exact"/>
        </w:trPr>
        <w:tc>
          <w:tcPr>
            <w:tcW w:w="494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313" w:type="dxa"/>
            <w:tcBorders>
              <w:top w:val="single" w:sz="6" w:space="0" w:color="000000"/>
              <w:left w:val="single" w:sz="14" w:space="0" w:color="D2D2D2"/>
              <w:bottom w:val="single" w:sz="12" w:space="0" w:color="000000"/>
              <w:right w:val="single" w:sz="6" w:space="0" w:color="000000"/>
            </w:tcBorders>
          </w:tcPr>
          <w:p>
            <w:pPr/>
          </w:p>
        </w:tc>
        <w:tc>
          <w:tcPr>
            <w:tcW w:w="2304"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9"/>
        <w:rPr>
          <w:rFonts w:ascii="宋体" w:hAnsi="宋体" w:cs="宋体" w:eastAsia="宋体" w:hint="default"/>
          <w:sz w:val="25"/>
          <w:szCs w:val="25"/>
        </w:rPr>
      </w:pPr>
    </w:p>
    <w:p>
      <w:pPr>
        <w:spacing w:before="44"/>
        <w:ind w:left="153" w:right="140" w:firstLine="0"/>
        <w:jc w:val="left"/>
        <w:rPr>
          <w:rFonts w:ascii="宋体" w:hAnsi="宋体" w:cs="宋体" w:eastAsia="宋体" w:hint="default"/>
          <w:sz w:val="18"/>
          <w:szCs w:val="18"/>
        </w:rPr>
      </w:pPr>
      <w:r>
        <w:rPr>
          <w:rFonts w:ascii="宋体" w:hAnsi="宋体" w:cs="宋体" w:eastAsia="宋体" w:hint="default"/>
          <w:sz w:val="18"/>
          <w:szCs w:val="18"/>
        </w:rPr>
        <w:t>法定代表人：郭为主管会计工作负责人：辛昕会计机构负责人：任军</w:t>
      </w:r>
    </w:p>
    <w:p>
      <w:pPr>
        <w:spacing w:after="0"/>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5"/>
        <w:rPr>
          <w:rFonts w:ascii="宋体" w:hAnsi="宋体" w:cs="宋体" w:eastAsia="宋体" w:hint="default"/>
          <w:b/>
          <w:bCs/>
          <w:sz w:val="27"/>
          <w:szCs w:val="27"/>
        </w:rPr>
      </w:pPr>
    </w:p>
    <w:p>
      <w:pPr>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5796"/>
        <w:gridCol w:w="1888"/>
        <w:gridCol w:w="1880"/>
      </w:tblGrid>
      <w:tr>
        <w:trPr>
          <w:trHeight w:val="472" w:hRule="exact"/>
        </w:trPr>
        <w:tc>
          <w:tcPr>
            <w:tcW w:w="579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8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left="49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8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70"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8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88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888" w:type="dxa"/>
            <w:tcBorders>
              <w:top w:val="single" w:sz="9" w:space="0" w:color="000000"/>
              <w:left w:val="single" w:sz="14" w:space="0" w:color="D2D2D2"/>
              <w:bottom w:val="single" w:sz="6" w:space="0" w:color="000000"/>
              <w:right w:val="single" w:sz="6" w:space="0" w:color="000000"/>
            </w:tcBorders>
          </w:tcPr>
          <w:p>
            <w:pPr>
              <w:pStyle w:val="TableParagraph"/>
              <w:spacing w:line="240" w:lineRule="auto" w:before="162"/>
              <w:ind w:right="18"/>
              <w:jc w:val="right"/>
              <w:rPr>
                <w:rFonts w:ascii="Times New Roman" w:hAnsi="Times New Roman" w:cs="Times New Roman" w:eastAsia="Times New Roman" w:hint="default"/>
                <w:sz w:val="18"/>
                <w:szCs w:val="18"/>
              </w:rPr>
            </w:pPr>
            <w:r>
              <w:rPr>
                <w:rFonts w:ascii="Times New Roman"/>
                <w:spacing w:val="-1"/>
                <w:sz w:val="18"/>
              </w:rPr>
              <w:t>8,272,697,537.42</w:t>
            </w:r>
          </w:p>
        </w:tc>
        <w:tc>
          <w:tcPr>
            <w:tcW w:w="1880" w:type="dxa"/>
            <w:tcBorders>
              <w:top w:val="single" w:sz="9" w:space="0" w:color="000000"/>
              <w:left w:val="single" w:sz="6" w:space="0" w:color="000000"/>
              <w:bottom w:val="single" w:sz="6" w:space="0" w:color="000000"/>
              <w:right w:val="single" w:sz="12" w:space="0" w:color="000000"/>
            </w:tcBorders>
          </w:tcPr>
          <w:p>
            <w:pPr>
              <w:pStyle w:val="TableParagraph"/>
              <w:spacing w:line="240" w:lineRule="auto" w:before="162"/>
              <w:ind w:right="13"/>
              <w:jc w:val="right"/>
              <w:rPr>
                <w:rFonts w:ascii="Times New Roman" w:hAnsi="Times New Roman" w:cs="Times New Roman" w:eastAsia="Times New Roman" w:hint="default"/>
                <w:sz w:val="18"/>
                <w:szCs w:val="18"/>
              </w:rPr>
            </w:pPr>
            <w:r>
              <w:rPr>
                <w:rFonts w:ascii="Times New Roman"/>
                <w:spacing w:val="-1"/>
                <w:sz w:val="18"/>
              </w:rPr>
              <w:t>8,227,597,850.57</w:t>
            </w:r>
          </w:p>
        </w:tc>
      </w:tr>
      <w:tr>
        <w:trPr>
          <w:trHeight w:val="470"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888" w:type="dxa"/>
            <w:tcBorders>
              <w:top w:val="single" w:sz="6" w:space="0" w:color="000000"/>
              <w:left w:val="single" w:sz="14" w:space="0" w:color="D2D2D2"/>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88" w:type="dxa"/>
            <w:tcBorders>
              <w:top w:val="single" w:sz="6" w:space="0" w:color="000000"/>
              <w:left w:val="single" w:sz="14" w:space="0" w:color="D2D2D2"/>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888" w:type="dxa"/>
            <w:tcBorders>
              <w:top w:val="single" w:sz="6" w:space="0" w:color="000000"/>
              <w:left w:val="single" w:sz="14" w:space="0" w:color="D2D2D2"/>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12" w:space="0" w:color="000000"/>
            </w:tcBorders>
          </w:tcPr>
          <w:p>
            <w:pPr/>
          </w:p>
        </w:tc>
      </w:tr>
      <w:tr>
        <w:trPr>
          <w:trHeight w:val="469"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888" w:type="dxa"/>
            <w:tcBorders>
              <w:top w:val="single" w:sz="6" w:space="0" w:color="000000"/>
              <w:left w:val="single" w:sz="14" w:space="0" w:color="D2D2D2"/>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88" w:type="dxa"/>
            <w:tcBorders>
              <w:top w:val="single" w:sz="6" w:space="0" w:color="000000"/>
              <w:left w:val="single" w:sz="14" w:space="0" w:color="D2D2D2"/>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888" w:type="dxa"/>
            <w:tcBorders>
              <w:top w:val="single" w:sz="6" w:space="0" w:color="000000"/>
              <w:left w:val="single" w:sz="14" w:space="0" w:color="D2D2D2"/>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1888" w:type="dxa"/>
            <w:tcBorders>
              <w:top w:val="single" w:sz="6" w:space="0" w:color="000000"/>
              <w:left w:val="single" w:sz="14" w:space="0" w:color="D2D2D2"/>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888" w:type="dxa"/>
            <w:tcBorders>
              <w:top w:val="single" w:sz="6" w:space="0" w:color="000000"/>
              <w:left w:val="single" w:sz="14" w:space="0" w:color="D2D2D2"/>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88" w:type="dxa"/>
            <w:tcBorders>
              <w:top w:val="single" w:sz="6" w:space="0" w:color="000000"/>
              <w:left w:val="single" w:sz="14" w:space="0" w:color="D2D2D2"/>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88" w:type="dxa"/>
            <w:tcBorders>
              <w:top w:val="single" w:sz="6" w:space="0" w:color="000000"/>
              <w:left w:val="single" w:sz="14" w:space="0" w:color="D2D2D2"/>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12" w:space="0" w:color="000000"/>
            </w:tcBorders>
          </w:tcPr>
          <w:p>
            <w:pPr/>
          </w:p>
        </w:tc>
      </w:tr>
      <w:tr>
        <w:trPr>
          <w:trHeight w:val="471"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4,056,612.79</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9,697,901.22</w:t>
            </w: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62,394,277.14</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38,622,905.51</w:t>
            </w:r>
          </w:p>
        </w:tc>
      </w:tr>
      <w:tr>
        <w:trPr>
          <w:trHeight w:val="470"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8,339,148,427.35</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8,275,918,657.30</w:t>
            </w: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6,345,300,233.61</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6,686,717,001.02</w:t>
            </w:r>
          </w:p>
        </w:tc>
      </w:tr>
      <w:tr>
        <w:trPr>
          <w:trHeight w:val="469"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88" w:type="dxa"/>
            <w:tcBorders>
              <w:top w:val="single" w:sz="6" w:space="0" w:color="000000"/>
              <w:left w:val="single" w:sz="14" w:space="0" w:color="D2D2D2"/>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12" w:space="0" w:color="000000"/>
            </w:tcBorders>
          </w:tcPr>
          <w:p>
            <w:pPr/>
          </w:p>
        </w:tc>
      </w:tr>
      <w:tr>
        <w:trPr>
          <w:trHeight w:val="469"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888" w:type="dxa"/>
            <w:tcBorders>
              <w:top w:val="single" w:sz="6" w:space="0" w:color="000000"/>
              <w:left w:val="single" w:sz="14" w:space="0" w:color="D2D2D2"/>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888" w:type="dxa"/>
            <w:tcBorders>
              <w:top w:val="single" w:sz="6" w:space="0" w:color="000000"/>
              <w:left w:val="single" w:sz="14" w:space="0" w:color="D2D2D2"/>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12" w:space="0" w:color="000000"/>
            </w:tcBorders>
          </w:tcPr>
          <w:p>
            <w:pPr/>
          </w:p>
        </w:tc>
      </w:tr>
      <w:tr>
        <w:trPr>
          <w:trHeight w:val="471"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888" w:type="dxa"/>
            <w:tcBorders>
              <w:top w:val="single" w:sz="6" w:space="0" w:color="000000"/>
              <w:left w:val="single" w:sz="14" w:space="0" w:color="D2D2D2"/>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88" w:type="dxa"/>
            <w:tcBorders>
              <w:top w:val="single" w:sz="6" w:space="0" w:color="000000"/>
              <w:left w:val="single" w:sz="14" w:space="0" w:color="D2D2D2"/>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775,104,772.15</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717,100,068.53</w:t>
            </w: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337,028,898.67</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325,848,716.76</w:t>
            </w: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378,580,980.27</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385,163,282.78</w:t>
            </w:r>
          </w:p>
        </w:tc>
      </w:tr>
      <w:tr>
        <w:trPr>
          <w:trHeight w:val="470"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7,836,014,884.70</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8,114,829,069.09</w:t>
            </w:r>
          </w:p>
        </w:tc>
      </w:tr>
      <w:tr>
        <w:trPr>
          <w:trHeight w:val="472" w:hRule="exact"/>
        </w:trPr>
        <w:tc>
          <w:tcPr>
            <w:tcW w:w="579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8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503,133,542.65</w:t>
            </w:r>
          </w:p>
        </w:tc>
        <w:tc>
          <w:tcPr>
            <w:tcW w:w="18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161,089,588.21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3"/>
        <w:rPr>
          <w:rFonts w:ascii="Times New Roman" w:hAnsi="Times New Roman" w:cs="Times New Roman" w:eastAsia="Times New Roman"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5796"/>
        <w:gridCol w:w="1888"/>
        <w:gridCol w:w="1880"/>
      </w:tblGrid>
      <w:tr>
        <w:trPr>
          <w:trHeight w:val="474" w:hRule="exact"/>
        </w:trPr>
        <w:tc>
          <w:tcPr>
            <w:tcW w:w="579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0"/>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88" w:type="dxa"/>
            <w:tcBorders>
              <w:top w:val="single" w:sz="12" w:space="0" w:color="000000"/>
              <w:left w:val="single" w:sz="6" w:space="0" w:color="000000"/>
              <w:bottom w:val="single" w:sz="6" w:space="0" w:color="000000"/>
              <w:right w:val="single" w:sz="6" w:space="0" w:color="000000"/>
            </w:tcBorders>
            <w:shd w:val="clear" w:color="auto" w:fill="D2D2D2"/>
          </w:tcPr>
          <w:p>
            <w:pPr/>
          </w:p>
        </w:tc>
        <w:tc>
          <w:tcPr>
            <w:tcW w:w="1880" w:type="dxa"/>
            <w:tcBorders>
              <w:top w:val="single" w:sz="12" w:space="0" w:color="000000"/>
              <w:left w:val="single" w:sz="6" w:space="0" w:color="000000"/>
              <w:bottom w:val="single" w:sz="6" w:space="0" w:color="000000"/>
              <w:right w:val="single" w:sz="12" w:space="0" w:color="000000"/>
            </w:tcBorders>
            <w:shd w:val="clear" w:color="auto" w:fill="D2D2D2"/>
          </w:tcPr>
          <w:p>
            <w:pP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75,074,442.59</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4,846,741.28</w:t>
            </w:r>
          </w:p>
        </w:tc>
      </w:tr>
      <w:tr>
        <w:trPr>
          <w:trHeight w:val="470"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26,066,423.68</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9,572,413.10</w:t>
            </w: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723,703.62</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170,642.98</w:t>
            </w: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888" w:type="dxa"/>
            <w:tcBorders>
              <w:top w:val="single" w:sz="6" w:space="0" w:color="000000"/>
              <w:left w:val="single" w:sz="14" w:space="0" w:color="D2D2D2"/>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25,763,231.37</w:t>
            </w:r>
          </w:p>
        </w:tc>
      </w:tr>
      <w:tr>
        <w:trPr>
          <w:trHeight w:val="470"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2,595,000,000.00</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2,300,000,000.00</w:t>
            </w: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2,696,864,569.89</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2,340,353,028.73</w:t>
            </w:r>
          </w:p>
        </w:tc>
      </w:tr>
      <w:tr>
        <w:trPr>
          <w:trHeight w:val="470"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36,516,311.83</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66,424,984.50</w:t>
            </w:r>
          </w:p>
        </w:tc>
      </w:tr>
      <w:tr>
        <w:trPr>
          <w:trHeight w:val="469"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25,000,000.00</w:t>
            </w:r>
          </w:p>
        </w:tc>
        <w:tc>
          <w:tcPr>
            <w:tcW w:w="1880" w:type="dxa"/>
            <w:tcBorders>
              <w:top w:val="single" w:sz="6" w:space="0" w:color="000000"/>
              <w:left w:val="single" w:sz="6" w:space="0" w:color="000000"/>
              <w:bottom w:val="single" w:sz="6" w:space="0" w:color="000000"/>
              <w:right w:val="single" w:sz="12" w:space="0" w:color="000000"/>
            </w:tcBorders>
          </w:tcPr>
          <w:p>
            <w:pPr/>
          </w:p>
        </w:tc>
      </w:tr>
      <w:tr>
        <w:trPr>
          <w:trHeight w:val="469"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88" w:type="dxa"/>
            <w:tcBorders>
              <w:top w:val="single" w:sz="6" w:space="0" w:color="000000"/>
              <w:left w:val="single" w:sz="14" w:space="0" w:color="D2D2D2"/>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12" w:space="0" w:color="000000"/>
            </w:tcBorders>
          </w:tcPr>
          <w:p>
            <w:pPr/>
          </w:p>
        </w:tc>
      </w:tr>
      <w:tr>
        <w:trPr>
          <w:trHeight w:val="469"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166,232,917.55</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1,447,400.98</w:t>
            </w: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2,797,367,593.51</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2,300,000,000.00</w:t>
            </w:r>
          </w:p>
        </w:tc>
      </w:tr>
      <w:tr>
        <w:trPr>
          <w:trHeight w:val="470"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3,025,116,822.89</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2,367,872,385.48</w:t>
            </w: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888" w:type="dxa"/>
            <w:tcBorders>
              <w:top w:val="single" w:sz="6" w:space="0" w:color="000000"/>
              <w:left w:val="single" w:sz="14" w:space="0" w:color="D2D2D2"/>
              <w:bottom w:val="single" w:sz="9"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-328,252,253.00</w:t>
            </w:r>
          </w:p>
        </w:tc>
        <w:tc>
          <w:tcPr>
            <w:tcW w:w="1880" w:type="dxa"/>
            <w:tcBorders>
              <w:top w:val="single" w:sz="6" w:space="0" w:color="000000"/>
              <w:left w:val="single" w:sz="6" w:space="0" w:color="000000"/>
              <w:bottom w:val="single" w:sz="9"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-27,519,356.75</w:t>
            </w:r>
          </w:p>
        </w:tc>
      </w:tr>
      <w:tr>
        <w:trPr>
          <w:trHeight w:val="470"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88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88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228,766,661.00</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888" w:type="dxa"/>
            <w:tcBorders>
              <w:top w:val="single" w:sz="6" w:space="0" w:color="000000"/>
              <w:left w:val="single" w:sz="14" w:space="0" w:color="D2D2D2"/>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2,152,507,566.77</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1,757,801,323.53</w:t>
            </w: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88" w:type="dxa"/>
            <w:tcBorders>
              <w:top w:val="single" w:sz="6" w:space="0" w:color="000000"/>
              <w:left w:val="single" w:sz="14" w:space="0" w:color="D2D2D2"/>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22,457,000.00</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40,857,334.72</w:t>
            </w: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2,403,731,227.77</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1,998,658,658.25</w:t>
            </w:r>
          </w:p>
        </w:tc>
      </w:tr>
      <w:tr>
        <w:trPr>
          <w:trHeight w:val="469"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2,380,666,522.77</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1,555,357,027.70</w:t>
            </w:r>
          </w:p>
        </w:tc>
      </w:tr>
      <w:tr>
        <w:trPr>
          <w:trHeight w:val="470"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31,919,347.37</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47,006,541.77</w:t>
            </w: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888" w:type="dxa"/>
            <w:tcBorders>
              <w:top w:val="single" w:sz="6" w:space="0" w:color="000000"/>
              <w:left w:val="single" w:sz="14" w:space="0" w:color="D2D2D2"/>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2,577,405.53</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27,229,368.67</w:t>
            </w: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2,415,163,275.67</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1,629,592,938.14</w:t>
            </w:r>
          </w:p>
        </w:tc>
      </w:tr>
      <w:tr>
        <w:trPr>
          <w:trHeight w:val="470"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-11,432,047.90</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369,065,720.11</w:t>
            </w:r>
          </w:p>
        </w:tc>
      </w:tr>
      <w:tr>
        <w:trPr>
          <w:trHeight w:val="468" w:hRule="exact"/>
        </w:trPr>
        <w:tc>
          <w:tcPr>
            <w:tcW w:w="5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88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4,929,868.80</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3,051,762.99</w:t>
            </w:r>
          </w:p>
        </w:tc>
      </w:tr>
      <w:tr>
        <w:trPr>
          <w:trHeight w:val="472" w:hRule="exact"/>
        </w:trPr>
        <w:tc>
          <w:tcPr>
            <w:tcW w:w="579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88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168,379,110.55</w:t>
            </w:r>
          </w:p>
        </w:tc>
        <w:tc>
          <w:tcPr>
            <w:tcW w:w="18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505,687,714.56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3"/>
        <w:rPr>
          <w:rFonts w:ascii="Times New Roman" w:hAnsi="Times New Roman" w:cs="Times New Roman" w:eastAsia="Times New Roman" w:hint="default"/>
          <w:sz w:val="28"/>
          <w:szCs w:val="28"/>
        </w:rPr>
      </w:pPr>
    </w:p>
    <w:tbl>
      <w:tblPr>
        <w:tblW w:w="0" w:type="auto"/>
        <w:jc w:val="left"/>
        <w:tblInd w:w="140" w:type="dxa"/>
        <w:tblLayout w:type="fixed"/>
        <w:tblCellMar>
          <w:top w:w="0" w:type="dxa"/>
          <w:left w:w="0" w:type="dxa"/>
          <w:bottom w:w="0" w:type="dxa"/>
          <w:right w:w="0" w:type="dxa"/>
        </w:tblCellMar>
        <w:tblLook w:val="01E0"/>
      </w:tblPr>
      <w:tblGrid>
        <w:gridCol w:w="5813"/>
        <w:gridCol w:w="1877"/>
        <w:gridCol w:w="1880"/>
      </w:tblGrid>
      <w:tr>
        <w:trPr>
          <w:trHeight w:val="474" w:hRule="exact"/>
        </w:trPr>
        <w:tc>
          <w:tcPr>
            <w:tcW w:w="58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0"/>
              <w:ind w:left="37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8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1,532,414,749.33</w:t>
            </w:r>
          </w:p>
        </w:tc>
        <w:tc>
          <w:tcPr>
            <w:tcW w:w="188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1,026,727,034.77</w:t>
            </w:r>
          </w:p>
        </w:tc>
      </w:tr>
      <w:tr>
        <w:trPr>
          <w:trHeight w:val="472" w:hRule="exact"/>
        </w:trPr>
        <w:tc>
          <w:tcPr>
            <w:tcW w:w="58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1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8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1,700,793,859.88</w:t>
            </w:r>
          </w:p>
        </w:tc>
        <w:tc>
          <w:tcPr>
            <w:tcW w:w="18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1,532,414,749.33</w:t>
            </w:r>
          </w:p>
        </w:tc>
      </w:tr>
    </w:tbl>
    <w:p>
      <w:pPr>
        <w:spacing w:line="240" w:lineRule="auto" w:before="3"/>
        <w:rPr>
          <w:rFonts w:ascii="Times New Roman" w:hAnsi="Times New Roman" w:cs="Times New Roman" w:eastAsia="Times New Roman" w:hint="default"/>
          <w:sz w:val="29"/>
          <w:szCs w:val="29"/>
        </w:rPr>
      </w:pPr>
    </w:p>
    <w:p>
      <w:pPr>
        <w:spacing w:before="44"/>
        <w:ind w:left="153" w:right="140" w:firstLine="0"/>
        <w:jc w:val="left"/>
        <w:rPr>
          <w:rFonts w:ascii="宋体" w:hAnsi="宋体" w:cs="宋体" w:eastAsia="宋体" w:hint="default"/>
          <w:sz w:val="18"/>
          <w:szCs w:val="18"/>
        </w:rPr>
      </w:pPr>
      <w:r>
        <w:rPr>
          <w:rFonts w:ascii="宋体" w:hAnsi="宋体" w:cs="宋体" w:eastAsia="宋体" w:hint="default"/>
          <w:sz w:val="18"/>
          <w:szCs w:val="18"/>
        </w:rPr>
        <w:t>法定代表人：郭为主管会计工作负责人：辛昕会计机构负责人：任军</w:t>
      </w:r>
    </w:p>
    <w:p>
      <w:pPr>
        <w:spacing w:after="0"/>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5"/>
        <w:rPr>
          <w:rFonts w:ascii="宋体" w:hAnsi="宋体" w:cs="宋体" w:eastAsia="宋体" w:hint="default"/>
          <w:b/>
          <w:bCs/>
          <w:sz w:val="27"/>
          <w:szCs w:val="27"/>
        </w:rPr>
      </w:pPr>
    </w:p>
    <w:p>
      <w:pPr>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5087"/>
        <w:gridCol w:w="2242"/>
        <w:gridCol w:w="2235"/>
      </w:tblGrid>
      <w:tr>
        <w:trPr>
          <w:trHeight w:val="472" w:hRule="exact"/>
        </w:trPr>
        <w:tc>
          <w:tcPr>
            <w:tcW w:w="508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24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left="66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3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9"/>
              <w:ind w:left="65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0"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4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235"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68"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42" w:type="dxa"/>
            <w:tcBorders>
              <w:top w:val="single" w:sz="9" w:space="0" w:color="000000"/>
              <w:left w:val="single" w:sz="9" w:space="0" w:color="D2D2D2"/>
              <w:bottom w:val="single" w:sz="6" w:space="0" w:color="000000"/>
              <w:right w:val="single" w:sz="6" w:space="0" w:color="000000"/>
            </w:tcBorders>
          </w:tcPr>
          <w:p>
            <w:pPr>
              <w:pStyle w:val="TableParagraph"/>
              <w:spacing w:line="240" w:lineRule="auto" w:before="162"/>
              <w:ind w:right="17"/>
              <w:jc w:val="right"/>
              <w:rPr>
                <w:rFonts w:ascii="Times New Roman" w:hAnsi="Times New Roman" w:cs="Times New Roman" w:eastAsia="Times New Roman" w:hint="default"/>
                <w:sz w:val="18"/>
                <w:szCs w:val="18"/>
              </w:rPr>
            </w:pPr>
            <w:r>
              <w:rPr>
                <w:rFonts w:ascii="Times New Roman"/>
                <w:spacing w:val="-1"/>
                <w:sz w:val="18"/>
              </w:rPr>
              <w:t>742,154,719.29</w:t>
            </w:r>
          </w:p>
        </w:tc>
        <w:tc>
          <w:tcPr>
            <w:tcW w:w="2235" w:type="dxa"/>
            <w:tcBorders>
              <w:top w:val="single" w:sz="9" w:space="0" w:color="000000"/>
              <w:left w:val="single" w:sz="6" w:space="0" w:color="000000"/>
              <w:bottom w:val="single" w:sz="6" w:space="0" w:color="000000"/>
              <w:right w:val="single" w:sz="12" w:space="0" w:color="000000"/>
            </w:tcBorders>
          </w:tcPr>
          <w:p>
            <w:pPr>
              <w:pStyle w:val="TableParagraph"/>
              <w:spacing w:line="240" w:lineRule="auto" w:before="162"/>
              <w:ind w:right="12"/>
              <w:jc w:val="right"/>
              <w:rPr>
                <w:rFonts w:ascii="Times New Roman" w:hAnsi="Times New Roman" w:cs="Times New Roman" w:eastAsia="Times New Roman" w:hint="default"/>
                <w:sz w:val="18"/>
                <w:szCs w:val="18"/>
              </w:rPr>
            </w:pPr>
            <w:r>
              <w:rPr>
                <w:rFonts w:ascii="Times New Roman"/>
                <w:spacing w:val="-1"/>
                <w:sz w:val="18"/>
              </w:rPr>
              <w:t>13,574,805.66</w:t>
            </w:r>
          </w:p>
        </w:tc>
      </w:tr>
      <w:tr>
        <w:trPr>
          <w:trHeight w:val="470"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42" w:type="dxa"/>
            <w:tcBorders>
              <w:top w:val="single" w:sz="6" w:space="0" w:color="000000"/>
              <w:left w:val="single" w:sz="9" w:space="0" w:color="D2D2D2"/>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7,029,191.34</w:t>
            </w:r>
          </w:p>
        </w:tc>
        <w:tc>
          <w:tcPr>
            <w:tcW w:w="22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237,058.84</w:t>
            </w:r>
          </w:p>
        </w:tc>
      </w:tr>
      <w:tr>
        <w:trPr>
          <w:trHeight w:val="470"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749,183,910.63</w:t>
            </w:r>
          </w:p>
        </w:tc>
        <w:tc>
          <w:tcPr>
            <w:tcW w:w="22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13,811,864.50</w:t>
            </w:r>
          </w:p>
        </w:tc>
      </w:tr>
      <w:tr>
        <w:trPr>
          <w:trHeight w:val="469"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642,009,742.03</w:t>
            </w:r>
          </w:p>
        </w:tc>
        <w:tc>
          <w:tcPr>
            <w:tcW w:w="22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21,203,419.77</w:t>
            </w:r>
          </w:p>
        </w:tc>
      </w:tr>
      <w:tr>
        <w:trPr>
          <w:trHeight w:val="468"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31,788,274.72</w:t>
            </w:r>
          </w:p>
        </w:tc>
        <w:tc>
          <w:tcPr>
            <w:tcW w:w="22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4,474,476.57</w:t>
            </w:r>
          </w:p>
        </w:tc>
      </w:tr>
      <w:tr>
        <w:trPr>
          <w:trHeight w:val="470"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16,729,479.16</w:t>
            </w:r>
          </w:p>
        </w:tc>
        <w:tc>
          <w:tcPr>
            <w:tcW w:w="22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301,523.50</w:t>
            </w:r>
          </w:p>
        </w:tc>
      </w:tr>
      <w:tr>
        <w:trPr>
          <w:trHeight w:val="468"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60,040,448.48</w:t>
            </w:r>
          </w:p>
        </w:tc>
        <w:tc>
          <w:tcPr>
            <w:tcW w:w="22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7,748,424.34</w:t>
            </w:r>
          </w:p>
        </w:tc>
      </w:tr>
      <w:tr>
        <w:trPr>
          <w:trHeight w:val="470"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750,567,944.39</w:t>
            </w:r>
          </w:p>
        </w:tc>
        <w:tc>
          <w:tcPr>
            <w:tcW w:w="22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33,727,844.18</w:t>
            </w:r>
          </w:p>
        </w:tc>
      </w:tr>
      <w:tr>
        <w:trPr>
          <w:trHeight w:val="468"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2" w:type="dxa"/>
            <w:tcBorders>
              <w:top w:val="single" w:sz="6" w:space="0" w:color="000000"/>
              <w:left w:val="single" w:sz="9" w:space="0" w:color="D2D2D2"/>
              <w:bottom w:val="single" w:sz="9"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-1,384,033.76</w:t>
            </w:r>
          </w:p>
        </w:tc>
        <w:tc>
          <w:tcPr>
            <w:tcW w:w="2235" w:type="dxa"/>
            <w:tcBorders>
              <w:top w:val="single" w:sz="6" w:space="0" w:color="000000"/>
              <w:left w:val="single" w:sz="6" w:space="0" w:color="000000"/>
              <w:bottom w:val="single" w:sz="9"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-19,915,979.68</w:t>
            </w:r>
          </w:p>
        </w:tc>
      </w:tr>
      <w:tr>
        <w:trPr>
          <w:trHeight w:val="468"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4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235"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71"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42" w:type="dxa"/>
            <w:tcBorders>
              <w:top w:val="single" w:sz="9" w:space="0" w:color="000000"/>
              <w:left w:val="single" w:sz="9" w:space="0" w:color="D2D2D2"/>
              <w:bottom w:val="single" w:sz="6" w:space="0" w:color="000000"/>
              <w:right w:val="single" w:sz="6" w:space="0" w:color="000000"/>
            </w:tcBorders>
          </w:tcPr>
          <w:p>
            <w:pPr/>
          </w:p>
        </w:tc>
        <w:tc>
          <w:tcPr>
            <w:tcW w:w="2235" w:type="dxa"/>
            <w:tcBorders>
              <w:top w:val="single" w:sz="9" w:space="0" w:color="000000"/>
              <w:left w:val="single" w:sz="6" w:space="0" w:color="000000"/>
              <w:bottom w:val="single" w:sz="6" w:space="0" w:color="000000"/>
              <w:right w:val="single" w:sz="12" w:space="0" w:color="000000"/>
            </w:tcBorders>
          </w:tcPr>
          <w:p>
            <w:pPr/>
          </w:p>
        </w:tc>
      </w:tr>
      <w:tr>
        <w:trPr>
          <w:trHeight w:val="468"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200,955,945.21</w:t>
            </w:r>
          </w:p>
        </w:tc>
        <w:tc>
          <w:tcPr>
            <w:tcW w:w="2235"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42" w:type="dxa"/>
            <w:tcBorders>
              <w:top w:val="single" w:sz="6" w:space="0" w:color="000000"/>
              <w:left w:val="single" w:sz="9" w:space="0" w:color="D2D2D2"/>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42" w:type="dxa"/>
            <w:tcBorders>
              <w:top w:val="single" w:sz="6" w:space="0" w:color="000000"/>
              <w:left w:val="single" w:sz="9" w:space="0" w:color="D2D2D2"/>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12" w:space="0" w:color="000000"/>
            </w:tcBorders>
          </w:tcPr>
          <w:p>
            <w:pPr/>
          </w:p>
        </w:tc>
      </w:tr>
      <w:tr>
        <w:trPr>
          <w:trHeight w:val="469"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65,000,000.00</w:t>
            </w:r>
          </w:p>
        </w:tc>
        <w:tc>
          <w:tcPr>
            <w:tcW w:w="2235" w:type="dxa"/>
            <w:tcBorders>
              <w:top w:val="single" w:sz="6" w:space="0" w:color="000000"/>
              <w:left w:val="single" w:sz="6" w:space="0" w:color="000000"/>
              <w:bottom w:val="single" w:sz="6" w:space="0" w:color="000000"/>
              <w:right w:val="single" w:sz="12" w:space="0" w:color="000000"/>
            </w:tcBorders>
          </w:tcPr>
          <w:p>
            <w:pPr/>
          </w:p>
        </w:tc>
      </w:tr>
      <w:tr>
        <w:trPr>
          <w:trHeight w:val="469"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265,955,945.21</w:t>
            </w:r>
          </w:p>
        </w:tc>
        <w:tc>
          <w:tcPr>
            <w:tcW w:w="2235"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1,393,679.42</w:t>
            </w:r>
          </w:p>
        </w:tc>
        <w:tc>
          <w:tcPr>
            <w:tcW w:w="22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w w:val="95"/>
                <w:sz w:val="18"/>
              </w:rPr>
              <w:t>5,388.00</w:t>
            </w:r>
          </w:p>
        </w:tc>
      </w:tr>
      <w:tr>
        <w:trPr>
          <w:trHeight w:val="471"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25,000,000.00</w:t>
            </w:r>
          </w:p>
        </w:tc>
        <w:tc>
          <w:tcPr>
            <w:tcW w:w="2235"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213,000,000.00</w:t>
            </w:r>
          </w:p>
        </w:tc>
        <w:tc>
          <w:tcPr>
            <w:tcW w:w="22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-112,809,969.05</w:t>
            </w:r>
          </w:p>
        </w:tc>
      </w:tr>
      <w:tr>
        <w:trPr>
          <w:trHeight w:val="470"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67,367,593.51</w:t>
            </w:r>
          </w:p>
        </w:tc>
        <w:tc>
          <w:tcPr>
            <w:tcW w:w="2235"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306,761,272.93</w:t>
            </w:r>
          </w:p>
        </w:tc>
        <w:tc>
          <w:tcPr>
            <w:tcW w:w="22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-112,804,581.05</w:t>
            </w:r>
          </w:p>
        </w:tc>
      </w:tr>
      <w:tr>
        <w:trPr>
          <w:trHeight w:val="468"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2" w:type="dxa"/>
            <w:tcBorders>
              <w:top w:val="single" w:sz="6" w:space="0" w:color="000000"/>
              <w:left w:val="single" w:sz="9" w:space="0" w:color="D2D2D2"/>
              <w:bottom w:val="single" w:sz="9"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-40,805,327.72</w:t>
            </w:r>
          </w:p>
        </w:tc>
        <w:tc>
          <w:tcPr>
            <w:tcW w:w="2235" w:type="dxa"/>
            <w:tcBorders>
              <w:top w:val="single" w:sz="6" w:space="0" w:color="000000"/>
              <w:left w:val="single" w:sz="6" w:space="0" w:color="000000"/>
              <w:bottom w:val="single" w:sz="9"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112,804,581.05</w:t>
            </w:r>
          </w:p>
        </w:tc>
      </w:tr>
      <w:tr>
        <w:trPr>
          <w:trHeight w:val="470"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4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235"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72" w:hRule="exact"/>
        </w:trPr>
        <w:tc>
          <w:tcPr>
            <w:tcW w:w="508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42"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226,666,661.00</w:t>
            </w:r>
          </w:p>
        </w:tc>
        <w:tc>
          <w:tcPr>
            <w:tcW w:w="22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5087"/>
        <w:gridCol w:w="2242"/>
        <w:gridCol w:w="2235"/>
      </w:tblGrid>
      <w:tr>
        <w:trPr>
          <w:trHeight w:val="474" w:hRule="exact"/>
        </w:trPr>
        <w:tc>
          <w:tcPr>
            <w:tcW w:w="508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0"/>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42" w:type="dxa"/>
            <w:tcBorders>
              <w:top w:val="single" w:sz="12" w:space="0" w:color="000000"/>
              <w:left w:val="single" w:sz="9" w:space="0" w:color="D2D2D2"/>
              <w:bottom w:val="single" w:sz="6" w:space="0" w:color="000000"/>
              <w:right w:val="single" w:sz="6" w:space="0" w:color="000000"/>
            </w:tcBorders>
          </w:tcPr>
          <w:p>
            <w:pPr/>
          </w:p>
        </w:tc>
        <w:tc>
          <w:tcPr>
            <w:tcW w:w="223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68"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242" w:type="dxa"/>
            <w:tcBorders>
              <w:top w:val="single" w:sz="6" w:space="0" w:color="000000"/>
              <w:left w:val="single" w:sz="9" w:space="0" w:color="D2D2D2"/>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42" w:type="dxa"/>
            <w:tcBorders>
              <w:top w:val="single" w:sz="6" w:space="0" w:color="000000"/>
              <w:left w:val="single" w:sz="9" w:space="0" w:color="D2D2D2"/>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226,666,661.00</w:t>
            </w:r>
          </w:p>
        </w:tc>
        <w:tc>
          <w:tcPr>
            <w:tcW w:w="22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205,000,000.00</w:t>
            </w:r>
          </w:p>
        </w:tc>
      </w:tr>
      <w:tr>
        <w:trPr>
          <w:trHeight w:val="468"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42" w:type="dxa"/>
            <w:tcBorders>
              <w:top w:val="single" w:sz="6" w:space="0" w:color="000000"/>
              <w:left w:val="single" w:sz="9" w:space="0" w:color="D2D2D2"/>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121,762,639.34</w:t>
            </w:r>
          </w:p>
        </w:tc>
      </w:tr>
      <w:tr>
        <w:trPr>
          <w:trHeight w:val="470"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42" w:type="dxa"/>
            <w:tcBorders>
              <w:top w:val="single" w:sz="6" w:space="0" w:color="000000"/>
              <w:left w:val="single" w:sz="9" w:space="0" w:color="D2D2D2"/>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20,643,393.73</w:t>
            </w:r>
          </w:p>
        </w:tc>
      </w:tr>
      <w:tr>
        <w:trPr>
          <w:trHeight w:val="468"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2,554,716.98</w:t>
            </w:r>
          </w:p>
        </w:tc>
        <w:tc>
          <w:tcPr>
            <w:tcW w:w="22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340,586.33</w:t>
            </w:r>
          </w:p>
        </w:tc>
      </w:tr>
      <w:tr>
        <w:trPr>
          <w:trHeight w:val="470"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2,554,716.98</w:t>
            </w:r>
          </w:p>
        </w:tc>
        <w:tc>
          <w:tcPr>
            <w:tcW w:w="22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142,746,619.40</w:t>
            </w:r>
          </w:p>
        </w:tc>
      </w:tr>
      <w:tr>
        <w:trPr>
          <w:trHeight w:val="469"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224,111,944.02</w:t>
            </w:r>
          </w:p>
        </w:tc>
        <w:tc>
          <w:tcPr>
            <w:tcW w:w="22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62,253,380.60</w:t>
            </w:r>
          </w:p>
        </w:tc>
      </w:tr>
      <w:tr>
        <w:trPr>
          <w:trHeight w:val="469"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-271.69</w:t>
            </w:r>
          </w:p>
        </w:tc>
        <w:tc>
          <w:tcPr>
            <w:tcW w:w="2235" w:type="dxa"/>
            <w:tcBorders>
              <w:top w:val="single" w:sz="6" w:space="0" w:color="000000"/>
              <w:left w:val="single" w:sz="6" w:space="0" w:color="000000"/>
              <w:bottom w:val="single" w:sz="6" w:space="0" w:color="000000"/>
              <w:right w:val="single" w:sz="12" w:space="0" w:color="000000"/>
            </w:tcBorders>
          </w:tcPr>
          <w:p>
            <w:pPr/>
          </w:p>
        </w:tc>
      </w:tr>
      <w:tr>
        <w:trPr>
          <w:trHeight w:val="469"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181,922,310.85</w:t>
            </w:r>
          </w:p>
        </w:tc>
        <w:tc>
          <w:tcPr>
            <w:tcW w:w="22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155,141,981.97</w:t>
            </w:r>
          </w:p>
        </w:tc>
      </w:tr>
      <w:tr>
        <w:trPr>
          <w:trHeight w:val="468" w:hRule="exact"/>
        </w:trPr>
        <w:tc>
          <w:tcPr>
            <w:tcW w:w="50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4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173,956,535.00</w:t>
            </w:r>
          </w:p>
        </w:tc>
        <w:tc>
          <w:tcPr>
            <w:tcW w:w="22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18,814,553.03</w:t>
            </w:r>
          </w:p>
        </w:tc>
      </w:tr>
      <w:tr>
        <w:trPr>
          <w:trHeight w:val="473" w:hRule="exact"/>
        </w:trPr>
        <w:tc>
          <w:tcPr>
            <w:tcW w:w="508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42"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355,878,845.85</w:t>
            </w:r>
          </w:p>
        </w:tc>
        <w:tc>
          <w:tcPr>
            <w:tcW w:w="22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173,956,535.00</w:t>
            </w:r>
          </w:p>
        </w:tc>
      </w:tr>
    </w:tbl>
    <w:p>
      <w:pPr>
        <w:spacing w:line="240" w:lineRule="auto" w:before="9"/>
        <w:rPr>
          <w:rFonts w:ascii="宋体" w:hAnsi="宋体" w:cs="宋体" w:eastAsia="宋体" w:hint="default"/>
          <w:sz w:val="25"/>
          <w:szCs w:val="25"/>
        </w:rPr>
      </w:pPr>
    </w:p>
    <w:p>
      <w:pPr>
        <w:spacing w:before="44"/>
        <w:ind w:left="153" w:right="140" w:firstLine="0"/>
        <w:jc w:val="left"/>
        <w:rPr>
          <w:rFonts w:ascii="宋体" w:hAnsi="宋体" w:cs="宋体" w:eastAsia="宋体" w:hint="default"/>
          <w:sz w:val="18"/>
          <w:szCs w:val="18"/>
        </w:rPr>
      </w:pPr>
      <w:r>
        <w:rPr>
          <w:rFonts w:ascii="宋体" w:hAnsi="宋体" w:cs="宋体" w:eastAsia="宋体" w:hint="default"/>
          <w:sz w:val="18"/>
          <w:szCs w:val="18"/>
        </w:rPr>
        <w:t>法定代表人：郭为主管会计工作负责人：辛昕会计机构负责人：任军</w:t>
      </w:r>
    </w:p>
    <w:p>
      <w:pPr>
        <w:spacing w:after="0"/>
        <w:jc w:val="left"/>
        <w:rPr>
          <w:rFonts w:ascii="宋体" w:hAnsi="宋体" w:cs="宋体" w:eastAsia="宋体" w:hint="default"/>
          <w:sz w:val="18"/>
          <w:szCs w:val="18"/>
        </w:rPr>
        <w:sectPr>
          <w:footerReference w:type="default" r:id="rId48"/>
          <w:pgSz w:w="11910" w:h="16840"/>
          <w:pgMar w:footer="979" w:header="877" w:top="1100" w:bottom="1160" w:left="980" w:right="980"/>
          <w:pgNumType w:start="110"/>
        </w:sectPr>
      </w:pPr>
    </w:p>
    <w:p>
      <w:pPr>
        <w:pStyle w:val="Heading4"/>
        <w:spacing w:line="240" w:lineRule="auto" w:before="57"/>
        <w:ind w:left="140"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9"/>
        <w:rPr>
          <w:rFonts w:ascii="宋体" w:hAnsi="宋体" w:cs="宋体" w:eastAsia="宋体" w:hint="default"/>
          <w:b/>
          <w:bCs/>
          <w:sz w:val="30"/>
          <w:szCs w:val="30"/>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line="240" w:lineRule="auto" w:before="3"/>
        <w:rPr>
          <w:rFonts w:ascii="宋体" w:hAnsi="宋体" w:cs="宋体" w:eastAsia="宋体" w:hint="default"/>
          <w:sz w:val="9"/>
          <w:szCs w:val="9"/>
        </w:rPr>
      </w:pPr>
    </w:p>
    <w:p>
      <w:pPr>
        <w:spacing w:before="44"/>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2110"/>
        <w:gridCol w:w="1286"/>
        <w:gridCol w:w="557"/>
        <w:gridCol w:w="540"/>
        <w:gridCol w:w="485"/>
        <w:gridCol w:w="1327"/>
        <w:gridCol w:w="533"/>
        <w:gridCol w:w="1136"/>
        <w:gridCol w:w="526"/>
        <w:gridCol w:w="1126"/>
        <w:gridCol w:w="475"/>
        <w:gridCol w:w="1234"/>
        <w:gridCol w:w="1202"/>
        <w:gridCol w:w="1428"/>
      </w:tblGrid>
      <w:tr>
        <w:trPr>
          <w:trHeight w:val="474" w:hRule="exact"/>
        </w:trPr>
        <w:tc>
          <w:tcPr>
            <w:tcW w:w="2110" w:type="dxa"/>
            <w:vMerge w:val="restart"/>
            <w:tcBorders>
              <w:top w:val="single" w:sz="12" w:space="0" w:color="000000"/>
              <w:left w:val="single" w:sz="12" w:space="0" w:color="000000"/>
              <w:right w:val="single" w:sz="6" w:space="0" w:color="000000"/>
            </w:tcBorders>
            <w:shd w:val="clear" w:color="auto" w:fill="D2D2D2"/>
          </w:tcPr>
          <w:p>
            <w:pPr/>
          </w:p>
        </w:tc>
        <w:tc>
          <w:tcPr>
            <w:tcW w:w="11855" w:type="dxa"/>
            <w:gridSpan w:val="1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9"/>
              <w:ind w:left="1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65" w:hRule="exact"/>
        </w:trPr>
        <w:tc>
          <w:tcPr>
            <w:tcW w:w="2110" w:type="dxa"/>
            <w:vMerge/>
            <w:tcBorders>
              <w:left w:val="single" w:sz="12" w:space="0" w:color="000000"/>
              <w:bottom w:val="nil" w:sz="6" w:space="0" w:color="auto"/>
              <w:right w:val="single" w:sz="6" w:space="0" w:color="000000"/>
            </w:tcBorders>
            <w:shd w:val="clear" w:color="auto" w:fill="D2D2D2"/>
          </w:tcPr>
          <w:p>
            <w:pPr/>
          </w:p>
        </w:tc>
        <w:tc>
          <w:tcPr>
            <w:tcW w:w="9225"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4"/>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02" w:type="dxa"/>
            <w:vMerge w:val="restart"/>
            <w:tcBorders>
              <w:top w:val="single" w:sz="6" w:space="0" w:color="000000"/>
              <w:left w:val="single" w:sz="6" w:space="0" w:color="000000"/>
              <w:right w:val="single" w:sz="6" w:space="0" w:color="000000"/>
            </w:tcBorders>
            <w:shd w:val="clear" w:color="auto" w:fill="D2D2D2"/>
          </w:tcPr>
          <w:p>
            <w:pPr/>
          </w:p>
        </w:tc>
        <w:tc>
          <w:tcPr>
            <w:tcW w:w="1428" w:type="dxa"/>
            <w:vMerge w:val="restart"/>
            <w:tcBorders>
              <w:top w:val="single" w:sz="6" w:space="0" w:color="000000"/>
              <w:left w:val="single" w:sz="6" w:space="0" w:color="000000"/>
              <w:right w:val="single" w:sz="12" w:space="0" w:color="000000"/>
            </w:tcBorders>
            <w:shd w:val="clear" w:color="auto" w:fill="D2D2D2"/>
          </w:tcPr>
          <w:p>
            <w:pPr/>
          </w:p>
        </w:tc>
      </w:tr>
      <w:tr>
        <w:trPr>
          <w:trHeight w:val="209" w:hRule="exact"/>
        </w:trPr>
        <w:tc>
          <w:tcPr>
            <w:tcW w:w="2110"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7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286" w:type="dxa"/>
            <w:vMerge w:val="restart"/>
            <w:tcBorders>
              <w:top w:val="single" w:sz="6" w:space="0" w:color="000000"/>
              <w:left w:val="single" w:sz="6" w:space="0" w:color="000000"/>
              <w:right w:val="single" w:sz="6" w:space="0" w:color="000000"/>
            </w:tcBorders>
            <w:shd w:val="clear" w:color="auto" w:fill="D2D2D2"/>
          </w:tcPr>
          <w:p>
            <w:pPr/>
          </w:p>
        </w:tc>
        <w:tc>
          <w:tcPr>
            <w:tcW w:w="158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7"/>
              <w:ind w:left="24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27" w:type="dxa"/>
            <w:vMerge w:val="restart"/>
            <w:tcBorders>
              <w:top w:val="single" w:sz="6" w:space="0" w:color="000000"/>
              <w:left w:val="single" w:sz="6" w:space="0" w:color="000000"/>
              <w:right w:val="single" w:sz="6" w:space="0" w:color="000000"/>
            </w:tcBorders>
            <w:shd w:val="clear" w:color="auto" w:fill="D2D2D2"/>
          </w:tcPr>
          <w:p>
            <w:pPr/>
          </w:p>
        </w:tc>
        <w:tc>
          <w:tcPr>
            <w:tcW w:w="533"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6" w:type="dxa"/>
            <w:tcBorders>
              <w:top w:val="single" w:sz="6" w:space="0" w:color="000000"/>
              <w:left w:val="single" w:sz="6" w:space="0" w:color="000000"/>
              <w:bottom w:val="nil" w:sz="6" w:space="0" w:color="auto"/>
              <w:right w:val="single" w:sz="6" w:space="0" w:color="000000"/>
            </w:tcBorders>
            <w:shd w:val="clear" w:color="auto" w:fill="D2D2D2"/>
          </w:tcPr>
          <w:p>
            <w:pPr/>
          </w:p>
        </w:tc>
        <w:tc>
          <w:tcPr>
            <w:tcW w:w="526" w:type="dxa"/>
            <w:tcBorders>
              <w:top w:val="single" w:sz="6" w:space="0" w:color="000000"/>
              <w:left w:val="single" w:sz="6" w:space="0" w:color="000000"/>
              <w:bottom w:val="nil" w:sz="6" w:space="0" w:color="auto"/>
              <w:right w:val="single" w:sz="6" w:space="0" w:color="000000"/>
            </w:tcBorders>
            <w:shd w:val="clear" w:color="auto" w:fill="D2D2D2"/>
          </w:tcPr>
          <w:p>
            <w:pPr/>
          </w:p>
        </w:tc>
        <w:tc>
          <w:tcPr>
            <w:tcW w:w="1126" w:type="dxa"/>
            <w:vMerge w:val="restart"/>
            <w:tcBorders>
              <w:top w:val="single" w:sz="6" w:space="0" w:color="000000"/>
              <w:left w:val="single" w:sz="6" w:space="0" w:color="000000"/>
              <w:right w:val="single" w:sz="6" w:space="0" w:color="000000"/>
            </w:tcBorders>
            <w:shd w:val="clear" w:color="auto" w:fill="D2D2D2"/>
          </w:tcPr>
          <w:p>
            <w:pPr/>
          </w:p>
        </w:tc>
        <w:tc>
          <w:tcPr>
            <w:tcW w:w="47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3"/>
                <w:szCs w:val="13"/>
              </w:rPr>
            </w:pPr>
          </w:p>
          <w:p>
            <w:pPr>
              <w:pStyle w:val="TableParagraph"/>
              <w:spacing w:line="367" w:lineRule="auto"/>
              <w:ind w:left="50" w:right="48"/>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34" w:type="dxa"/>
            <w:vMerge w:val="restart"/>
            <w:tcBorders>
              <w:top w:val="single" w:sz="6" w:space="0" w:color="000000"/>
              <w:left w:val="single" w:sz="6" w:space="0" w:color="000000"/>
              <w:right w:val="single" w:sz="6" w:space="0" w:color="000000"/>
            </w:tcBorders>
            <w:shd w:val="clear" w:color="auto" w:fill="D2D2D2"/>
          </w:tcPr>
          <w:p>
            <w:pPr/>
          </w:p>
        </w:tc>
        <w:tc>
          <w:tcPr>
            <w:tcW w:w="1202" w:type="dxa"/>
            <w:vMerge/>
            <w:tcBorders>
              <w:left w:val="single" w:sz="6" w:space="0" w:color="000000"/>
              <w:bottom w:val="nil" w:sz="6" w:space="0" w:color="auto"/>
              <w:right w:val="single" w:sz="6" w:space="0" w:color="000000"/>
            </w:tcBorders>
            <w:shd w:val="clear" w:color="auto" w:fill="D2D2D2"/>
          </w:tcPr>
          <w:p>
            <w:pPr/>
          </w:p>
        </w:tc>
        <w:tc>
          <w:tcPr>
            <w:tcW w:w="1428" w:type="dxa"/>
            <w:vMerge/>
            <w:tcBorders>
              <w:left w:val="single" w:sz="6" w:space="0" w:color="000000"/>
              <w:bottom w:val="nil" w:sz="6" w:space="0" w:color="auto"/>
              <w:right w:val="single" w:sz="12" w:space="0" w:color="000000"/>
            </w:tcBorders>
            <w:shd w:val="clear" w:color="auto" w:fill="D2D2D2"/>
          </w:tcPr>
          <w:p>
            <w:pPr/>
          </w:p>
        </w:tc>
      </w:tr>
      <w:tr>
        <w:trPr>
          <w:trHeight w:val="203" w:hRule="exact"/>
        </w:trPr>
        <w:tc>
          <w:tcPr>
            <w:tcW w:w="2110" w:type="dxa"/>
            <w:vMerge/>
            <w:tcBorders>
              <w:left w:val="single" w:sz="12" w:space="0" w:color="000000"/>
              <w:bottom w:val="nil" w:sz="6" w:space="0" w:color="auto"/>
              <w:right w:val="single" w:sz="6" w:space="0" w:color="000000"/>
            </w:tcBorders>
            <w:shd w:val="clear" w:color="auto" w:fill="D2D2D2"/>
          </w:tcPr>
          <w:p>
            <w:pPr/>
          </w:p>
        </w:tc>
        <w:tc>
          <w:tcPr>
            <w:tcW w:w="1286" w:type="dxa"/>
            <w:vMerge/>
            <w:tcBorders>
              <w:left w:val="single" w:sz="6" w:space="0" w:color="000000"/>
              <w:bottom w:val="nil" w:sz="6" w:space="0" w:color="auto"/>
              <w:right w:val="single" w:sz="6" w:space="0" w:color="000000"/>
            </w:tcBorders>
            <w:shd w:val="clear" w:color="auto" w:fill="D2D2D2"/>
          </w:tcPr>
          <w:p>
            <w:pPr/>
          </w:p>
        </w:tc>
        <w:tc>
          <w:tcPr>
            <w:tcW w:w="1582" w:type="dxa"/>
            <w:gridSpan w:val="3"/>
            <w:vMerge/>
            <w:tcBorders>
              <w:left w:val="single" w:sz="6" w:space="0" w:color="000000"/>
              <w:bottom w:val="single" w:sz="6" w:space="0" w:color="000000"/>
              <w:right w:val="single" w:sz="6" w:space="0" w:color="000000"/>
            </w:tcBorders>
            <w:shd w:val="clear" w:color="auto" w:fill="D2D2D2"/>
          </w:tcPr>
          <w:p>
            <w:pPr/>
          </w:p>
        </w:tc>
        <w:tc>
          <w:tcPr>
            <w:tcW w:w="1327" w:type="dxa"/>
            <w:vMerge/>
            <w:tcBorders>
              <w:left w:val="single" w:sz="6" w:space="0" w:color="000000"/>
              <w:bottom w:val="nil" w:sz="6" w:space="0" w:color="auto"/>
              <w:right w:val="single" w:sz="6" w:space="0" w:color="000000"/>
            </w:tcBorders>
            <w:shd w:val="clear" w:color="auto" w:fill="D2D2D2"/>
          </w:tcPr>
          <w:p>
            <w:pPr/>
          </w:p>
        </w:tc>
        <w:tc>
          <w:tcPr>
            <w:tcW w:w="533" w:type="dxa"/>
            <w:vMerge w:val="restart"/>
            <w:tcBorders>
              <w:top w:val="nil" w:sz="6" w:space="0" w:color="auto"/>
              <w:left w:val="single" w:sz="6" w:space="0" w:color="000000"/>
              <w:right w:val="single" w:sz="6" w:space="0" w:color="000000"/>
            </w:tcBorders>
            <w:shd w:val="clear" w:color="auto" w:fill="D2D2D2"/>
          </w:tcPr>
          <w:p>
            <w:pPr>
              <w:pStyle w:val="TableParagraph"/>
              <w:spacing w:line="367" w:lineRule="auto" w:before="153"/>
              <w:ind w:left="79" w:right="19" w:hanging="58"/>
              <w:jc w:val="left"/>
              <w:rPr>
                <w:rFonts w:ascii="宋体" w:hAnsi="宋体" w:cs="宋体" w:eastAsia="宋体" w:hint="default"/>
                <w:sz w:val="18"/>
                <w:szCs w:val="18"/>
              </w:rPr>
            </w:pPr>
            <w:r>
              <w:rPr>
                <w:rFonts w:ascii="宋体" w:hAnsi="宋体" w:cs="宋体" w:eastAsia="宋体" w:hint="default"/>
                <w:spacing w:val="-22"/>
                <w:sz w:val="18"/>
                <w:szCs w:val="18"/>
              </w:rPr>
              <w:t>减：库</w:t>
            </w:r>
            <w:r>
              <w:rPr>
                <w:rFonts w:ascii="宋体" w:hAnsi="宋体" w:cs="宋体" w:eastAsia="宋体" w:hint="default"/>
                <w:sz w:val="18"/>
                <w:szCs w:val="18"/>
              </w:rPr>
              <w:t> 存股</w:t>
            </w:r>
          </w:p>
        </w:tc>
        <w:tc>
          <w:tcPr>
            <w:tcW w:w="1136" w:type="dxa"/>
            <w:vMerge w:val="restart"/>
            <w:tcBorders>
              <w:top w:val="nil" w:sz="6" w:space="0" w:color="auto"/>
              <w:left w:val="single" w:sz="6" w:space="0" w:color="000000"/>
              <w:right w:val="single" w:sz="6" w:space="0" w:color="000000"/>
            </w:tcBorders>
            <w:shd w:val="clear" w:color="auto" w:fill="D2D2D2"/>
          </w:tcPr>
          <w:p>
            <w:pPr>
              <w:pStyle w:val="TableParagraph"/>
              <w:spacing w:line="405" w:lineRule="auto" w:before="134"/>
              <w:ind w:left="379" w:right="20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526" w:type="dxa"/>
            <w:vMerge w:val="restart"/>
            <w:tcBorders>
              <w:top w:val="nil" w:sz="6" w:space="0" w:color="auto"/>
              <w:left w:val="single" w:sz="6" w:space="0" w:color="000000"/>
              <w:right w:val="single" w:sz="6" w:space="0" w:color="000000"/>
            </w:tcBorders>
            <w:shd w:val="clear" w:color="auto" w:fill="D2D2D2"/>
          </w:tcPr>
          <w:p>
            <w:pPr>
              <w:pStyle w:val="TableParagraph"/>
              <w:spacing w:line="367" w:lineRule="auto" w:before="153"/>
              <w:ind w:left="74" w:right="7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26" w:type="dxa"/>
            <w:vMerge/>
            <w:tcBorders>
              <w:left w:val="single" w:sz="6" w:space="0" w:color="000000"/>
              <w:bottom w:val="nil" w:sz="6" w:space="0" w:color="auto"/>
              <w:right w:val="single" w:sz="6" w:space="0" w:color="000000"/>
            </w:tcBorders>
            <w:shd w:val="clear" w:color="auto" w:fill="D2D2D2"/>
          </w:tcPr>
          <w:p>
            <w:pPr/>
          </w:p>
        </w:tc>
        <w:tc>
          <w:tcPr>
            <w:tcW w:w="475" w:type="dxa"/>
            <w:vMerge/>
            <w:tcBorders>
              <w:left w:val="single" w:sz="6" w:space="0" w:color="000000"/>
              <w:right w:val="single" w:sz="6" w:space="0" w:color="000000"/>
            </w:tcBorders>
            <w:shd w:val="clear" w:color="auto" w:fill="D2D2D2"/>
          </w:tcPr>
          <w:p>
            <w:pPr/>
          </w:p>
        </w:tc>
        <w:tc>
          <w:tcPr>
            <w:tcW w:w="1234" w:type="dxa"/>
            <w:vMerge/>
            <w:tcBorders>
              <w:left w:val="single" w:sz="6" w:space="0" w:color="000000"/>
              <w:bottom w:val="nil" w:sz="6" w:space="0" w:color="auto"/>
              <w:right w:val="single" w:sz="6" w:space="0" w:color="000000"/>
            </w:tcBorders>
            <w:shd w:val="clear" w:color="auto" w:fill="D2D2D2"/>
          </w:tcPr>
          <w:p>
            <w:pPr/>
          </w:p>
        </w:tc>
        <w:tc>
          <w:tcPr>
            <w:tcW w:w="12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98"/>
              <w:ind w:left="5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28"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98"/>
              <w:ind w:left="7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27" w:hRule="exact"/>
        </w:trPr>
        <w:tc>
          <w:tcPr>
            <w:tcW w:w="2110" w:type="dxa"/>
            <w:vMerge w:val="restart"/>
            <w:tcBorders>
              <w:top w:val="nil" w:sz="6" w:space="0" w:color="auto"/>
              <w:left w:val="single" w:sz="12" w:space="0" w:color="000000"/>
              <w:right w:val="single" w:sz="6" w:space="0" w:color="000000"/>
            </w:tcBorders>
            <w:shd w:val="clear" w:color="auto" w:fill="D2D2D2"/>
          </w:tcPr>
          <w:p>
            <w:pPr/>
          </w:p>
        </w:tc>
        <w:tc>
          <w:tcPr>
            <w:tcW w:w="128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5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364" w:lineRule="auto"/>
              <w:ind w:left="179" w:right="92"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4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364" w:lineRule="auto"/>
              <w:ind w:left="172" w:right="79"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85" w:type="dxa"/>
            <w:tcBorders>
              <w:top w:val="single" w:sz="6" w:space="0" w:color="000000"/>
              <w:left w:val="single" w:sz="6" w:space="0" w:color="000000"/>
              <w:bottom w:val="nil" w:sz="6" w:space="0" w:color="auto"/>
              <w:right w:val="single" w:sz="6" w:space="0" w:color="000000"/>
            </w:tcBorders>
            <w:shd w:val="clear" w:color="auto" w:fill="D2D2D2"/>
          </w:tcPr>
          <w:p>
            <w:pPr/>
          </w:p>
        </w:tc>
        <w:tc>
          <w:tcPr>
            <w:tcW w:w="132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30"/>
              <w:ind w:left="29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33" w:type="dxa"/>
            <w:vMerge/>
            <w:tcBorders>
              <w:left w:val="single" w:sz="6" w:space="0" w:color="000000"/>
              <w:right w:val="single" w:sz="6" w:space="0" w:color="000000"/>
            </w:tcBorders>
            <w:shd w:val="clear" w:color="auto" w:fill="D2D2D2"/>
          </w:tcPr>
          <w:p>
            <w:pPr/>
          </w:p>
        </w:tc>
        <w:tc>
          <w:tcPr>
            <w:tcW w:w="1136" w:type="dxa"/>
            <w:vMerge/>
            <w:tcBorders>
              <w:left w:val="single" w:sz="6" w:space="0" w:color="000000"/>
              <w:right w:val="single" w:sz="6" w:space="0" w:color="000000"/>
            </w:tcBorders>
            <w:shd w:val="clear" w:color="auto" w:fill="D2D2D2"/>
          </w:tcPr>
          <w:p>
            <w:pPr/>
          </w:p>
        </w:tc>
        <w:tc>
          <w:tcPr>
            <w:tcW w:w="526" w:type="dxa"/>
            <w:vMerge/>
            <w:tcBorders>
              <w:left w:val="single" w:sz="6" w:space="0" w:color="000000"/>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23"/>
              <w:ind w:left="19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75" w:type="dxa"/>
            <w:vMerge/>
            <w:tcBorders>
              <w:left w:val="single" w:sz="6" w:space="0" w:color="000000"/>
              <w:right w:val="single" w:sz="6" w:space="0" w:color="000000"/>
            </w:tcBorders>
            <w:shd w:val="clear" w:color="auto" w:fill="D2D2D2"/>
          </w:tcPr>
          <w:p>
            <w:pPr/>
          </w:p>
        </w:tc>
        <w:tc>
          <w:tcPr>
            <w:tcW w:w="12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23"/>
              <w:ind w:left="15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02" w:type="dxa"/>
            <w:vMerge/>
            <w:tcBorders>
              <w:left w:val="single" w:sz="6" w:space="0" w:color="000000"/>
              <w:bottom w:val="nil" w:sz="6" w:space="0" w:color="auto"/>
              <w:right w:val="single" w:sz="6" w:space="0" w:color="000000"/>
            </w:tcBorders>
            <w:shd w:val="clear" w:color="auto" w:fill="D2D2D2"/>
          </w:tcPr>
          <w:p>
            <w:pPr/>
          </w:p>
        </w:tc>
        <w:tc>
          <w:tcPr>
            <w:tcW w:w="1428" w:type="dxa"/>
            <w:vMerge/>
            <w:tcBorders>
              <w:left w:val="single" w:sz="6" w:space="0" w:color="000000"/>
              <w:bottom w:val="nil" w:sz="6" w:space="0" w:color="auto"/>
              <w:right w:val="single" w:sz="12" w:space="0" w:color="000000"/>
            </w:tcBorders>
            <w:shd w:val="clear" w:color="auto" w:fill="D2D2D2"/>
          </w:tcPr>
          <w:p>
            <w:pPr/>
          </w:p>
        </w:tc>
      </w:tr>
      <w:tr>
        <w:trPr>
          <w:trHeight w:val="220" w:hRule="exact"/>
        </w:trPr>
        <w:tc>
          <w:tcPr>
            <w:tcW w:w="2110" w:type="dxa"/>
            <w:vMerge/>
            <w:tcBorders>
              <w:left w:val="single" w:sz="12" w:space="0" w:color="000000"/>
              <w:right w:val="single" w:sz="6" w:space="0" w:color="000000"/>
            </w:tcBorders>
            <w:shd w:val="clear" w:color="auto" w:fill="D2D2D2"/>
          </w:tcPr>
          <w:p>
            <w:pPr/>
          </w:p>
        </w:tc>
        <w:tc>
          <w:tcPr>
            <w:tcW w:w="1286" w:type="dxa"/>
            <w:vMerge/>
            <w:tcBorders>
              <w:left w:val="single" w:sz="6" w:space="0" w:color="000000"/>
              <w:bottom w:val="nil" w:sz="6" w:space="0" w:color="auto"/>
              <w:right w:val="single" w:sz="6" w:space="0" w:color="000000"/>
            </w:tcBorders>
            <w:shd w:val="clear" w:color="auto" w:fill="D2D2D2"/>
          </w:tcPr>
          <w:p>
            <w:pPr/>
          </w:p>
        </w:tc>
        <w:tc>
          <w:tcPr>
            <w:tcW w:w="557" w:type="dxa"/>
            <w:vMerge/>
            <w:tcBorders>
              <w:left w:val="single" w:sz="6" w:space="0" w:color="000000"/>
              <w:right w:val="single" w:sz="6" w:space="0" w:color="000000"/>
            </w:tcBorders>
            <w:shd w:val="clear" w:color="auto" w:fill="D2D2D2"/>
          </w:tcPr>
          <w:p>
            <w:pPr/>
          </w:p>
        </w:tc>
        <w:tc>
          <w:tcPr>
            <w:tcW w:w="540" w:type="dxa"/>
            <w:vMerge/>
            <w:tcBorders>
              <w:left w:val="single" w:sz="6" w:space="0" w:color="000000"/>
              <w:right w:val="single" w:sz="6" w:space="0" w:color="000000"/>
            </w:tcBorders>
            <w:shd w:val="clear" w:color="auto" w:fill="D2D2D2"/>
          </w:tcPr>
          <w:p>
            <w:pPr/>
          </w:p>
        </w:tc>
        <w:tc>
          <w:tcPr>
            <w:tcW w:w="48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31"/>
              <w:ind w:left="5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7" w:type="dxa"/>
            <w:vMerge/>
            <w:tcBorders>
              <w:left w:val="single" w:sz="6" w:space="0" w:color="000000"/>
              <w:bottom w:val="nil" w:sz="6" w:space="0" w:color="auto"/>
              <w:right w:val="single" w:sz="6" w:space="0" w:color="000000"/>
            </w:tcBorders>
            <w:shd w:val="clear" w:color="auto" w:fill="D2D2D2"/>
          </w:tcPr>
          <w:p>
            <w:pPr/>
          </w:p>
        </w:tc>
        <w:tc>
          <w:tcPr>
            <w:tcW w:w="533" w:type="dxa"/>
            <w:vMerge/>
            <w:tcBorders>
              <w:left w:val="single" w:sz="6" w:space="0" w:color="000000"/>
              <w:right w:val="single" w:sz="6" w:space="0" w:color="000000"/>
            </w:tcBorders>
            <w:shd w:val="clear" w:color="auto" w:fill="D2D2D2"/>
          </w:tcPr>
          <w:p>
            <w:pPr/>
          </w:p>
        </w:tc>
        <w:tc>
          <w:tcPr>
            <w:tcW w:w="1136" w:type="dxa"/>
            <w:vMerge/>
            <w:tcBorders>
              <w:left w:val="single" w:sz="6" w:space="0" w:color="000000"/>
              <w:right w:val="single" w:sz="6" w:space="0" w:color="000000"/>
            </w:tcBorders>
            <w:shd w:val="clear" w:color="auto" w:fill="D2D2D2"/>
          </w:tcPr>
          <w:p>
            <w:pPr/>
          </w:p>
        </w:tc>
        <w:tc>
          <w:tcPr>
            <w:tcW w:w="526" w:type="dxa"/>
            <w:vMerge/>
            <w:tcBorders>
              <w:left w:val="single" w:sz="6" w:space="0" w:color="000000"/>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475" w:type="dxa"/>
            <w:vMerge/>
            <w:tcBorders>
              <w:left w:val="single" w:sz="6" w:space="0" w:color="000000"/>
              <w:right w:val="single" w:sz="6" w:space="0" w:color="000000"/>
            </w:tcBorders>
            <w:shd w:val="clear" w:color="auto" w:fill="D2D2D2"/>
          </w:tcPr>
          <w:p>
            <w:pPr/>
          </w:p>
        </w:tc>
        <w:tc>
          <w:tcPr>
            <w:tcW w:w="1234" w:type="dxa"/>
            <w:vMerge/>
            <w:tcBorders>
              <w:left w:val="single" w:sz="6" w:space="0" w:color="000000"/>
              <w:bottom w:val="nil" w:sz="6" w:space="0" w:color="auto"/>
              <w:right w:val="single" w:sz="6" w:space="0" w:color="000000"/>
            </w:tcBorders>
            <w:shd w:val="clear" w:color="auto" w:fill="D2D2D2"/>
          </w:tcPr>
          <w:p>
            <w:pPr/>
          </w:p>
        </w:tc>
        <w:tc>
          <w:tcPr>
            <w:tcW w:w="1202" w:type="dxa"/>
            <w:vMerge w:val="restart"/>
            <w:tcBorders>
              <w:top w:val="nil" w:sz="6" w:space="0" w:color="auto"/>
              <w:left w:val="single" w:sz="6" w:space="0" w:color="000000"/>
              <w:right w:val="single" w:sz="6" w:space="0" w:color="000000"/>
            </w:tcBorders>
            <w:shd w:val="clear" w:color="auto" w:fill="D2D2D2"/>
          </w:tcPr>
          <w:p>
            <w:pPr/>
          </w:p>
        </w:tc>
        <w:tc>
          <w:tcPr>
            <w:tcW w:w="1428" w:type="dxa"/>
            <w:vMerge w:val="restart"/>
            <w:tcBorders>
              <w:top w:val="nil" w:sz="6" w:space="0" w:color="auto"/>
              <w:left w:val="single" w:sz="6" w:space="0" w:color="000000"/>
              <w:right w:val="single" w:sz="12" w:space="0" w:color="000000"/>
            </w:tcBorders>
            <w:shd w:val="clear" w:color="auto" w:fill="D2D2D2"/>
          </w:tcPr>
          <w:p>
            <w:pPr/>
          </w:p>
        </w:tc>
      </w:tr>
      <w:tr>
        <w:trPr>
          <w:trHeight w:val="218" w:hRule="exact"/>
        </w:trPr>
        <w:tc>
          <w:tcPr>
            <w:tcW w:w="2110" w:type="dxa"/>
            <w:vMerge/>
            <w:tcBorders>
              <w:left w:val="single" w:sz="12" w:space="0" w:color="000000"/>
              <w:right w:val="single" w:sz="6" w:space="0" w:color="000000"/>
            </w:tcBorders>
            <w:shd w:val="clear" w:color="auto" w:fill="D2D2D2"/>
          </w:tcPr>
          <w:p>
            <w:pPr/>
          </w:p>
        </w:tc>
        <w:tc>
          <w:tcPr>
            <w:tcW w:w="1286" w:type="dxa"/>
            <w:vMerge w:val="restart"/>
            <w:tcBorders>
              <w:top w:val="nil" w:sz="6" w:space="0" w:color="auto"/>
              <w:left w:val="single" w:sz="6" w:space="0" w:color="000000"/>
              <w:right w:val="single" w:sz="6" w:space="0" w:color="000000"/>
            </w:tcBorders>
            <w:shd w:val="clear" w:color="auto" w:fill="D2D2D2"/>
          </w:tcPr>
          <w:p>
            <w:pPr/>
          </w:p>
        </w:tc>
        <w:tc>
          <w:tcPr>
            <w:tcW w:w="557" w:type="dxa"/>
            <w:vMerge/>
            <w:tcBorders>
              <w:left w:val="single" w:sz="6" w:space="0" w:color="000000"/>
              <w:right w:val="single" w:sz="6" w:space="0" w:color="000000"/>
            </w:tcBorders>
            <w:shd w:val="clear" w:color="auto" w:fill="D2D2D2"/>
          </w:tcPr>
          <w:p>
            <w:pPr/>
          </w:p>
        </w:tc>
        <w:tc>
          <w:tcPr>
            <w:tcW w:w="540" w:type="dxa"/>
            <w:vMerge/>
            <w:tcBorders>
              <w:left w:val="single" w:sz="6" w:space="0" w:color="000000"/>
              <w:right w:val="single" w:sz="6" w:space="0" w:color="000000"/>
            </w:tcBorders>
            <w:shd w:val="clear" w:color="auto" w:fill="D2D2D2"/>
          </w:tcPr>
          <w:p>
            <w:pPr/>
          </w:p>
        </w:tc>
        <w:tc>
          <w:tcPr>
            <w:tcW w:w="485" w:type="dxa"/>
            <w:vMerge/>
            <w:tcBorders>
              <w:left w:val="single" w:sz="6" w:space="0" w:color="000000"/>
              <w:bottom w:val="nil" w:sz="6" w:space="0" w:color="auto"/>
              <w:right w:val="single" w:sz="6" w:space="0" w:color="000000"/>
            </w:tcBorders>
            <w:shd w:val="clear" w:color="auto" w:fill="D2D2D2"/>
          </w:tcPr>
          <w:p>
            <w:pPr/>
          </w:p>
        </w:tc>
        <w:tc>
          <w:tcPr>
            <w:tcW w:w="1327" w:type="dxa"/>
            <w:vMerge w:val="restart"/>
            <w:tcBorders>
              <w:top w:val="nil" w:sz="6" w:space="0" w:color="auto"/>
              <w:left w:val="single" w:sz="6" w:space="0" w:color="000000"/>
              <w:right w:val="single" w:sz="6" w:space="0" w:color="000000"/>
            </w:tcBorders>
            <w:shd w:val="clear" w:color="auto" w:fill="D2D2D2"/>
          </w:tcPr>
          <w:p>
            <w:pPr/>
          </w:p>
        </w:tc>
        <w:tc>
          <w:tcPr>
            <w:tcW w:w="533" w:type="dxa"/>
            <w:vMerge/>
            <w:tcBorders>
              <w:left w:val="single" w:sz="6" w:space="0" w:color="000000"/>
              <w:bottom w:val="nil" w:sz="6" w:space="0" w:color="auto"/>
              <w:right w:val="single" w:sz="6" w:space="0" w:color="000000"/>
            </w:tcBorders>
            <w:shd w:val="clear" w:color="auto" w:fill="D2D2D2"/>
          </w:tcPr>
          <w:p>
            <w:pPr/>
          </w:p>
        </w:tc>
        <w:tc>
          <w:tcPr>
            <w:tcW w:w="1136" w:type="dxa"/>
            <w:vMerge/>
            <w:tcBorders>
              <w:left w:val="single" w:sz="6" w:space="0" w:color="000000"/>
              <w:bottom w:val="nil" w:sz="6" w:space="0" w:color="auto"/>
              <w:right w:val="single" w:sz="6" w:space="0" w:color="000000"/>
            </w:tcBorders>
            <w:shd w:val="clear" w:color="auto" w:fill="D2D2D2"/>
          </w:tcPr>
          <w:p>
            <w:pPr/>
          </w:p>
        </w:tc>
        <w:tc>
          <w:tcPr>
            <w:tcW w:w="526" w:type="dxa"/>
            <w:vMerge/>
            <w:tcBorders>
              <w:left w:val="single" w:sz="6" w:space="0" w:color="000000"/>
              <w:bottom w:val="nil" w:sz="6" w:space="0" w:color="auto"/>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
        </w:tc>
        <w:tc>
          <w:tcPr>
            <w:tcW w:w="475" w:type="dxa"/>
            <w:vMerge/>
            <w:tcBorders>
              <w:left w:val="single" w:sz="6" w:space="0" w:color="000000"/>
              <w:right w:val="single" w:sz="6" w:space="0" w:color="000000"/>
            </w:tcBorders>
            <w:shd w:val="clear" w:color="auto" w:fill="D2D2D2"/>
          </w:tcPr>
          <w:p>
            <w:pPr/>
          </w:p>
        </w:tc>
        <w:tc>
          <w:tcPr>
            <w:tcW w:w="1234" w:type="dxa"/>
            <w:vMerge w:val="restart"/>
            <w:tcBorders>
              <w:top w:val="nil" w:sz="6" w:space="0" w:color="auto"/>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428" w:type="dxa"/>
            <w:vMerge/>
            <w:tcBorders>
              <w:left w:val="single" w:sz="6" w:space="0" w:color="000000"/>
              <w:right w:val="single" w:sz="12" w:space="0" w:color="000000"/>
            </w:tcBorders>
            <w:shd w:val="clear" w:color="auto" w:fill="D2D2D2"/>
          </w:tcPr>
          <w:p>
            <w:pPr/>
          </w:p>
        </w:tc>
      </w:tr>
      <w:tr>
        <w:trPr>
          <w:trHeight w:val="204" w:hRule="exact"/>
        </w:trPr>
        <w:tc>
          <w:tcPr>
            <w:tcW w:w="2110" w:type="dxa"/>
            <w:vMerge/>
            <w:tcBorders>
              <w:left w:val="single" w:sz="12" w:space="0" w:color="000000"/>
              <w:bottom w:val="single" w:sz="6" w:space="0" w:color="000000"/>
              <w:right w:val="single" w:sz="6" w:space="0" w:color="000000"/>
            </w:tcBorders>
            <w:shd w:val="clear" w:color="auto" w:fill="D2D2D2"/>
          </w:tcPr>
          <w:p>
            <w:pPr/>
          </w:p>
        </w:tc>
        <w:tc>
          <w:tcPr>
            <w:tcW w:w="1286" w:type="dxa"/>
            <w:vMerge/>
            <w:tcBorders>
              <w:left w:val="single" w:sz="6" w:space="0" w:color="000000"/>
              <w:bottom w:val="single" w:sz="6" w:space="0" w:color="000000"/>
              <w:right w:val="single" w:sz="6" w:space="0" w:color="000000"/>
            </w:tcBorders>
            <w:shd w:val="clear" w:color="auto" w:fill="D2D2D2"/>
          </w:tcPr>
          <w:p>
            <w:pPr/>
          </w:p>
        </w:tc>
        <w:tc>
          <w:tcPr>
            <w:tcW w:w="557" w:type="dxa"/>
            <w:vMerge/>
            <w:tcBorders>
              <w:left w:val="single" w:sz="6" w:space="0" w:color="000000"/>
              <w:bottom w:val="single" w:sz="6" w:space="0" w:color="000000"/>
              <w:right w:val="single" w:sz="6" w:space="0" w:color="000000"/>
            </w:tcBorders>
            <w:shd w:val="clear" w:color="auto" w:fill="D2D2D2"/>
          </w:tcPr>
          <w:p>
            <w:pPr/>
          </w:p>
        </w:tc>
        <w:tc>
          <w:tcPr>
            <w:tcW w:w="540" w:type="dxa"/>
            <w:vMerge/>
            <w:tcBorders>
              <w:left w:val="single" w:sz="6" w:space="0" w:color="000000"/>
              <w:bottom w:val="single" w:sz="6" w:space="0" w:color="000000"/>
              <w:right w:val="single" w:sz="6" w:space="0" w:color="000000"/>
            </w:tcBorders>
            <w:shd w:val="clear" w:color="auto" w:fill="D2D2D2"/>
          </w:tcPr>
          <w:p>
            <w:pPr/>
          </w:p>
        </w:tc>
        <w:tc>
          <w:tcPr>
            <w:tcW w:w="485" w:type="dxa"/>
            <w:tcBorders>
              <w:top w:val="nil" w:sz="6" w:space="0" w:color="auto"/>
              <w:left w:val="single" w:sz="6" w:space="0" w:color="000000"/>
              <w:bottom w:val="single" w:sz="6" w:space="0" w:color="000000"/>
              <w:right w:val="single" w:sz="6" w:space="0" w:color="000000"/>
            </w:tcBorders>
            <w:shd w:val="clear" w:color="auto" w:fill="D2D2D2"/>
          </w:tcPr>
          <w:p>
            <w:pPr/>
          </w:p>
        </w:tc>
        <w:tc>
          <w:tcPr>
            <w:tcW w:w="1327" w:type="dxa"/>
            <w:vMerge/>
            <w:tcBorders>
              <w:left w:val="single" w:sz="6" w:space="0" w:color="000000"/>
              <w:bottom w:val="single" w:sz="6" w:space="0" w:color="000000"/>
              <w:right w:val="single" w:sz="6" w:space="0" w:color="000000"/>
            </w:tcBorders>
            <w:shd w:val="clear" w:color="auto" w:fill="D2D2D2"/>
          </w:tcPr>
          <w:p>
            <w:pPr/>
          </w:p>
        </w:tc>
        <w:tc>
          <w:tcPr>
            <w:tcW w:w="533" w:type="dxa"/>
            <w:tcBorders>
              <w:top w:val="nil" w:sz="6" w:space="0" w:color="auto"/>
              <w:left w:val="single" w:sz="6" w:space="0" w:color="000000"/>
              <w:bottom w:val="single" w:sz="6" w:space="0" w:color="000000"/>
              <w:right w:val="single" w:sz="6" w:space="0" w:color="000000"/>
            </w:tcBorders>
            <w:shd w:val="clear" w:color="auto" w:fill="D2D2D2"/>
          </w:tcPr>
          <w:p>
            <w:pPr/>
          </w:p>
        </w:tc>
        <w:tc>
          <w:tcPr>
            <w:tcW w:w="1136" w:type="dxa"/>
            <w:tcBorders>
              <w:top w:val="nil" w:sz="6" w:space="0" w:color="auto"/>
              <w:left w:val="single" w:sz="6" w:space="0" w:color="000000"/>
              <w:bottom w:val="single" w:sz="6" w:space="0" w:color="000000"/>
              <w:right w:val="single" w:sz="6" w:space="0" w:color="000000"/>
            </w:tcBorders>
            <w:shd w:val="clear" w:color="auto" w:fill="D2D2D2"/>
          </w:tcPr>
          <w:p>
            <w:pPr/>
          </w:p>
        </w:tc>
        <w:tc>
          <w:tcPr>
            <w:tcW w:w="526" w:type="dxa"/>
            <w:tcBorders>
              <w:top w:val="nil" w:sz="6" w:space="0" w:color="auto"/>
              <w:left w:val="single" w:sz="6" w:space="0" w:color="000000"/>
              <w:bottom w:val="single" w:sz="6" w:space="0" w:color="000000"/>
              <w:right w:val="single" w:sz="6" w:space="0" w:color="000000"/>
            </w:tcBorders>
            <w:shd w:val="clear" w:color="auto" w:fill="D2D2D2"/>
          </w:tcPr>
          <w:p>
            <w:pPr/>
          </w:p>
        </w:tc>
        <w:tc>
          <w:tcPr>
            <w:tcW w:w="1126" w:type="dxa"/>
            <w:vMerge/>
            <w:tcBorders>
              <w:left w:val="single" w:sz="6" w:space="0" w:color="000000"/>
              <w:bottom w:val="single" w:sz="6" w:space="0" w:color="000000"/>
              <w:right w:val="single" w:sz="6" w:space="0" w:color="000000"/>
            </w:tcBorders>
            <w:shd w:val="clear" w:color="auto" w:fill="D2D2D2"/>
          </w:tcPr>
          <w:p>
            <w:pPr/>
          </w:p>
        </w:tc>
        <w:tc>
          <w:tcPr>
            <w:tcW w:w="475" w:type="dxa"/>
            <w:vMerge/>
            <w:tcBorders>
              <w:left w:val="single" w:sz="6" w:space="0" w:color="000000"/>
              <w:bottom w:val="single" w:sz="6" w:space="0" w:color="000000"/>
              <w:right w:val="single" w:sz="6" w:space="0" w:color="000000"/>
            </w:tcBorders>
            <w:shd w:val="clear" w:color="auto" w:fill="D2D2D2"/>
          </w:tcPr>
          <w:p>
            <w:pPr/>
          </w:p>
        </w:tc>
        <w:tc>
          <w:tcPr>
            <w:tcW w:w="1234" w:type="dxa"/>
            <w:vMerge/>
            <w:tcBorders>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428" w:type="dxa"/>
            <w:vMerge/>
            <w:tcBorders>
              <w:left w:val="single" w:sz="6" w:space="0" w:color="000000"/>
              <w:bottom w:val="single" w:sz="6" w:space="0" w:color="000000"/>
              <w:right w:val="single" w:sz="12" w:space="0" w:color="000000"/>
            </w:tcBorders>
            <w:shd w:val="clear" w:color="auto" w:fill="D2D2D2"/>
          </w:tcPr>
          <w:p>
            <w:pPr/>
          </w:p>
        </w:tc>
      </w:tr>
      <w:tr>
        <w:trPr>
          <w:trHeight w:val="468" w:hRule="exact"/>
        </w:trPr>
        <w:tc>
          <w:tcPr>
            <w:tcW w:w="211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8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431,214,014.00</w:t>
            </w: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881,287,279.65</w:t>
            </w: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44,031,200.38</w:t>
            </w: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2,322,738.36</w:t>
            </w:r>
          </w:p>
        </w:tc>
        <w:tc>
          <w:tcPr>
            <w:tcW w:w="475" w:type="dxa"/>
            <w:tcBorders>
              <w:top w:val="single" w:sz="22" w:space="0" w:color="D2D2D2"/>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542,908,224.61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21,939,342.21</w:t>
            </w:r>
          </w:p>
        </w:tc>
        <w:tc>
          <w:tcPr>
            <w:tcW w:w="14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1,923,702,799.21</w:t>
            </w:r>
          </w:p>
        </w:tc>
      </w:tr>
      <w:tr>
        <w:trPr>
          <w:trHeight w:val="471" w:hRule="exact"/>
        </w:trPr>
        <w:tc>
          <w:tcPr>
            <w:tcW w:w="211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right="278"/>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6" w:type="dxa"/>
            <w:tcBorders>
              <w:top w:val="single" w:sz="6" w:space="0" w:color="000000"/>
              <w:left w:val="single" w:sz="8" w:space="0" w:color="D2D2D2"/>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1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right="278"/>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286" w:type="dxa"/>
            <w:tcBorders>
              <w:top w:val="single" w:sz="6" w:space="0" w:color="000000"/>
              <w:left w:val="single" w:sz="8" w:space="0" w:color="D2D2D2"/>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12" w:space="0" w:color="000000"/>
            </w:tcBorders>
          </w:tcPr>
          <w:p>
            <w:pPr/>
          </w:p>
        </w:tc>
      </w:tr>
      <w:tr>
        <w:trPr>
          <w:trHeight w:val="816" w:hRule="exact"/>
        </w:trPr>
        <w:tc>
          <w:tcPr>
            <w:tcW w:w="211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27"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40" w:lineRule="auto" w:before="124"/>
              <w:ind w:left="7"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286" w:type="dxa"/>
            <w:tcBorders>
              <w:top w:val="single" w:sz="6" w:space="0" w:color="000000"/>
              <w:left w:val="single" w:sz="8" w:space="0" w:color="D2D2D2"/>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1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right="271"/>
              <w:jc w:val="center"/>
              <w:rPr>
                <w:rFonts w:ascii="宋体" w:hAnsi="宋体" w:cs="宋体" w:eastAsia="宋体" w:hint="default"/>
                <w:sz w:val="18"/>
                <w:szCs w:val="18"/>
              </w:rPr>
            </w:pPr>
            <w:r>
              <w:rPr>
                <w:rFonts w:ascii="宋体" w:hAnsi="宋体" w:cs="宋体" w:eastAsia="宋体" w:hint="default"/>
                <w:sz w:val="18"/>
                <w:szCs w:val="18"/>
              </w:rPr>
              <w:t>其他</w:t>
            </w:r>
          </w:p>
        </w:tc>
        <w:tc>
          <w:tcPr>
            <w:tcW w:w="1286" w:type="dxa"/>
            <w:tcBorders>
              <w:top w:val="single" w:sz="6" w:space="0" w:color="000000"/>
              <w:left w:val="single" w:sz="8" w:space="0" w:color="D2D2D2"/>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12" w:space="0" w:color="000000"/>
            </w:tcBorders>
          </w:tcPr>
          <w:p>
            <w:pPr/>
          </w:p>
        </w:tc>
      </w:tr>
      <w:tr>
        <w:trPr>
          <w:trHeight w:val="471" w:hRule="exact"/>
        </w:trPr>
        <w:tc>
          <w:tcPr>
            <w:tcW w:w="211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7"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8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431,214,014.00</w:t>
            </w: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881,287,279.65</w:t>
            </w: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44,031,200.38</w:t>
            </w: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2,322,738.36</w:t>
            </w:r>
          </w:p>
        </w:tc>
        <w:tc>
          <w:tcPr>
            <w:tcW w:w="47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542,908,224.61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21,939,342.21</w:t>
            </w:r>
          </w:p>
        </w:tc>
        <w:tc>
          <w:tcPr>
            <w:tcW w:w="14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1,923,702,799.21</w:t>
            </w:r>
          </w:p>
        </w:tc>
      </w:tr>
      <w:tr>
        <w:trPr>
          <w:trHeight w:val="814" w:hRule="exact"/>
        </w:trPr>
        <w:tc>
          <w:tcPr>
            <w:tcW w:w="211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4" w:lineRule="auto" w:before="116"/>
              <w:ind w:left="7" w:right="1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8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27,691,944.00</w:t>
            </w: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695,041,463.13</w:t>
            </w: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25,853,993.12</w:t>
            </w: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7,740,055.42</w:t>
            </w:r>
          </w:p>
        </w:tc>
        <w:tc>
          <w:tcPr>
            <w:tcW w:w="47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271,791,084.59</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9,693,496.68</w:t>
            </w:r>
          </w:p>
        </w:tc>
        <w:tc>
          <w:tcPr>
            <w:tcW w:w="14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1,037,812,036.94</w:t>
            </w:r>
          </w:p>
        </w:tc>
      </w:tr>
      <w:tr>
        <w:trPr>
          <w:trHeight w:val="470" w:hRule="exact"/>
        </w:trPr>
        <w:tc>
          <w:tcPr>
            <w:tcW w:w="211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86" w:type="dxa"/>
            <w:tcBorders>
              <w:top w:val="single" w:sz="6" w:space="0" w:color="000000"/>
              <w:left w:val="single" w:sz="8" w:space="0" w:color="D2D2D2"/>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25,853,993.12</w:t>
            </w: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279,531,140.01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7,593,496.68</w:t>
            </w:r>
          </w:p>
        </w:tc>
        <w:tc>
          <w:tcPr>
            <w:tcW w:w="14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312,978,629.81</w:t>
            </w:r>
          </w:p>
        </w:tc>
      </w:tr>
      <w:tr>
        <w:trPr>
          <w:trHeight w:val="855" w:hRule="exact"/>
        </w:trPr>
        <w:tc>
          <w:tcPr>
            <w:tcW w:w="211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98" w:lineRule="exact" w:before="8"/>
              <w:ind w:left="7" w:right="99"/>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28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27,691,944.00</w:t>
            </w: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695,041,463.13</w:t>
            </w: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2,100,000.00</w:t>
            </w:r>
          </w:p>
        </w:tc>
        <w:tc>
          <w:tcPr>
            <w:tcW w:w="14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pacing w:val="-1"/>
                <w:sz w:val="18"/>
              </w:rPr>
              <w:t>724,833,407.13</w:t>
            </w:r>
          </w:p>
        </w:tc>
      </w:tr>
      <w:tr>
        <w:trPr>
          <w:trHeight w:val="475" w:hRule="exact"/>
        </w:trPr>
        <w:tc>
          <w:tcPr>
            <w:tcW w:w="211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86"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27,691,944.00</w:t>
            </w:r>
          </w:p>
        </w:tc>
        <w:tc>
          <w:tcPr>
            <w:tcW w:w="557" w:type="dxa"/>
            <w:tcBorders>
              <w:top w:val="single" w:sz="6" w:space="0" w:color="000000"/>
              <w:left w:val="single" w:sz="6" w:space="0" w:color="000000"/>
              <w:bottom w:val="single" w:sz="12" w:space="0" w:color="000000"/>
              <w:right w:val="single" w:sz="6" w:space="0" w:color="000000"/>
            </w:tcBorders>
          </w:tcPr>
          <w:p>
            <w:pPr/>
          </w:p>
        </w:tc>
        <w:tc>
          <w:tcPr>
            <w:tcW w:w="540" w:type="dxa"/>
            <w:tcBorders>
              <w:top w:val="single" w:sz="6" w:space="0" w:color="000000"/>
              <w:left w:val="single" w:sz="6" w:space="0" w:color="000000"/>
              <w:bottom w:val="single" w:sz="12" w:space="0" w:color="000000"/>
              <w:right w:val="single" w:sz="6" w:space="0" w:color="000000"/>
            </w:tcBorders>
          </w:tcPr>
          <w:p>
            <w:pPr/>
          </w:p>
        </w:tc>
        <w:tc>
          <w:tcPr>
            <w:tcW w:w="485" w:type="dxa"/>
            <w:tcBorders>
              <w:top w:val="single" w:sz="6" w:space="0" w:color="000000"/>
              <w:left w:val="single" w:sz="6" w:space="0" w:color="000000"/>
              <w:bottom w:val="single" w:sz="12" w:space="0" w:color="000000"/>
              <w:right w:val="single" w:sz="6" w:space="0" w:color="000000"/>
            </w:tcBorders>
          </w:tcPr>
          <w:p>
            <w:pPr/>
          </w:p>
        </w:tc>
        <w:tc>
          <w:tcPr>
            <w:tcW w:w="13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695,041,364.70</w:t>
            </w:r>
          </w:p>
        </w:tc>
        <w:tc>
          <w:tcPr>
            <w:tcW w:w="533" w:type="dxa"/>
            <w:tcBorders>
              <w:top w:val="single" w:sz="6" w:space="0" w:color="000000"/>
              <w:left w:val="single" w:sz="6" w:space="0" w:color="000000"/>
              <w:bottom w:val="single" w:sz="12" w:space="0" w:color="000000"/>
              <w:right w:val="single" w:sz="6" w:space="0" w:color="000000"/>
            </w:tcBorders>
          </w:tcPr>
          <w:p>
            <w:pPr/>
          </w:p>
        </w:tc>
        <w:tc>
          <w:tcPr>
            <w:tcW w:w="1136" w:type="dxa"/>
            <w:tcBorders>
              <w:top w:val="single" w:sz="6" w:space="0" w:color="000000"/>
              <w:left w:val="single" w:sz="6" w:space="0" w:color="000000"/>
              <w:bottom w:val="single" w:sz="12" w:space="0" w:color="000000"/>
              <w:right w:val="single" w:sz="6" w:space="0" w:color="000000"/>
            </w:tcBorders>
          </w:tcPr>
          <w:p>
            <w:pPr/>
          </w:p>
        </w:tc>
        <w:tc>
          <w:tcPr>
            <w:tcW w:w="526" w:type="dxa"/>
            <w:tcBorders>
              <w:top w:val="single" w:sz="6" w:space="0" w:color="000000"/>
              <w:left w:val="single" w:sz="6" w:space="0" w:color="000000"/>
              <w:bottom w:val="single" w:sz="12" w:space="0" w:color="000000"/>
              <w:right w:val="single" w:sz="6" w:space="0" w:color="000000"/>
            </w:tcBorders>
          </w:tcPr>
          <w:p>
            <w:pPr/>
          </w:p>
        </w:tc>
        <w:tc>
          <w:tcPr>
            <w:tcW w:w="1126" w:type="dxa"/>
            <w:tcBorders>
              <w:top w:val="single" w:sz="6" w:space="0" w:color="000000"/>
              <w:left w:val="single" w:sz="6" w:space="0" w:color="000000"/>
              <w:bottom w:val="single" w:sz="12" w:space="0" w:color="000000"/>
              <w:right w:val="single" w:sz="6" w:space="0" w:color="000000"/>
            </w:tcBorders>
          </w:tcPr>
          <w:p>
            <w:pPr/>
          </w:p>
        </w:tc>
        <w:tc>
          <w:tcPr>
            <w:tcW w:w="475" w:type="dxa"/>
            <w:tcBorders>
              <w:top w:val="single" w:sz="6" w:space="0" w:color="000000"/>
              <w:left w:val="single" w:sz="6" w:space="0" w:color="000000"/>
              <w:bottom w:val="single" w:sz="12" w:space="0" w:color="000000"/>
              <w:right w:val="single" w:sz="6" w:space="0" w:color="000000"/>
            </w:tcBorders>
          </w:tcPr>
          <w:p>
            <w:pPr/>
          </w:p>
        </w:tc>
        <w:tc>
          <w:tcPr>
            <w:tcW w:w="1234" w:type="dxa"/>
            <w:tcBorders>
              <w:top w:val="single" w:sz="6" w:space="0" w:color="000000"/>
              <w:left w:val="single" w:sz="6" w:space="0" w:color="000000"/>
              <w:bottom w:val="single" w:sz="12" w:space="0" w:color="000000"/>
              <w:right w:val="single" w:sz="6" w:space="0" w:color="000000"/>
            </w:tcBorders>
          </w:tcPr>
          <w:p>
            <w:pPr/>
          </w:p>
        </w:tc>
        <w:tc>
          <w:tcPr>
            <w:tcW w:w="12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2,100,000.00</w:t>
            </w:r>
          </w:p>
        </w:tc>
        <w:tc>
          <w:tcPr>
            <w:tcW w:w="142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724,833,308.70</w:t>
            </w:r>
          </w:p>
        </w:tc>
      </w:tr>
    </w:tbl>
    <w:p>
      <w:pPr>
        <w:spacing w:after="0" w:line="240" w:lineRule="auto"/>
        <w:jc w:val="right"/>
        <w:rPr>
          <w:rFonts w:ascii="Times New Roman" w:hAnsi="Times New Roman" w:cs="Times New Roman" w:eastAsia="Times New Roman" w:hint="default"/>
          <w:sz w:val="18"/>
          <w:szCs w:val="18"/>
        </w:rPr>
        <w:sectPr>
          <w:headerReference w:type="default" r:id="rId49"/>
          <w:footerReference w:type="default" r:id="rId50"/>
          <w:pgSz w:w="16840" w:h="11910" w:orient="landscape"/>
          <w:pgMar w:header="877" w:footer="979" w:top="1100" w:bottom="1160" w:left="1300" w:right="1280"/>
          <w:pgNumType w:start="111"/>
        </w:sectPr>
      </w:pPr>
    </w:p>
    <w:tbl>
      <w:tblPr>
        <w:tblW w:w="0" w:type="auto"/>
        <w:jc w:val="left"/>
        <w:tblInd w:w="125" w:type="dxa"/>
        <w:tblLayout w:type="fixed"/>
        <w:tblCellMar>
          <w:top w:w="0" w:type="dxa"/>
          <w:left w:w="0" w:type="dxa"/>
          <w:bottom w:w="0" w:type="dxa"/>
          <w:right w:w="0" w:type="dxa"/>
        </w:tblCellMar>
        <w:tblLook w:val="01E0"/>
      </w:tblPr>
      <w:tblGrid>
        <w:gridCol w:w="2117"/>
        <w:gridCol w:w="1286"/>
        <w:gridCol w:w="557"/>
        <w:gridCol w:w="540"/>
        <w:gridCol w:w="485"/>
        <w:gridCol w:w="1327"/>
        <w:gridCol w:w="533"/>
        <w:gridCol w:w="1136"/>
        <w:gridCol w:w="526"/>
        <w:gridCol w:w="1126"/>
        <w:gridCol w:w="475"/>
        <w:gridCol w:w="1234"/>
        <w:gridCol w:w="1202"/>
        <w:gridCol w:w="1428"/>
      </w:tblGrid>
      <w:tr>
        <w:trPr>
          <w:trHeight w:val="823" w:hRule="exact"/>
        </w:trPr>
        <w:tc>
          <w:tcPr>
            <w:tcW w:w="211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45" w:lineRule="auto" w:before="118"/>
              <w:ind w:left="14"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 入资本</w:t>
            </w:r>
          </w:p>
        </w:tc>
        <w:tc>
          <w:tcPr>
            <w:tcW w:w="1286" w:type="dxa"/>
            <w:tcBorders>
              <w:top w:val="single" w:sz="12" w:space="0" w:color="000000"/>
              <w:left w:val="single" w:sz="8" w:space="0" w:color="D2D2D2"/>
              <w:bottom w:val="single" w:sz="6" w:space="0" w:color="000000"/>
              <w:right w:val="single" w:sz="6" w:space="0" w:color="000000"/>
            </w:tcBorders>
          </w:tcPr>
          <w:p>
            <w:pPr/>
          </w:p>
        </w:tc>
        <w:tc>
          <w:tcPr>
            <w:tcW w:w="557" w:type="dxa"/>
            <w:tcBorders>
              <w:top w:val="single" w:sz="12" w:space="0" w:color="000000"/>
              <w:left w:val="single" w:sz="6" w:space="0" w:color="000000"/>
              <w:bottom w:val="single" w:sz="6" w:space="0" w:color="000000"/>
              <w:right w:val="single" w:sz="6" w:space="0" w:color="000000"/>
            </w:tcBorders>
          </w:tcPr>
          <w:p>
            <w:pPr/>
          </w:p>
        </w:tc>
        <w:tc>
          <w:tcPr>
            <w:tcW w:w="540" w:type="dxa"/>
            <w:tcBorders>
              <w:top w:val="single" w:sz="12" w:space="0" w:color="000000"/>
              <w:left w:val="single" w:sz="6" w:space="0" w:color="000000"/>
              <w:bottom w:val="single" w:sz="6" w:space="0" w:color="000000"/>
              <w:right w:val="single" w:sz="6" w:space="0" w:color="000000"/>
            </w:tcBorders>
          </w:tcPr>
          <w:p>
            <w:pPr/>
          </w:p>
        </w:tc>
        <w:tc>
          <w:tcPr>
            <w:tcW w:w="485" w:type="dxa"/>
            <w:tcBorders>
              <w:top w:val="single" w:sz="12" w:space="0" w:color="000000"/>
              <w:left w:val="single" w:sz="6" w:space="0" w:color="000000"/>
              <w:bottom w:val="single" w:sz="6" w:space="0" w:color="000000"/>
              <w:right w:val="single" w:sz="6" w:space="0" w:color="000000"/>
            </w:tcBorders>
          </w:tcPr>
          <w:p>
            <w:pPr/>
          </w:p>
        </w:tc>
        <w:tc>
          <w:tcPr>
            <w:tcW w:w="1327" w:type="dxa"/>
            <w:tcBorders>
              <w:top w:val="single" w:sz="12" w:space="0" w:color="000000"/>
              <w:left w:val="single" w:sz="6" w:space="0" w:color="000000"/>
              <w:bottom w:val="single" w:sz="6" w:space="0" w:color="000000"/>
              <w:right w:val="single" w:sz="6" w:space="0" w:color="000000"/>
            </w:tcBorders>
          </w:tcPr>
          <w:p>
            <w:pPr/>
          </w:p>
        </w:tc>
        <w:tc>
          <w:tcPr>
            <w:tcW w:w="533" w:type="dxa"/>
            <w:tcBorders>
              <w:top w:val="single" w:sz="12" w:space="0" w:color="000000"/>
              <w:left w:val="single" w:sz="6" w:space="0" w:color="000000"/>
              <w:bottom w:val="single" w:sz="6" w:space="0" w:color="000000"/>
              <w:right w:val="single" w:sz="6" w:space="0" w:color="000000"/>
            </w:tcBorders>
          </w:tcPr>
          <w:p>
            <w:pPr/>
          </w:p>
        </w:tc>
        <w:tc>
          <w:tcPr>
            <w:tcW w:w="1136" w:type="dxa"/>
            <w:tcBorders>
              <w:top w:val="single" w:sz="12" w:space="0" w:color="000000"/>
              <w:left w:val="single" w:sz="6" w:space="0" w:color="000000"/>
              <w:bottom w:val="single" w:sz="6" w:space="0" w:color="000000"/>
              <w:right w:val="single" w:sz="6" w:space="0" w:color="000000"/>
            </w:tcBorders>
          </w:tcPr>
          <w:p>
            <w:pPr/>
          </w:p>
        </w:tc>
        <w:tc>
          <w:tcPr>
            <w:tcW w:w="526" w:type="dxa"/>
            <w:tcBorders>
              <w:top w:val="single" w:sz="12" w:space="0" w:color="000000"/>
              <w:left w:val="single" w:sz="6" w:space="0" w:color="000000"/>
              <w:bottom w:val="single" w:sz="6" w:space="0" w:color="000000"/>
              <w:right w:val="single" w:sz="6" w:space="0" w:color="000000"/>
            </w:tcBorders>
          </w:tcPr>
          <w:p>
            <w:pPr/>
          </w:p>
        </w:tc>
        <w:tc>
          <w:tcPr>
            <w:tcW w:w="1126" w:type="dxa"/>
            <w:tcBorders>
              <w:top w:val="single" w:sz="12" w:space="0" w:color="000000"/>
              <w:left w:val="single" w:sz="6" w:space="0" w:color="000000"/>
              <w:bottom w:val="single" w:sz="6" w:space="0" w:color="000000"/>
              <w:right w:val="single" w:sz="6" w:space="0" w:color="000000"/>
            </w:tcBorders>
          </w:tcPr>
          <w:p>
            <w:pPr/>
          </w:p>
        </w:tc>
        <w:tc>
          <w:tcPr>
            <w:tcW w:w="475" w:type="dxa"/>
            <w:tcBorders>
              <w:top w:val="single" w:sz="12" w:space="0" w:color="000000"/>
              <w:left w:val="single" w:sz="6" w:space="0" w:color="000000"/>
              <w:bottom w:val="single" w:sz="6" w:space="0" w:color="000000"/>
              <w:right w:val="single" w:sz="6" w:space="0" w:color="000000"/>
            </w:tcBorders>
          </w:tcPr>
          <w:p>
            <w:pPr/>
          </w:p>
        </w:tc>
        <w:tc>
          <w:tcPr>
            <w:tcW w:w="1234" w:type="dxa"/>
            <w:tcBorders>
              <w:top w:val="single" w:sz="12" w:space="0" w:color="000000"/>
              <w:left w:val="single" w:sz="6" w:space="0" w:color="000000"/>
              <w:bottom w:val="single" w:sz="6" w:space="0" w:color="000000"/>
              <w:right w:val="single" w:sz="6" w:space="0" w:color="000000"/>
            </w:tcBorders>
          </w:tcPr>
          <w:p>
            <w:pPr/>
          </w:p>
        </w:tc>
        <w:tc>
          <w:tcPr>
            <w:tcW w:w="1202" w:type="dxa"/>
            <w:tcBorders>
              <w:top w:val="single" w:sz="12" w:space="0" w:color="000000"/>
              <w:left w:val="single" w:sz="6" w:space="0" w:color="000000"/>
              <w:bottom w:val="single" w:sz="6" w:space="0" w:color="000000"/>
              <w:right w:val="single" w:sz="6" w:space="0" w:color="000000"/>
            </w:tcBorders>
          </w:tcPr>
          <w:p>
            <w:pPr/>
          </w:p>
        </w:tc>
        <w:tc>
          <w:tcPr>
            <w:tcW w:w="1428" w:type="dxa"/>
            <w:tcBorders>
              <w:top w:val="single" w:sz="12" w:space="0" w:color="000000"/>
              <w:left w:val="single" w:sz="6" w:space="0" w:color="000000"/>
              <w:bottom w:val="single" w:sz="6" w:space="0" w:color="000000"/>
              <w:right w:val="single" w:sz="12" w:space="0" w:color="000000"/>
            </w:tcBorders>
          </w:tcPr>
          <w:p>
            <w:pPr/>
          </w:p>
        </w:tc>
      </w:tr>
      <w:tr>
        <w:trPr>
          <w:trHeight w:val="816" w:hRule="exact"/>
        </w:trPr>
        <w:tc>
          <w:tcPr>
            <w:tcW w:w="21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45" w:lineRule="auto" w:before="118"/>
              <w:ind w:left="14"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 益的金额</w:t>
            </w:r>
          </w:p>
        </w:tc>
        <w:tc>
          <w:tcPr>
            <w:tcW w:w="1286" w:type="dxa"/>
            <w:tcBorders>
              <w:top w:val="single" w:sz="6" w:space="0" w:color="000000"/>
              <w:left w:val="single" w:sz="8" w:space="0" w:color="D2D2D2"/>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6" w:type="dxa"/>
            <w:tcBorders>
              <w:top w:val="single" w:sz="6" w:space="0" w:color="000000"/>
              <w:left w:val="single" w:sz="8" w:space="0" w:color="D2D2D2"/>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98.43</w:t>
            </w: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98.43</w:t>
            </w:r>
          </w:p>
        </w:tc>
      </w:tr>
      <w:tr>
        <w:trPr>
          <w:trHeight w:val="471" w:hRule="exact"/>
        </w:trPr>
        <w:tc>
          <w:tcPr>
            <w:tcW w:w="21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6" w:type="dxa"/>
            <w:tcBorders>
              <w:top w:val="single" w:sz="6" w:space="0" w:color="000000"/>
              <w:left w:val="single" w:sz="8" w:space="0" w:color="D2D2D2"/>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7,740,055.42</w:t>
            </w:r>
          </w:p>
        </w:tc>
        <w:tc>
          <w:tcPr>
            <w:tcW w:w="47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-7,740,055.42</w:t>
            </w:r>
          </w:p>
        </w:tc>
        <w:tc>
          <w:tcPr>
            <w:tcW w:w="1202"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6" w:type="dxa"/>
            <w:tcBorders>
              <w:top w:val="single" w:sz="6" w:space="0" w:color="000000"/>
              <w:left w:val="single" w:sz="8" w:space="0" w:color="D2D2D2"/>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7,740,055.42</w:t>
            </w:r>
          </w:p>
        </w:tc>
        <w:tc>
          <w:tcPr>
            <w:tcW w:w="47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-7,740,055.42</w:t>
            </w:r>
          </w:p>
        </w:tc>
        <w:tc>
          <w:tcPr>
            <w:tcW w:w="1202"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21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86" w:type="dxa"/>
            <w:tcBorders>
              <w:top w:val="single" w:sz="6" w:space="0" w:color="000000"/>
              <w:left w:val="single" w:sz="8" w:space="0" w:color="D2D2D2"/>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12" w:space="0" w:color="000000"/>
            </w:tcBorders>
          </w:tcPr>
          <w:p>
            <w:pPr/>
          </w:p>
        </w:tc>
      </w:tr>
      <w:tr>
        <w:trPr>
          <w:trHeight w:val="814" w:hRule="exact"/>
        </w:trPr>
        <w:tc>
          <w:tcPr>
            <w:tcW w:w="21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45" w:lineRule="auto" w:before="116"/>
              <w:ind w:left="14"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 分配</w:t>
            </w:r>
          </w:p>
        </w:tc>
        <w:tc>
          <w:tcPr>
            <w:tcW w:w="1286" w:type="dxa"/>
            <w:tcBorders>
              <w:top w:val="single" w:sz="6" w:space="0" w:color="000000"/>
              <w:left w:val="single" w:sz="8" w:space="0" w:color="D2D2D2"/>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12" w:space="0" w:color="000000"/>
            </w:tcBorders>
          </w:tcPr>
          <w:p>
            <w:pPr/>
          </w:p>
        </w:tc>
      </w:tr>
      <w:tr>
        <w:trPr>
          <w:trHeight w:val="471" w:hRule="exact"/>
        </w:trPr>
        <w:tc>
          <w:tcPr>
            <w:tcW w:w="21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6" w:type="dxa"/>
            <w:tcBorders>
              <w:top w:val="single" w:sz="6" w:space="0" w:color="000000"/>
              <w:left w:val="single" w:sz="8" w:space="0" w:color="D2D2D2"/>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9"/>
                <w:sz w:val="18"/>
                <w:szCs w:val="18"/>
              </w:rPr>
              <w:t>）</w:t>
            </w:r>
            <w:r>
              <w:rPr>
                <w:rFonts w:ascii="宋体" w:hAnsi="宋体" w:cs="宋体" w:eastAsia="宋体" w:hint="default"/>
                <w:sz w:val="18"/>
                <w:szCs w:val="18"/>
              </w:rPr>
              <w:t>所有者权益内部结转</w:t>
            </w:r>
          </w:p>
        </w:tc>
        <w:tc>
          <w:tcPr>
            <w:tcW w:w="1286" w:type="dxa"/>
            <w:tcBorders>
              <w:top w:val="single" w:sz="6" w:space="0" w:color="000000"/>
              <w:left w:val="single" w:sz="8" w:space="0" w:color="D2D2D2"/>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12" w:space="0" w:color="000000"/>
            </w:tcBorders>
          </w:tcPr>
          <w:p>
            <w:pPr/>
          </w:p>
        </w:tc>
      </w:tr>
      <w:tr>
        <w:trPr>
          <w:trHeight w:val="816" w:hRule="exact"/>
        </w:trPr>
        <w:tc>
          <w:tcPr>
            <w:tcW w:w="21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45" w:lineRule="auto" w:before="116"/>
              <w:ind w:left="14"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 股本）</w:t>
            </w:r>
          </w:p>
        </w:tc>
        <w:tc>
          <w:tcPr>
            <w:tcW w:w="1286" w:type="dxa"/>
            <w:tcBorders>
              <w:top w:val="single" w:sz="6" w:space="0" w:color="000000"/>
              <w:left w:val="single" w:sz="8" w:space="0" w:color="D2D2D2"/>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12" w:space="0" w:color="000000"/>
            </w:tcBorders>
          </w:tcPr>
          <w:p>
            <w:pPr/>
          </w:p>
        </w:tc>
      </w:tr>
      <w:tr>
        <w:trPr>
          <w:trHeight w:val="814" w:hRule="exact"/>
        </w:trPr>
        <w:tc>
          <w:tcPr>
            <w:tcW w:w="21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45" w:lineRule="auto" w:before="116"/>
              <w:ind w:left="14"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 股本）</w:t>
            </w:r>
          </w:p>
        </w:tc>
        <w:tc>
          <w:tcPr>
            <w:tcW w:w="1286" w:type="dxa"/>
            <w:tcBorders>
              <w:top w:val="single" w:sz="6" w:space="0" w:color="000000"/>
              <w:left w:val="single" w:sz="8" w:space="0" w:color="D2D2D2"/>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21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86" w:type="dxa"/>
            <w:tcBorders>
              <w:top w:val="single" w:sz="6" w:space="0" w:color="000000"/>
              <w:left w:val="single" w:sz="8" w:space="0" w:color="D2D2D2"/>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6" w:type="dxa"/>
            <w:tcBorders>
              <w:top w:val="single" w:sz="6" w:space="0" w:color="000000"/>
              <w:left w:val="single" w:sz="8" w:space="0" w:color="D2D2D2"/>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86" w:type="dxa"/>
            <w:tcBorders>
              <w:top w:val="single" w:sz="6" w:space="0" w:color="000000"/>
              <w:left w:val="single" w:sz="8" w:space="0" w:color="D2D2D2"/>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12" w:space="0" w:color="000000"/>
            </w:tcBorders>
          </w:tcPr>
          <w:p>
            <w:pPr/>
          </w:p>
        </w:tc>
      </w:tr>
      <w:tr>
        <w:trPr>
          <w:trHeight w:val="471" w:hRule="exact"/>
        </w:trPr>
        <w:tc>
          <w:tcPr>
            <w:tcW w:w="21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6" w:type="dxa"/>
            <w:tcBorders>
              <w:top w:val="single" w:sz="6" w:space="0" w:color="000000"/>
              <w:left w:val="single" w:sz="8" w:space="0" w:color="D2D2D2"/>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12" w:space="0" w:color="000000"/>
            </w:tcBorders>
          </w:tcPr>
          <w:p>
            <w:pPr/>
          </w:p>
        </w:tc>
      </w:tr>
      <w:tr>
        <w:trPr>
          <w:trHeight w:val="475" w:hRule="exact"/>
        </w:trPr>
        <w:tc>
          <w:tcPr>
            <w:tcW w:w="211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6" w:type="dxa"/>
            <w:tcBorders>
              <w:top w:val="single" w:sz="6" w:space="0" w:color="000000"/>
              <w:left w:val="single" w:sz="8" w:space="0" w:color="D2D2D2"/>
              <w:bottom w:val="single" w:sz="12" w:space="0" w:color="000000"/>
              <w:right w:val="single" w:sz="6" w:space="0" w:color="000000"/>
            </w:tcBorders>
          </w:tcPr>
          <w:p>
            <w:pPr/>
          </w:p>
        </w:tc>
        <w:tc>
          <w:tcPr>
            <w:tcW w:w="557" w:type="dxa"/>
            <w:tcBorders>
              <w:top w:val="single" w:sz="6" w:space="0" w:color="000000"/>
              <w:left w:val="single" w:sz="6" w:space="0" w:color="000000"/>
              <w:bottom w:val="single" w:sz="12" w:space="0" w:color="000000"/>
              <w:right w:val="single" w:sz="6" w:space="0" w:color="000000"/>
            </w:tcBorders>
          </w:tcPr>
          <w:p>
            <w:pPr/>
          </w:p>
        </w:tc>
        <w:tc>
          <w:tcPr>
            <w:tcW w:w="540" w:type="dxa"/>
            <w:tcBorders>
              <w:top w:val="single" w:sz="6" w:space="0" w:color="000000"/>
              <w:left w:val="single" w:sz="6" w:space="0" w:color="000000"/>
              <w:bottom w:val="single" w:sz="12" w:space="0" w:color="000000"/>
              <w:right w:val="single" w:sz="6" w:space="0" w:color="000000"/>
            </w:tcBorders>
          </w:tcPr>
          <w:p>
            <w:pPr/>
          </w:p>
        </w:tc>
        <w:tc>
          <w:tcPr>
            <w:tcW w:w="485" w:type="dxa"/>
            <w:tcBorders>
              <w:top w:val="single" w:sz="6" w:space="0" w:color="000000"/>
              <w:left w:val="single" w:sz="6" w:space="0" w:color="000000"/>
              <w:bottom w:val="single" w:sz="12" w:space="0" w:color="000000"/>
              <w:right w:val="single" w:sz="6" w:space="0" w:color="000000"/>
            </w:tcBorders>
          </w:tcPr>
          <w:p>
            <w:pPr/>
          </w:p>
        </w:tc>
        <w:tc>
          <w:tcPr>
            <w:tcW w:w="1327" w:type="dxa"/>
            <w:tcBorders>
              <w:top w:val="single" w:sz="6" w:space="0" w:color="000000"/>
              <w:left w:val="single" w:sz="6" w:space="0" w:color="000000"/>
              <w:bottom w:val="single" w:sz="12" w:space="0" w:color="000000"/>
              <w:right w:val="single" w:sz="6" w:space="0" w:color="000000"/>
            </w:tcBorders>
          </w:tcPr>
          <w:p>
            <w:pPr/>
          </w:p>
        </w:tc>
        <w:tc>
          <w:tcPr>
            <w:tcW w:w="533" w:type="dxa"/>
            <w:tcBorders>
              <w:top w:val="single" w:sz="6" w:space="0" w:color="000000"/>
              <w:left w:val="single" w:sz="6" w:space="0" w:color="000000"/>
              <w:bottom w:val="single" w:sz="12" w:space="0" w:color="000000"/>
              <w:right w:val="single" w:sz="6" w:space="0" w:color="000000"/>
            </w:tcBorders>
          </w:tcPr>
          <w:p>
            <w:pPr/>
          </w:p>
        </w:tc>
        <w:tc>
          <w:tcPr>
            <w:tcW w:w="1136" w:type="dxa"/>
            <w:tcBorders>
              <w:top w:val="single" w:sz="6" w:space="0" w:color="000000"/>
              <w:left w:val="single" w:sz="6" w:space="0" w:color="000000"/>
              <w:bottom w:val="single" w:sz="12" w:space="0" w:color="000000"/>
              <w:right w:val="single" w:sz="6" w:space="0" w:color="000000"/>
            </w:tcBorders>
          </w:tcPr>
          <w:p>
            <w:pPr/>
          </w:p>
        </w:tc>
        <w:tc>
          <w:tcPr>
            <w:tcW w:w="526" w:type="dxa"/>
            <w:tcBorders>
              <w:top w:val="single" w:sz="6" w:space="0" w:color="000000"/>
              <w:left w:val="single" w:sz="6" w:space="0" w:color="000000"/>
              <w:bottom w:val="single" w:sz="12" w:space="0" w:color="000000"/>
              <w:right w:val="single" w:sz="6" w:space="0" w:color="000000"/>
            </w:tcBorders>
          </w:tcPr>
          <w:p>
            <w:pPr/>
          </w:p>
        </w:tc>
        <w:tc>
          <w:tcPr>
            <w:tcW w:w="1126" w:type="dxa"/>
            <w:tcBorders>
              <w:top w:val="single" w:sz="6" w:space="0" w:color="000000"/>
              <w:left w:val="single" w:sz="6" w:space="0" w:color="000000"/>
              <w:bottom w:val="single" w:sz="12" w:space="0" w:color="000000"/>
              <w:right w:val="single" w:sz="6" w:space="0" w:color="000000"/>
            </w:tcBorders>
          </w:tcPr>
          <w:p>
            <w:pPr/>
          </w:p>
        </w:tc>
        <w:tc>
          <w:tcPr>
            <w:tcW w:w="475" w:type="dxa"/>
            <w:tcBorders>
              <w:top w:val="single" w:sz="6" w:space="0" w:color="000000"/>
              <w:left w:val="single" w:sz="6" w:space="0" w:color="000000"/>
              <w:bottom w:val="single" w:sz="12" w:space="0" w:color="000000"/>
              <w:right w:val="single" w:sz="6" w:space="0" w:color="000000"/>
            </w:tcBorders>
          </w:tcPr>
          <w:p>
            <w:pPr/>
          </w:p>
        </w:tc>
        <w:tc>
          <w:tcPr>
            <w:tcW w:w="1234" w:type="dxa"/>
            <w:tcBorders>
              <w:top w:val="single" w:sz="6" w:space="0" w:color="000000"/>
              <w:left w:val="single" w:sz="6" w:space="0" w:color="000000"/>
              <w:bottom w:val="single" w:sz="12" w:space="0" w:color="000000"/>
              <w:right w:val="single" w:sz="6" w:space="0" w:color="000000"/>
            </w:tcBorders>
          </w:tcPr>
          <w:p>
            <w:pPr/>
          </w:p>
        </w:tc>
        <w:tc>
          <w:tcPr>
            <w:tcW w:w="1202" w:type="dxa"/>
            <w:tcBorders>
              <w:top w:val="single" w:sz="6" w:space="0" w:color="000000"/>
              <w:left w:val="single" w:sz="6" w:space="0" w:color="000000"/>
              <w:bottom w:val="single" w:sz="12" w:space="0" w:color="000000"/>
              <w:right w:val="single" w:sz="6" w:space="0" w:color="000000"/>
            </w:tcBorders>
          </w:tcPr>
          <w:p>
            <w:pPr/>
          </w:p>
        </w:tc>
        <w:tc>
          <w:tcPr>
            <w:tcW w:w="1428"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6840" w:h="11910" w:orient="landscape"/>
          <w:pgMar w:header="877" w:footer="979" w:top="1120" w:bottom="1160" w:left="1300" w:right="1280"/>
        </w:sectPr>
      </w:pPr>
    </w:p>
    <w:tbl>
      <w:tblPr>
        <w:tblW w:w="0" w:type="auto"/>
        <w:jc w:val="left"/>
        <w:tblInd w:w="125" w:type="dxa"/>
        <w:tblLayout w:type="fixed"/>
        <w:tblCellMar>
          <w:top w:w="0" w:type="dxa"/>
          <w:left w:w="0" w:type="dxa"/>
          <w:bottom w:w="0" w:type="dxa"/>
          <w:right w:w="0" w:type="dxa"/>
        </w:tblCellMar>
        <w:tblLook w:val="01E0"/>
      </w:tblPr>
      <w:tblGrid>
        <w:gridCol w:w="2117"/>
        <w:gridCol w:w="1286"/>
        <w:gridCol w:w="557"/>
        <w:gridCol w:w="540"/>
        <w:gridCol w:w="485"/>
        <w:gridCol w:w="1327"/>
        <w:gridCol w:w="533"/>
        <w:gridCol w:w="1136"/>
        <w:gridCol w:w="526"/>
        <w:gridCol w:w="1126"/>
        <w:gridCol w:w="475"/>
        <w:gridCol w:w="1234"/>
        <w:gridCol w:w="1202"/>
        <w:gridCol w:w="1428"/>
      </w:tblGrid>
      <w:tr>
        <w:trPr>
          <w:trHeight w:val="478" w:hRule="exact"/>
        </w:trPr>
        <w:tc>
          <w:tcPr>
            <w:tcW w:w="211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6" w:type="dxa"/>
            <w:tcBorders>
              <w:top w:val="single" w:sz="12" w:space="0" w:color="000000"/>
              <w:left w:val="single" w:sz="8" w:space="0" w:color="D2D2D2"/>
              <w:bottom w:val="single" w:sz="6" w:space="0" w:color="000000"/>
              <w:right w:val="single" w:sz="6" w:space="0" w:color="000000"/>
            </w:tcBorders>
          </w:tcPr>
          <w:p>
            <w:pPr/>
          </w:p>
        </w:tc>
        <w:tc>
          <w:tcPr>
            <w:tcW w:w="557" w:type="dxa"/>
            <w:tcBorders>
              <w:top w:val="single" w:sz="12" w:space="0" w:color="000000"/>
              <w:left w:val="single" w:sz="6" w:space="0" w:color="000000"/>
              <w:bottom w:val="single" w:sz="6" w:space="0" w:color="000000"/>
              <w:right w:val="single" w:sz="6" w:space="0" w:color="000000"/>
            </w:tcBorders>
          </w:tcPr>
          <w:p>
            <w:pPr/>
          </w:p>
        </w:tc>
        <w:tc>
          <w:tcPr>
            <w:tcW w:w="540" w:type="dxa"/>
            <w:tcBorders>
              <w:top w:val="single" w:sz="12" w:space="0" w:color="000000"/>
              <w:left w:val="single" w:sz="6" w:space="0" w:color="000000"/>
              <w:bottom w:val="single" w:sz="6" w:space="0" w:color="000000"/>
              <w:right w:val="single" w:sz="6" w:space="0" w:color="000000"/>
            </w:tcBorders>
          </w:tcPr>
          <w:p>
            <w:pPr/>
          </w:p>
        </w:tc>
        <w:tc>
          <w:tcPr>
            <w:tcW w:w="485" w:type="dxa"/>
            <w:tcBorders>
              <w:top w:val="single" w:sz="12" w:space="0" w:color="000000"/>
              <w:left w:val="single" w:sz="6" w:space="0" w:color="000000"/>
              <w:bottom w:val="single" w:sz="6" w:space="0" w:color="000000"/>
              <w:right w:val="single" w:sz="6" w:space="0" w:color="000000"/>
            </w:tcBorders>
          </w:tcPr>
          <w:p>
            <w:pPr/>
          </w:p>
        </w:tc>
        <w:tc>
          <w:tcPr>
            <w:tcW w:w="1327" w:type="dxa"/>
            <w:tcBorders>
              <w:top w:val="single" w:sz="12" w:space="0" w:color="000000"/>
              <w:left w:val="single" w:sz="6" w:space="0" w:color="000000"/>
              <w:bottom w:val="single" w:sz="6" w:space="0" w:color="000000"/>
              <w:right w:val="single" w:sz="6" w:space="0" w:color="000000"/>
            </w:tcBorders>
          </w:tcPr>
          <w:p>
            <w:pPr/>
          </w:p>
        </w:tc>
        <w:tc>
          <w:tcPr>
            <w:tcW w:w="533" w:type="dxa"/>
            <w:tcBorders>
              <w:top w:val="single" w:sz="12" w:space="0" w:color="000000"/>
              <w:left w:val="single" w:sz="6" w:space="0" w:color="000000"/>
              <w:bottom w:val="single" w:sz="6" w:space="0" w:color="000000"/>
              <w:right w:val="single" w:sz="6" w:space="0" w:color="000000"/>
            </w:tcBorders>
          </w:tcPr>
          <w:p>
            <w:pPr/>
          </w:p>
        </w:tc>
        <w:tc>
          <w:tcPr>
            <w:tcW w:w="1136" w:type="dxa"/>
            <w:tcBorders>
              <w:top w:val="single" w:sz="12" w:space="0" w:color="000000"/>
              <w:left w:val="single" w:sz="6" w:space="0" w:color="000000"/>
              <w:bottom w:val="single" w:sz="6" w:space="0" w:color="000000"/>
              <w:right w:val="single" w:sz="6" w:space="0" w:color="000000"/>
            </w:tcBorders>
          </w:tcPr>
          <w:p>
            <w:pPr/>
          </w:p>
        </w:tc>
        <w:tc>
          <w:tcPr>
            <w:tcW w:w="526" w:type="dxa"/>
            <w:tcBorders>
              <w:top w:val="single" w:sz="12" w:space="0" w:color="000000"/>
              <w:left w:val="single" w:sz="6" w:space="0" w:color="000000"/>
              <w:bottom w:val="single" w:sz="6" w:space="0" w:color="000000"/>
              <w:right w:val="single" w:sz="6" w:space="0" w:color="000000"/>
            </w:tcBorders>
          </w:tcPr>
          <w:p>
            <w:pPr/>
          </w:p>
        </w:tc>
        <w:tc>
          <w:tcPr>
            <w:tcW w:w="1126" w:type="dxa"/>
            <w:tcBorders>
              <w:top w:val="single" w:sz="12" w:space="0" w:color="000000"/>
              <w:left w:val="single" w:sz="6" w:space="0" w:color="000000"/>
              <w:bottom w:val="single" w:sz="6" w:space="0" w:color="000000"/>
              <w:right w:val="single" w:sz="6" w:space="0" w:color="000000"/>
            </w:tcBorders>
          </w:tcPr>
          <w:p>
            <w:pPr/>
          </w:p>
        </w:tc>
        <w:tc>
          <w:tcPr>
            <w:tcW w:w="475" w:type="dxa"/>
            <w:tcBorders>
              <w:top w:val="single" w:sz="12" w:space="0" w:color="000000"/>
              <w:left w:val="single" w:sz="6" w:space="0" w:color="000000"/>
              <w:bottom w:val="single" w:sz="6" w:space="0" w:color="000000"/>
              <w:right w:val="single" w:sz="6" w:space="0" w:color="000000"/>
            </w:tcBorders>
          </w:tcPr>
          <w:p>
            <w:pPr/>
          </w:p>
        </w:tc>
        <w:tc>
          <w:tcPr>
            <w:tcW w:w="1234" w:type="dxa"/>
            <w:tcBorders>
              <w:top w:val="single" w:sz="12" w:space="0" w:color="000000"/>
              <w:left w:val="single" w:sz="6" w:space="0" w:color="000000"/>
              <w:bottom w:val="single" w:sz="6" w:space="0" w:color="000000"/>
              <w:right w:val="single" w:sz="6" w:space="0" w:color="000000"/>
            </w:tcBorders>
          </w:tcPr>
          <w:p>
            <w:pPr/>
          </w:p>
        </w:tc>
        <w:tc>
          <w:tcPr>
            <w:tcW w:w="1202" w:type="dxa"/>
            <w:tcBorders>
              <w:top w:val="single" w:sz="12" w:space="0" w:color="000000"/>
              <w:left w:val="single" w:sz="6" w:space="0" w:color="000000"/>
              <w:bottom w:val="single" w:sz="6" w:space="0" w:color="000000"/>
              <w:right w:val="single" w:sz="6" w:space="0" w:color="000000"/>
            </w:tcBorders>
          </w:tcPr>
          <w:p>
            <w:pPr/>
          </w:p>
        </w:tc>
        <w:tc>
          <w:tcPr>
            <w:tcW w:w="1428" w:type="dxa"/>
            <w:tcBorders>
              <w:top w:val="single" w:sz="12" w:space="0" w:color="000000"/>
              <w:left w:val="single" w:sz="6" w:space="0" w:color="000000"/>
              <w:bottom w:val="single" w:sz="6" w:space="0" w:color="000000"/>
              <w:right w:val="single" w:sz="12" w:space="0" w:color="000000"/>
            </w:tcBorders>
          </w:tcPr>
          <w:p>
            <w:pPr/>
          </w:p>
        </w:tc>
      </w:tr>
      <w:tr>
        <w:trPr>
          <w:trHeight w:val="475" w:hRule="exact"/>
        </w:trPr>
        <w:tc>
          <w:tcPr>
            <w:tcW w:w="211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6"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458,905,958.00</w:t>
            </w:r>
          </w:p>
        </w:tc>
        <w:tc>
          <w:tcPr>
            <w:tcW w:w="557" w:type="dxa"/>
            <w:tcBorders>
              <w:top w:val="single" w:sz="6" w:space="0" w:color="000000"/>
              <w:left w:val="single" w:sz="6" w:space="0" w:color="000000"/>
              <w:bottom w:val="single" w:sz="12" w:space="0" w:color="000000"/>
              <w:right w:val="single" w:sz="6" w:space="0" w:color="000000"/>
            </w:tcBorders>
          </w:tcPr>
          <w:p>
            <w:pPr/>
          </w:p>
        </w:tc>
        <w:tc>
          <w:tcPr>
            <w:tcW w:w="540" w:type="dxa"/>
            <w:tcBorders>
              <w:top w:val="single" w:sz="6" w:space="0" w:color="000000"/>
              <w:left w:val="single" w:sz="6" w:space="0" w:color="000000"/>
              <w:bottom w:val="single" w:sz="12" w:space="0" w:color="000000"/>
              <w:right w:val="single" w:sz="6" w:space="0" w:color="000000"/>
            </w:tcBorders>
          </w:tcPr>
          <w:p>
            <w:pPr/>
          </w:p>
        </w:tc>
        <w:tc>
          <w:tcPr>
            <w:tcW w:w="485" w:type="dxa"/>
            <w:tcBorders>
              <w:top w:val="single" w:sz="6" w:space="0" w:color="000000"/>
              <w:left w:val="single" w:sz="6" w:space="0" w:color="000000"/>
              <w:bottom w:val="single" w:sz="12" w:space="0" w:color="000000"/>
              <w:right w:val="single" w:sz="6" w:space="0" w:color="000000"/>
            </w:tcBorders>
          </w:tcPr>
          <w:p>
            <w:pPr/>
          </w:p>
        </w:tc>
        <w:tc>
          <w:tcPr>
            <w:tcW w:w="13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1,576,328,742.78</w:t>
            </w:r>
          </w:p>
        </w:tc>
        <w:tc>
          <w:tcPr>
            <w:tcW w:w="533" w:type="dxa"/>
            <w:tcBorders>
              <w:top w:val="single" w:sz="6" w:space="0" w:color="000000"/>
              <w:left w:val="single" w:sz="6" w:space="0" w:color="000000"/>
              <w:bottom w:val="single" w:sz="12" w:space="0" w:color="000000"/>
              <w:right w:val="single" w:sz="6" w:space="0" w:color="000000"/>
            </w:tcBorders>
          </w:tcPr>
          <w:p>
            <w:pP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69,885,193.50</w:t>
            </w:r>
          </w:p>
        </w:tc>
        <w:tc>
          <w:tcPr>
            <w:tcW w:w="526" w:type="dxa"/>
            <w:tcBorders>
              <w:top w:val="single" w:sz="6" w:space="0" w:color="000000"/>
              <w:left w:val="single" w:sz="6" w:space="0" w:color="000000"/>
              <w:bottom w:val="single" w:sz="12" w:space="0" w:color="000000"/>
              <w:right w:val="single" w:sz="6" w:space="0" w:color="000000"/>
            </w:tcBorders>
          </w:tcPr>
          <w:p>
            <w:pPr/>
          </w:p>
        </w:tc>
        <w:tc>
          <w:tcPr>
            <w:tcW w:w="1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10,062,793.78</w:t>
            </w:r>
          </w:p>
        </w:tc>
        <w:tc>
          <w:tcPr>
            <w:tcW w:w="475" w:type="dxa"/>
            <w:tcBorders>
              <w:top w:val="single" w:sz="6" w:space="0" w:color="000000"/>
              <w:left w:val="single" w:sz="6" w:space="0" w:color="000000"/>
              <w:bottom w:val="single" w:sz="12" w:space="0" w:color="000000"/>
              <w:right w:val="single" w:sz="6" w:space="0" w:color="000000"/>
            </w:tcBorders>
          </w:tcPr>
          <w:p>
            <w:pPr/>
          </w:p>
        </w:tc>
        <w:tc>
          <w:tcPr>
            <w:tcW w:w="12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814,699,309.20</w:t>
            </w:r>
          </w:p>
        </w:tc>
        <w:tc>
          <w:tcPr>
            <w:tcW w:w="12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31,632,838.89</w:t>
            </w:r>
          </w:p>
        </w:tc>
        <w:tc>
          <w:tcPr>
            <w:tcW w:w="142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2,961,514,836.15</w:t>
            </w:r>
          </w:p>
        </w:tc>
      </w:tr>
    </w:tbl>
    <w:p>
      <w:pPr>
        <w:spacing w:line="240" w:lineRule="auto" w:before="10"/>
        <w:rPr>
          <w:rFonts w:ascii="宋体" w:hAnsi="宋体" w:cs="宋体" w:eastAsia="宋体" w:hint="default"/>
          <w:sz w:val="6"/>
          <w:szCs w:val="6"/>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line="240" w:lineRule="auto" w:before="1"/>
        <w:rPr>
          <w:rFonts w:ascii="宋体" w:hAnsi="宋体" w:cs="宋体" w:eastAsia="宋体" w:hint="default"/>
          <w:sz w:val="9"/>
          <w:szCs w:val="9"/>
        </w:rPr>
      </w:pPr>
    </w:p>
    <w:p>
      <w:pPr>
        <w:spacing w:before="44"/>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2075"/>
        <w:gridCol w:w="1321"/>
        <w:gridCol w:w="425"/>
        <w:gridCol w:w="425"/>
        <w:gridCol w:w="425"/>
        <w:gridCol w:w="1277"/>
        <w:gridCol w:w="566"/>
        <w:gridCol w:w="1277"/>
        <w:gridCol w:w="425"/>
        <w:gridCol w:w="1277"/>
        <w:gridCol w:w="566"/>
        <w:gridCol w:w="1301"/>
        <w:gridCol w:w="1250"/>
        <w:gridCol w:w="1325"/>
      </w:tblGrid>
      <w:tr>
        <w:trPr>
          <w:trHeight w:val="475" w:hRule="exact"/>
        </w:trPr>
        <w:tc>
          <w:tcPr>
            <w:tcW w:w="2075" w:type="dxa"/>
            <w:vMerge w:val="restart"/>
            <w:tcBorders>
              <w:top w:val="single" w:sz="12" w:space="0" w:color="000000"/>
              <w:left w:val="single" w:sz="12" w:space="0" w:color="000000"/>
              <w:right w:val="single" w:sz="6" w:space="0" w:color="000000"/>
            </w:tcBorders>
            <w:shd w:val="clear" w:color="auto" w:fill="D2D2D2"/>
          </w:tcPr>
          <w:p>
            <w:pPr/>
          </w:p>
        </w:tc>
        <w:tc>
          <w:tcPr>
            <w:tcW w:w="11861" w:type="dxa"/>
            <w:gridSpan w:val="1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20"/>
              <w:ind w:left="2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64" w:hRule="exact"/>
        </w:trPr>
        <w:tc>
          <w:tcPr>
            <w:tcW w:w="2075" w:type="dxa"/>
            <w:vMerge/>
            <w:tcBorders>
              <w:left w:val="single" w:sz="12" w:space="0" w:color="000000"/>
              <w:bottom w:val="nil" w:sz="6" w:space="0" w:color="auto"/>
              <w:right w:val="single" w:sz="6" w:space="0" w:color="000000"/>
            </w:tcBorders>
            <w:shd w:val="clear" w:color="auto" w:fill="D2D2D2"/>
          </w:tcPr>
          <w:p>
            <w:pPr/>
          </w:p>
        </w:tc>
        <w:tc>
          <w:tcPr>
            <w:tcW w:w="9286"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3"/>
              <w:ind w:left="8"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50" w:type="dxa"/>
            <w:vMerge w:val="restart"/>
            <w:tcBorders>
              <w:top w:val="single" w:sz="6" w:space="0" w:color="000000"/>
              <w:left w:val="single" w:sz="6" w:space="0" w:color="000000"/>
              <w:right w:val="single" w:sz="6" w:space="0" w:color="000000"/>
            </w:tcBorders>
            <w:shd w:val="clear" w:color="auto" w:fill="D2D2D2"/>
          </w:tcPr>
          <w:p>
            <w:pPr/>
          </w:p>
        </w:tc>
        <w:tc>
          <w:tcPr>
            <w:tcW w:w="1325" w:type="dxa"/>
            <w:vMerge w:val="restart"/>
            <w:tcBorders>
              <w:top w:val="single" w:sz="6" w:space="0" w:color="000000"/>
              <w:left w:val="single" w:sz="6" w:space="0" w:color="000000"/>
              <w:right w:val="single" w:sz="12" w:space="0" w:color="000000"/>
            </w:tcBorders>
            <w:shd w:val="clear" w:color="auto" w:fill="D2D2D2"/>
          </w:tcPr>
          <w:p>
            <w:pPr/>
          </w:p>
        </w:tc>
      </w:tr>
      <w:tr>
        <w:trPr>
          <w:trHeight w:val="218" w:hRule="exact"/>
        </w:trPr>
        <w:tc>
          <w:tcPr>
            <w:tcW w:w="2075"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1" w:type="dxa"/>
            <w:vMerge w:val="restart"/>
            <w:tcBorders>
              <w:top w:val="single" w:sz="6" w:space="0" w:color="000000"/>
              <w:left w:val="single" w:sz="6" w:space="0" w:color="000000"/>
              <w:right w:val="single" w:sz="6" w:space="0" w:color="000000"/>
            </w:tcBorders>
            <w:shd w:val="clear" w:color="auto" w:fill="D2D2D2"/>
          </w:tcPr>
          <w:p>
            <w:pPr/>
          </w:p>
        </w:tc>
        <w:tc>
          <w:tcPr>
            <w:tcW w:w="1275"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7"/>
              <w:ind w:left="8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7" w:type="dxa"/>
            <w:vMerge w:val="restart"/>
            <w:tcBorders>
              <w:top w:val="single" w:sz="6" w:space="0" w:color="000000"/>
              <w:left w:val="single" w:sz="6" w:space="0" w:color="000000"/>
              <w:right w:val="single" w:sz="6" w:space="0" w:color="000000"/>
            </w:tcBorders>
            <w:shd w:val="clear" w:color="auto" w:fill="D2D2D2"/>
          </w:tcPr>
          <w:p>
            <w:pPr/>
          </w:p>
        </w:tc>
        <w:tc>
          <w:tcPr>
            <w:tcW w:w="5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7" w:type="dxa"/>
            <w:vMerge w:val="restart"/>
            <w:tcBorders>
              <w:top w:val="single" w:sz="6" w:space="0" w:color="000000"/>
              <w:left w:val="single" w:sz="6" w:space="0" w:color="000000"/>
              <w:right w:val="single" w:sz="6" w:space="0" w:color="000000"/>
            </w:tcBorders>
            <w:shd w:val="clear" w:color="auto" w:fill="D2D2D2"/>
          </w:tcPr>
          <w:p>
            <w:pPr/>
          </w:p>
        </w:tc>
        <w:tc>
          <w:tcPr>
            <w:tcW w:w="425"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7" w:type="dxa"/>
            <w:vMerge w:val="restart"/>
            <w:tcBorders>
              <w:top w:val="single" w:sz="6" w:space="0" w:color="000000"/>
              <w:left w:val="single" w:sz="6" w:space="0" w:color="000000"/>
              <w:right w:val="single" w:sz="6" w:space="0" w:color="000000"/>
            </w:tcBorders>
            <w:shd w:val="clear" w:color="auto" w:fill="D2D2D2"/>
          </w:tcPr>
          <w:p>
            <w:pPr/>
          </w:p>
        </w:tc>
        <w:tc>
          <w:tcPr>
            <w:tcW w:w="5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3"/>
                <w:szCs w:val="13"/>
              </w:rPr>
            </w:pPr>
          </w:p>
          <w:p>
            <w:pPr>
              <w:pStyle w:val="TableParagraph"/>
              <w:spacing w:line="367" w:lineRule="auto"/>
              <w:ind w:left="93" w:right="9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301" w:type="dxa"/>
            <w:vMerge w:val="restart"/>
            <w:tcBorders>
              <w:top w:val="single" w:sz="6" w:space="0" w:color="000000"/>
              <w:left w:val="single" w:sz="6" w:space="0" w:color="000000"/>
              <w:right w:val="single" w:sz="6" w:space="0" w:color="000000"/>
            </w:tcBorders>
            <w:shd w:val="clear" w:color="auto" w:fill="D2D2D2"/>
          </w:tcPr>
          <w:p>
            <w:pPr/>
          </w:p>
        </w:tc>
        <w:tc>
          <w:tcPr>
            <w:tcW w:w="1250" w:type="dxa"/>
            <w:vMerge/>
            <w:tcBorders>
              <w:left w:val="single" w:sz="6" w:space="0" w:color="000000"/>
              <w:bottom w:val="nil" w:sz="6" w:space="0" w:color="auto"/>
              <w:right w:val="single" w:sz="6" w:space="0" w:color="000000"/>
            </w:tcBorders>
            <w:shd w:val="clear" w:color="auto" w:fill="D2D2D2"/>
          </w:tcPr>
          <w:p>
            <w:pPr/>
          </w:p>
        </w:tc>
        <w:tc>
          <w:tcPr>
            <w:tcW w:w="1325" w:type="dxa"/>
            <w:vMerge/>
            <w:tcBorders>
              <w:left w:val="single" w:sz="6" w:space="0" w:color="000000"/>
              <w:bottom w:val="nil" w:sz="6" w:space="0" w:color="auto"/>
              <w:right w:val="single" w:sz="12" w:space="0" w:color="000000"/>
            </w:tcBorders>
            <w:shd w:val="clear" w:color="auto" w:fill="D2D2D2"/>
          </w:tcPr>
          <w:p>
            <w:pPr/>
          </w:p>
        </w:tc>
      </w:tr>
      <w:tr>
        <w:trPr>
          <w:trHeight w:val="187" w:hRule="exact"/>
        </w:trPr>
        <w:tc>
          <w:tcPr>
            <w:tcW w:w="2075" w:type="dxa"/>
            <w:vMerge/>
            <w:tcBorders>
              <w:left w:val="single" w:sz="12" w:space="0" w:color="000000"/>
              <w:bottom w:val="nil" w:sz="6" w:space="0" w:color="auto"/>
              <w:right w:val="single" w:sz="6" w:space="0" w:color="000000"/>
            </w:tcBorders>
            <w:shd w:val="clear" w:color="auto" w:fill="D2D2D2"/>
          </w:tcPr>
          <w:p>
            <w:pPr/>
          </w:p>
        </w:tc>
        <w:tc>
          <w:tcPr>
            <w:tcW w:w="1321" w:type="dxa"/>
            <w:vMerge/>
            <w:tcBorders>
              <w:left w:val="single" w:sz="6" w:space="0" w:color="000000"/>
              <w:bottom w:val="nil" w:sz="6" w:space="0" w:color="auto"/>
              <w:right w:val="single" w:sz="6" w:space="0" w:color="000000"/>
            </w:tcBorders>
            <w:shd w:val="clear" w:color="auto" w:fill="D2D2D2"/>
          </w:tcPr>
          <w:p>
            <w:pPr/>
          </w:p>
        </w:tc>
        <w:tc>
          <w:tcPr>
            <w:tcW w:w="1275" w:type="dxa"/>
            <w:gridSpan w:val="3"/>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nil" w:sz="6" w:space="0" w:color="auto"/>
              <w:right w:val="single" w:sz="6" w:space="0" w:color="000000"/>
            </w:tcBorders>
            <w:shd w:val="clear" w:color="auto" w:fill="D2D2D2"/>
          </w:tcPr>
          <w:p>
            <w:pPr/>
          </w:p>
        </w:tc>
        <w:tc>
          <w:tcPr>
            <w:tcW w:w="566" w:type="dxa"/>
            <w:vMerge w:val="restart"/>
            <w:tcBorders>
              <w:top w:val="nil" w:sz="6" w:space="0" w:color="auto"/>
              <w:left w:val="single" w:sz="6" w:space="0" w:color="000000"/>
              <w:right w:val="single" w:sz="6" w:space="0" w:color="000000"/>
            </w:tcBorders>
            <w:shd w:val="clear" w:color="auto" w:fill="D2D2D2"/>
          </w:tcPr>
          <w:p>
            <w:pPr>
              <w:pStyle w:val="TableParagraph"/>
              <w:spacing w:line="367" w:lineRule="auto" w:before="130"/>
              <w:ind w:left="95" w:right="17"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1277" w:type="dxa"/>
            <w:vMerge/>
            <w:tcBorders>
              <w:left w:val="single" w:sz="6" w:space="0" w:color="000000"/>
              <w:bottom w:val="nil" w:sz="6" w:space="0" w:color="auto"/>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367" w:lineRule="auto" w:before="130"/>
              <w:ind w:left="23"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7" w:type="dxa"/>
            <w:vMerge/>
            <w:tcBorders>
              <w:left w:val="single" w:sz="6" w:space="0" w:color="000000"/>
              <w:bottom w:val="nil" w:sz="6" w:space="0" w:color="auto"/>
              <w:right w:val="single" w:sz="6" w:space="0" w:color="000000"/>
            </w:tcBorders>
            <w:shd w:val="clear" w:color="auto" w:fill="D2D2D2"/>
          </w:tcPr>
          <w:p>
            <w:pPr/>
          </w:p>
        </w:tc>
        <w:tc>
          <w:tcPr>
            <w:tcW w:w="566" w:type="dxa"/>
            <w:vMerge/>
            <w:tcBorders>
              <w:left w:val="single" w:sz="6" w:space="0" w:color="000000"/>
              <w:right w:val="single" w:sz="6" w:space="0" w:color="000000"/>
            </w:tcBorders>
            <w:shd w:val="clear" w:color="auto" w:fill="D2D2D2"/>
          </w:tcPr>
          <w:p>
            <w:pPr/>
          </w:p>
        </w:tc>
        <w:tc>
          <w:tcPr>
            <w:tcW w:w="1301" w:type="dxa"/>
            <w:vMerge/>
            <w:tcBorders>
              <w:left w:val="single" w:sz="6" w:space="0" w:color="000000"/>
              <w:bottom w:val="nil" w:sz="6" w:space="0" w:color="auto"/>
              <w:right w:val="single" w:sz="6" w:space="0" w:color="000000"/>
            </w:tcBorders>
            <w:shd w:val="clear" w:color="auto" w:fill="D2D2D2"/>
          </w:tcPr>
          <w:p>
            <w:pPr/>
          </w:p>
        </w:tc>
        <w:tc>
          <w:tcPr>
            <w:tcW w:w="125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88"/>
              <w:ind w:left="7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25"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23" w:hRule="exact"/>
        </w:trPr>
        <w:tc>
          <w:tcPr>
            <w:tcW w:w="2075" w:type="dxa"/>
            <w:vMerge w:val="restart"/>
            <w:tcBorders>
              <w:top w:val="nil" w:sz="6" w:space="0" w:color="auto"/>
              <w:left w:val="single" w:sz="12" w:space="0" w:color="000000"/>
              <w:right w:val="single" w:sz="6" w:space="0" w:color="000000"/>
            </w:tcBorders>
            <w:shd w:val="clear" w:color="auto" w:fill="D2D2D2"/>
          </w:tcPr>
          <w:p>
            <w:pPr/>
          </w:p>
        </w:tc>
        <w:tc>
          <w:tcPr>
            <w:tcW w:w="132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23"/>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364" w:lineRule="auto"/>
              <w:ind w:left="112" w:right="2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364" w:lineRule="auto"/>
              <w:ind w:left="115" w:right="23"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5"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23"/>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6" w:space="0" w:color="000000"/>
              <w:right w:val="single" w:sz="6" w:space="0" w:color="000000"/>
            </w:tcBorders>
            <w:shd w:val="clear" w:color="auto" w:fill="D2D2D2"/>
          </w:tcPr>
          <w:p>
            <w:pPr/>
          </w:p>
        </w:tc>
        <w:tc>
          <w:tcPr>
            <w:tcW w:w="127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19"/>
              <w:ind w:left="9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5" w:type="dxa"/>
            <w:vMerge/>
            <w:tcBorders>
              <w:left w:val="single" w:sz="6" w:space="0" w:color="000000"/>
              <w:right w:val="single" w:sz="6" w:space="0" w:color="000000"/>
            </w:tcBorders>
            <w:shd w:val="clear" w:color="auto" w:fill="D2D2D2"/>
          </w:tcPr>
          <w:p>
            <w:pPr/>
          </w:p>
        </w:tc>
        <w:tc>
          <w:tcPr>
            <w:tcW w:w="127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18"/>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6" w:type="dxa"/>
            <w:vMerge/>
            <w:tcBorders>
              <w:left w:val="single" w:sz="6" w:space="0" w:color="000000"/>
              <w:right w:val="single" w:sz="6" w:space="0" w:color="000000"/>
            </w:tcBorders>
            <w:shd w:val="clear" w:color="auto" w:fill="D2D2D2"/>
          </w:tcPr>
          <w:p>
            <w:pPr/>
          </w:p>
        </w:tc>
        <w:tc>
          <w:tcPr>
            <w:tcW w:w="130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18"/>
              <w:ind w:left="19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50" w:type="dxa"/>
            <w:vMerge/>
            <w:tcBorders>
              <w:left w:val="single" w:sz="6" w:space="0" w:color="000000"/>
              <w:bottom w:val="nil" w:sz="6" w:space="0" w:color="auto"/>
              <w:right w:val="single" w:sz="6" w:space="0" w:color="000000"/>
            </w:tcBorders>
            <w:shd w:val="clear" w:color="auto" w:fill="D2D2D2"/>
          </w:tcPr>
          <w:p>
            <w:pPr/>
          </w:p>
        </w:tc>
        <w:tc>
          <w:tcPr>
            <w:tcW w:w="1325" w:type="dxa"/>
            <w:vMerge/>
            <w:tcBorders>
              <w:left w:val="single" w:sz="6" w:space="0" w:color="000000"/>
              <w:bottom w:val="nil" w:sz="6" w:space="0" w:color="auto"/>
              <w:right w:val="single" w:sz="12" w:space="0" w:color="000000"/>
            </w:tcBorders>
            <w:shd w:val="clear" w:color="auto" w:fill="D2D2D2"/>
          </w:tcPr>
          <w:p>
            <w:pPr/>
          </w:p>
        </w:tc>
      </w:tr>
      <w:tr>
        <w:trPr>
          <w:trHeight w:val="218" w:hRule="exact"/>
        </w:trPr>
        <w:tc>
          <w:tcPr>
            <w:tcW w:w="2075" w:type="dxa"/>
            <w:vMerge/>
            <w:tcBorders>
              <w:left w:val="single" w:sz="12" w:space="0" w:color="000000"/>
              <w:right w:val="single" w:sz="6" w:space="0" w:color="000000"/>
            </w:tcBorders>
            <w:shd w:val="clear" w:color="auto" w:fill="D2D2D2"/>
          </w:tcPr>
          <w:p>
            <w:pPr/>
          </w:p>
        </w:tc>
        <w:tc>
          <w:tcPr>
            <w:tcW w:w="1321"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tcBorders>
              <w:left w:val="single" w:sz="6" w:space="0" w:color="000000"/>
              <w:bottom w:val="nil" w:sz="6" w:space="0" w:color="auto"/>
              <w:right w:val="single" w:sz="6" w:space="0" w:color="000000"/>
            </w:tcBorders>
            <w:shd w:val="clear" w:color="auto" w:fill="D2D2D2"/>
          </w:tcPr>
          <w:p>
            <w:pPr/>
          </w:p>
        </w:tc>
        <w:tc>
          <w:tcPr>
            <w:tcW w:w="566"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bottom w:val="nil" w:sz="6" w:space="0" w:color="auto"/>
              <w:right w:val="single" w:sz="6" w:space="0" w:color="000000"/>
            </w:tcBorders>
            <w:shd w:val="clear" w:color="auto" w:fill="D2D2D2"/>
          </w:tcPr>
          <w:p>
            <w:pPr/>
          </w:p>
        </w:tc>
        <w:tc>
          <w:tcPr>
            <w:tcW w:w="566" w:type="dxa"/>
            <w:vMerge/>
            <w:tcBorders>
              <w:left w:val="single" w:sz="6" w:space="0" w:color="000000"/>
              <w:right w:val="single" w:sz="6" w:space="0" w:color="000000"/>
            </w:tcBorders>
            <w:shd w:val="clear" w:color="auto" w:fill="D2D2D2"/>
          </w:tcPr>
          <w:p>
            <w:pPr/>
          </w:p>
        </w:tc>
        <w:tc>
          <w:tcPr>
            <w:tcW w:w="1301" w:type="dxa"/>
            <w:vMerge/>
            <w:tcBorders>
              <w:left w:val="single" w:sz="6" w:space="0" w:color="000000"/>
              <w:bottom w:val="nil" w:sz="6" w:space="0" w:color="auto"/>
              <w:right w:val="single" w:sz="6" w:space="0" w:color="000000"/>
            </w:tcBorders>
            <w:shd w:val="clear" w:color="auto" w:fill="D2D2D2"/>
          </w:tcPr>
          <w:p>
            <w:pPr/>
          </w:p>
        </w:tc>
        <w:tc>
          <w:tcPr>
            <w:tcW w:w="1250" w:type="dxa"/>
            <w:vMerge w:val="restart"/>
            <w:tcBorders>
              <w:top w:val="nil" w:sz="6" w:space="0" w:color="auto"/>
              <w:left w:val="single" w:sz="6" w:space="0" w:color="000000"/>
              <w:right w:val="single" w:sz="6" w:space="0" w:color="000000"/>
            </w:tcBorders>
            <w:shd w:val="clear" w:color="auto" w:fill="D2D2D2"/>
          </w:tcPr>
          <w:p>
            <w:pPr/>
          </w:p>
        </w:tc>
        <w:tc>
          <w:tcPr>
            <w:tcW w:w="1325" w:type="dxa"/>
            <w:vMerge w:val="restart"/>
            <w:tcBorders>
              <w:top w:val="nil" w:sz="6" w:space="0" w:color="auto"/>
              <w:left w:val="single" w:sz="6" w:space="0" w:color="000000"/>
              <w:right w:val="single" w:sz="12" w:space="0" w:color="000000"/>
            </w:tcBorders>
            <w:shd w:val="clear" w:color="auto" w:fill="D2D2D2"/>
          </w:tcPr>
          <w:p>
            <w:pPr/>
          </w:p>
        </w:tc>
      </w:tr>
      <w:tr>
        <w:trPr>
          <w:trHeight w:val="208" w:hRule="exact"/>
        </w:trPr>
        <w:tc>
          <w:tcPr>
            <w:tcW w:w="2075" w:type="dxa"/>
            <w:vMerge/>
            <w:tcBorders>
              <w:left w:val="single" w:sz="12" w:space="0" w:color="000000"/>
              <w:right w:val="single" w:sz="6" w:space="0" w:color="000000"/>
            </w:tcBorders>
            <w:shd w:val="clear" w:color="auto" w:fill="D2D2D2"/>
          </w:tcPr>
          <w:p>
            <w:pPr/>
          </w:p>
        </w:tc>
        <w:tc>
          <w:tcPr>
            <w:tcW w:w="1321" w:type="dxa"/>
            <w:vMerge w:val="restart"/>
            <w:tcBorders>
              <w:top w:val="nil" w:sz="6" w:space="0" w:color="auto"/>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1277" w:type="dxa"/>
            <w:vMerge w:val="restart"/>
            <w:tcBorders>
              <w:top w:val="nil" w:sz="6" w:space="0" w:color="auto"/>
              <w:left w:val="single" w:sz="6" w:space="0" w:color="000000"/>
              <w:right w:val="single" w:sz="6" w:space="0" w:color="000000"/>
            </w:tcBorders>
            <w:shd w:val="clear" w:color="auto" w:fill="D2D2D2"/>
          </w:tcPr>
          <w:p>
            <w:pPr/>
          </w:p>
        </w:tc>
        <w:tc>
          <w:tcPr>
            <w:tcW w:w="566" w:type="dxa"/>
            <w:vMerge/>
            <w:tcBorders>
              <w:left w:val="single" w:sz="6" w:space="0" w:color="000000"/>
              <w:bottom w:val="nil" w:sz="6" w:space="0" w:color="auto"/>
              <w:right w:val="single" w:sz="6" w:space="0" w:color="000000"/>
            </w:tcBorders>
            <w:shd w:val="clear" w:color="auto" w:fill="D2D2D2"/>
          </w:tcPr>
          <w:p>
            <w:pPr/>
          </w:p>
        </w:tc>
        <w:tc>
          <w:tcPr>
            <w:tcW w:w="1277" w:type="dxa"/>
            <w:vMerge w:val="restart"/>
            <w:tcBorders>
              <w:top w:val="nil" w:sz="6" w:space="0" w:color="auto"/>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1277" w:type="dxa"/>
            <w:vMerge w:val="restart"/>
            <w:tcBorders>
              <w:top w:val="nil" w:sz="6" w:space="0" w:color="auto"/>
              <w:left w:val="single" w:sz="6" w:space="0" w:color="000000"/>
              <w:right w:val="single" w:sz="6" w:space="0" w:color="000000"/>
            </w:tcBorders>
            <w:shd w:val="clear" w:color="auto" w:fill="D2D2D2"/>
          </w:tcPr>
          <w:p>
            <w:pPr/>
          </w:p>
        </w:tc>
        <w:tc>
          <w:tcPr>
            <w:tcW w:w="566" w:type="dxa"/>
            <w:vMerge/>
            <w:tcBorders>
              <w:left w:val="single" w:sz="6" w:space="0" w:color="000000"/>
              <w:right w:val="single" w:sz="6" w:space="0" w:color="000000"/>
            </w:tcBorders>
            <w:shd w:val="clear" w:color="auto" w:fill="D2D2D2"/>
          </w:tcPr>
          <w:p>
            <w:pPr/>
          </w:p>
        </w:tc>
        <w:tc>
          <w:tcPr>
            <w:tcW w:w="1301" w:type="dxa"/>
            <w:vMerge w:val="restart"/>
            <w:tcBorders>
              <w:top w:val="nil" w:sz="6" w:space="0" w:color="auto"/>
              <w:left w:val="single" w:sz="6" w:space="0" w:color="000000"/>
              <w:right w:val="single" w:sz="6" w:space="0" w:color="000000"/>
            </w:tcBorders>
            <w:shd w:val="clear" w:color="auto" w:fill="D2D2D2"/>
          </w:tcPr>
          <w:p>
            <w:pPr/>
          </w:p>
        </w:tc>
        <w:tc>
          <w:tcPr>
            <w:tcW w:w="1250" w:type="dxa"/>
            <w:vMerge/>
            <w:tcBorders>
              <w:left w:val="single" w:sz="6" w:space="0" w:color="000000"/>
              <w:right w:val="single" w:sz="6" w:space="0" w:color="000000"/>
            </w:tcBorders>
            <w:shd w:val="clear" w:color="auto" w:fill="D2D2D2"/>
          </w:tcPr>
          <w:p>
            <w:pPr/>
          </w:p>
        </w:tc>
        <w:tc>
          <w:tcPr>
            <w:tcW w:w="1325" w:type="dxa"/>
            <w:vMerge/>
            <w:tcBorders>
              <w:left w:val="single" w:sz="6" w:space="0" w:color="000000"/>
              <w:right w:val="single" w:sz="12" w:space="0" w:color="000000"/>
            </w:tcBorders>
            <w:shd w:val="clear" w:color="auto" w:fill="D2D2D2"/>
          </w:tcPr>
          <w:p>
            <w:pPr/>
          </w:p>
        </w:tc>
      </w:tr>
      <w:tr>
        <w:trPr>
          <w:trHeight w:val="229" w:hRule="exact"/>
        </w:trPr>
        <w:tc>
          <w:tcPr>
            <w:tcW w:w="2075" w:type="dxa"/>
            <w:vMerge/>
            <w:tcBorders>
              <w:left w:val="single" w:sz="12" w:space="0" w:color="000000"/>
              <w:bottom w:val="single" w:sz="6" w:space="0" w:color="000000"/>
              <w:right w:val="single" w:sz="6" w:space="0" w:color="000000"/>
            </w:tcBorders>
            <w:shd w:val="clear" w:color="auto" w:fill="D2D2D2"/>
          </w:tcPr>
          <w:p>
            <w:pPr/>
          </w:p>
        </w:tc>
        <w:tc>
          <w:tcPr>
            <w:tcW w:w="1321" w:type="dxa"/>
            <w:vMerge/>
            <w:tcBorders>
              <w:left w:val="single" w:sz="6" w:space="0" w:color="000000"/>
              <w:bottom w:val="single" w:sz="6" w:space="0" w:color="000000"/>
              <w:right w:val="single" w:sz="6" w:space="0" w:color="000000"/>
            </w:tcBorders>
            <w:shd w:val="clear" w:color="auto" w:fill="D2D2D2"/>
          </w:tcPr>
          <w:p>
            <w:pPr/>
          </w:p>
        </w:tc>
        <w:tc>
          <w:tcPr>
            <w:tcW w:w="425" w:type="dxa"/>
            <w:vMerge/>
            <w:tcBorders>
              <w:left w:val="single" w:sz="6" w:space="0" w:color="000000"/>
              <w:bottom w:val="single" w:sz="6" w:space="0" w:color="000000"/>
              <w:right w:val="single" w:sz="6" w:space="0" w:color="000000"/>
            </w:tcBorders>
            <w:shd w:val="clear" w:color="auto" w:fill="D2D2D2"/>
          </w:tcPr>
          <w:p>
            <w:pPr/>
          </w:p>
        </w:tc>
        <w:tc>
          <w:tcPr>
            <w:tcW w:w="425" w:type="dxa"/>
            <w:vMerge/>
            <w:tcBorders>
              <w:left w:val="single" w:sz="6" w:space="0" w:color="000000"/>
              <w:bottom w:val="single" w:sz="6" w:space="0" w:color="000000"/>
              <w:right w:val="single" w:sz="6" w:space="0" w:color="000000"/>
            </w:tcBorders>
            <w:shd w:val="clear" w:color="auto" w:fill="D2D2D2"/>
          </w:tcPr>
          <w:p>
            <w:pPr/>
          </w:p>
        </w:tc>
        <w:tc>
          <w:tcPr>
            <w:tcW w:w="425"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6" w:space="0" w:color="000000"/>
            </w:tcBorders>
            <w:shd w:val="clear" w:color="auto" w:fill="D2D2D2"/>
          </w:tcPr>
          <w:p>
            <w:pPr/>
          </w:p>
        </w:tc>
        <w:tc>
          <w:tcPr>
            <w:tcW w:w="566"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6" w:space="0" w:color="000000"/>
            </w:tcBorders>
            <w:shd w:val="clear" w:color="auto" w:fill="D2D2D2"/>
          </w:tcPr>
          <w:p>
            <w:pPr/>
          </w:p>
        </w:tc>
        <w:tc>
          <w:tcPr>
            <w:tcW w:w="425"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6" w:space="0" w:color="000000"/>
            </w:tcBorders>
            <w:shd w:val="clear" w:color="auto" w:fill="D2D2D2"/>
          </w:tcPr>
          <w:p>
            <w:pPr/>
          </w:p>
        </w:tc>
        <w:tc>
          <w:tcPr>
            <w:tcW w:w="566" w:type="dxa"/>
            <w:vMerge/>
            <w:tcBorders>
              <w:left w:val="single" w:sz="6" w:space="0" w:color="000000"/>
              <w:bottom w:val="single" w:sz="6" w:space="0" w:color="000000"/>
              <w:right w:val="single" w:sz="6" w:space="0" w:color="000000"/>
            </w:tcBorders>
            <w:shd w:val="clear" w:color="auto" w:fill="D2D2D2"/>
          </w:tcPr>
          <w:p>
            <w:pPr/>
          </w:p>
        </w:tc>
        <w:tc>
          <w:tcPr>
            <w:tcW w:w="1301" w:type="dxa"/>
            <w:vMerge/>
            <w:tcBorders>
              <w:left w:val="single" w:sz="6" w:space="0" w:color="000000"/>
              <w:bottom w:val="single" w:sz="6" w:space="0" w:color="000000"/>
              <w:right w:val="single" w:sz="6" w:space="0" w:color="000000"/>
            </w:tcBorders>
            <w:shd w:val="clear" w:color="auto" w:fill="D2D2D2"/>
          </w:tcPr>
          <w:p>
            <w:pPr/>
          </w:p>
        </w:tc>
        <w:tc>
          <w:tcPr>
            <w:tcW w:w="1250" w:type="dxa"/>
            <w:vMerge/>
            <w:tcBorders>
              <w:left w:val="single" w:sz="6" w:space="0" w:color="000000"/>
              <w:bottom w:val="single" w:sz="6" w:space="0" w:color="000000"/>
              <w:right w:val="single" w:sz="6" w:space="0" w:color="000000"/>
            </w:tcBorders>
            <w:shd w:val="clear" w:color="auto" w:fill="D2D2D2"/>
          </w:tcPr>
          <w:p>
            <w:pPr/>
          </w:p>
        </w:tc>
        <w:tc>
          <w:tcPr>
            <w:tcW w:w="1325" w:type="dxa"/>
            <w:vMerge/>
            <w:tcBorders>
              <w:left w:val="single" w:sz="6" w:space="0" w:color="000000"/>
              <w:bottom w:val="single" w:sz="6" w:space="0" w:color="000000"/>
              <w:right w:val="single" w:sz="12" w:space="0" w:color="000000"/>
            </w:tcBorders>
            <w:shd w:val="clear" w:color="auto" w:fill="D2D2D2"/>
          </w:tcPr>
          <w:p>
            <w:pPr/>
          </w:p>
        </w:tc>
      </w:tr>
      <w:tr>
        <w:trPr>
          <w:trHeight w:val="471" w:hRule="exact"/>
        </w:trPr>
        <w:tc>
          <w:tcPr>
            <w:tcW w:w="20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319,399,894.00</w:t>
            </w: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678,885,622.23</w:t>
            </w: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77,322,738.76</w:t>
            </w: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85,691.71</w:t>
            </w:r>
          </w:p>
        </w:tc>
        <w:tc>
          <w:tcPr>
            <w:tcW w:w="566" w:type="dxa"/>
            <w:tcBorders>
              <w:top w:val="single" w:sz="22" w:space="0" w:color="D2D2D2"/>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587,515,324.30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37,896,460.30</w:t>
            </w:r>
          </w:p>
        </w:tc>
        <w:tc>
          <w:tcPr>
            <w:tcW w:w="13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1,701,105,731.30</w:t>
            </w:r>
          </w:p>
        </w:tc>
      </w:tr>
      <w:tr>
        <w:trPr>
          <w:trHeight w:val="468" w:hRule="exact"/>
        </w:trPr>
        <w:tc>
          <w:tcPr>
            <w:tcW w:w="20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right="24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1" w:type="dxa"/>
            <w:tcBorders>
              <w:top w:val="single" w:sz="6" w:space="0" w:color="000000"/>
              <w:left w:val="single" w:sz="14" w:space="0" w:color="D2D2D2"/>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0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right="245"/>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321" w:type="dxa"/>
            <w:tcBorders>
              <w:top w:val="single" w:sz="6" w:space="0" w:color="000000"/>
              <w:left w:val="single" w:sz="14" w:space="0" w:color="D2D2D2"/>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12" w:space="0" w:color="000000"/>
            </w:tcBorders>
          </w:tcPr>
          <w:p>
            <w:pPr/>
          </w:p>
        </w:tc>
      </w:tr>
      <w:tr>
        <w:trPr>
          <w:trHeight w:val="816" w:hRule="exact"/>
        </w:trPr>
        <w:tc>
          <w:tcPr>
            <w:tcW w:w="20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727"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40" w:lineRule="auto" w:before="122"/>
              <w:ind w:left="7"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321" w:type="dxa"/>
            <w:tcBorders>
              <w:top w:val="single" w:sz="6" w:space="0" w:color="000000"/>
              <w:left w:val="single" w:sz="14" w:space="0" w:color="D2D2D2"/>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12" w:space="0" w:color="000000"/>
            </w:tcBorders>
          </w:tcPr>
          <w:p>
            <w:pPr/>
          </w:p>
        </w:tc>
      </w:tr>
      <w:tr>
        <w:trPr>
          <w:trHeight w:val="469" w:hRule="exact"/>
        </w:trPr>
        <w:tc>
          <w:tcPr>
            <w:tcW w:w="20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right="236"/>
              <w:jc w:val="center"/>
              <w:rPr>
                <w:rFonts w:ascii="宋体" w:hAnsi="宋体" w:cs="宋体" w:eastAsia="宋体" w:hint="default"/>
                <w:sz w:val="18"/>
                <w:szCs w:val="18"/>
              </w:rPr>
            </w:pPr>
            <w:r>
              <w:rPr>
                <w:rFonts w:ascii="宋体" w:hAnsi="宋体" w:cs="宋体" w:eastAsia="宋体" w:hint="default"/>
                <w:sz w:val="18"/>
                <w:szCs w:val="18"/>
              </w:rPr>
              <w:t>其他</w:t>
            </w:r>
          </w:p>
        </w:tc>
        <w:tc>
          <w:tcPr>
            <w:tcW w:w="1321" w:type="dxa"/>
            <w:tcBorders>
              <w:top w:val="single" w:sz="6" w:space="0" w:color="000000"/>
              <w:left w:val="single" w:sz="14" w:space="0" w:color="D2D2D2"/>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20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7"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319,399,894.00</w:t>
            </w: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678,885,622.23</w:t>
            </w: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77,322,738.76</w:t>
            </w: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85,691.71</w:t>
            </w:r>
          </w:p>
        </w:tc>
        <w:tc>
          <w:tcPr>
            <w:tcW w:w="5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587,515,324.30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37,896,460.30</w:t>
            </w:r>
          </w:p>
        </w:tc>
        <w:tc>
          <w:tcPr>
            <w:tcW w:w="13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1,701,105,731.30</w:t>
            </w:r>
          </w:p>
        </w:tc>
      </w:tr>
      <w:tr>
        <w:trPr>
          <w:trHeight w:val="814" w:hRule="exact"/>
        </w:trPr>
        <w:tc>
          <w:tcPr>
            <w:tcW w:w="20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7" w:lineRule="auto" w:before="116"/>
              <w:ind w:left="7" w:right="9"/>
              <w:jc w:val="left"/>
              <w:rPr>
                <w:rFonts w:ascii="宋体" w:hAnsi="宋体" w:cs="宋体" w:eastAsia="宋体" w:hint="default"/>
                <w:sz w:val="18"/>
                <w:szCs w:val="18"/>
              </w:rPr>
            </w:pPr>
            <w:r>
              <w:rPr>
                <w:rFonts w:ascii="宋体" w:hAnsi="宋体" w:cs="宋体" w:eastAsia="宋体" w:hint="default"/>
                <w:spacing w:val="-11"/>
                <w:sz w:val="18"/>
                <w:szCs w:val="18"/>
              </w:rPr>
              <w:t>三、本期增减变动金额（减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2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111,814,120.00</w:t>
            </w: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202,401,657.42</w:t>
            </w: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-33,291,538.38</w:t>
            </w: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2,237,046.65</w:t>
            </w:r>
          </w:p>
        </w:tc>
        <w:tc>
          <w:tcPr>
            <w:tcW w:w="5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-44,607,099.69</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-15,957,118.09</w:t>
            </w:r>
          </w:p>
        </w:tc>
        <w:tc>
          <w:tcPr>
            <w:tcW w:w="13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222,597,067.91</w:t>
            </w:r>
          </w:p>
        </w:tc>
      </w:tr>
      <w:tr>
        <w:trPr>
          <w:trHeight w:val="470" w:hRule="exact"/>
        </w:trPr>
        <w:tc>
          <w:tcPr>
            <w:tcW w:w="20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7"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1" w:type="dxa"/>
            <w:tcBorders>
              <w:top w:val="single" w:sz="6" w:space="0" w:color="000000"/>
              <w:left w:val="single" w:sz="14" w:space="0" w:color="D2D2D2"/>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-33,291,538.38</w:t>
            </w: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254,718,777.19</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-12,414,181.43</w:t>
            </w:r>
          </w:p>
        </w:tc>
        <w:tc>
          <w:tcPr>
            <w:tcW w:w="13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209,013,057.38</w:t>
            </w:r>
          </w:p>
        </w:tc>
      </w:tr>
      <w:tr>
        <w:trPr>
          <w:trHeight w:val="821" w:hRule="exact"/>
        </w:trPr>
        <w:tc>
          <w:tcPr>
            <w:tcW w:w="207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67" w:lineRule="auto" w:before="116"/>
              <w:ind w:left="7" w:right="64"/>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321"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111,814,120.00</w:t>
            </w:r>
          </w:p>
        </w:tc>
        <w:tc>
          <w:tcPr>
            <w:tcW w:w="425"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202,401,657.42</w:t>
            </w:r>
          </w:p>
        </w:tc>
        <w:tc>
          <w:tcPr>
            <w:tcW w:w="566"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2,237,046.65</w:t>
            </w:r>
          </w:p>
        </w:tc>
        <w:tc>
          <w:tcPr>
            <w:tcW w:w="566" w:type="dxa"/>
            <w:tcBorders>
              <w:top w:val="single" w:sz="6" w:space="0" w:color="000000"/>
              <w:left w:val="single" w:sz="6" w:space="0" w:color="000000"/>
              <w:bottom w:val="single" w:sz="12" w:space="0" w:color="000000"/>
              <w:right w:val="single" w:sz="6" w:space="0" w:color="000000"/>
            </w:tcBorders>
          </w:tcPr>
          <w:p>
            <w:pP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-299,325,876.88</w:t>
            </w:r>
          </w:p>
        </w:tc>
        <w:tc>
          <w:tcPr>
            <w:tcW w:w="12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-3,542,936.66</w:t>
            </w:r>
          </w:p>
        </w:tc>
        <w:tc>
          <w:tcPr>
            <w:tcW w:w="13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13,584,010.53</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7" w:footer="979" w:top="1100" w:bottom="1160" w:left="1300" w:right="1280"/>
        </w:sectPr>
      </w:pPr>
    </w:p>
    <w:tbl>
      <w:tblPr>
        <w:tblW w:w="0" w:type="auto"/>
        <w:jc w:val="left"/>
        <w:tblInd w:w="125" w:type="dxa"/>
        <w:tblLayout w:type="fixed"/>
        <w:tblCellMar>
          <w:top w:w="0" w:type="dxa"/>
          <w:left w:w="0" w:type="dxa"/>
          <w:bottom w:w="0" w:type="dxa"/>
          <w:right w:w="0" w:type="dxa"/>
        </w:tblCellMar>
        <w:tblLook w:val="01E0"/>
      </w:tblPr>
      <w:tblGrid>
        <w:gridCol w:w="2093"/>
        <w:gridCol w:w="1310"/>
        <w:gridCol w:w="425"/>
        <w:gridCol w:w="425"/>
        <w:gridCol w:w="425"/>
        <w:gridCol w:w="1277"/>
        <w:gridCol w:w="566"/>
        <w:gridCol w:w="1277"/>
        <w:gridCol w:w="425"/>
        <w:gridCol w:w="1277"/>
        <w:gridCol w:w="566"/>
        <w:gridCol w:w="1301"/>
        <w:gridCol w:w="1250"/>
        <w:gridCol w:w="1325"/>
      </w:tblGrid>
      <w:tr>
        <w:trPr>
          <w:trHeight w:val="478" w:hRule="exact"/>
        </w:trPr>
        <w:tc>
          <w:tcPr>
            <w:tcW w:w="20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111,814,120.00</w:t>
            </w:r>
          </w:p>
        </w:tc>
        <w:tc>
          <w:tcPr>
            <w:tcW w:w="425"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178,813,560.00</w:t>
            </w:r>
          </w:p>
        </w:tc>
        <w:tc>
          <w:tcPr>
            <w:tcW w:w="566"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
        </w:tc>
        <w:tc>
          <w:tcPr>
            <w:tcW w:w="566" w:type="dxa"/>
            <w:tcBorders>
              <w:top w:val="single" w:sz="12" w:space="0" w:color="000000"/>
              <w:left w:val="single" w:sz="6" w:space="0" w:color="000000"/>
              <w:bottom w:val="single" w:sz="6" w:space="0" w:color="000000"/>
              <w:right w:val="single" w:sz="6" w:space="0" w:color="000000"/>
            </w:tcBorders>
          </w:tcPr>
          <w:p>
            <w:pPr/>
          </w:p>
        </w:tc>
        <w:tc>
          <w:tcPr>
            <w:tcW w:w="1301" w:type="dxa"/>
            <w:tcBorders>
              <w:top w:val="single" w:sz="12" w:space="0" w:color="000000"/>
              <w:left w:val="single" w:sz="6" w:space="0" w:color="000000"/>
              <w:bottom w:val="single" w:sz="6" w:space="0" w:color="000000"/>
              <w:right w:val="single" w:sz="6" w:space="0" w:color="000000"/>
            </w:tcBorders>
          </w:tcPr>
          <w:p>
            <w:pPr/>
          </w:p>
        </w:tc>
        <w:tc>
          <w:tcPr>
            <w:tcW w:w="1250" w:type="dxa"/>
            <w:tcBorders>
              <w:top w:val="single" w:sz="12" w:space="0" w:color="000000"/>
              <w:left w:val="single" w:sz="6" w:space="0" w:color="000000"/>
              <w:bottom w:val="single" w:sz="6" w:space="0" w:color="000000"/>
              <w:right w:val="single" w:sz="6" w:space="0" w:color="000000"/>
            </w:tcBorders>
          </w:tcPr>
          <w:p>
            <w:pPr/>
          </w:p>
        </w:tc>
        <w:tc>
          <w:tcPr>
            <w:tcW w:w="132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290,627,680.00</w:t>
            </w:r>
          </w:p>
        </w:tc>
      </w:tr>
      <w:tr>
        <w:trPr>
          <w:trHeight w:val="816" w:hRule="exact"/>
        </w:trPr>
        <w:tc>
          <w:tcPr>
            <w:tcW w:w="20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45" w:lineRule="auto" w:before="116"/>
              <w:ind w:left="14"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入资本</w:t>
            </w:r>
          </w:p>
        </w:tc>
        <w:tc>
          <w:tcPr>
            <w:tcW w:w="13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12" w:space="0" w:color="000000"/>
            </w:tcBorders>
          </w:tcPr>
          <w:p>
            <w:pPr/>
          </w:p>
        </w:tc>
      </w:tr>
      <w:tr>
        <w:trPr>
          <w:trHeight w:val="814" w:hRule="exact"/>
        </w:trPr>
        <w:tc>
          <w:tcPr>
            <w:tcW w:w="20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45" w:lineRule="auto" w:before="116"/>
              <w:ind w:left="14"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益的金额</w:t>
            </w:r>
          </w:p>
        </w:tc>
        <w:tc>
          <w:tcPr>
            <w:tcW w:w="13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12" w:space="0" w:color="000000"/>
            </w:tcBorders>
          </w:tcPr>
          <w:p>
            <w:pPr/>
          </w:p>
        </w:tc>
      </w:tr>
      <w:tr>
        <w:trPr>
          <w:trHeight w:val="471" w:hRule="exact"/>
        </w:trPr>
        <w:tc>
          <w:tcPr>
            <w:tcW w:w="20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23,588,097.42</w:t>
            </w: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2,237,046.65</w:t>
            </w:r>
          </w:p>
        </w:tc>
        <w:tc>
          <w:tcPr>
            <w:tcW w:w="5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-299,325,876.88</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-3,542,936.66</w:t>
            </w:r>
          </w:p>
        </w:tc>
        <w:tc>
          <w:tcPr>
            <w:tcW w:w="13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-277,043,669.47</w:t>
            </w:r>
          </w:p>
        </w:tc>
      </w:tr>
      <w:tr>
        <w:trPr>
          <w:trHeight w:val="468" w:hRule="exact"/>
        </w:trPr>
        <w:tc>
          <w:tcPr>
            <w:tcW w:w="20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20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0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12" w:space="0" w:color="000000"/>
            </w:tcBorders>
          </w:tcPr>
          <w:p>
            <w:pPr/>
          </w:p>
        </w:tc>
      </w:tr>
      <w:tr>
        <w:trPr>
          <w:trHeight w:val="816" w:hRule="exact"/>
        </w:trPr>
        <w:tc>
          <w:tcPr>
            <w:tcW w:w="20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48" w:lineRule="auto" w:before="116"/>
              <w:ind w:left="14"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．对所有者（或股东）的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分配</w:t>
            </w:r>
          </w:p>
        </w:tc>
        <w:tc>
          <w:tcPr>
            <w:tcW w:w="13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0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12" w:space="0" w:color="000000"/>
            </w:tcBorders>
          </w:tcPr>
          <w:p>
            <w:pPr/>
          </w:p>
        </w:tc>
      </w:tr>
      <w:tr>
        <w:trPr>
          <w:trHeight w:val="854" w:hRule="exact"/>
        </w:trPr>
        <w:tc>
          <w:tcPr>
            <w:tcW w:w="20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400" w:lineRule="exact" w:before="6"/>
              <w:ind w:left="14" w:right="255"/>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3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12" w:space="0" w:color="000000"/>
            </w:tcBorders>
          </w:tcPr>
          <w:p>
            <w:pPr/>
          </w:p>
        </w:tc>
      </w:tr>
      <w:tr>
        <w:trPr>
          <w:trHeight w:val="817" w:hRule="exact"/>
        </w:trPr>
        <w:tc>
          <w:tcPr>
            <w:tcW w:w="20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48" w:lineRule="auto" w:before="116"/>
              <w:ind w:left="14"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．资本公积转增资本（或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股本）</w:t>
            </w:r>
          </w:p>
        </w:tc>
        <w:tc>
          <w:tcPr>
            <w:tcW w:w="13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12" w:space="0" w:color="000000"/>
            </w:tcBorders>
          </w:tcPr>
          <w:p>
            <w:pPr/>
          </w:p>
        </w:tc>
      </w:tr>
      <w:tr>
        <w:trPr>
          <w:trHeight w:val="814" w:hRule="exact"/>
        </w:trPr>
        <w:tc>
          <w:tcPr>
            <w:tcW w:w="20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45" w:lineRule="auto" w:before="116"/>
              <w:ind w:left="14"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．盈余公积转增资本（或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股本）</w:t>
            </w:r>
          </w:p>
        </w:tc>
        <w:tc>
          <w:tcPr>
            <w:tcW w:w="13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20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0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12" w:space="0" w:color="000000"/>
            </w:tcBorders>
          </w:tcPr>
          <w:p>
            <w:pPr/>
          </w:p>
        </w:tc>
      </w:tr>
      <w:tr>
        <w:trPr>
          <w:trHeight w:val="476" w:hRule="exact"/>
        </w:trPr>
        <w:tc>
          <w:tcPr>
            <w:tcW w:w="209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10"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1301" w:type="dxa"/>
            <w:tcBorders>
              <w:top w:val="single" w:sz="6" w:space="0" w:color="000000"/>
              <w:left w:val="single" w:sz="6" w:space="0" w:color="000000"/>
              <w:bottom w:val="single" w:sz="12" w:space="0" w:color="000000"/>
              <w:right w:val="single" w:sz="6" w:space="0" w:color="000000"/>
            </w:tcBorders>
          </w:tcPr>
          <w:p>
            <w:pPr/>
          </w:p>
        </w:tc>
        <w:tc>
          <w:tcPr>
            <w:tcW w:w="1250" w:type="dxa"/>
            <w:tcBorders>
              <w:top w:val="single" w:sz="6" w:space="0" w:color="000000"/>
              <w:left w:val="single" w:sz="6" w:space="0" w:color="000000"/>
              <w:bottom w:val="single" w:sz="12" w:space="0" w:color="000000"/>
              <w:right w:val="single" w:sz="6" w:space="0" w:color="000000"/>
            </w:tcBorders>
          </w:tcPr>
          <w:p>
            <w:pPr/>
          </w:p>
        </w:tc>
        <w:tc>
          <w:tcPr>
            <w:tcW w:w="1325"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6840" w:h="11910" w:orient="landscape"/>
          <w:pgMar w:header="877" w:footer="979" w:top="1120" w:bottom="1160" w:left="1300" w:right="1300"/>
        </w:sectPr>
      </w:pPr>
    </w:p>
    <w:tbl>
      <w:tblPr>
        <w:tblW w:w="0" w:type="auto"/>
        <w:jc w:val="left"/>
        <w:tblInd w:w="125" w:type="dxa"/>
        <w:tblLayout w:type="fixed"/>
        <w:tblCellMar>
          <w:top w:w="0" w:type="dxa"/>
          <w:left w:w="0" w:type="dxa"/>
          <w:bottom w:w="0" w:type="dxa"/>
          <w:right w:w="0" w:type="dxa"/>
        </w:tblCellMar>
        <w:tblLook w:val="01E0"/>
      </w:tblPr>
      <w:tblGrid>
        <w:gridCol w:w="2093"/>
        <w:gridCol w:w="1310"/>
        <w:gridCol w:w="425"/>
        <w:gridCol w:w="425"/>
        <w:gridCol w:w="425"/>
        <w:gridCol w:w="1277"/>
        <w:gridCol w:w="566"/>
        <w:gridCol w:w="1277"/>
        <w:gridCol w:w="425"/>
        <w:gridCol w:w="1277"/>
        <w:gridCol w:w="566"/>
        <w:gridCol w:w="1301"/>
        <w:gridCol w:w="1250"/>
        <w:gridCol w:w="1325"/>
      </w:tblGrid>
      <w:tr>
        <w:trPr>
          <w:trHeight w:val="478" w:hRule="exact"/>
        </w:trPr>
        <w:tc>
          <w:tcPr>
            <w:tcW w:w="20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10"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
        </w:tc>
        <w:tc>
          <w:tcPr>
            <w:tcW w:w="566"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
        </w:tc>
        <w:tc>
          <w:tcPr>
            <w:tcW w:w="566" w:type="dxa"/>
            <w:tcBorders>
              <w:top w:val="single" w:sz="12" w:space="0" w:color="000000"/>
              <w:left w:val="single" w:sz="6" w:space="0" w:color="000000"/>
              <w:bottom w:val="single" w:sz="6" w:space="0" w:color="000000"/>
              <w:right w:val="single" w:sz="6" w:space="0" w:color="000000"/>
            </w:tcBorders>
          </w:tcPr>
          <w:p>
            <w:pPr/>
          </w:p>
        </w:tc>
        <w:tc>
          <w:tcPr>
            <w:tcW w:w="1301" w:type="dxa"/>
            <w:tcBorders>
              <w:top w:val="single" w:sz="12" w:space="0" w:color="000000"/>
              <w:left w:val="single" w:sz="6" w:space="0" w:color="000000"/>
              <w:bottom w:val="single" w:sz="6" w:space="0" w:color="000000"/>
              <w:right w:val="single" w:sz="6" w:space="0" w:color="000000"/>
            </w:tcBorders>
          </w:tcPr>
          <w:p>
            <w:pPr/>
          </w:p>
        </w:tc>
        <w:tc>
          <w:tcPr>
            <w:tcW w:w="1250" w:type="dxa"/>
            <w:tcBorders>
              <w:top w:val="single" w:sz="12" w:space="0" w:color="000000"/>
              <w:left w:val="single" w:sz="6" w:space="0" w:color="000000"/>
              <w:bottom w:val="single" w:sz="6" w:space="0" w:color="000000"/>
              <w:right w:val="single" w:sz="6" w:space="0" w:color="000000"/>
            </w:tcBorders>
          </w:tcPr>
          <w:p>
            <w:pPr/>
          </w:p>
        </w:tc>
        <w:tc>
          <w:tcPr>
            <w:tcW w:w="1325" w:type="dxa"/>
            <w:tcBorders>
              <w:top w:val="single" w:sz="12" w:space="0" w:color="000000"/>
              <w:left w:val="single" w:sz="6" w:space="0" w:color="000000"/>
              <w:bottom w:val="single" w:sz="6" w:space="0" w:color="000000"/>
              <w:right w:val="single" w:sz="12" w:space="0" w:color="000000"/>
            </w:tcBorders>
          </w:tcPr>
          <w:p>
            <w:pPr/>
          </w:p>
        </w:tc>
      </w:tr>
      <w:tr>
        <w:trPr>
          <w:trHeight w:val="470" w:hRule="exact"/>
        </w:trPr>
        <w:tc>
          <w:tcPr>
            <w:tcW w:w="20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0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12" w:space="0" w:color="000000"/>
            </w:tcBorders>
          </w:tcPr>
          <w:p>
            <w:pPr/>
          </w:p>
        </w:tc>
      </w:tr>
      <w:tr>
        <w:trPr>
          <w:trHeight w:val="475" w:hRule="exact"/>
        </w:trPr>
        <w:tc>
          <w:tcPr>
            <w:tcW w:w="209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431,214,014.00</w:t>
            </w:r>
          </w:p>
        </w:tc>
        <w:tc>
          <w:tcPr>
            <w:tcW w:w="425"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881,287,279.65</w:t>
            </w:r>
          </w:p>
        </w:tc>
        <w:tc>
          <w:tcPr>
            <w:tcW w:w="566"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44,031,200.38</w:t>
            </w:r>
          </w:p>
        </w:tc>
        <w:tc>
          <w:tcPr>
            <w:tcW w:w="425"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2,322,738.36</w:t>
            </w:r>
          </w:p>
        </w:tc>
        <w:tc>
          <w:tcPr>
            <w:tcW w:w="566" w:type="dxa"/>
            <w:tcBorders>
              <w:top w:val="single" w:sz="6" w:space="0" w:color="000000"/>
              <w:left w:val="single" w:sz="6" w:space="0" w:color="000000"/>
              <w:bottom w:val="single" w:sz="12" w:space="0" w:color="000000"/>
              <w:right w:val="single" w:sz="6" w:space="0" w:color="000000"/>
            </w:tcBorders>
          </w:tcPr>
          <w:p>
            <w:pP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542,908,224.61</w:t>
            </w:r>
          </w:p>
        </w:tc>
        <w:tc>
          <w:tcPr>
            <w:tcW w:w="12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21,939,342.21</w:t>
            </w:r>
          </w:p>
        </w:tc>
        <w:tc>
          <w:tcPr>
            <w:tcW w:w="13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1,923,702,799.21</w:t>
            </w:r>
          </w:p>
        </w:tc>
      </w:tr>
    </w:tbl>
    <w:p>
      <w:pPr>
        <w:spacing w:line="240" w:lineRule="auto" w:before="8"/>
        <w:rPr>
          <w:rFonts w:ascii="宋体" w:hAnsi="宋体" w:cs="宋体" w:eastAsia="宋体" w:hint="default"/>
          <w:sz w:val="26"/>
          <w:szCs w:val="26"/>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法定代表人：郭为主管会计工作负责人：辛昕会计机构负责人：任军</w:t>
      </w:r>
    </w:p>
    <w:p>
      <w:pPr>
        <w:spacing w:after="0"/>
        <w:jc w:val="left"/>
        <w:rPr>
          <w:rFonts w:ascii="宋体" w:hAnsi="宋体" w:cs="宋体" w:eastAsia="宋体" w:hint="default"/>
          <w:sz w:val="18"/>
          <w:szCs w:val="18"/>
        </w:rPr>
        <w:sectPr>
          <w:pgSz w:w="16840" w:h="11910" w:orient="landscape"/>
          <w:pgMar w:header="877" w:footer="979" w:top="1100" w:bottom="1160" w:left="1300" w:right="1300"/>
        </w:sectPr>
      </w:pPr>
    </w:p>
    <w:p>
      <w:pPr>
        <w:pStyle w:val="Heading4"/>
        <w:spacing w:line="240" w:lineRule="auto" w:before="57"/>
        <w:ind w:left="14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9"/>
        <w:rPr>
          <w:rFonts w:ascii="宋体" w:hAnsi="宋体" w:cs="宋体" w:eastAsia="宋体" w:hint="default"/>
          <w:b/>
          <w:bCs/>
          <w:sz w:val="30"/>
          <w:szCs w:val="30"/>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line="240" w:lineRule="auto" w:before="3"/>
        <w:rPr>
          <w:rFonts w:ascii="宋体" w:hAnsi="宋体" w:cs="宋体" w:eastAsia="宋体" w:hint="default"/>
          <w:sz w:val="9"/>
          <w:szCs w:val="9"/>
        </w:rPr>
      </w:pPr>
    </w:p>
    <w:p>
      <w:pPr>
        <w:spacing w:before="44"/>
        <w:ind w:left="0" w:right="27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2091"/>
        <w:gridCol w:w="1306"/>
        <w:gridCol w:w="567"/>
        <w:gridCol w:w="566"/>
        <w:gridCol w:w="566"/>
        <w:gridCol w:w="1418"/>
        <w:gridCol w:w="425"/>
        <w:gridCol w:w="711"/>
        <w:gridCol w:w="566"/>
        <w:gridCol w:w="1702"/>
        <w:gridCol w:w="1700"/>
        <w:gridCol w:w="2381"/>
      </w:tblGrid>
      <w:tr>
        <w:trPr>
          <w:trHeight w:val="469" w:hRule="exact"/>
        </w:trPr>
        <w:tc>
          <w:tcPr>
            <w:tcW w:w="2091" w:type="dxa"/>
            <w:vMerge w:val="restart"/>
            <w:tcBorders>
              <w:top w:val="single" w:sz="12" w:space="0" w:color="000000"/>
              <w:left w:val="single" w:sz="12" w:space="0" w:color="000000"/>
              <w:right w:val="single" w:sz="6" w:space="0" w:color="000000"/>
            </w:tcBorders>
            <w:shd w:val="clear" w:color="auto" w:fill="D2D2D2"/>
          </w:tcPr>
          <w:p>
            <w:pPr/>
          </w:p>
        </w:tc>
        <w:tc>
          <w:tcPr>
            <w:tcW w:w="11908" w:type="dxa"/>
            <w:gridSpan w:val="11"/>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9"/>
              <w:ind w:left="1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9" w:hRule="exact"/>
        </w:trPr>
        <w:tc>
          <w:tcPr>
            <w:tcW w:w="2091" w:type="dxa"/>
            <w:vMerge/>
            <w:tcBorders>
              <w:left w:val="single" w:sz="12" w:space="0" w:color="000000"/>
              <w:bottom w:val="nil" w:sz="6" w:space="0" w:color="auto"/>
              <w:right w:val="single" w:sz="6" w:space="0" w:color="000000"/>
            </w:tcBorders>
            <w:shd w:val="clear" w:color="auto" w:fill="D2D2D2"/>
          </w:tcPr>
          <w:p>
            <w:pPr/>
          </w:p>
        </w:tc>
        <w:tc>
          <w:tcPr>
            <w:tcW w:w="1306" w:type="dxa"/>
            <w:vMerge w:val="restart"/>
            <w:tcBorders>
              <w:top w:val="single" w:sz="6" w:space="0" w:color="000000"/>
              <w:left w:val="single" w:sz="6" w:space="0" w:color="000000"/>
              <w:right w:val="single" w:sz="6" w:space="0" w:color="000000"/>
            </w:tcBorders>
            <w:shd w:val="clear" w:color="auto" w:fill="D2D2D2"/>
          </w:tcPr>
          <w:p>
            <w:pPr/>
          </w:p>
        </w:tc>
        <w:tc>
          <w:tcPr>
            <w:tcW w:w="1700"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8"/>
              <w:ind w:left="30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vMerge w:val="restart"/>
            <w:tcBorders>
              <w:top w:val="single" w:sz="6" w:space="0" w:color="000000"/>
              <w:left w:val="single" w:sz="6" w:space="0" w:color="000000"/>
              <w:right w:val="single" w:sz="6" w:space="0" w:color="000000"/>
            </w:tcBorders>
            <w:shd w:val="clear" w:color="auto" w:fill="D2D2D2"/>
          </w:tcPr>
          <w:p>
            <w:pPr/>
          </w:p>
        </w:tc>
        <w:tc>
          <w:tcPr>
            <w:tcW w:w="42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367" w:lineRule="auto"/>
              <w:ind w:left="26" w:right="23"/>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711" w:type="dxa"/>
            <w:tcBorders>
              <w:top w:val="single" w:sz="6" w:space="0" w:color="000000"/>
              <w:left w:val="single" w:sz="6" w:space="0" w:color="000000"/>
              <w:bottom w:val="nil" w:sz="6" w:space="0" w:color="auto"/>
              <w:right w:val="single" w:sz="6" w:space="0" w:color="000000"/>
            </w:tcBorders>
            <w:shd w:val="clear" w:color="auto" w:fill="D2D2D2"/>
          </w:tcPr>
          <w:p>
            <w:pPr/>
          </w:p>
        </w:tc>
        <w:tc>
          <w:tcPr>
            <w:tcW w:w="5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702" w:type="dxa"/>
            <w:vMerge w:val="restart"/>
            <w:tcBorders>
              <w:top w:val="single" w:sz="6" w:space="0" w:color="000000"/>
              <w:left w:val="single" w:sz="6" w:space="0" w:color="000000"/>
              <w:right w:val="single" w:sz="6" w:space="0" w:color="000000"/>
            </w:tcBorders>
            <w:shd w:val="clear" w:color="auto" w:fill="D2D2D2"/>
          </w:tcPr>
          <w:p>
            <w:pPr/>
          </w:p>
        </w:tc>
        <w:tc>
          <w:tcPr>
            <w:tcW w:w="1700" w:type="dxa"/>
            <w:vMerge w:val="restart"/>
            <w:tcBorders>
              <w:top w:val="single" w:sz="6" w:space="0" w:color="000000"/>
              <w:left w:val="single" w:sz="6" w:space="0" w:color="000000"/>
              <w:right w:val="single" w:sz="6" w:space="0" w:color="000000"/>
            </w:tcBorders>
            <w:shd w:val="clear" w:color="auto" w:fill="D2D2D2"/>
          </w:tcPr>
          <w:p>
            <w:pPr/>
          </w:p>
        </w:tc>
        <w:tc>
          <w:tcPr>
            <w:tcW w:w="2381" w:type="dxa"/>
            <w:vMerge w:val="restart"/>
            <w:tcBorders>
              <w:top w:val="single" w:sz="6" w:space="0" w:color="000000"/>
              <w:left w:val="single" w:sz="6" w:space="0" w:color="000000"/>
              <w:right w:val="single" w:sz="12" w:space="0" w:color="000000"/>
            </w:tcBorders>
            <w:shd w:val="clear" w:color="auto" w:fill="D2D2D2"/>
          </w:tcPr>
          <w:p>
            <w:pPr/>
          </w:p>
        </w:tc>
      </w:tr>
      <w:tr>
        <w:trPr>
          <w:trHeight w:val="220" w:hRule="exact"/>
        </w:trPr>
        <w:tc>
          <w:tcPr>
            <w:tcW w:w="2091"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9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306" w:type="dxa"/>
            <w:vMerge/>
            <w:tcBorders>
              <w:left w:val="single" w:sz="6" w:space="0" w:color="000000"/>
              <w:bottom w:val="nil" w:sz="6" w:space="0" w:color="auto"/>
              <w:right w:val="single" w:sz="6" w:space="0" w:color="000000"/>
            </w:tcBorders>
            <w:shd w:val="clear" w:color="auto" w:fill="D2D2D2"/>
          </w:tcPr>
          <w:p>
            <w:pPr/>
          </w:p>
        </w:tc>
        <w:tc>
          <w:tcPr>
            <w:tcW w:w="1700" w:type="dxa"/>
            <w:gridSpan w:val="3"/>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711" w:type="dxa"/>
            <w:vMerge w:val="restart"/>
            <w:tcBorders>
              <w:top w:val="nil" w:sz="6" w:space="0" w:color="auto"/>
              <w:left w:val="single" w:sz="6" w:space="0" w:color="000000"/>
              <w:right w:val="single" w:sz="6" w:space="0" w:color="000000"/>
            </w:tcBorders>
            <w:shd w:val="clear" w:color="auto" w:fill="D2D2D2"/>
          </w:tcPr>
          <w:p>
            <w:pPr>
              <w:pStyle w:val="TableParagraph"/>
              <w:spacing w:line="367" w:lineRule="auto" w:before="143"/>
              <w:ind w:left="76"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6" w:type="dxa"/>
            <w:vMerge w:val="restart"/>
            <w:tcBorders>
              <w:top w:val="nil" w:sz="6" w:space="0" w:color="auto"/>
              <w:left w:val="single" w:sz="6" w:space="0" w:color="000000"/>
              <w:right w:val="single" w:sz="6" w:space="0" w:color="000000"/>
            </w:tcBorders>
            <w:shd w:val="clear" w:color="auto" w:fill="D2D2D2"/>
          </w:tcPr>
          <w:p>
            <w:pPr>
              <w:pStyle w:val="TableParagraph"/>
              <w:spacing w:line="367" w:lineRule="auto" w:before="143"/>
              <w:ind w:left="93"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702" w:type="dxa"/>
            <w:vMerge/>
            <w:tcBorders>
              <w:left w:val="single" w:sz="6" w:space="0" w:color="000000"/>
              <w:bottom w:val="nil" w:sz="6" w:space="0" w:color="auto"/>
              <w:right w:val="single" w:sz="6" w:space="0" w:color="000000"/>
            </w:tcBorders>
            <w:shd w:val="clear" w:color="auto" w:fill="D2D2D2"/>
          </w:tcPr>
          <w:p>
            <w:pPr/>
          </w:p>
        </w:tc>
        <w:tc>
          <w:tcPr>
            <w:tcW w:w="1700" w:type="dxa"/>
            <w:vMerge/>
            <w:tcBorders>
              <w:left w:val="single" w:sz="6" w:space="0" w:color="000000"/>
              <w:bottom w:val="nil" w:sz="6" w:space="0" w:color="auto"/>
              <w:right w:val="single" w:sz="6" w:space="0" w:color="000000"/>
            </w:tcBorders>
            <w:shd w:val="clear" w:color="auto" w:fill="D2D2D2"/>
          </w:tcPr>
          <w:p>
            <w:pPr/>
          </w:p>
        </w:tc>
        <w:tc>
          <w:tcPr>
            <w:tcW w:w="2381" w:type="dxa"/>
            <w:vMerge/>
            <w:tcBorders>
              <w:left w:val="single" w:sz="6" w:space="0" w:color="000000"/>
              <w:bottom w:val="nil" w:sz="6" w:space="0" w:color="auto"/>
              <w:right w:val="single" w:sz="12" w:space="0" w:color="000000"/>
            </w:tcBorders>
            <w:shd w:val="clear" w:color="auto" w:fill="D2D2D2"/>
          </w:tcPr>
          <w:p>
            <w:pPr/>
          </w:p>
        </w:tc>
      </w:tr>
      <w:tr>
        <w:trPr>
          <w:trHeight w:val="207" w:hRule="exact"/>
        </w:trPr>
        <w:tc>
          <w:tcPr>
            <w:tcW w:w="2091" w:type="dxa"/>
            <w:vMerge/>
            <w:tcBorders>
              <w:left w:val="single" w:sz="12" w:space="0" w:color="000000"/>
              <w:bottom w:val="nil" w:sz="6" w:space="0" w:color="auto"/>
              <w:right w:val="single" w:sz="6" w:space="0" w:color="000000"/>
            </w:tcBorders>
            <w:shd w:val="clear" w:color="auto" w:fill="D2D2D2"/>
          </w:tcPr>
          <w:p>
            <w:pPr/>
          </w:p>
        </w:tc>
        <w:tc>
          <w:tcPr>
            <w:tcW w:w="130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7" w:type="dxa"/>
            <w:vMerge w:val="restart"/>
            <w:tcBorders>
              <w:top w:val="single" w:sz="6" w:space="0" w:color="000000"/>
              <w:left w:val="single" w:sz="6" w:space="0" w:color="000000"/>
              <w:right w:val="single" w:sz="6" w:space="0" w:color="000000"/>
            </w:tcBorders>
            <w:shd w:val="clear" w:color="auto" w:fill="D2D2D2"/>
          </w:tcPr>
          <w:p>
            <w:pPr>
              <w:pStyle w:val="TableParagraph"/>
              <w:spacing w:line="367" w:lineRule="auto" w:before="150"/>
              <w:ind w:left="18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vMerge w:val="restart"/>
            <w:tcBorders>
              <w:top w:val="single" w:sz="6" w:space="0" w:color="000000"/>
              <w:left w:val="single" w:sz="6" w:space="0" w:color="000000"/>
              <w:right w:val="single" w:sz="6" w:space="0" w:color="000000"/>
            </w:tcBorders>
            <w:shd w:val="clear" w:color="auto" w:fill="D2D2D2"/>
          </w:tcPr>
          <w:p>
            <w:pPr>
              <w:pStyle w:val="TableParagraph"/>
              <w:spacing w:line="367" w:lineRule="auto" w:before="150"/>
              <w:ind w:left="184" w:right="9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tcBorders>
              <w:left w:val="single" w:sz="6" w:space="0" w:color="000000"/>
              <w:right w:val="single" w:sz="6" w:space="0" w:color="000000"/>
            </w:tcBorders>
            <w:shd w:val="clear" w:color="auto" w:fill="D2D2D2"/>
          </w:tcPr>
          <w:p>
            <w:pPr/>
          </w:p>
        </w:tc>
        <w:tc>
          <w:tcPr>
            <w:tcW w:w="711" w:type="dxa"/>
            <w:vMerge/>
            <w:tcBorders>
              <w:left w:val="single" w:sz="6" w:space="0" w:color="000000"/>
              <w:right w:val="single" w:sz="6" w:space="0" w:color="000000"/>
            </w:tcBorders>
            <w:shd w:val="clear" w:color="auto" w:fill="D2D2D2"/>
          </w:tcPr>
          <w:p>
            <w:pPr/>
          </w:p>
        </w:tc>
        <w:tc>
          <w:tcPr>
            <w:tcW w:w="566" w:type="dxa"/>
            <w:vMerge/>
            <w:tcBorders>
              <w:left w:val="single" w:sz="6" w:space="0" w:color="000000"/>
              <w:right w:val="single" w:sz="6" w:space="0" w:color="000000"/>
            </w:tcBorders>
            <w:shd w:val="clear" w:color="auto" w:fill="D2D2D2"/>
          </w:tcPr>
          <w:p>
            <w:pPr/>
          </w:p>
        </w:tc>
        <w:tc>
          <w:tcPr>
            <w:tcW w:w="17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left="4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left="3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81"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102"/>
              <w:ind w:left="55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21" w:hRule="exact"/>
        </w:trPr>
        <w:tc>
          <w:tcPr>
            <w:tcW w:w="2091" w:type="dxa"/>
            <w:vMerge w:val="restart"/>
            <w:tcBorders>
              <w:top w:val="nil" w:sz="6" w:space="0" w:color="auto"/>
              <w:left w:val="single" w:sz="12" w:space="0" w:color="000000"/>
              <w:right w:val="single" w:sz="6" w:space="0" w:color="000000"/>
            </w:tcBorders>
            <w:shd w:val="clear" w:color="auto" w:fill="D2D2D2"/>
          </w:tcPr>
          <w:p>
            <w:pPr/>
          </w:p>
        </w:tc>
        <w:tc>
          <w:tcPr>
            <w:tcW w:w="1306" w:type="dxa"/>
            <w:vMerge/>
            <w:tcBorders>
              <w:left w:val="single" w:sz="6" w:space="0" w:color="000000"/>
              <w:bottom w:val="nil" w:sz="6" w:space="0" w:color="auto"/>
              <w:right w:val="single" w:sz="6" w:space="0" w:color="000000"/>
            </w:tcBorders>
            <w:shd w:val="clear" w:color="auto" w:fill="D2D2D2"/>
          </w:tcPr>
          <w:p>
            <w:pPr/>
          </w:p>
        </w:tc>
        <w:tc>
          <w:tcPr>
            <w:tcW w:w="567" w:type="dxa"/>
            <w:vMerge/>
            <w:tcBorders>
              <w:left w:val="single" w:sz="6" w:space="0" w:color="000000"/>
              <w:right w:val="single" w:sz="6" w:space="0" w:color="000000"/>
            </w:tcBorders>
            <w:shd w:val="clear" w:color="auto" w:fill="D2D2D2"/>
          </w:tcPr>
          <w:p>
            <w:pPr/>
          </w:p>
        </w:tc>
        <w:tc>
          <w:tcPr>
            <w:tcW w:w="566" w:type="dxa"/>
            <w:vMerge/>
            <w:tcBorders>
              <w:left w:val="single" w:sz="6" w:space="0" w:color="000000"/>
              <w:right w:val="single" w:sz="6" w:space="0" w:color="000000"/>
            </w:tcBorders>
            <w:shd w:val="clear" w:color="auto" w:fill="D2D2D2"/>
          </w:tcPr>
          <w:p>
            <w:pPr/>
          </w:p>
        </w:tc>
        <w:tc>
          <w:tcPr>
            <w:tcW w:w="5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711" w:type="dxa"/>
            <w:vMerge/>
            <w:tcBorders>
              <w:left w:val="single" w:sz="6" w:space="0" w:color="000000"/>
              <w:right w:val="single" w:sz="6" w:space="0" w:color="000000"/>
            </w:tcBorders>
            <w:shd w:val="clear" w:color="auto" w:fill="D2D2D2"/>
          </w:tcPr>
          <w:p>
            <w:pPr/>
          </w:p>
        </w:tc>
        <w:tc>
          <w:tcPr>
            <w:tcW w:w="566" w:type="dxa"/>
            <w:vMerge/>
            <w:tcBorders>
              <w:left w:val="single" w:sz="6" w:space="0" w:color="000000"/>
              <w:right w:val="single" w:sz="6" w:space="0" w:color="000000"/>
            </w:tcBorders>
            <w:shd w:val="clear" w:color="auto" w:fill="D2D2D2"/>
          </w:tcPr>
          <w:p>
            <w:pPr/>
          </w:p>
        </w:tc>
        <w:tc>
          <w:tcPr>
            <w:tcW w:w="1702" w:type="dxa"/>
            <w:vMerge/>
            <w:tcBorders>
              <w:left w:val="single" w:sz="6" w:space="0" w:color="000000"/>
              <w:bottom w:val="nil" w:sz="6" w:space="0" w:color="auto"/>
              <w:right w:val="single" w:sz="6" w:space="0" w:color="000000"/>
            </w:tcBorders>
            <w:shd w:val="clear" w:color="auto" w:fill="D2D2D2"/>
          </w:tcPr>
          <w:p>
            <w:pPr/>
          </w:p>
        </w:tc>
        <w:tc>
          <w:tcPr>
            <w:tcW w:w="1700" w:type="dxa"/>
            <w:vMerge/>
            <w:tcBorders>
              <w:left w:val="single" w:sz="6" w:space="0" w:color="000000"/>
              <w:bottom w:val="nil" w:sz="6" w:space="0" w:color="auto"/>
              <w:right w:val="single" w:sz="6" w:space="0" w:color="000000"/>
            </w:tcBorders>
            <w:shd w:val="clear" w:color="auto" w:fill="D2D2D2"/>
          </w:tcPr>
          <w:p>
            <w:pPr/>
          </w:p>
        </w:tc>
        <w:tc>
          <w:tcPr>
            <w:tcW w:w="2381" w:type="dxa"/>
            <w:vMerge/>
            <w:tcBorders>
              <w:left w:val="single" w:sz="6" w:space="0" w:color="000000"/>
              <w:bottom w:val="nil" w:sz="6" w:space="0" w:color="auto"/>
              <w:right w:val="single" w:sz="12" w:space="0" w:color="000000"/>
            </w:tcBorders>
            <w:shd w:val="clear" w:color="auto" w:fill="D2D2D2"/>
          </w:tcPr>
          <w:p>
            <w:pPr/>
          </w:p>
        </w:tc>
      </w:tr>
      <w:tr>
        <w:trPr>
          <w:trHeight w:val="206" w:hRule="exact"/>
        </w:trPr>
        <w:tc>
          <w:tcPr>
            <w:tcW w:w="2091" w:type="dxa"/>
            <w:vMerge/>
            <w:tcBorders>
              <w:left w:val="single" w:sz="12" w:space="0" w:color="000000"/>
              <w:right w:val="single" w:sz="6" w:space="0" w:color="000000"/>
            </w:tcBorders>
            <w:shd w:val="clear" w:color="auto" w:fill="D2D2D2"/>
          </w:tcPr>
          <w:p>
            <w:pPr/>
          </w:p>
        </w:tc>
        <w:tc>
          <w:tcPr>
            <w:tcW w:w="1306" w:type="dxa"/>
            <w:vMerge w:val="restart"/>
            <w:tcBorders>
              <w:top w:val="nil" w:sz="6" w:space="0" w:color="auto"/>
              <w:left w:val="single" w:sz="6" w:space="0" w:color="000000"/>
              <w:right w:val="single" w:sz="6" w:space="0" w:color="000000"/>
            </w:tcBorders>
            <w:shd w:val="clear" w:color="auto" w:fill="D2D2D2"/>
          </w:tcPr>
          <w:p>
            <w:pPr/>
          </w:p>
        </w:tc>
        <w:tc>
          <w:tcPr>
            <w:tcW w:w="567" w:type="dxa"/>
            <w:vMerge/>
            <w:tcBorders>
              <w:left w:val="single" w:sz="6" w:space="0" w:color="000000"/>
              <w:right w:val="single" w:sz="6" w:space="0" w:color="000000"/>
            </w:tcBorders>
            <w:shd w:val="clear" w:color="auto" w:fill="D2D2D2"/>
          </w:tcPr>
          <w:p>
            <w:pPr/>
          </w:p>
        </w:tc>
        <w:tc>
          <w:tcPr>
            <w:tcW w:w="566" w:type="dxa"/>
            <w:vMerge/>
            <w:tcBorders>
              <w:left w:val="single" w:sz="6" w:space="0" w:color="000000"/>
              <w:right w:val="single" w:sz="6" w:space="0" w:color="000000"/>
            </w:tcBorders>
            <w:shd w:val="clear" w:color="auto" w:fill="D2D2D2"/>
          </w:tcPr>
          <w:p>
            <w:pPr/>
          </w:p>
        </w:tc>
        <w:tc>
          <w:tcPr>
            <w:tcW w:w="566" w:type="dxa"/>
            <w:vMerge/>
            <w:tcBorders>
              <w:left w:val="single" w:sz="6" w:space="0" w:color="000000"/>
              <w:bottom w:val="nil" w:sz="6" w:space="0" w:color="auto"/>
              <w:right w:val="single" w:sz="6" w:space="0" w:color="000000"/>
            </w:tcBorders>
            <w:shd w:val="clear" w:color="auto" w:fill="D2D2D2"/>
          </w:tcPr>
          <w:p>
            <w:pPr/>
          </w:p>
        </w:tc>
        <w:tc>
          <w:tcPr>
            <w:tcW w:w="1418" w:type="dxa"/>
            <w:vMerge w:val="restart"/>
            <w:tcBorders>
              <w:top w:val="nil" w:sz="6" w:space="0" w:color="auto"/>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711" w:type="dxa"/>
            <w:vMerge/>
            <w:tcBorders>
              <w:left w:val="single" w:sz="6" w:space="0" w:color="000000"/>
              <w:bottom w:val="nil" w:sz="6" w:space="0" w:color="auto"/>
              <w:right w:val="single" w:sz="6" w:space="0" w:color="000000"/>
            </w:tcBorders>
            <w:shd w:val="clear" w:color="auto" w:fill="D2D2D2"/>
          </w:tcPr>
          <w:p>
            <w:pPr/>
          </w:p>
        </w:tc>
        <w:tc>
          <w:tcPr>
            <w:tcW w:w="566" w:type="dxa"/>
            <w:vMerge/>
            <w:tcBorders>
              <w:left w:val="single" w:sz="6" w:space="0" w:color="000000"/>
              <w:bottom w:val="nil" w:sz="6" w:space="0" w:color="auto"/>
              <w:right w:val="single" w:sz="6" w:space="0" w:color="000000"/>
            </w:tcBorders>
            <w:shd w:val="clear" w:color="auto" w:fill="D2D2D2"/>
          </w:tcPr>
          <w:p>
            <w:pPr/>
          </w:p>
        </w:tc>
        <w:tc>
          <w:tcPr>
            <w:tcW w:w="1702" w:type="dxa"/>
            <w:vMerge w:val="restart"/>
            <w:tcBorders>
              <w:top w:val="nil" w:sz="6" w:space="0" w:color="auto"/>
              <w:left w:val="single" w:sz="6" w:space="0" w:color="000000"/>
              <w:right w:val="single" w:sz="6" w:space="0" w:color="000000"/>
            </w:tcBorders>
            <w:shd w:val="clear" w:color="auto" w:fill="D2D2D2"/>
          </w:tcPr>
          <w:p>
            <w:pPr/>
          </w:p>
        </w:tc>
        <w:tc>
          <w:tcPr>
            <w:tcW w:w="1700" w:type="dxa"/>
            <w:vMerge w:val="restart"/>
            <w:tcBorders>
              <w:top w:val="nil" w:sz="6" w:space="0" w:color="auto"/>
              <w:left w:val="single" w:sz="6" w:space="0" w:color="000000"/>
              <w:right w:val="single" w:sz="6" w:space="0" w:color="000000"/>
            </w:tcBorders>
            <w:shd w:val="clear" w:color="auto" w:fill="D2D2D2"/>
          </w:tcPr>
          <w:p>
            <w:pPr/>
          </w:p>
        </w:tc>
        <w:tc>
          <w:tcPr>
            <w:tcW w:w="2381" w:type="dxa"/>
            <w:vMerge w:val="restart"/>
            <w:tcBorders>
              <w:top w:val="nil" w:sz="6" w:space="0" w:color="auto"/>
              <w:left w:val="single" w:sz="6" w:space="0" w:color="000000"/>
              <w:right w:val="single" w:sz="12" w:space="0" w:color="000000"/>
            </w:tcBorders>
            <w:shd w:val="clear" w:color="auto" w:fill="D2D2D2"/>
          </w:tcPr>
          <w:p>
            <w:pPr/>
          </w:p>
        </w:tc>
      </w:tr>
      <w:tr>
        <w:trPr>
          <w:trHeight w:val="214" w:hRule="exact"/>
        </w:trPr>
        <w:tc>
          <w:tcPr>
            <w:tcW w:w="2091" w:type="dxa"/>
            <w:vMerge/>
            <w:tcBorders>
              <w:left w:val="single" w:sz="12" w:space="0" w:color="000000"/>
              <w:bottom w:val="single" w:sz="6" w:space="0" w:color="000000"/>
              <w:right w:val="single" w:sz="6" w:space="0" w:color="000000"/>
            </w:tcBorders>
            <w:shd w:val="clear" w:color="auto" w:fill="D2D2D2"/>
          </w:tcPr>
          <w:p>
            <w:pPr/>
          </w:p>
        </w:tc>
        <w:tc>
          <w:tcPr>
            <w:tcW w:w="1306" w:type="dxa"/>
            <w:vMerge/>
            <w:tcBorders>
              <w:left w:val="single" w:sz="6" w:space="0" w:color="000000"/>
              <w:bottom w:val="single" w:sz="6" w:space="0" w:color="000000"/>
              <w:right w:val="single" w:sz="6" w:space="0" w:color="000000"/>
            </w:tcBorders>
            <w:shd w:val="clear" w:color="auto" w:fill="D2D2D2"/>
          </w:tcPr>
          <w:p>
            <w:pPr/>
          </w:p>
        </w:tc>
        <w:tc>
          <w:tcPr>
            <w:tcW w:w="567" w:type="dxa"/>
            <w:vMerge/>
            <w:tcBorders>
              <w:left w:val="single" w:sz="6" w:space="0" w:color="000000"/>
              <w:bottom w:val="single" w:sz="6" w:space="0" w:color="000000"/>
              <w:right w:val="single" w:sz="6" w:space="0" w:color="000000"/>
            </w:tcBorders>
            <w:shd w:val="clear" w:color="auto" w:fill="D2D2D2"/>
          </w:tcPr>
          <w:p>
            <w:pPr/>
          </w:p>
        </w:tc>
        <w:tc>
          <w:tcPr>
            <w:tcW w:w="566" w:type="dxa"/>
            <w:vMerge/>
            <w:tcBorders>
              <w:left w:val="single" w:sz="6" w:space="0" w:color="000000"/>
              <w:bottom w:val="single" w:sz="6" w:space="0" w:color="000000"/>
              <w:right w:val="single" w:sz="6" w:space="0" w:color="000000"/>
            </w:tcBorders>
            <w:shd w:val="clear" w:color="auto" w:fill="D2D2D2"/>
          </w:tcPr>
          <w:p>
            <w:pPr/>
          </w:p>
        </w:tc>
        <w:tc>
          <w:tcPr>
            <w:tcW w:w="566"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single" w:sz="6" w:space="0" w:color="000000"/>
              <w:right w:val="single" w:sz="6" w:space="0" w:color="000000"/>
            </w:tcBorders>
            <w:shd w:val="clear" w:color="auto" w:fill="D2D2D2"/>
          </w:tcPr>
          <w:p>
            <w:pPr/>
          </w:p>
        </w:tc>
        <w:tc>
          <w:tcPr>
            <w:tcW w:w="425" w:type="dxa"/>
            <w:vMerge/>
            <w:tcBorders>
              <w:left w:val="single" w:sz="6" w:space="0" w:color="000000"/>
              <w:bottom w:val="single" w:sz="6" w:space="0" w:color="000000"/>
              <w:right w:val="single" w:sz="6" w:space="0" w:color="000000"/>
            </w:tcBorders>
            <w:shd w:val="clear" w:color="auto" w:fill="D2D2D2"/>
          </w:tcPr>
          <w:p>
            <w:pPr/>
          </w:p>
        </w:tc>
        <w:tc>
          <w:tcPr>
            <w:tcW w:w="711" w:type="dxa"/>
            <w:tcBorders>
              <w:top w:val="nil" w:sz="6" w:space="0" w:color="auto"/>
              <w:left w:val="single" w:sz="6" w:space="0" w:color="000000"/>
              <w:bottom w:val="single" w:sz="6" w:space="0" w:color="000000"/>
              <w:right w:val="single" w:sz="6" w:space="0" w:color="000000"/>
            </w:tcBorders>
            <w:shd w:val="clear" w:color="auto" w:fill="D2D2D2"/>
          </w:tcPr>
          <w:p>
            <w:pPr/>
          </w:p>
        </w:tc>
        <w:tc>
          <w:tcPr>
            <w:tcW w:w="566" w:type="dxa"/>
            <w:tcBorders>
              <w:top w:val="nil" w:sz="6" w:space="0" w:color="auto"/>
              <w:left w:val="single" w:sz="6" w:space="0" w:color="000000"/>
              <w:bottom w:val="single" w:sz="6" w:space="0" w:color="000000"/>
              <w:right w:val="single" w:sz="6" w:space="0" w:color="000000"/>
            </w:tcBorders>
            <w:shd w:val="clear" w:color="auto" w:fill="D2D2D2"/>
          </w:tcPr>
          <w:p>
            <w:pPr/>
          </w:p>
        </w:tc>
        <w:tc>
          <w:tcPr>
            <w:tcW w:w="1702" w:type="dxa"/>
            <w:vMerge/>
            <w:tcBorders>
              <w:left w:val="single" w:sz="6" w:space="0" w:color="000000"/>
              <w:bottom w:val="single" w:sz="6" w:space="0" w:color="000000"/>
              <w:right w:val="single" w:sz="6" w:space="0" w:color="000000"/>
            </w:tcBorders>
            <w:shd w:val="clear" w:color="auto" w:fill="D2D2D2"/>
          </w:tcPr>
          <w:p>
            <w:pPr/>
          </w:p>
        </w:tc>
        <w:tc>
          <w:tcPr>
            <w:tcW w:w="1700" w:type="dxa"/>
            <w:vMerge/>
            <w:tcBorders>
              <w:left w:val="single" w:sz="6" w:space="0" w:color="000000"/>
              <w:bottom w:val="single" w:sz="6" w:space="0" w:color="000000"/>
              <w:right w:val="single" w:sz="6" w:space="0" w:color="000000"/>
            </w:tcBorders>
            <w:shd w:val="clear" w:color="auto" w:fill="D2D2D2"/>
          </w:tcPr>
          <w:p>
            <w:pPr/>
          </w:p>
        </w:tc>
        <w:tc>
          <w:tcPr>
            <w:tcW w:w="2381" w:type="dxa"/>
            <w:vMerge/>
            <w:tcBorders>
              <w:left w:val="single" w:sz="6" w:space="0" w:color="000000"/>
              <w:bottom w:val="single" w:sz="6" w:space="0" w:color="000000"/>
              <w:right w:val="single" w:sz="12" w:space="0" w:color="000000"/>
            </w:tcBorders>
            <w:shd w:val="clear" w:color="auto" w:fill="D2D2D2"/>
          </w:tcPr>
          <w:p>
            <w:pPr/>
          </w:p>
        </w:tc>
      </w:tr>
      <w:tr>
        <w:trPr>
          <w:trHeight w:val="470" w:hRule="exact"/>
        </w:trPr>
        <w:tc>
          <w:tcPr>
            <w:tcW w:w="20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7"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0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431,214,014.00</w:t>
            </w: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769,908,537.20</w:t>
            </w:r>
          </w:p>
        </w:tc>
        <w:tc>
          <w:tcPr>
            <w:tcW w:w="425" w:type="dxa"/>
            <w:tcBorders>
              <w:top w:val="single" w:sz="27" w:space="0" w:color="D2D2D2"/>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2,322,738.36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-281,821,155.98</w:t>
            </w:r>
          </w:p>
        </w:tc>
        <w:tc>
          <w:tcPr>
            <w:tcW w:w="2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921,624,133.58</w:t>
            </w:r>
          </w:p>
        </w:tc>
      </w:tr>
      <w:tr>
        <w:trPr>
          <w:trHeight w:val="468" w:hRule="exact"/>
        </w:trPr>
        <w:tc>
          <w:tcPr>
            <w:tcW w:w="20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06" w:type="dxa"/>
            <w:tcBorders>
              <w:top w:val="single" w:sz="6" w:space="0" w:color="000000"/>
              <w:left w:val="single" w:sz="8" w:space="0" w:color="D2D2D2"/>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2381" w:type="dxa"/>
            <w:tcBorders>
              <w:top w:val="single" w:sz="6" w:space="0" w:color="000000"/>
              <w:left w:val="single" w:sz="6" w:space="0" w:color="000000"/>
              <w:bottom w:val="single" w:sz="6" w:space="0" w:color="000000"/>
              <w:right w:val="single" w:sz="12" w:space="0" w:color="000000"/>
            </w:tcBorders>
          </w:tcPr>
          <w:p>
            <w:pPr/>
          </w:p>
        </w:tc>
      </w:tr>
      <w:tr>
        <w:trPr>
          <w:trHeight w:val="471" w:hRule="exact"/>
        </w:trPr>
        <w:tc>
          <w:tcPr>
            <w:tcW w:w="20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27"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06" w:type="dxa"/>
            <w:tcBorders>
              <w:top w:val="single" w:sz="6" w:space="0" w:color="000000"/>
              <w:left w:val="single" w:sz="8" w:space="0" w:color="D2D2D2"/>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2381"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0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right="253"/>
              <w:jc w:val="center"/>
              <w:rPr>
                <w:rFonts w:ascii="宋体" w:hAnsi="宋体" w:cs="宋体" w:eastAsia="宋体" w:hint="default"/>
                <w:sz w:val="18"/>
                <w:szCs w:val="18"/>
              </w:rPr>
            </w:pPr>
            <w:r>
              <w:rPr>
                <w:rFonts w:ascii="宋体" w:hAnsi="宋体" w:cs="宋体" w:eastAsia="宋体" w:hint="default"/>
                <w:sz w:val="18"/>
                <w:szCs w:val="18"/>
              </w:rPr>
              <w:t>其他</w:t>
            </w:r>
          </w:p>
        </w:tc>
        <w:tc>
          <w:tcPr>
            <w:tcW w:w="1306" w:type="dxa"/>
            <w:tcBorders>
              <w:top w:val="single" w:sz="6" w:space="0" w:color="000000"/>
              <w:left w:val="single" w:sz="8" w:space="0" w:color="D2D2D2"/>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2381"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20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0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431,214,014.00</w:t>
            </w: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769,908,537.20</w:t>
            </w: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2,322,738.36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-281,821,155.98</w:t>
            </w:r>
          </w:p>
        </w:tc>
        <w:tc>
          <w:tcPr>
            <w:tcW w:w="2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921,624,133.58</w:t>
            </w:r>
          </w:p>
        </w:tc>
      </w:tr>
      <w:tr>
        <w:trPr>
          <w:trHeight w:val="814" w:hRule="exact"/>
        </w:trPr>
        <w:tc>
          <w:tcPr>
            <w:tcW w:w="20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4" w:lineRule="auto" w:before="116"/>
              <w:ind w:left="7" w:right="10"/>
              <w:jc w:val="left"/>
              <w:rPr>
                <w:rFonts w:ascii="宋体" w:hAnsi="宋体" w:cs="宋体" w:eastAsia="宋体" w:hint="default"/>
                <w:sz w:val="18"/>
                <w:szCs w:val="18"/>
              </w:rPr>
            </w:pPr>
            <w:r>
              <w:rPr>
                <w:rFonts w:ascii="宋体" w:hAnsi="宋体" w:cs="宋体" w:eastAsia="宋体" w:hint="default"/>
                <w:spacing w:val="-10"/>
                <w:sz w:val="18"/>
                <w:szCs w:val="18"/>
              </w:rPr>
              <w:t>三、本期增减变动金额（减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0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27,691,944.00</w:t>
            </w: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695,041,463.12</w:t>
            </w: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7,740,055.42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351,481,654.74</w:t>
            </w:r>
          </w:p>
        </w:tc>
        <w:tc>
          <w:tcPr>
            <w:tcW w:w="2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1,081,955,117.28</w:t>
            </w:r>
          </w:p>
        </w:tc>
      </w:tr>
      <w:tr>
        <w:trPr>
          <w:trHeight w:val="471" w:hRule="exact"/>
        </w:trPr>
        <w:tc>
          <w:tcPr>
            <w:tcW w:w="20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7"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06" w:type="dxa"/>
            <w:tcBorders>
              <w:top w:val="single" w:sz="6" w:space="0" w:color="000000"/>
              <w:left w:val="single" w:sz="8" w:space="0" w:color="D2D2D2"/>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359,221,710.16</w:t>
            </w:r>
          </w:p>
        </w:tc>
        <w:tc>
          <w:tcPr>
            <w:tcW w:w="2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359,221,710.16</w:t>
            </w:r>
          </w:p>
        </w:tc>
      </w:tr>
      <w:tr>
        <w:trPr>
          <w:trHeight w:val="814" w:hRule="exact"/>
        </w:trPr>
        <w:tc>
          <w:tcPr>
            <w:tcW w:w="20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4" w:lineRule="auto" w:before="116"/>
              <w:ind w:left="7" w:right="81"/>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30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27,691,944.00</w:t>
            </w: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695,041,463.12</w:t>
            </w: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2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722,733,407.12</w:t>
            </w:r>
          </w:p>
        </w:tc>
      </w:tr>
      <w:tr>
        <w:trPr>
          <w:trHeight w:val="470" w:hRule="exact"/>
        </w:trPr>
        <w:tc>
          <w:tcPr>
            <w:tcW w:w="20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0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27,691,944.00</w:t>
            </w: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695,041,364.69</w:t>
            </w: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2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722,733,308.69</w:t>
            </w:r>
          </w:p>
        </w:tc>
      </w:tr>
      <w:tr>
        <w:trPr>
          <w:trHeight w:val="814" w:hRule="exact"/>
        </w:trPr>
        <w:tc>
          <w:tcPr>
            <w:tcW w:w="20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45" w:lineRule="auto" w:before="116"/>
              <w:ind w:left="7"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 入资本</w:t>
            </w:r>
          </w:p>
        </w:tc>
        <w:tc>
          <w:tcPr>
            <w:tcW w:w="1306" w:type="dxa"/>
            <w:tcBorders>
              <w:top w:val="single" w:sz="6" w:space="0" w:color="000000"/>
              <w:left w:val="single" w:sz="8" w:space="0" w:color="D2D2D2"/>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2381" w:type="dxa"/>
            <w:tcBorders>
              <w:top w:val="single" w:sz="6" w:space="0" w:color="000000"/>
              <w:left w:val="single" w:sz="6" w:space="0" w:color="000000"/>
              <w:bottom w:val="single" w:sz="6" w:space="0" w:color="000000"/>
              <w:right w:val="single" w:sz="12" w:space="0" w:color="000000"/>
            </w:tcBorders>
          </w:tcPr>
          <w:p>
            <w:pPr/>
          </w:p>
        </w:tc>
      </w:tr>
      <w:tr>
        <w:trPr>
          <w:trHeight w:val="475" w:hRule="exact"/>
        </w:trPr>
        <w:tc>
          <w:tcPr>
            <w:tcW w:w="20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w:t>
            </w:r>
          </w:p>
        </w:tc>
        <w:tc>
          <w:tcPr>
            <w:tcW w:w="1306" w:type="dxa"/>
            <w:tcBorders>
              <w:top w:val="single" w:sz="6" w:space="0" w:color="000000"/>
              <w:left w:val="single" w:sz="8" w:space="0" w:color="D2D2D2"/>
              <w:bottom w:val="single" w:sz="12" w:space="0" w:color="000000"/>
              <w:right w:val="single" w:sz="6" w:space="0" w:color="000000"/>
            </w:tcBorders>
          </w:tcPr>
          <w:p>
            <w:pPr/>
          </w:p>
        </w:tc>
        <w:tc>
          <w:tcPr>
            <w:tcW w:w="567"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711"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1702" w:type="dxa"/>
            <w:tcBorders>
              <w:top w:val="single" w:sz="6" w:space="0" w:color="000000"/>
              <w:left w:val="single" w:sz="6" w:space="0" w:color="000000"/>
              <w:bottom w:val="single" w:sz="12" w:space="0" w:color="000000"/>
              <w:right w:val="single" w:sz="6" w:space="0" w:color="000000"/>
            </w:tcBorders>
          </w:tcPr>
          <w:p>
            <w:pPr/>
          </w:p>
        </w:tc>
        <w:tc>
          <w:tcPr>
            <w:tcW w:w="1700" w:type="dxa"/>
            <w:tcBorders>
              <w:top w:val="single" w:sz="6" w:space="0" w:color="000000"/>
              <w:left w:val="single" w:sz="6" w:space="0" w:color="000000"/>
              <w:bottom w:val="single" w:sz="12" w:space="0" w:color="000000"/>
              <w:right w:val="single" w:sz="6" w:space="0" w:color="000000"/>
            </w:tcBorders>
          </w:tcPr>
          <w:p>
            <w:pPr/>
          </w:p>
        </w:tc>
        <w:tc>
          <w:tcPr>
            <w:tcW w:w="2381"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6840" w:h="11910" w:orient="landscape"/>
          <w:pgMar w:header="877" w:footer="979" w:top="1100" w:bottom="1160" w:left="1300" w:right="1260"/>
        </w:sectPr>
      </w:pPr>
    </w:p>
    <w:tbl>
      <w:tblPr>
        <w:tblW w:w="0" w:type="auto"/>
        <w:jc w:val="left"/>
        <w:tblInd w:w="125" w:type="dxa"/>
        <w:tblLayout w:type="fixed"/>
        <w:tblCellMar>
          <w:top w:w="0" w:type="dxa"/>
          <w:left w:w="0" w:type="dxa"/>
          <w:bottom w:w="0" w:type="dxa"/>
          <w:right w:w="0" w:type="dxa"/>
        </w:tblCellMar>
        <w:tblLook w:val="01E0"/>
      </w:tblPr>
      <w:tblGrid>
        <w:gridCol w:w="2108"/>
        <w:gridCol w:w="1296"/>
        <w:gridCol w:w="567"/>
        <w:gridCol w:w="566"/>
        <w:gridCol w:w="566"/>
        <w:gridCol w:w="1418"/>
        <w:gridCol w:w="425"/>
        <w:gridCol w:w="711"/>
        <w:gridCol w:w="566"/>
        <w:gridCol w:w="1702"/>
        <w:gridCol w:w="1700"/>
        <w:gridCol w:w="2381"/>
      </w:tblGrid>
      <w:tr>
        <w:trPr>
          <w:trHeight w:val="478" w:hRule="exact"/>
        </w:trPr>
        <w:tc>
          <w:tcPr>
            <w:tcW w:w="210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296" w:type="dxa"/>
            <w:tcBorders>
              <w:top w:val="single" w:sz="12" w:space="0" w:color="000000"/>
              <w:left w:val="single" w:sz="6" w:space="0" w:color="000000"/>
              <w:bottom w:val="single" w:sz="6" w:space="0" w:color="000000"/>
              <w:right w:val="single" w:sz="6" w:space="0" w:color="000000"/>
            </w:tcBorders>
          </w:tcPr>
          <w:p>
            <w:pPr/>
          </w:p>
        </w:tc>
        <w:tc>
          <w:tcPr>
            <w:tcW w:w="567" w:type="dxa"/>
            <w:tcBorders>
              <w:top w:val="single" w:sz="12" w:space="0" w:color="000000"/>
              <w:left w:val="single" w:sz="6" w:space="0" w:color="000000"/>
              <w:bottom w:val="single" w:sz="6" w:space="0" w:color="000000"/>
              <w:right w:val="single" w:sz="6" w:space="0" w:color="000000"/>
            </w:tcBorders>
          </w:tcPr>
          <w:p>
            <w:pPr/>
          </w:p>
        </w:tc>
        <w:tc>
          <w:tcPr>
            <w:tcW w:w="566" w:type="dxa"/>
            <w:tcBorders>
              <w:top w:val="single" w:sz="12" w:space="0" w:color="000000"/>
              <w:left w:val="single" w:sz="6" w:space="0" w:color="000000"/>
              <w:bottom w:val="single" w:sz="6" w:space="0" w:color="000000"/>
              <w:right w:val="single" w:sz="6" w:space="0" w:color="000000"/>
            </w:tcBorders>
          </w:tcPr>
          <w:p>
            <w:pPr/>
          </w:p>
        </w:tc>
        <w:tc>
          <w:tcPr>
            <w:tcW w:w="566"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711" w:type="dxa"/>
            <w:tcBorders>
              <w:top w:val="single" w:sz="12" w:space="0" w:color="000000"/>
              <w:left w:val="single" w:sz="6" w:space="0" w:color="000000"/>
              <w:bottom w:val="single" w:sz="6" w:space="0" w:color="000000"/>
              <w:right w:val="single" w:sz="6" w:space="0" w:color="000000"/>
            </w:tcBorders>
          </w:tcPr>
          <w:p>
            <w:pPr/>
          </w:p>
        </w:tc>
        <w:tc>
          <w:tcPr>
            <w:tcW w:w="566" w:type="dxa"/>
            <w:tcBorders>
              <w:top w:val="single" w:sz="12" w:space="0" w:color="000000"/>
              <w:left w:val="single" w:sz="6" w:space="0" w:color="000000"/>
              <w:bottom w:val="single" w:sz="6" w:space="0" w:color="000000"/>
              <w:right w:val="single" w:sz="6" w:space="0" w:color="000000"/>
            </w:tcBorders>
          </w:tcPr>
          <w:p>
            <w:pPr/>
          </w:p>
        </w:tc>
        <w:tc>
          <w:tcPr>
            <w:tcW w:w="1702" w:type="dxa"/>
            <w:tcBorders>
              <w:top w:val="single" w:sz="12" w:space="0" w:color="000000"/>
              <w:left w:val="single" w:sz="6" w:space="0" w:color="000000"/>
              <w:bottom w:val="single" w:sz="6" w:space="0" w:color="000000"/>
              <w:right w:val="single" w:sz="6" w:space="0" w:color="000000"/>
            </w:tcBorders>
          </w:tcPr>
          <w:p>
            <w:pPr/>
          </w:p>
        </w:tc>
        <w:tc>
          <w:tcPr>
            <w:tcW w:w="1700" w:type="dxa"/>
            <w:tcBorders>
              <w:top w:val="single" w:sz="12" w:space="0" w:color="000000"/>
              <w:left w:val="single" w:sz="6" w:space="0" w:color="000000"/>
              <w:bottom w:val="single" w:sz="6" w:space="0" w:color="000000"/>
              <w:right w:val="single" w:sz="6" w:space="0" w:color="000000"/>
            </w:tcBorders>
          </w:tcPr>
          <w:p>
            <w:pPr/>
          </w:p>
        </w:tc>
        <w:tc>
          <w:tcPr>
            <w:tcW w:w="2381" w:type="dxa"/>
            <w:tcBorders>
              <w:top w:val="single" w:sz="12" w:space="0" w:color="000000"/>
              <w:left w:val="single" w:sz="6" w:space="0" w:color="000000"/>
              <w:bottom w:val="single" w:sz="6" w:space="0" w:color="000000"/>
              <w:right w:val="single" w:sz="12" w:space="0" w:color="000000"/>
            </w:tcBorders>
          </w:tcPr>
          <w:p>
            <w:pPr/>
          </w:p>
        </w:tc>
      </w:tr>
      <w:tr>
        <w:trPr>
          <w:trHeight w:val="470"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98.43</w:t>
            </w: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2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98.43</w:t>
            </w:r>
          </w:p>
        </w:tc>
      </w:tr>
      <w:tr>
        <w:trPr>
          <w:trHeight w:val="468"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7,740,055.42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-7,740,055.42</w:t>
            </w:r>
          </w:p>
        </w:tc>
        <w:tc>
          <w:tcPr>
            <w:tcW w:w="2381"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7,740,055.42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-7,740,055.42</w:t>
            </w:r>
          </w:p>
        </w:tc>
        <w:tc>
          <w:tcPr>
            <w:tcW w:w="2381" w:type="dxa"/>
            <w:tcBorders>
              <w:top w:val="single" w:sz="6" w:space="0" w:color="000000"/>
              <w:left w:val="single" w:sz="6" w:space="0" w:color="000000"/>
              <w:bottom w:val="single" w:sz="6" w:space="0" w:color="000000"/>
              <w:right w:val="single" w:sz="12" w:space="0" w:color="000000"/>
            </w:tcBorders>
          </w:tcPr>
          <w:p>
            <w:pPr/>
          </w:p>
        </w:tc>
      </w:tr>
      <w:tr>
        <w:trPr>
          <w:trHeight w:val="817"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45" w:lineRule="auto" w:before="119"/>
              <w:ind w:left="1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．对所有者（或股东）的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分配</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2381"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2381" w:type="dxa"/>
            <w:tcBorders>
              <w:top w:val="single" w:sz="6" w:space="0" w:color="000000"/>
              <w:left w:val="single" w:sz="6" w:space="0" w:color="000000"/>
              <w:bottom w:val="single" w:sz="6" w:space="0" w:color="000000"/>
              <w:right w:val="single" w:sz="12" w:space="0" w:color="000000"/>
            </w:tcBorders>
          </w:tcPr>
          <w:p>
            <w:pPr/>
          </w:p>
        </w:tc>
      </w:tr>
      <w:tr>
        <w:trPr>
          <w:trHeight w:val="857"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98" w:lineRule="exact" w:before="10"/>
              <w:ind w:left="14" w:right="269"/>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2381" w:type="dxa"/>
            <w:tcBorders>
              <w:top w:val="single" w:sz="6" w:space="0" w:color="000000"/>
              <w:left w:val="single" w:sz="6" w:space="0" w:color="000000"/>
              <w:bottom w:val="single" w:sz="6" w:space="0" w:color="000000"/>
              <w:right w:val="single" w:sz="12" w:space="0" w:color="000000"/>
            </w:tcBorders>
          </w:tcPr>
          <w:p>
            <w:pPr/>
          </w:p>
        </w:tc>
      </w:tr>
      <w:tr>
        <w:trPr>
          <w:trHeight w:val="814"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48" w:lineRule="auto" w:before="116"/>
              <w:ind w:left="1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2381" w:type="dxa"/>
            <w:tcBorders>
              <w:top w:val="single" w:sz="6" w:space="0" w:color="000000"/>
              <w:left w:val="single" w:sz="6" w:space="0" w:color="000000"/>
              <w:bottom w:val="single" w:sz="6" w:space="0" w:color="000000"/>
              <w:right w:val="single" w:sz="12" w:space="0" w:color="000000"/>
            </w:tcBorders>
          </w:tcPr>
          <w:p>
            <w:pPr/>
          </w:p>
        </w:tc>
      </w:tr>
      <w:tr>
        <w:trPr>
          <w:trHeight w:val="816"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45" w:lineRule="auto" w:before="116"/>
              <w:ind w:left="1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2381"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2381" w:type="dxa"/>
            <w:tcBorders>
              <w:top w:val="single" w:sz="6" w:space="0" w:color="000000"/>
              <w:left w:val="single" w:sz="6" w:space="0" w:color="000000"/>
              <w:bottom w:val="single" w:sz="6" w:space="0" w:color="000000"/>
              <w:right w:val="single" w:sz="12" w:space="0" w:color="000000"/>
            </w:tcBorders>
          </w:tcPr>
          <w:p>
            <w:pPr/>
          </w:p>
        </w:tc>
      </w:tr>
      <w:tr>
        <w:trPr>
          <w:trHeight w:val="471"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2381"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2381"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2381"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2381"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2381" w:type="dxa"/>
            <w:tcBorders>
              <w:top w:val="single" w:sz="6" w:space="0" w:color="000000"/>
              <w:left w:val="single" w:sz="6" w:space="0" w:color="000000"/>
              <w:bottom w:val="single" w:sz="6" w:space="0" w:color="000000"/>
              <w:right w:val="single" w:sz="12" w:space="0" w:color="000000"/>
            </w:tcBorders>
          </w:tcPr>
          <w:p>
            <w:pPr/>
          </w:p>
        </w:tc>
      </w:tr>
      <w:tr>
        <w:trPr>
          <w:trHeight w:val="476" w:hRule="exact"/>
        </w:trPr>
        <w:tc>
          <w:tcPr>
            <w:tcW w:w="210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458,905,958.00</w:t>
            </w:r>
          </w:p>
        </w:tc>
        <w:tc>
          <w:tcPr>
            <w:tcW w:w="567"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1,464,950,000.32</w:t>
            </w:r>
          </w:p>
        </w:tc>
        <w:tc>
          <w:tcPr>
            <w:tcW w:w="425" w:type="dxa"/>
            <w:tcBorders>
              <w:top w:val="single" w:sz="6" w:space="0" w:color="000000"/>
              <w:left w:val="single" w:sz="6" w:space="0" w:color="000000"/>
              <w:bottom w:val="single" w:sz="12" w:space="0" w:color="000000"/>
              <w:right w:val="single" w:sz="6" w:space="0" w:color="000000"/>
            </w:tcBorders>
          </w:tcPr>
          <w:p>
            <w:pPr/>
          </w:p>
        </w:tc>
        <w:tc>
          <w:tcPr>
            <w:tcW w:w="711"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10,062,793.78</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69,660,498.76</w:t>
            </w:r>
          </w:p>
        </w:tc>
        <w:tc>
          <w:tcPr>
            <w:tcW w:w="238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2,003,579,250.86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7" w:footer="979" w:top="1120" w:bottom="1160" w:left="1300" w:right="1260"/>
        </w:sectPr>
      </w:pPr>
    </w:p>
    <w:p>
      <w:pPr>
        <w:spacing w:before="89"/>
        <w:ind w:left="1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line="240" w:lineRule="auto" w:before="3"/>
        <w:rPr>
          <w:rFonts w:ascii="宋体" w:hAnsi="宋体" w:cs="宋体" w:eastAsia="宋体" w:hint="default"/>
          <w:sz w:val="9"/>
          <w:szCs w:val="9"/>
        </w:rPr>
      </w:pPr>
    </w:p>
    <w:p>
      <w:pPr>
        <w:spacing w:before="44"/>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2090"/>
        <w:gridCol w:w="1307"/>
        <w:gridCol w:w="567"/>
        <w:gridCol w:w="566"/>
        <w:gridCol w:w="566"/>
        <w:gridCol w:w="1277"/>
        <w:gridCol w:w="566"/>
        <w:gridCol w:w="567"/>
        <w:gridCol w:w="710"/>
        <w:gridCol w:w="1702"/>
        <w:gridCol w:w="1844"/>
        <w:gridCol w:w="2220"/>
      </w:tblGrid>
      <w:tr>
        <w:trPr>
          <w:trHeight w:val="469" w:hRule="exact"/>
        </w:trPr>
        <w:tc>
          <w:tcPr>
            <w:tcW w:w="2090" w:type="dxa"/>
            <w:vMerge w:val="restart"/>
            <w:tcBorders>
              <w:top w:val="single" w:sz="12" w:space="0" w:color="000000"/>
              <w:left w:val="single" w:sz="12" w:space="0" w:color="000000"/>
              <w:right w:val="single" w:sz="6" w:space="0" w:color="000000"/>
            </w:tcBorders>
            <w:shd w:val="clear" w:color="auto" w:fill="D2D2D2"/>
          </w:tcPr>
          <w:p>
            <w:pPr/>
          </w:p>
        </w:tc>
        <w:tc>
          <w:tcPr>
            <w:tcW w:w="11892" w:type="dxa"/>
            <w:gridSpan w:val="11"/>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9"/>
              <w:ind w:left="18"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8" w:hRule="exact"/>
        </w:trPr>
        <w:tc>
          <w:tcPr>
            <w:tcW w:w="2090" w:type="dxa"/>
            <w:vMerge/>
            <w:tcBorders>
              <w:left w:val="single" w:sz="12" w:space="0" w:color="000000"/>
              <w:bottom w:val="nil" w:sz="6" w:space="0" w:color="auto"/>
              <w:right w:val="single" w:sz="6" w:space="0" w:color="000000"/>
            </w:tcBorders>
            <w:shd w:val="clear" w:color="auto" w:fill="D2D2D2"/>
          </w:tcPr>
          <w:p>
            <w:pPr/>
          </w:p>
        </w:tc>
        <w:tc>
          <w:tcPr>
            <w:tcW w:w="1307" w:type="dxa"/>
            <w:vMerge w:val="restart"/>
            <w:tcBorders>
              <w:top w:val="single" w:sz="6" w:space="0" w:color="000000"/>
              <w:left w:val="single" w:sz="6" w:space="0" w:color="000000"/>
              <w:right w:val="single" w:sz="6" w:space="0" w:color="000000"/>
            </w:tcBorders>
            <w:shd w:val="clear" w:color="auto" w:fill="D2D2D2"/>
          </w:tcPr>
          <w:p>
            <w:pPr/>
          </w:p>
        </w:tc>
        <w:tc>
          <w:tcPr>
            <w:tcW w:w="1700"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8"/>
              <w:ind w:left="30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7" w:type="dxa"/>
            <w:vMerge w:val="restart"/>
            <w:tcBorders>
              <w:top w:val="single" w:sz="6" w:space="0" w:color="000000"/>
              <w:left w:val="single" w:sz="6" w:space="0" w:color="000000"/>
              <w:right w:val="single" w:sz="6" w:space="0" w:color="000000"/>
            </w:tcBorders>
            <w:shd w:val="clear" w:color="auto" w:fill="D2D2D2"/>
          </w:tcPr>
          <w:p>
            <w:pPr/>
          </w:p>
        </w:tc>
        <w:tc>
          <w:tcPr>
            <w:tcW w:w="566" w:type="dxa"/>
            <w:tcBorders>
              <w:top w:val="single" w:sz="6" w:space="0" w:color="000000"/>
              <w:left w:val="single" w:sz="6" w:space="0" w:color="000000"/>
              <w:bottom w:val="nil" w:sz="6" w:space="0" w:color="auto"/>
              <w:right w:val="single" w:sz="6" w:space="0" w:color="000000"/>
            </w:tcBorders>
            <w:shd w:val="clear" w:color="auto" w:fill="D2D2D2"/>
          </w:tcPr>
          <w:p>
            <w:pPr/>
          </w:p>
        </w:tc>
        <w:tc>
          <w:tcPr>
            <w:tcW w:w="5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367" w:lineRule="auto"/>
              <w:ind w:left="95" w:right="9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710" w:type="dxa"/>
            <w:tcBorders>
              <w:top w:val="single" w:sz="6" w:space="0" w:color="000000"/>
              <w:left w:val="single" w:sz="6" w:space="0" w:color="000000"/>
              <w:bottom w:val="nil" w:sz="6" w:space="0" w:color="auto"/>
              <w:right w:val="single" w:sz="6" w:space="0" w:color="000000"/>
            </w:tcBorders>
            <w:shd w:val="clear" w:color="auto" w:fill="D2D2D2"/>
          </w:tcPr>
          <w:p>
            <w:pPr/>
          </w:p>
        </w:tc>
        <w:tc>
          <w:tcPr>
            <w:tcW w:w="1702" w:type="dxa"/>
            <w:vMerge w:val="restart"/>
            <w:tcBorders>
              <w:top w:val="single" w:sz="6" w:space="0" w:color="000000"/>
              <w:left w:val="single" w:sz="6" w:space="0" w:color="000000"/>
              <w:right w:val="single" w:sz="6" w:space="0" w:color="000000"/>
            </w:tcBorders>
            <w:shd w:val="clear" w:color="auto" w:fill="D2D2D2"/>
          </w:tcPr>
          <w:p>
            <w:pPr/>
          </w:p>
        </w:tc>
        <w:tc>
          <w:tcPr>
            <w:tcW w:w="1844" w:type="dxa"/>
            <w:vMerge w:val="restart"/>
            <w:tcBorders>
              <w:top w:val="single" w:sz="6" w:space="0" w:color="000000"/>
              <w:left w:val="single" w:sz="6" w:space="0" w:color="000000"/>
              <w:right w:val="single" w:sz="6" w:space="0" w:color="000000"/>
            </w:tcBorders>
            <w:shd w:val="clear" w:color="auto" w:fill="D2D2D2"/>
          </w:tcPr>
          <w:p>
            <w:pPr/>
          </w:p>
        </w:tc>
        <w:tc>
          <w:tcPr>
            <w:tcW w:w="2220" w:type="dxa"/>
            <w:vMerge w:val="restart"/>
            <w:tcBorders>
              <w:top w:val="single" w:sz="6" w:space="0" w:color="000000"/>
              <w:left w:val="single" w:sz="6" w:space="0" w:color="000000"/>
              <w:right w:val="single" w:sz="12" w:space="0" w:color="000000"/>
            </w:tcBorders>
            <w:shd w:val="clear" w:color="auto" w:fill="D2D2D2"/>
          </w:tcPr>
          <w:p>
            <w:pPr/>
          </w:p>
        </w:tc>
      </w:tr>
      <w:tr>
        <w:trPr>
          <w:trHeight w:val="207" w:hRule="exact"/>
        </w:trPr>
        <w:tc>
          <w:tcPr>
            <w:tcW w:w="2090"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07" w:type="dxa"/>
            <w:vMerge/>
            <w:tcBorders>
              <w:left w:val="single" w:sz="6" w:space="0" w:color="000000"/>
              <w:bottom w:val="nil" w:sz="6" w:space="0" w:color="auto"/>
              <w:right w:val="single" w:sz="6" w:space="0" w:color="000000"/>
            </w:tcBorders>
            <w:shd w:val="clear" w:color="auto" w:fill="D2D2D2"/>
          </w:tcPr>
          <w:p>
            <w:pPr/>
          </w:p>
        </w:tc>
        <w:tc>
          <w:tcPr>
            <w:tcW w:w="1700" w:type="dxa"/>
            <w:gridSpan w:val="3"/>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nil" w:sz="6" w:space="0" w:color="auto"/>
              <w:right w:val="single" w:sz="6" w:space="0" w:color="000000"/>
            </w:tcBorders>
            <w:shd w:val="clear" w:color="auto" w:fill="D2D2D2"/>
          </w:tcPr>
          <w:p>
            <w:pPr/>
          </w:p>
        </w:tc>
        <w:tc>
          <w:tcPr>
            <w:tcW w:w="566" w:type="dxa"/>
            <w:vMerge w:val="restart"/>
            <w:tcBorders>
              <w:top w:val="nil" w:sz="6" w:space="0" w:color="auto"/>
              <w:left w:val="single" w:sz="6" w:space="0" w:color="000000"/>
              <w:right w:val="single" w:sz="6" w:space="0" w:color="000000"/>
            </w:tcBorders>
            <w:shd w:val="clear" w:color="auto" w:fill="D2D2D2"/>
          </w:tcPr>
          <w:p>
            <w:pPr>
              <w:pStyle w:val="TableParagraph"/>
              <w:spacing w:line="367" w:lineRule="auto" w:before="129"/>
              <w:ind w:left="96" w:right="17"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567" w:type="dxa"/>
            <w:vMerge/>
            <w:tcBorders>
              <w:left w:val="single" w:sz="6" w:space="0" w:color="000000"/>
              <w:right w:val="single" w:sz="6" w:space="0" w:color="000000"/>
            </w:tcBorders>
            <w:shd w:val="clear" w:color="auto" w:fill="D2D2D2"/>
          </w:tcPr>
          <w:p>
            <w:pPr/>
          </w:p>
        </w:tc>
        <w:tc>
          <w:tcPr>
            <w:tcW w:w="710" w:type="dxa"/>
            <w:vMerge w:val="restart"/>
            <w:tcBorders>
              <w:top w:val="nil" w:sz="6" w:space="0" w:color="auto"/>
              <w:left w:val="single" w:sz="6" w:space="0" w:color="000000"/>
              <w:right w:val="single" w:sz="6" w:space="0" w:color="000000"/>
            </w:tcBorders>
            <w:shd w:val="clear" w:color="auto" w:fill="D2D2D2"/>
          </w:tcPr>
          <w:p>
            <w:pPr>
              <w:pStyle w:val="TableParagraph"/>
              <w:spacing w:line="367" w:lineRule="auto" w:before="129"/>
              <w:ind w:left="256" w:right="7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702" w:type="dxa"/>
            <w:vMerge/>
            <w:tcBorders>
              <w:left w:val="single" w:sz="6" w:space="0" w:color="000000"/>
              <w:bottom w:val="nil" w:sz="6" w:space="0" w:color="auto"/>
              <w:right w:val="single" w:sz="6" w:space="0" w:color="000000"/>
            </w:tcBorders>
            <w:shd w:val="clear" w:color="auto" w:fill="D2D2D2"/>
          </w:tcPr>
          <w:p>
            <w:pPr/>
          </w:p>
        </w:tc>
        <w:tc>
          <w:tcPr>
            <w:tcW w:w="1844" w:type="dxa"/>
            <w:vMerge/>
            <w:tcBorders>
              <w:left w:val="single" w:sz="6" w:space="0" w:color="000000"/>
              <w:bottom w:val="nil" w:sz="6" w:space="0" w:color="auto"/>
              <w:right w:val="single" w:sz="6" w:space="0" w:color="000000"/>
            </w:tcBorders>
            <w:shd w:val="clear" w:color="auto" w:fill="D2D2D2"/>
          </w:tcPr>
          <w:p>
            <w:pPr/>
          </w:p>
        </w:tc>
        <w:tc>
          <w:tcPr>
            <w:tcW w:w="2220" w:type="dxa"/>
            <w:vMerge/>
            <w:tcBorders>
              <w:left w:val="single" w:sz="6" w:space="0" w:color="000000"/>
              <w:bottom w:val="nil" w:sz="6" w:space="0" w:color="auto"/>
              <w:right w:val="single" w:sz="12" w:space="0" w:color="000000"/>
            </w:tcBorders>
            <w:shd w:val="clear" w:color="auto" w:fill="D2D2D2"/>
          </w:tcPr>
          <w:p>
            <w:pPr/>
          </w:p>
        </w:tc>
      </w:tr>
      <w:tr>
        <w:trPr>
          <w:trHeight w:val="207" w:hRule="exact"/>
        </w:trPr>
        <w:tc>
          <w:tcPr>
            <w:tcW w:w="2090" w:type="dxa"/>
            <w:vMerge/>
            <w:tcBorders>
              <w:left w:val="single" w:sz="12" w:space="0" w:color="000000"/>
              <w:bottom w:val="nil" w:sz="6" w:space="0" w:color="auto"/>
              <w:right w:val="single" w:sz="6" w:space="0" w:color="000000"/>
            </w:tcBorders>
            <w:shd w:val="clear" w:color="auto" w:fill="D2D2D2"/>
          </w:tcPr>
          <w:p>
            <w:pPr/>
          </w:p>
        </w:tc>
        <w:tc>
          <w:tcPr>
            <w:tcW w:w="130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left="6"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7" w:type="dxa"/>
            <w:vMerge w:val="restart"/>
            <w:tcBorders>
              <w:top w:val="single" w:sz="6" w:space="0" w:color="000000"/>
              <w:left w:val="single" w:sz="6" w:space="0" w:color="000000"/>
              <w:right w:val="single" w:sz="6" w:space="0" w:color="000000"/>
            </w:tcBorders>
            <w:shd w:val="clear" w:color="auto" w:fill="D2D2D2"/>
          </w:tcPr>
          <w:p>
            <w:pPr>
              <w:pStyle w:val="TableParagraph"/>
              <w:spacing w:line="367" w:lineRule="auto" w:before="150"/>
              <w:ind w:left="18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vMerge w:val="restart"/>
            <w:tcBorders>
              <w:top w:val="single" w:sz="6" w:space="0" w:color="000000"/>
              <w:left w:val="single" w:sz="6" w:space="0" w:color="000000"/>
              <w:right w:val="single" w:sz="6" w:space="0" w:color="000000"/>
            </w:tcBorders>
            <w:shd w:val="clear" w:color="auto" w:fill="D2D2D2"/>
          </w:tcPr>
          <w:p>
            <w:pPr>
              <w:pStyle w:val="TableParagraph"/>
              <w:spacing w:line="367" w:lineRule="auto" w:before="150"/>
              <w:ind w:left="184" w:right="9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6" w:space="0" w:color="000000"/>
              <w:right w:val="single" w:sz="6" w:space="0" w:color="000000"/>
            </w:tcBorders>
            <w:shd w:val="clear" w:color="auto" w:fill="D2D2D2"/>
          </w:tcPr>
          <w:p>
            <w:pPr/>
          </w:p>
        </w:tc>
        <w:tc>
          <w:tcPr>
            <w:tcW w:w="567" w:type="dxa"/>
            <w:vMerge/>
            <w:tcBorders>
              <w:left w:val="single" w:sz="6" w:space="0" w:color="000000"/>
              <w:right w:val="single" w:sz="6" w:space="0" w:color="000000"/>
            </w:tcBorders>
            <w:shd w:val="clear" w:color="auto" w:fill="D2D2D2"/>
          </w:tcPr>
          <w:p>
            <w:pPr/>
          </w:p>
        </w:tc>
        <w:tc>
          <w:tcPr>
            <w:tcW w:w="710" w:type="dxa"/>
            <w:vMerge/>
            <w:tcBorders>
              <w:left w:val="single" w:sz="6" w:space="0" w:color="000000"/>
              <w:right w:val="single" w:sz="6" w:space="0" w:color="000000"/>
            </w:tcBorders>
            <w:shd w:val="clear" w:color="auto" w:fill="D2D2D2"/>
          </w:tcPr>
          <w:p>
            <w:pPr/>
          </w:p>
        </w:tc>
        <w:tc>
          <w:tcPr>
            <w:tcW w:w="17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left="4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4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20"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102"/>
              <w:ind w:left="47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21" w:hRule="exact"/>
        </w:trPr>
        <w:tc>
          <w:tcPr>
            <w:tcW w:w="2090" w:type="dxa"/>
            <w:vMerge w:val="restart"/>
            <w:tcBorders>
              <w:top w:val="nil" w:sz="6" w:space="0" w:color="auto"/>
              <w:left w:val="single" w:sz="12" w:space="0" w:color="000000"/>
              <w:right w:val="single" w:sz="6" w:space="0" w:color="000000"/>
            </w:tcBorders>
            <w:shd w:val="clear" w:color="auto" w:fill="D2D2D2"/>
          </w:tcPr>
          <w:p>
            <w:pPr/>
          </w:p>
        </w:tc>
        <w:tc>
          <w:tcPr>
            <w:tcW w:w="1307" w:type="dxa"/>
            <w:vMerge/>
            <w:tcBorders>
              <w:left w:val="single" w:sz="6" w:space="0" w:color="000000"/>
              <w:bottom w:val="nil" w:sz="6" w:space="0" w:color="auto"/>
              <w:right w:val="single" w:sz="6" w:space="0" w:color="000000"/>
            </w:tcBorders>
            <w:shd w:val="clear" w:color="auto" w:fill="D2D2D2"/>
          </w:tcPr>
          <w:p>
            <w:pPr/>
          </w:p>
        </w:tc>
        <w:tc>
          <w:tcPr>
            <w:tcW w:w="567" w:type="dxa"/>
            <w:vMerge/>
            <w:tcBorders>
              <w:left w:val="single" w:sz="6" w:space="0" w:color="000000"/>
              <w:right w:val="single" w:sz="6" w:space="0" w:color="000000"/>
            </w:tcBorders>
            <w:shd w:val="clear" w:color="auto" w:fill="D2D2D2"/>
          </w:tcPr>
          <w:p>
            <w:pPr/>
          </w:p>
        </w:tc>
        <w:tc>
          <w:tcPr>
            <w:tcW w:w="566" w:type="dxa"/>
            <w:vMerge/>
            <w:tcBorders>
              <w:left w:val="single" w:sz="6" w:space="0" w:color="000000"/>
              <w:right w:val="single" w:sz="6" w:space="0" w:color="000000"/>
            </w:tcBorders>
            <w:shd w:val="clear" w:color="auto" w:fill="D2D2D2"/>
          </w:tcPr>
          <w:p>
            <w:pPr/>
          </w:p>
        </w:tc>
        <w:tc>
          <w:tcPr>
            <w:tcW w:w="5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31"/>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tcBorders>
              <w:left w:val="single" w:sz="6" w:space="0" w:color="000000"/>
              <w:bottom w:val="nil" w:sz="6" w:space="0" w:color="auto"/>
              <w:right w:val="single" w:sz="6" w:space="0" w:color="000000"/>
            </w:tcBorders>
            <w:shd w:val="clear" w:color="auto" w:fill="D2D2D2"/>
          </w:tcPr>
          <w:p>
            <w:pPr/>
          </w:p>
        </w:tc>
        <w:tc>
          <w:tcPr>
            <w:tcW w:w="566" w:type="dxa"/>
            <w:vMerge/>
            <w:tcBorders>
              <w:left w:val="single" w:sz="6" w:space="0" w:color="000000"/>
              <w:right w:val="single" w:sz="6" w:space="0" w:color="000000"/>
            </w:tcBorders>
            <w:shd w:val="clear" w:color="auto" w:fill="D2D2D2"/>
          </w:tcPr>
          <w:p>
            <w:pPr/>
          </w:p>
        </w:tc>
        <w:tc>
          <w:tcPr>
            <w:tcW w:w="567" w:type="dxa"/>
            <w:vMerge/>
            <w:tcBorders>
              <w:left w:val="single" w:sz="6" w:space="0" w:color="000000"/>
              <w:right w:val="single" w:sz="6" w:space="0" w:color="000000"/>
            </w:tcBorders>
            <w:shd w:val="clear" w:color="auto" w:fill="D2D2D2"/>
          </w:tcPr>
          <w:p>
            <w:pPr/>
          </w:p>
        </w:tc>
        <w:tc>
          <w:tcPr>
            <w:tcW w:w="710" w:type="dxa"/>
            <w:vMerge/>
            <w:tcBorders>
              <w:left w:val="single" w:sz="6" w:space="0" w:color="000000"/>
              <w:right w:val="single" w:sz="6" w:space="0" w:color="000000"/>
            </w:tcBorders>
            <w:shd w:val="clear" w:color="auto" w:fill="D2D2D2"/>
          </w:tcPr>
          <w:p>
            <w:pPr/>
          </w:p>
        </w:tc>
        <w:tc>
          <w:tcPr>
            <w:tcW w:w="1702" w:type="dxa"/>
            <w:vMerge/>
            <w:tcBorders>
              <w:left w:val="single" w:sz="6" w:space="0" w:color="000000"/>
              <w:bottom w:val="nil" w:sz="6" w:space="0" w:color="auto"/>
              <w:right w:val="single" w:sz="6" w:space="0" w:color="000000"/>
            </w:tcBorders>
            <w:shd w:val="clear" w:color="auto" w:fill="D2D2D2"/>
          </w:tcPr>
          <w:p>
            <w:pPr/>
          </w:p>
        </w:tc>
        <w:tc>
          <w:tcPr>
            <w:tcW w:w="1844" w:type="dxa"/>
            <w:vMerge/>
            <w:tcBorders>
              <w:left w:val="single" w:sz="6" w:space="0" w:color="000000"/>
              <w:bottom w:val="nil" w:sz="6" w:space="0" w:color="auto"/>
              <w:right w:val="single" w:sz="6" w:space="0" w:color="000000"/>
            </w:tcBorders>
            <w:shd w:val="clear" w:color="auto" w:fill="D2D2D2"/>
          </w:tcPr>
          <w:p>
            <w:pPr/>
          </w:p>
        </w:tc>
        <w:tc>
          <w:tcPr>
            <w:tcW w:w="2220" w:type="dxa"/>
            <w:vMerge/>
            <w:tcBorders>
              <w:left w:val="single" w:sz="6" w:space="0" w:color="000000"/>
              <w:bottom w:val="nil" w:sz="6" w:space="0" w:color="auto"/>
              <w:right w:val="single" w:sz="12" w:space="0" w:color="000000"/>
            </w:tcBorders>
            <w:shd w:val="clear" w:color="auto" w:fill="D2D2D2"/>
          </w:tcPr>
          <w:p>
            <w:pPr/>
          </w:p>
        </w:tc>
      </w:tr>
      <w:tr>
        <w:trPr>
          <w:trHeight w:val="207" w:hRule="exact"/>
        </w:trPr>
        <w:tc>
          <w:tcPr>
            <w:tcW w:w="2090" w:type="dxa"/>
            <w:vMerge/>
            <w:tcBorders>
              <w:left w:val="single" w:sz="12" w:space="0" w:color="000000"/>
              <w:right w:val="single" w:sz="6" w:space="0" w:color="000000"/>
            </w:tcBorders>
            <w:shd w:val="clear" w:color="auto" w:fill="D2D2D2"/>
          </w:tcPr>
          <w:p>
            <w:pPr/>
          </w:p>
        </w:tc>
        <w:tc>
          <w:tcPr>
            <w:tcW w:w="1307" w:type="dxa"/>
            <w:vMerge w:val="restart"/>
            <w:tcBorders>
              <w:top w:val="nil" w:sz="6" w:space="0" w:color="auto"/>
              <w:left w:val="single" w:sz="6" w:space="0" w:color="000000"/>
              <w:right w:val="single" w:sz="6" w:space="0" w:color="000000"/>
            </w:tcBorders>
            <w:shd w:val="clear" w:color="auto" w:fill="D2D2D2"/>
          </w:tcPr>
          <w:p>
            <w:pPr/>
          </w:p>
        </w:tc>
        <w:tc>
          <w:tcPr>
            <w:tcW w:w="567" w:type="dxa"/>
            <w:vMerge/>
            <w:tcBorders>
              <w:left w:val="single" w:sz="6" w:space="0" w:color="000000"/>
              <w:right w:val="single" w:sz="6" w:space="0" w:color="000000"/>
            </w:tcBorders>
            <w:shd w:val="clear" w:color="auto" w:fill="D2D2D2"/>
          </w:tcPr>
          <w:p>
            <w:pPr/>
          </w:p>
        </w:tc>
        <w:tc>
          <w:tcPr>
            <w:tcW w:w="566" w:type="dxa"/>
            <w:vMerge/>
            <w:tcBorders>
              <w:left w:val="single" w:sz="6" w:space="0" w:color="000000"/>
              <w:right w:val="single" w:sz="6" w:space="0" w:color="000000"/>
            </w:tcBorders>
            <w:shd w:val="clear" w:color="auto" w:fill="D2D2D2"/>
          </w:tcPr>
          <w:p>
            <w:pPr/>
          </w:p>
        </w:tc>
        <w:tc>
          <w:tcPr>
            <w:tcW w:w="566" w:type="dxa"/>
            <w:vMerge/>
            <w:tcBorders>
              <w:left w:val="single" w:sz="6" w:space="0" w:color="000000"/>
              <w:bottom w:val="nil" w:sz="6" w:space="0" w:color="auto"/>
              <w:right w:val="single" w:sz="6" w:space="0" w:color="000000"/>
            </w:tcBorders>
            <w:shd w:val="clear" w:color="auto" w:fill="D2D2D2"/>
          </w:tcPr>
          <w:p>
            <w:pPr/>
          </w:p>
        </w:tc>
        <w:tc>
          <w:tcPr>
            <w:tcW w:w="1277" w:type="dxa"/>
            <w:vMerge w:val="restart"/>
            <w:tcBorders>
              <w:top w:val="nil" w:sz="6" w:space="0" w:color="auto"/>
              <w:left w:val="single" w:sz="6" w:space="0" w:color="000000"/>
              <w:right w:val="single" w:sz="6" w:space="0" w:color="000000"/>
            </w:tcBorders>
            <w:shd w:val="clear" w:color="auto" w:fill="D2D2D2"/>
          </w:tcPr>
          <w:p>
            <w:pPr/>
          </w:p>
        </w:tc>
        <w:tc>
          <w:tcPr>
            <w:tcW w:w="566" w:type="dxa"/>
            <w:vMerge/>
            <w:tcBorders>
              <w:left w:val="single" w:sz="6" w:space="0" w:color="000000"/>
              <w:bottom w:val="nil" w:sz="6" w:space="0" w:color="auto"/>
              <w:right w:val="single" w:sz="6" w:space="0" w:color="000000"/>
            </w:tcBorders>
            <w:shd w:val="clear" w:color="auto" w:fill="D2D2D2"/>
          </w:tcPr>
          <w:p>
            <w:pPr/>
          </w:p>
        </w:tc>
        <w:tc>
          <w:tcPr>
            <w:tcW w:w="567" w:type="dxa"/>
            <w:vMerge/>
            <w:tcBorders>
              <w:left w:val="single" w:sz="6" w:space="0" w:color="000000"/>
              <w:right w:val="single" w:sz="6" w:space="0" w:color="000000"/>
            </w:tcBorders>
            <w:shd w:val="clear" w:color="auto" w:fill="D2D2D2"/>
          </w:tcPr>
          <w:p>
            <w:pPr/>
          </w:p>
        </w:tc>
        <w:tc>
          <w:tcPr>
            <w:tcW w:w="710" w:type="dxa"/>
            <w:vMerge/>
            <w:tcBorders>
              <w:left w:val="single" w:sz="6" w:space="0" w:color="000000"/>
              <w:bottom w:val="nil" w:sz="6" w:space="0" w:color="auto"/>
              <w:right w:val="single" w:sz="6" w:space="0" w:color="000000"/>
            </w:tcBorders>
            <w:shd w:val="clear" w:color="auto" w:fill="D2D2D2"/>
          </w:tcPr>
          <w:p>
            <w:pPr/>
          </w:p>
        </w:tc>
        <w:tc>
          <w:tcPr>
            <w:tcW w:w="1702" w:type="dxa"/>
            <w:vMerge w:val="restart"/>
            <w:tcBorders>
              <w:top w:val="nil" w:sz="6" w:space="0" w:color="auto"/>
              <w:left w:val="single" w:sz="6" w:space="0" w:color="000000"/>
              <w:right w:val="single" w:sz="6" w:space="0" w:color="000000"/>
            </w:tcBorders>
            <w:shd w:val="clear" w:color="auto" w:fill="D2D2D2"/>
          </w:tcPr>
          <w:p>
            <w:pPr/>
          </w:p>
        </w:tc>
        <w:tc>
          <w:tcPr>
            <w:tcW w:w="1844" w:type="dxa"/>
            <w:vMerge w:val="restart"/>
            <w:tcBorders>
              <w:top w:val="nil" w:sz="6" w:space="0" w:color="auto"/>
              <w:left w:val="single" w:sz="6" w:space="0" w:color="000000"/>
              <w:right w:val="single" w:sz="6" w:space="0" w:color="000000"/>
            </w:tcBorders>
            <w:shd w:val="clear" w:color="auto" w:fill="D2D2D2"/>
          </w:tcPr>
          <w:p>
            <w:pPr/>
          </w:p>
        </w:tc>
        <w:tc>
          <w:tcPr>
            <w:tcW w:w="2220" w:type="dxa"/>
            <w:vMerge w:val="restart"/>
            <w:tcBorders>
              <w:top w:val="nil" w:sz="6" w:space="0" w:color="auto"/>
              <w:left w:val="single" w:sz="6" w:space="0" w:color="000000"/>
              <w:right w:val="single" w:sz="12" w:space="0" w:color="000000"/>
            </w:tcBorders>
            <w:shd w:val="clear" w:color="auto" w:fill="D2D2D2"/>
          </w:tcPr>
          <w:p>
            <w:pPr/>
          </w:p>
        </w:tc>
      </w:tr>
      <w:tr>
        <w:trPr>
          <w:trHeight w:val="227" w:hRule="exact"/>
        </w:trPr>
        <w:tc>
          <w:tcPr>
            <w:tcW w:w="2090" w:type="dxa"/>
            <w:vMerge/>
            <w:tcBorders>
              <w:left w:val="single" w:sz="12" w:space="0" w:color="000000"/>
              <w:bottom w:val="single" w:sz="6" w:space="0" w:color="000000"/>
              <w:right w:val="single" w:sz="6" w:space="0" w:color="000000"/>
            </w:tcBorders>
            <w:shd w:val="clear" w:color="auto" w:fill="D2D2D2"/>
          </w:tcPr>
          <w:p>
            <w:pPr/>
          </w:p>
        </w:tc>
        <w:tc>
          <w:tcPr>
            <w:tcW w:w="1307" w:type="dxa"/>
            <w:vMerge/>
            <w:tcBorders>
              <w:left w:val="single" w:sz="6" w:space="0" w:color="000000"/>
              <w:bottom w:val="single" w:sz="6" w:space="0" w:color="000000"/>
              <w:right w:val="single" w:sz="6" w:space="0" w:color="000000"/>
            </w:tcBorders>
            <w:shd w:val="clear" w:color="auto" w:fill="D2D2D2"/>
          </w:tcPr>
          <w:p>
            <w:pPr/>
          </w:p>
        </w:tc>
        <w:tc>
          <w:tcPr>
            <w:tcW w:w="567" w:type="dxa"/>
            <w:vMerge/>
            <w:tcBorders>
              <w:left w:val="single" w:sz="6" w:space="0" w:color="000000"/>
              <w:bottom w:val="single" w:sz="6" w:space="0" w:color="000000"/>
              <w:right w:val="single" w:sz="6" w:space="0" w:color="000000"/>
            </w:tcBorders>
            <w:shd w:val="clear" w:color="auto" w:fill="D2D2D2"/>
          </w:tcPr>
          <w:p>
            <w:pPr/>
          </w:p>
        </w:tc>
        <w:tc>
          <w:tcPr>
            <w:tcW w:w="566" w:type="dxa"/>
            <w:vMerge/>
            <w:tcBorders>
              <w:left w:val="single" w:sz="6" w:space="0" w:color="000000"/>
              <w:bottom w:val="single" w:sz="6" w:space="0" w:color="000000"/>
              <w:right w:val="single" w:sz="6" w:space="0" w:color="000000"/>
            </w:tcBorders>
            <w:shd w:val="clear" w:color="auto" w:fill="D2D2D2"/>
          </w:tcPr>
          <w:p>
            <w:pPr/>
          </w:p>
        </w:tc>
        <w:tc>
          <w:tcPr>
            <w:tcW w:w="566"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6" w:space="0" w:color="000000"/>
            </w:tcBorders>
            <w:shd w:val="clear" w:color="auto" w:fill="D2D2D2"/>
          </w:tcPr>
          <w:p>
            <w:pPr/>
          </w:p>
        </w:tc>
        <w:tc>
          <w:tcPr>
            <w:tcW w:w="566" w:type="dxa"/>
            <w:tcBorders>
              <w:top w:val="nil" w:sz="6" w:space="0" w:color="auto"/>
              <w:left w:val="single" w:sz="6" w:space="0" w:color="000000"/>
              <w:bottom w:val="single" w:sz="6" w:space="0" w:color="000000"/>
              <w:right w:val="single" w:sz="6" w:space="0" w:color="000000"/>
            </w:tcBorders>
            <w:shd w:val="clear" w:color="auto" w:fill="D2D2D2"/>
          </w:tcPr>
          <w:p>
            <w:pPr/>
          </w:p>
        </w:tc>
        <w:tc>
          <w:tcPr>
            <w:tcW w:w="567" w:type="dxa"/>
            <w:vMerge/>
            <w:tcBorders>
              <w:left w:val="single" w:sz="6" w:space="0" w:color="000000"/>
              <w:bottom w:val="single" w:sz="6" w:space="0" w:color="000000"/>
              <w:right w:val="single" w:sz="6" w:space="0" w:color="000000"/>
            </w:tcBorders>
            <w:shd w:val="clear" w:color="auto" w:fill="D2D2D2"/>
          </w:tcPr>
          <w:p>
            <w:pPr/>
          </w:p>
        </w:tc>
        <w:tc>
          <w:tcPr>
            <w:tcW w:w="710" w:type="dxa"/>
            <w:tcBorders>
              <w:top w:val="nil" w:sz="6" w:space="0" w:color="auto"/>
              <w:left w:val="single" w:sz="6" w:space="0" w:color="000000"/>
              <w:bottom w:val="single" w:sz="6" w:space="0" w:color="000000"/>
              <w:right w:val="single" w:sz="6" w:space="0" w:color="000000"/>
            </w:tcBorders>
            <w:shd w:val="clear" w:color="auto" w:fill="D2D2D2"/>
          </w:tcPr>
          <w:p>
            <w:pPr/>
          </w:p>
        </w:tc>
        <w:tc>
          <w:tcPr>
            <w:tcW w:w="1702" w:type="dxa"/>
            <w:vMerge/>
            <w:tcBorders>
              <w:left w:val="single" w:sz="6" w:space="0" w:color="000000"/>
              <w:bottom w:val="single" w:sz="6" w:space="0" w:color="000000"/>
              <w:right w:val="single" w:sz="6" w:space="0" w:color="000000"/>
            </w:tcBorders>
            <w:shd w:val="clear" w:color="auto" w:fill="D2D2D2"/>
          </w:tcPr>
          <w:p>
            <w:pPr/>
          </w:p>
        </w:tc>
        <w:tc>
          <w:tcPr>
            <w:tcW w:w="1844" w:type="dxa"/>
            <w:vMerge/>
            <w:tcBorders>
              <w:left w:val="single" w:sz="6" w:space="0" w:color="000000"/>
              <w:bottom w:val="single" w:sz="6" w:space="0" w:color="000000"/>
              <w:right w:val="single" w:sz="6" w:space="0" w:color="000000"/>
            </w:tcBorders>
            <w:shd w:val="clear" w:color="auto" w:fill="D2D2D2"/>
          </w:tcPr>
          <w:p>
            <w:pPr/>
          </w:p>
        </w:tc>
        <w:tc>
          <w:tcPr>
            <w:tcW w:w="2220" w:type="dxa"/>
            <w:vMerge/>
            <w:tcBorders>
              <w:left w:val="single" w:sz="6" w:space="0" w:color="000000"/>
              <w:bottom w:val="single" w:sz="6" w:space="0" w:color="000000"/>
              <w:right w:val="single" w:sz="12" w:space="0" w:color="000000"/>
            </w:tcBorders>
            <w:shd w:val="clear" w:color="auto" w:fill="D2D2D2"/>
          </w:tcPr>
          <w:p>
            <w:pPr/>
          </w:p>
        </w:tc>
      </w:tr>
      <w:tr>
        <w:trPr>
          <w:trHeight w:val="470" w:hRule="exact"/>
        </w:trPr>
        <w:tc>
          <w:tcPr>
            <w:tcW w:w="20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7"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0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90,627,680.00</w:t>
            </w: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54,221,698.82</w:t>
            </w: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27" w:space="0" w:color="D2D2D2"/>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2,237,046.65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-284,619,453.08</w:t>
            </w:r>
          </w:p>
        </w:tc>
        <w:tc>
          <w:tcPr>
            <w:tcW w:w="22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-137,533,027.61</w:t>
            </w:r>
          </w:p>
        </w:tc>
      </w:tr>
      <w:tr>
        <w:trPr>
          <w:trHeight w:val="468" w:hRule="exact"/>
        </w:trPr>
        <w:tc>
          <w:tcPr>
            <w:tcW w:w="20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right="258"/>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307" w:type="dxa"/>
            <w:tcBorders>
              <w:top w:val="single" w:sz="6" w:space="0" w:color="000000"/>
              <w:left w:val="single" w:sz="9" w:space="0" w:color="D2D2D2"/>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20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right="258"/>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307" w:type="dxa"/>
            <w:tcBorders>
              <w:top w:val="single" w:sz="6" w:space="0" w:color="000000"/>
              <w:left w:val="single" w:sz="9" w:space="0" w:color="D2D2D2"/>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0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right="250"/>
              <w:jc w:val="center"/>
              <w:rPr>
                <w:rFonts w:ascii="宋体" w:hAnsi="宋体" w:cs="宋体" w:eastAsia="宋体" w:hint="default"/>
                <w:sz w:val="18"/>
                <w:szCs w:val="18"/>
              </w:rPr>
            </w:pPr>
            <w:r>
              <w:rPr>
                <w:rFonts w:ascii="宋体" w:hAnsi="宋体" w:cs="宋体" w:eastAsia="宋体" w:hint="default"/>
                <w:sz w:val="18"/>
                <w:szCs w:val="18"/>
              </w:rPr>
              <w:t>其他</w:t>
            </w:r>
          </w:p>
        </w:tc>
        <w:tc>
          <w:tcPr>
            <w:tcW w:w="1307" w:type="dxa"/>
            <w:tcBorders>
              <w:top w:val="single" w:sz="6" w:space="0" w:color="000000"/>
              <w:left w:val="single" w:sz="9" w:space="0" w:color="D2D2D2"/>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20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0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90,627,680.00</w:t>
            </w: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54,221,698.82</w:t>
            </w: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2,237,046.65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-284,619,453.08</w:t>
            </w:r>
          </w:p>
        </w:tc>
        <w:tc>
          <w:tcPr>
            <w:tcW w:w="22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-137,533,027.61</w:t>
            </w:r>
          </w:p>
        </w:tc>
      </w:tr>
      <w:tr>
        <w:trPr>
          <w:trHeight w:val="814" w:hRule="exact"/>
        </w:trPr>
        <w:tc>
          <w:tcPr>
            <w:tcW w:w="20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4" w:lineRule="auto" w:before="116"/>
              <w:ind w:left="7" w:right="9"/>
              <w:jc w:val="left"/>
              <w:rPr>
                <w:rFonts w:ascii="宋体" w:hAnsi="宋体" w:cs="宋体" w:eastAsia="宋体" w:hint="default"/>
                <w:sz w:val="18"/>
                <w:szCs w:val="18"/>
              </w:rPr>
            </w:pPr>
            <w:r>
              <w:rPr>
                <w:rFonts w:ascii="宋体" w:hAnsi="宋体" w:cs="宋体" w:eastAsia="宋体" w:hint="default"/>
                <w:spacing w:val="-10"/>
                <w:sz w:val="18"/>
                <w:szCs w:val="18"/>
              </w:rPr>
              <w:t>三、本期增减变动金额（减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0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340,586,334.00</w:t>
            </w: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715,686,838.38</w:t>
            </w: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85,691.71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2,798,297.10</w:t>
            </w:r>
          </w:p>
        </w:tc>
        <w:tc>
          <w:tcPr>
            <w:tcW w:w="22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1,059,157,161.19</w:t>
            </w:r>
          </w:p>
        </w:tc>
      </w:tr>
      <w:tr>
        <w:trPr>
          <w:trHeight w:val="470" w:hRule="exact"/>
        </w:trPr>
        <w:tc>
          <w:tcPr>
            <w:tcW w:w="20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07" w:type="dxa"/>
            <w:tcBorders>
              <w:top w:val="single" w:sz="6" w:space="0" w:color="000000"/>
              <w:left w:val="single" w:sz="9" w:space="0" w:color="D2D2D2"/>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-14,706,423.80</w:t>
            </w:r>
          </w:p>
        </w:tc>
        <w:tc>
          <w:tcPr>
            <w:tcW w:w="22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-14,706,423.80</w:t>
            </w:r>
          </w:p>
        </w:tc>
      </w:tr>
      <w:tr>
        <w:trPr>
          <w:trHeight w:val="814" w:hRule="exact"/>
        </w:trPr>
        <w:tc>
          <w:tcPr>
            <w:tcW w:w="20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4" w:lineRule="auto" w:before="116"/>
              <w:ind w:left="7" w:right="78"/>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30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340,586,334.00</w:t>
            </w: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715,686,838.38</w:t>
            </w: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85,691.71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17,504,720.90</w:t>
            </w:r>
          </w:p>
        </w:tc>
        <w:tc>
          <w:tcPr>
            <w:tcW w:w="22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1,073,863,584.99</w:t>
            </w:r>
          </w:p>
        </w:tc>
      </w:tr>
      <w:tr>
        <w:trPr>
          <w:trHeight w:val="470" w:hRule="exact"/>
        </w:trPr>
        <w:tc>
          <w:tcPr>
            <w:tcW w:w="20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0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340,586,334.00</w:t>
            </w: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340,586,334.00</w:t>
            </w:r>
          </w:p>
        </w:tc>
      </w:tr>
      <w:tr>
        <w:trPr>
          <w:trHeight w:val="814" w:hRule="exact"/>
        </w:trPr>
        <w:tc>
          <w:tcPr>
            <w:tcW w:w="20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45" w:lineRule="auto" w:before="116"/>
              <w:ind w:left="7" w:right="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．其他权益工具持有者投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入资本</w:t>
            </w:r>
          </w:p>
        </w:tc>
        <w:tc>
          <w:tcPr>
            <w:tcW w:w="1307" w:type="dxa"/>
            <w:tcBorders>
              <w:top w:val="single" w:sz="6" w:space="0" w:color="000000"/>
              <w:left w:val="single" w:sz="9" w:space="0" w:color="D2D2D2"/>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single" w:sz="12" w:space="0" w:color="000000"/>
            </w:tcBorders>
          </w:tcPr>
          <w:p>
            <w:pPr/>
          </w:p>
        </w:tc>
      </w:tr>
      <w:tr>
        <w:trPr>
          <w:trHeight w:val="821" w:hRule="exact"/>
        </w:trPr>
        <w:tc>
          <w:tcPr>
            <w:tcW w:w="209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48" w:lineRule="auto" w:before="116"/>
              <w:ind w:left="7" w:right="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．股份支付计入所有者权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益的金额</w:t>
            </w:r>
          </w:p>
        </w:tc>
        <w:tc>
          <w:tcPr>
            <w:tcW w:w="1307" w:type="dxa"/>
            <w:tcBorders>
              <w:top w:val="single" w:sz="6" w:space="0" w:color="000000"/>
              <w:left w:val="single" w:sz="9" w:space="0" w:color="D2D2D2"/>
              <w:bottom w:val="single" w:sz="12" w:space="0" w:color="000000"/>
              <w:right w:val="single" w:sz="6" w:space="0" w:color="000000"/>
            </w:tcBorders>
          </w:tcPr>
          <w:p>
            <w:pPr/>
          </w:p>
        </w:tc>
        <w:tc>
          <w:tcPr>
            <w:tcW w:w="567"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567" w:type="dxa"/>
            <w:tcBorders>
              <w:top w:val="single" w:sz="6" w:space="0" w:color="000000"/>
              <w:left w:val="single" w:sz="6" w:space="0" w:color="000000"/>
              <w:bottom w:val="single" w:sz="12" w:space="0" w:color="000000"/>
              <w:right w:val="single" w:sz="6" w:space="0" w:color="000000"/>
            </w:tcBorders>
          </w:tcPr>
          <w:p>
            <w:pPr/>
          </w:p>
        </w:tc>
        <w:tc>
          <w:tcPr>
            <w:tcW w:w="710" w:type="dxa"/>
            <w:tcBorders>
              <w:top w:val="single" w:sz="6" w:space="0" w:color="000000"/>
              <w:left w:val="single" w:sz="6" w:space="0" w:color="000000"/>
              <w:bottom w:val="single" w:sz="12" w:space="0" w:color="000000"/>
              <w:right w:val="single" w:sz="6" w:space="0" w:color="000000"/>
            </w:tcBorders>
          </w:tcPr>
          <w:p>
            <w:pPr/>
          </w:p>
        </w:tc>
        <w:tc>
          <w:tcPr>
            <w:tcW w:w="1702" w:type="dxa"/>
            <w:tcBorders>
              <w:top w:val="single" w:sz="6" w:space="0" w:color="000000"/>
              <w:left w:val="single" w:sz="6" w:space="0" w:color="000000"/>
              <w:bottom w:val="single" w:sz="12" w:space="0" w:color="000000"/>
              <w:right w:val="single" w:sz="6" w:space="0" w:color="000000"/>
            </w:tcBorders>
          </w:tcPr>
          <w:p>
            <w:pPr/>
          </w:p>
        </w:tc>
        <w:tc>
          <w:tcPr>
            <w:tcW w:w="1844" w:type="dxa"/>
            <w:tcBorders>
              <w:top w:val="single" w:sz="6" w:space="0" w:color="000000"/>
              <w:left w:val="single" w:sz="6" w:space="0" w:color="000000"/>
              <w:bottom w:val="single" w:sz="12" w:space="0" w:color="000000"/>
              <w:right w:val="single" w:sz="6" w:space="0" w:color="000000"/>
            </w:tcBorders>
          </w:tcPr>
          <w:p>
            <w:pPr/>
          </w:p>
        </w:tc>
        <w:tc>
          <w:tcPr>
            <w:tcW w:w="2220"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6840" w:h="11910" w:orient="landscape"/>
          <w:pgMar w:header="877" w:footer="979" w:top="1100" w:bottom="1160" w:left="1300" w:right="1280"/>
        </w:sectPr>
      </w:pPr>
    </w:p>
    <w:tbl>
      <w:tblPr>
        <w:tblW w:w="0" w:type="auto"/>
        <w:jc w:val="left"/>
        <w:tblInd w:w="125" w:type="dxa"/>
        <w:tblLayout w:type="fixed"/>
        <w:tblCellMar>
          <w:top w:w="0" w:type="dxa"/>
          <w:left w:w="0" w:type="dxa"/>
          <w:bottom w:w="0" w:type="dxa"/>
          <w:right w:w="0" w:type="dxa"/>
        </w:tblCellMar>
        <w:tblLook w:val="01E0"/>
      </w:tblPr>
      <w:tblGrid>
        <w:gridCol w:w="2108"/>
        <w:gridCol w:w="1296"/>
        <w:gridCol w:w="567"/>
        <w:gridCol w:w="566"/>
        <w:gridCol w:w="566"/>
        <w:gridCol w:w="1277"/>
        <w:gridCol w:w="566"/>
        <w:gridCol w:w="567"/>
        <w:gridCol w:w="710"/>
        <w:gridCol w:w="1702"/>
        <w:gridCol w:w="1844"/>
        <w:gridCol w:w="2220"/>
      </w:tblGrid>
      <w:tr>
        <w:trPr>
          <w:trHeight w:val="478" w:hRule="exact"/>
        </w:trPr>
        <w:tc>
          <w:tcPr>
            <w:tcW w:w="210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6" w:type="dxa"/>
            <w:tcBorders>
              <w:top w:val="single" w:sz="12" w:space="0" w:color="000000"/>
              <w:left w:val="single" w:sz="6" w:space="0" w:color="000000"/>
              <w:bottom w:val="single" w:sz="6" w:space="0" w:color="000000"/>
              <w:right w:val="single" w:sz="6" w:space="0" w:color="000000"/>
            </w:tcBorders>
          </w:tcPr>
          <w:p>
            <w:pPr/>
          </w:p>
        </w:tc>
        <w:tc>
          <w:tcPr>
            <w:tcW w:w="567" w:type="dxa"/>
            <w:tcBorders>
              <w:top w:val="single" w:sz="12" w:space="0" w:color="000000"/>
              <w:left w:val="single" w:sz="6" w:space="0" w:color="000000"/>
              <w:bottom w:val="single" w:sz="6" w:space="0" w:color="000000"/>
              <w:right w:val="single" w:sz="6" w:space="0" w:color="000000"/>
            </w:tcBorders>
          </w:tcPr>
          <w:p>
            <w:pPr/>
          </w:p>
        </w:tc>
        <w:tc>
          <w:tcPr>
            <w:tcW w:w="566" w:type="dxa"/>
            <w:tcBorders>
              <w:top w:val="single" w:sz="12" w:space="0" w:color="000000"/>
              <w:left w:val="single" w:sz="6" w:space="0" w:color="000000"/>
              <w:bottom w:val="single" w:sz="6" w:space="0" w:color="000000"/>
              <w:right w:val="single" w:sz="6" w:space="0" w:color="000000"/>
            </w:tcBorders>
          </w:tcPr>
          <w:p>
            <w:pPr/>
          </w:p>
        </w:tc>
        <w:tc>
          <w:tcPr>
            <w:tcW w:w="566"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715,686,838.38</w:t>
            </w:r>
          </w:p>
        </w:tc>
        <w:tc>
          <w:tcPr>
            <w:tcW w:w="566" w:type="dxa"/>
            <w:tcBorders>
              <w:top w:val="single" w:sz="12" w:space="0" w:color="000000"/>
              <w:left w:val="single" w:sz="6" w:space="0" w:color="000000"/>
              <w:bottom w:val="single" w:sz="6" w:space="0" w:color="000000"/>
              <w:right w:val="single" w:sz="6" w:space="0" w:color="000000"/>
            </w:tcBorders>
          </w:tcPr>
          <w:p>
            <w:pPr/>
          </w:p>
        </w:tc>
        <w:tc>
          <w:tcPr>
            <w:tcW w:w="567" w:type="dxa"/>
            <w:tcBorders>
              <w:top w:val="single" w:sz="12" w:space="0" w:color="000000"/>
              <w:left w:val="single" w:sz="6" w:space="0" w:color="000000"/>
              <w:bottom w:val="single" w:sz="6" w:space="0" w:color="000000"/>
              <w:right w:val="single" w:sz="6" w:space="0" w:color="000000"/>
            </w:tcBorders>
          </w:tcPr>
          <w:p>
            <w:pPr/>
          </w:p>
        </w:tc>
        <w:tc>
          <w:tcPr>
            <w:tcW w:w="710" w:type="dxa"/>
            <w:tcBorders>
              <w:top w:val="single" w:sz="12" w:space="0" w:color="000000"/>
              <w:left w:val="single" w:sz="6" w:space="0" w:color="000000"/>
              <w:bottom w:val="single" w:sz="6" w:space="0" w:color="000000"/>
              <w:right w:val="single" w:sz="6" w:space="0" w:color="000000"/>
            </w:tcBorders>
          </w:tcPr>
          <w:p>
            <w:pP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85,691.71</w:t>
            </w:r>
          </w:p>
        </w:tc>
        <w:tc>
          <w:tcPr>
            <w:tcW w:w="18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17,504,720.90</w:t>
            </w:r>
          </w:p>
        </w:tc>
        <w:tc>
          <w:tcPr>
            <w:tcW w:w="222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733,277,250.99</w:t>
            </w:r>
          </w:p>
        </w:tc>
      </w:tr>
      <w:tr>
        <w:trPr>
          <w:trHeight w:val="470"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single" w:sz="12" w:space="0" w:color="000000"/>
            </w:tcBorders>
          </w:tcPr>
          <w:p>
            <w:pPr/>
          </w:p>
        </w:tc>
      </w:tr>
      <w:tr>
        <w:trPr>
          <w:trHeight w:val="817"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45" w:lineRule="auto" w:before="116"/>
              <w:ind w:left="14"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．对所有者（或股东）的</w:t>
            </w:r>
            <w:r>
              <w:rPr>
                <w:rFonts w:ascii="宋体" w:hAnsi="宋体" w:cs="宋体" w:eastAsia="宋体" w:hint="default"/>
                <w:sz w:val="18"/>
                <w:szCs w:val="18"/>
              </w:rPr>
              <w:t> 分配</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single" w:sz="12" w:space="0" w:color="000000"/>
            </w:tcBorders>
          </w:tcPr>
          <w:p>
            <w:pPr/>
          </w:p>
        </w:tc>
      </w:tr>
      <w:tr>
        <w:trPr>
          <w:trHeight w:val="854"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400" w:lineRule="exact" w:before="6"/>
              <w:ind w:left="14" w:right="269"/>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single" w:sz="12" w:space="0" w:color="000000"/>
            </w:tcBorders>
          </w:tcPr>
          <w:p>
            <w:pPr/>
          </w:p>
        </w:tc>
      </w:tr>
      <w:tr>
        <w:trPr>
          <w:trHeight w:val="816"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45" w:lineRule="auto" w:before="116"/>
              <w:ind w:left="1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single" w:sz="12" w:space="0" w:color="000000"/>
            </w:tcBorders>
          </w:tcPr>
          <w:p>
            <w:pPr/>
          </w:p>
        </w:tc>
      </w:tr>
      <w:tr>
        <w:trPr>
          <w:trHeight w:val="814"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45" w:lineRule="auto" w:before="116"/>
              <w:ind w:left="1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single" w:sz="12" w:space="0" w:color="000000"/>
            </w:tcBorders>
          </w:tcPr>
          <w:p>
            <w:pPr/>
          </w:p>
        </w:tc>
      </w:tr>
      <w:tr>
        <w:trPr>
          <w:trHeight w:val="471"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21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9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single" w:sz="12" w:space="0" w:color="000000"/>
            </w:tcBorders>
          </w:tcPr>
          <w:p>
            <w:pPr/>
          </w:p>
        </w:tc>
      </w:tr>
      <w:tr>
        <w:trPr>
          <w:trHeight w:val="475" w:hRule="exact"/>
        </w:trPr>
        <w:tc>
          <w:tcPr>
            <w:tcW w:w="210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431,214,014.00</w:t>
            </w:r>
          </w:p>
        </w:tc>
        <w:tc>
          <w:tcPr>
            <w:tcW w:w="567"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769,908,537.20</w:t>
            </w:r>
          </w:p>
        </w:tc>
        <w:tc>
          <w:tcPr>
            <w:tcW w:w="566" w:type="dxa"/>
            <w:tcBorders>
              <w:top w:val="single" w:sz="6" w:space="0" w:color="000000"/>
              <w:left w:val="single" w:sz="6" w:space="0" w:color="000000"/>
              <w:bottom w:val="single" w:sz="12" w:space="0" w:color="000000"/>
              <w:right w:val="single" w:sz="6" w:space="0" w:color="000000"/>
            </w:tcBorders>
          </w:tcPr>
          <w:p>
            <w:pPr/>
          </w:p>
        </w:tc>
        <w:tc>
          <w:tcPr>
            <w:tcW w:w="567" w:type="dxa"/>
            <w:tcBorders>
              <w:top w:val="single" w:sz="6" w:space="0" w:color="000000"/>
              <w:left w:val="single" w:sz="6" w:space="0" w:color="000000"/>
              <w:bottom w:val="single" w:sz="12" w:space="0" w:color="000000"/>
              <w:right w:val="single" w:sz="6" w:space="0" w:color="000000"/>
            </w:tcBorders>
          </w:tcPr>
          <w:p>
            <w:pPr/>
          </w:p>
        </w:tc>
        <w:tc>
          <w:tcPr>
            <w:tcW w:w="710" w:type="dxa"/>
            <w:tcBorders>
              <w:top w:val="single" w:sz="6" w:space="0" w:color="000000"/>
              <w:left w:val="single" w:sz="6" w:space="0" w:color="000000"/>
              <w:bottom w:val="single" w:sz="12" w:space="0" w:color="000000"/>
              <w:right w:val="single" w:sz="6" w:space="0" w:color="000000"/>
            </w:tcBorders>
          </w:tcPr>
          <w:p>
            <w:pP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2,322,738.36</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-281,821,155.98</w:t>
            </w:r>
          </w:p>
        </w:tc>
        <w:tc>
          <w:tcPr>
            <w:tcW w:w="22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921,624,133.58</w:t>
            </w:r>
          </w:p>
        </w:tc>
      </w:tr>
    </w:tbl>
    <w:p>
      <w:pPr>
        <w:spacing w:line="240" w:lineRule="auto" w:before="7"/>
        <w:rPr>
          <w:rFonts w:ascii="宋体" w:hAnsi="宋体" w:cs="宋体" w:eastAsia="宋体" w:hint="default"/>
          <w:sz w:val="25"/>
          <w:szCs w:val="25"/>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法定代表人：郭为主管会计工作负责人：辛昕会计机构负责人：任军</w:t>
      </w:r>
    </w:p>
    <w:p>
      <w:pPr>
        <w:spacing w:after="0"/>
        <w:jc w:val="left"/>
        <w:rPr>
          <w:rFonts w:ascii="宋体" w:hAnsi="宋体" w:cs="宋体" w:eastAsia="宋体" w:hint="default"/>
          <w:sz w:val="18"/>
          <w:szCs w:val="18"/>
        </w:rPr>
        <w:sectPr>
          <w:pgSz w:w="16840" w:h="11910" w:orient="landscape"/>
          <w:pgMar w:header="877" w:footer="979" w:top="1120" w:bottom="1160" w:left="1300" w:right="1280"/>
        </w:sectPr>
      </w:pPr>
    </w:p>
    <w:p>
      <w:pPr>
        <w:spacing w:line="240" w:lineRule="auto" w:before="2"/>
        <w:rPr>
          <w:rFonts w:ascii="宋体" w:hAnsi="宋体" w:cs="宋体" w:eastAsia="宋体" w:hint="default"/>
          <w:sz w:val="23"/>
          <w:szCs w:val="23"/>
        </w:rPr>
      </w:pPr>
    </w:p>
    <w:p>
      <w:pPr>
        <w:pStyle w:val="Heading2"/>
        <w:spacing w:line="240" w:lineRule="auto"/>
        <w:ind w:right="140"/>
        <w:jc w:val="left"/>
        <w:rPr>
          <w:b w:val="0"/>
          <w:bCs w:val="0"/>
        </w:rPr>
      </w:pPr>
      <w:r>
        <w:rPr/>
        <w:t>三、公司基本情况</w:t>
      </w:r>
      <w:r>
        <w:rPr>
          <w:b w:val="0"/>
          <w:bCs w:val="0"/>
        </w:rPr>
      </w:r>
    </w:p>
    <w:p>
      <w:pPr>
        <w:spacing w:line="240" w:lineRule="auto" w:before="10"/>
        <w:rPr>
          <w:rFonts w:ascii="宋体" w:hAnsi="宋体" w:cs="宋体" w:eastAsia="宋体" w:hint="default"/>
          <w:b/>
          <w:bCs/>
          <w:sz w:val="30"/>
          <w:szCs w:val="30"/>
        </w:rPr>
      </w:pPr>
    </w:p>
    <w:p>
      <w:pPr>
        <w:spacing w:line="408" w:lineRule="auto" w:before="0"/>
        <w:ind w:left="573" w:right="140"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、神州信息设立及上市情况</w:t>
      </w:r>
      <w:r>
        <w:rPr>
          <w:rFonts w:ascii="宋体" w:hAnsi="宋体" w:cs="宋体" w:eastAsia="宋体" w:hint="default"/>
          <w:b/>
          <w:bCs/>
          <w:w w:val="100"/>
          <w:sz w:val="21"/>
          <w:szCs w:val="21"/>
        </w:rPr>
        <w:t> </w:t>
      </w:r>
      <w:r>
        <w:rPr>
          <w:rFonts w:ascii="宋体" w:hAnsi="宋体" w:cs="宋体" w:eastAsia="宋体" w:hint="default"/>
          <w:spacing w:val="-2"/>
          <w:sz w:val="21"/>
          <w:szCs w:val="21"/>
        </w:rPr>
        <w:t>神州数码信息服务股份有限公司（以下简称本公司、公司或神州信息）前身为深圳市太光电信股份有</w:t>
      </w:r>
    </w:p>
    <w:p>
      <w:pPr>
        <w:pStyle w:val="BodyText"/>
        <w:spacing w:line="408" w:lineRule="auto" w:before="46"/>
        <w:ind w:right="138"/>
        <w:jc w:val="left"/>
      </w:pPr>
      <w:r>
        <w:rPr>
          <w:spacing w:val="-2"/>
        </w:rPr>
        <w:t>限公司（以下简称太光电信），是经贵州省经济体制改革委员会出具的《关于同意改组成立“贵州凯涤股</w:t>
      </w:r>
      <w:r>
        <w:rPr>
          <w:spacing w:val="-47"/>
        </w:rPr>
        <w:t> </w:t>
      </w:r>
      <w:r>
        <w:rPr>
          <w:spacing w:val="-47"/>
        </w:rPr>
      </w:r>
      <w:r>
        <w:rPr>
          <w:spacing w:val="-2"/>
        </w:rPr>
        <w:t>份有限公司”的批复》（黔体改股字【</w:t>
      </w:r>
      <w:r>
        <w:rPr>
          <w:rFonts w:ascii="宋体" w:hAnsi="宋体" w:cs="宋体" w:eastAsia="宋体" w:hint="default"/>
          <w:spacing w:val="-2"/>
        </w:rPr>
        <w:t>1993</w:t>
      </w:r>
      <w:r>
        <w:rPr>
          <w:spacing w:val="-2"/>
        </w:rPr>
        <w:t>】第</w:t>
      </w:r>
      <w:r>
        <w:rPr>
          <w:rFonts w:ascii="宋体" w:hAnsi="宋体" w:cs="宋体" w:eastAsia="宋体" w:hint="default"/>
          <w:spacing w:val="-2"/>
        </w:rPr>
        <w:t>72</w:t>
      </w:r>
      <w:r>
        <w:rPr>
          <w:spacing w:val="-2"/>
        </w:rPr>
        <w:t>号）、贵州省人民政府出具的《关于同意贵州凯涤股份</w:t>
      </w:r>
      <w:r>
        <w:rPr>
          <w:spacing w:val="-39"/>
        </w:rPr>
        <w:t> </w:t>
      </w:r>
      <w:r>
        <w:rPr>
          <w:spacing w:val="-39"/>
        </w:rPr>
      </w:r>
      <w:r>
        <w:rPr/>
        <w:t>有限公司公开发行股票并在异地上市的批复》（贵州省人民政府黔府函【</w:t>
      </w:r>
      <w:r>
        <w:rPr>
          <w:rFonts w:ascii="宋体" w:hAnsi="宋体" w:cs="宋体" w:eastAsia="宋体" w:hint="default"/>
        </w:rPr>
        <w:t>1993</w:t>
      </w:r>
      <w:r>
        <w:rPr/>
        <w:t>】</w:t>
      </w:r>
      <w:r>
        <w:rPr>
          <w:rFonts w:ascii="宋体" w:hAnsi="宋体" w:cs="宋体" w:eastAsia="宋体" w:hint="default"/>
        </w:rPr>
        <w:t>174</w:t>
      </w:r>
      <w:r>
        <w:rPr/>
        <w:t>号文）以及中国证券</w:t>
      </w:r>
      <w:r>
        <w:rPr>
          <w:w w:val="100"/>
        </w:rPr>
        <w:t> </w:t>
      </w:r>
      <w:r>
        <w:rPr/>
        <w:t>监督管理委员会出具的《证监发审字（</w:t>
      </w:r>
      <w:r>
        <w:rPr>
          <w:rFonts w:ascii="宋体" w:hAnsi="宋体" w:cs="宋体" w:eastAsia="宋体" w:hint="default"/>
        </w:rPr>
        <w:t>1993</w:t>
      </w:r>
      <w:r>
        <w:rPr/>
        <w:t>）</w:t>
      </w:r>
      <w:r>
        <w:rPr>
          <w:rFonts w:ascii="宋体" w:hAnsi="宋体" w:cs="宋体" w:eastAsia="宋体" w:hint="default"/>
        </w:rPr>
        <w:t>100</w:t>
      </w:r>
      <w:r>
        <w:rPr>
          <w:rFonts w:ascii="宋体" w:hAnsi="宋体" w:cs="宋体" w:eastAsia="宋体" w:hint="default"/>
          <w:spacing w:val="-25"/>
        </w:rPr>
        <w:t> </w:t>
      </w:r>
      <w:r>
        <w:rPr/>
        <w:t>号》文批准，由贵州省凯里涤纶厂作为主发起人，采取</w:t>
      </w:r>
      <w:r>
        <w:rPr>
          <w:w w:val="100"/>
        </w:rPr>
        <w:t> </w:t>
      </w:r>
      <w:r>
        <w:rPr/>
        <w:t>社会募集方式设立的股份有限公司，原名称为贵州凯涤股份有限公司，设立时总股本为</w:t>
      </w:r>
      <w:r>
        <w:rPr>
          <w:rFonts w:ascii="宋体" w:hAnsi="宋体" w:cs="宋体" w:eastAsia="宋体" w:hint="default"/>
        </w:rPr>
        <w:t>7,438.88</w:t>
      </w:r>
      <w:r>
        <w:rPr/>
        <w:t>万股。</w:t>
      </w:r>
    </w:p>
    <w:p>
      <w:pPr>
        <w:pStyle w:val="BodyText"/>
        <w:spacing w:line="408" w:lineRule="auto" w:before="46"/>
        <w:ind w:right="226" w:firstLine="420"/>
        <w:jc w:val="left"/>
      </w:pPr>
      <w:r>
        <w:rPr>
          <w:rFonts w:ascii="宋体" w:hAnsi="宋体" w:cs="宋体" w:eastAsia="宋体" w:hint="default"/>
          <w:spacing w:val="-2"/>
        </w:rPr>
        <w:t>1994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8</w:t>
      </w:r>
      <w:r>
        <w:rPr>
          <w:spacing w:val="-2"/>
        </w:rPr>
        <w:t>日，经深圳证券交易所《深证市字（</w:t>
      </w:r>
      <w:r>
        <w:rPr>
          <w:rFonts w:ascii="宋体" w:hAnsi="宋体" w:cs="宋体" w:eastAsia="宋体" w:hint="default"/>
          <w:spacing w:val="-2"/>
        </w:rPr>
        <w:t>1994</w:t>
      </w:r>
      <w:r>
        <w:rPr>
          <w:spacing w:val="-2"/>
        </w:rPr>
        <w:t>）第</w:t>
      </w:r>
      <w:r>
        <w:rPr>
          <w:rFonts w:ascii="宋体" w:hAnsi="宋体" w:cs="宋体" w:eastAsia="宋体" w:hint="default"/>
          <w:spacing w:val="-2"/>
        </w:rPr>
        <w:t>7</w:t>
      </w:r>
      <w:r>
        <w:rPr>
          <w:spacing w:val="-2"/>
        </w:rPr>
        <w:t>号》文批准，在深圳证券交易所挂牌上市</w:t>
      </w:r>
      <w:r>
        <w:rPr>
          <w:w w:val="100"/>
        </w:rPr>
        <w:t> </w:t>
      </w:r>
      <w:r>
        <w:rPr/>
        <w:t>交易，贵州省凯里涤纶厂持有太光电信 </w:t>
      </w:r>
      <w:r>
        <w:rPr>
          <w:rFonts w:ascii="宋体" w:hAnsi="宋体" w:cs="宋体" w:eastAsia="宋体" w:hint="default"/>
        </w:rPr>
        <w:t>32,412,428 </w:t>
      </w:r>
      <w:r>
        <w:rPr/>
        <w:t>股，占总股本的</w:t>
      </w:r>
      <w:r>
        <w:rPr>
          <w:spacing w:val="-8"/>
        </w:rPr>
        <w:t> </w:t>
      </w:r>
      <w:r>
        <w:rPr>
          <w:rFonts w:ascii="宋体" w:hAnsi="宋体" w:cs="宋体" w:eastAsia="宋体" w:hint="default"/>
        </w:rPr>
        <w:t>43.57%</w:t>
      </w:r>
      <w:r>
        <w:rPr/>
        <w:t>，为太光电信的控股股东。</w:t>
      </w:r>
    </w:p>
    <w:p>
      <w:pPr>
        <w:pStyle w:val="BodyText"/>
        <w:spacing w:line="240" w:lineRule="auto" w:before="46"/>
        <w:ind w:left="573" w:right="140"/>
        <w:jc w:val="left"/>
      </w:pPr>
      <w:r>
        <w:rPr/>
        <w:t>首次公开发行上市完成时，股本结构如下：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124" w:type="dxa"/>
        <w:tblLayout w:type="fixed"/>
        <w:tblCellMar>
          <w:top w:w="0" w:type="dxa"/>
          <w:left w:w="0" w:type="dxa"/>
          <w:bottom w:w="0" w:type="dxa"/>
          <w:right w:w="0" w:type="dxa"/>
        </w:tblCellMar>
        <w:tblLook w:val="01E0"/>
      </w:tblPr>
      <w:tblGrid>
        <w:gridCol w:w="3493"/>
        <w:gridCol w:w="3044"/>
        <w:gridCol w:w="3126"/>
      </w:tblGrid>
      <w:tr>
        <w:trPr>
          <w:trHeight w:val="478" w:hRule="exact"/>
        </w:trPr>
        <w:tc>
          <w:tcPr>
            <w:tcW w:w="3493"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股份类别</w:t>
            </w:r>
          </w:p>
        </w:tc>
        <w:tc>
          <w:tcPr>
            <w:tcW w:w="3044"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9"/>
              <w:ind w:left="796" w:right="0"/>
              <w:jc w:val="left"/>
              <w:rPr>
                <w:rFonts w:ascii="宋体" w:hAnsi="宋体" w:cs="宋体" w:eastAsia="宋体" w:hint="default"/>
                <w:sz w:val="18"/>
                <w:szCs w:val="18"/>
              </w:rPr>
            </w:pPr>
            <w:r>
              <w:rPr>
                <w:rFonts w:ascii="宋体" w:hAnsi="宋体" w:cs="宋体" w:eastAsia="宋体" w:hint="default"/>
                <w:sz w:val="18"/>
                <w:szCs w:val="18"/>
              </w:rPr>
              <w:t>股份数量（万股）</w:t>
            </w:r>
          </w:p>
        </w:tc>
        <w:tc>
          <w:tcPr>
            <w:tcW w:w="3126" w:type="dxa"/>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所占比例</w:t>
            </w:r>
          </w:p>
        </w:tc>
      </w:tr>
      <w:tr>
        <w:trPr>
          <w:trHeight w:val="468" w:hRule="exact"/>
        </w:trPr>
        <w:tc>
          <w:tcPr>
            <w:tcW w:w="3493"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国家法人股</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w w:val="95"/>
                <w:sz w:val="18"/>
              </w:rPr>
              <w:t>3,241.24</w:t>
            </w:r>
          </w:p>
        </w:tc>
        <w:tc>
          <w:tcPr>
            <w:tcW w:w="31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6"/>
              <w:jc w:val="right"/>
              <w:rPr>
                <w:rFonts w:ascii="Times New Roman" w:hAnsi="Times New Roman" w:cs="Times New Roman" w:eastAsia="Times New Roman" w:hint="default"/>
                <w:sz w:val="18"/>
                <w:szCs w:val="18"/>
              </w:rPr>
            </w:pPr>
            <w:r>
              <w:rPr>
                <w:rFonts w:ascii="Times New Roman"/>
                <w:sz w:val="18"/>
              </w:rPr>
              <w:t>43.57%</w:t>
            </w:r>
          </w:p>
        </w:tc>
      </w:tr>
      <w:tr>
        <w:trPr>
          <w:trHeight w:val="468" w:hRule="exact"/>
        </w:trPr>
        <w:tc>
          <w:tcPr>
            <w:tcW w:w="3493"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其他法人股</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w w:val="95"/>
                <w:sz w:val="18"/>
              </w:rPr>
              <w:t>2,197.64</w:t>
            </w:r>
          </w:p>
        </w:tc>
        <w:tc>
          <w:tcPr>
            <w:tcW w:w="31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6"/>
              <w:jc w:val="right"/>
              <w:rPr>
                <w:rFonts w:ascii="Times New Roman" w:hAnsi="Times New Roman" w:cs="Times New Roman" w:eastAsia="Times New Roman" w:hint="default"/>
                <w:sz w:val="18"/>
                <w:szCs w:val="18"/>
              </w:rPr>
            </w:pPr>
            <w:r>
              <w:rPr>
                <w:rFonts w:ascii="Times New Roman"/>
                <w:sz w:val="18"/>
              </w:rPr>
              <w:t>29.54%</w:t>
            </w:r>
          </w:p>
        </w:tc>
      </w:tr>
      <w:tr>
        <w:trPr>
          <w:trHeight w:val="471" w:hRule="exact"/>
        </w:trPr>
        <w:tc>
          <w:tcPr>
            <w:tcW w:w="3493"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社会公众股</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5"/>
              <w:jc w:val="right"/>
              <w:rPr>
                <w:rFonts w:ascii="Times New Roman" w:hAnsi="Times New Roman" w:cs="Times New Roman" w:eastAsia="Times New Roman" w:hint="default"/>
                <w:sz w:val="18"/>
                <w:szCs w:val="18"/>
              </w:rPr>
            </w:pPr>
            <w:r>
              <w:rPr>
                <w:rFonts w:ascii="Times New Roman"/>
                <w:w w:val="95"/>
                <w:sz w:val="18"/>
              </w:rPr>
              <w:t>2,000.00</w:t>
            </w:r>
          </w:p>
        </w:tc>
        <w:tc>
          <w:tcPr>
            <w:tcW w:w="31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4"/>
              <w:ind w:right="86"/>
              <w:jc w:val="right"/>
              <w:rPr>
                <w:rFonts w:ascii="Times New Roman" w:hAnsi="Times New Roman" w:cs="Times New Roman" w:eastAsia="Times New Roman" w:hint="default"/>
                <w:sz w:val="18"/>
                <w:szCs w:val="18"/>
              </w:rPr>
            </w:pPr>
            <w:r>
              <w:rPr>
                <w:rFonts w:ascii="Times New Roman"/>
                <w:sz w:val="18"/>
              </w:rPr>
              <w:t>26.89%</w:t>
            </w:r>
          </w:p>
        </w:tc>
      </w:tr>
      <w:tr>
        <w:trPr>
          <w:trHeight w:val="468" w:hRule="exact"/>
        </w:trPr>
        <w:tc>
          <w:tcPr>
            <w:tcW w:w="3493"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其中：内部职工股</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200</w:t>
            </w:r>
          </w:p>
        </w:tc>
        <w:tc>
          <w:tcPr>
            <w:tcW w:w="31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2.69%</w:t>
            </w:r>
          </w:p>
        </w:tc>
      </w:tr>
      <w:tr>
        <w:trPr>
          <w:trHeight w:val="475" w:hRule="exact"/>
        </w:trPr>
        <w:tc>
          <w:tcPr>
            <w:tcW w:w="3493" w:type="dxa"/>
            <w:tcBorders>
              <w:top w:val="single" w:sz="6"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总股本</w:t>
            </w:r>
          </w:p>
        </w:tc>
        <w:tc>
          <w:tcPr>
            <w:tcW w:w="30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w w:val="95"/>
                <w:sz w:val="18"/>
              </w:rPr>
              <w:t>7,438.88</w:t>
            </w:r>
          </w:p>
        </w:tc>
        <w:tc>
          <w:tcPr>
            <w:tcW w:w="31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3"/>
              <w:ind w:right="8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11"/>
        <w:rPr>
          <w:rFonts w:ascii="宋体" w:hAnsi="宋体" w:cs="宋体" w:eastAsia="宋体" w:hint="default"/>
          <w:sz w:val="29"/>
          <w:szCs w:val="29"/>
        </w:rPr>
      </w:pPr>
    </w:p>
    <w:p>
      <w:pPr>
        <w:pStyle w:val="Heading4"/>
        <w:spacing w:line="240" w:lineRule="auto" w:before="36"/>
        <w:ind w:left="575" w:right="140"/>
        <w:jc w:val="left"/>
        <w:rPr>
          <w:b w:val="0"/>
          <w:bCs w:val="0"/>
        </w:rPr>
      </w:pPr>
      <w:r>
        <w:rPr>
          <w:rFonts w:ascii="宋体" w:hAnsi="宋体" w:cs="宋体" w:eastAsia="宋体" w:hint="default"/>
        </w:rPr>
        <w:t>2</w:t>
      </w:r>
      <w:r>
        <w:rPr/>
        <w:t>、神州信息历次股本及控股权变动情况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573" w:right="140"/>
        <w:jc w:val="left"/>
      </w:pPr>
      <w:r>
        <w:rPr/>
        <w:t>（</w:t>
      </w:r>
      <w:r>
        <w:rPr>
          <w:rFonts w:ascii="宋体" w:hAnsi="宋体" w:cs="宋体" w:eastAsia="宋体" w:hint="default"/>
        </w:rPr>
        <w:t>1</w:t>
      </w:r>
      <w:r>
        <w:rPr/>
        <w:t>）</w:t>
      </w:r>
      <w:r>
        <w:rPr>
          <w:rFonts w:ascii="宋体" w:hAnsi="宋体" w:cs="宋体" w:eastAsia="宋体" w:hint="default"/>
        </w:rPr>
        <w:t>1995</w:t>
      </w:r>
      <w:r>
        <w:rPr/>
        <w:t>年配股</w:t>
      </w:r>
      <w:r>
        <w:rPr>
          <w:w w:val="100"/>
        </w:rPr>
        <w:t> </w:t>
      </w:r>
      <w:r>
        <w:rPr>
          <w:rFonts w:ascii="宋体" w:hAnsi="宋体" w:cs="宋体" w:eastAsia="宋体" w:hint="default"/>
          <w:spacing w:val="-2"/>
        </w:rPr>
        <w:t>1995</w:t>
      </w:r>
      <w:r>
        <w:rPr>
          <w:spacing w:val="-2"/>
        </w:rPr>
        <w:t>年</w:t>
      </w:r>
      <w:r>
        <w:rPr>
          <w:rFonts w:ascii="宋体" w:hAnsi="宋体" w:cs="宋体" w:eastAsia="宋体" w:hint="default"/>
          <w:spacing w:val="-2"/>
        </w:rPr>
        <w:t>6</w:t>
      </w:r>
      <w:r>
        <w:rPr>
          <w:spacing w:val="-2"/>
        </w:rPr>
        <w:t>月，太光电信召开第二次股东大会，审议同意以未分配利润按每</w:t>
      </w:r>
      <w:r>
        <w:rPr>
          <w:rFonts w:ascii="宋体" w:hAnsi="宋体" w:cs="宋体" w:eastAsia="宋体" w:hint="default"/>
          <w:spacing w:val="-2"/>
        </w:rPr>
        <w:t>10</w:t>
      </w:r>
      <w:r>
        <w:rPr>
          <w:spacing w:val="-2"/>
        </w:rPr>
        <w:t>股送</w:t>
      </w:r>
      <w:r>
        <w:rPr>
          <w:rFonts w:ascii="宋体" w:hAnsi="宋体" w:cs="宋体" w:eastAsia="宋体" w:hint="default"/>
          <w:spacing w:val="-2"/>
        </w:rPr>
        <w:t>1</w:t>
      </w:r>
      <w:r>
        <w:rPr>
          <w:spacing w:val="-2"/>
        </w:rPr>
        <w:t>股向全体股东送派红</w:t>
      </w:r>
    </w:p>
    <w:p>
      <w:pPr>
        <w:pStyle w:val="BodyText"/>
        <w:spacing w:line="240" w:lineRule="auto" w:before="46"/>
        <w:ind w:right="140"/>
        <w:jc w:val="left"/>
      </w:pPr>
      <w:r>
        <w:rPr/>
        <w:t>股。配股完成后，太光电信总股本增至</w:t>
      </w:r>
      <w:r>
        <w:rPr>
          <w:rFonts w:ascii="宋体" w:hAnsi="宋体" w:cs="宋体" w:eastAsia="宋体" w:hint="default"/>
        </w:rPr>
        <w:t>8,182.77</w:t>
      </w:r>
      <w:r>
        <w:rPr/>
        <w:t>万股。</w:t>
      </w:r>
    </w:p>
    <w:p>
      <w:pPr>
        <w:spacing w:line="240" w:lineRule="auto" w:before="11"/>
        <w:rPr>
          <w:rFonts w:ascii="宋体" w:hAnsi="宋体" w:cs="宋体" w:eastAsia="宋体" w:hint="default"/>
          <w:sz w:val="14"/>
          <w:szCs w:val="14"/>
        </w:rPr>
      </w:pPr>
    </w:p>
    <w:p>
      <w:pPr>
        <w:pStyle w:val="BodyText"/>
        <w:spacing w:line="408" w:lineRule="auto"/>
        <w:ind w:left="573" w:right="140"/>
        <w:jc w:val="left"/>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2000</w:t>
      </w:r>
      <w:r>
        <w:rPr/>
        <w:t>年股权变更</w:t>
      </w:r>
      <w:r>
        <w:rPr>
          <w:w w:val="100"/>
        </w:rPr>
        <w:t> </w:t>
      </w:r>
      <w:r>
        <w:rPr>
          <w:rFonts w:ascii="宋体" w:hAnsi="宋体" w:cs="宋体" w:eastAsia="宋体" w:hint="default"/>
          <w:spacing w:val="-2"/>
        </w:rPr>
        <w:t>2000</w:t>
      </w:r>
      <w:r>
        <w:rPr>
          <w:spacing w:val="-2"/>
        </w:rPr>
        <w:t>年</w:t>
      </w:r>
      <w:r>
        <w:rPr>
          <w:rFonts w:ascii="宋体" w:hAnsi="宋体" w:cs="宋体" w:eastAsia="宋体" w:hint="default"/>
          <w:spacing w:val="-2"/>
        </w:rPr>
        <w:t>9</w:t>
      </w:r>
      <w:r>
        <w:rPr>
          <w:spacing w:val="-2"/>
        </w:rPr>
        <w:t>月及</w:t>
      </w:r>
      <w:r>
        <w:rPr>
          <w:rFonts w:ascii="宋体" w:hAnsi="宋体" w:cs="宋体" w:eastAsia="宋体" w:hint="default"/>
          <w:spacing w:val="-2"/>
        </w:rPr>
        <w:t>11</w:t>
      </w:r>
      <w:r>
        <w:rPr>
          <w:spacing w:val="-2"/>
        </w:rPr>
        <w:t>月，因无力偿还银行债务，太光电信原第一大股东贵州省凯里涤纶厂持有的</w:t>
      </w:r>
      <w:r>
        <w:rPr>
          <w:rFonts w:ascii="宋体" w:hAnsi="宋体" w:cs="宋体" w:eastAsia="宋体" w:hint="default"/>
          <w:spacing w:val="-2"/>
        </w:rPr>
        <w:t>3,565.37</w:t>
      </w:r>
    </w:p>
    <w:p>
      <w:pPr>
        <w:pStyle w:val="BodyText"/>
        <w:spacing w:line="408" w:lineRule="auto" w:before="46"/>
        <w:ind w:right="140"/>
        <w:jc w:val="left"/>
      </w:pPr>
      <w:r>
        <w:rPr>
          <w:spacing w:val="-2"/>
        </w:rPr>
        <w:t>万股太光电信股份被贵州省高级人民法院分两次进行强制执行，分别变卖给：北京新唐建筑装饰工程有限</w:t>
      </w:r>
      <w:r>
        <w:rPr>
          <w:spacing w:val="-44"/>
        </w:rPr>
        <w:t> </w:t>
      </w:r>
      <w:r>
        <w:rPr>
          <w:spacing w:val="-44"/>
        </w:rPr>
      </w:r>
      <w:r>
        <w:rPr/>
        <w:t>公司</w:t>
      </w:r>
      <w:r>
        <w:rPr>
          <w:rFonts w:ascii="宋体" w:hAnsi="宋体" w:cs="宋体" w:eastAsia="宋体" w:hint="default"/>
        </w:rPr>
        <w:t>1,886.14</w:t>
      </w:r>
      <w:r>
        <w:rPr/>
        <w:t>万股，占太光电信股本总额的</w:t>
      </w:r>
      <w:r>
        <w:rPr>
          <w:spacing w:val="-5"/>
        </w:rPr>
        <w:t> </w:t>
      </w:r>
      <w:r>
        <w:rPr>
          <w:rFonts w:ascii="宋体" w:hAnsi="宋体" w:cs="宋体" w:eastAsia="宋体" w:hint="default"/>
        </w:rPr>
        <w:t>23.05%</w:t>
      </w:r>
      <w:r>
        <w:rPr/>
        <w:t>；北京德惠俱乐部有限公司</w:t>
      </w:r>
      <w:r>
        <w:rPr>
          <w:rFonts w:ascii="宋体" w:hAnsi="宋体" w:cs="宋体" w:eastAsia="宋体" w:hint="default"/>
        </w:rPr>
        <w:t>1,305.23</w:t>
      </w:r>
      <w:r>
        <w:rPr/>
        <w:t>万股，占太光电</w:t>
      </w:r>
      <w:r>
        <w:rPr>
          <w:w w:val="100"/>
        </w:rPr>
        <w:t> </w:t>
      </w:r>
      <w:r>
        <w:rPr/>
        <w:t>信股本总额的</w:t>
      </w:r>
      <w:r>
        <w:rPr>
          <w:rFonts w:ascii="宋体" w:hAnsi="宋体" w:cs="宋体" w:eastAsia="宋体" w:hint="default"/>
        </w:rPr>
        <w:t>15.95%</w:t>
      </w:r>
      <w:r>
        <w:rPr/>
        <w:t>；广州银鹏经济发展公司</w:t>
      </w:r>
      <w:r>
        <w:rPr>
          <w:rFonts w:ascii="宋体" w:hAnsi="宋体" w:cs="宋体" w:eastAsia="宋体" w:hint="default"/>
        </w:rPr>
        <w:t>374</w:t>
      </w:r>
      <w:r>
        <w:rPr/>
        <w:t>万股，占太光电信股本总额的</w:t>
      </w:r>
      <w:r>
        <w:rPr>
          <w:rFonts w:ascii="宋体" w:hAnsi="宋体" w:cs="宋体" w:eastAsia="宋体" w:hint="default"/>
        </w:rPr>
        <w:t>4.57%</w:t>
      </w:r>
      <w:r>
        <w:rPr/>
        <w:t>。</w:t>
      </w:r>
    </w:p>
    <w:p>
      <w:pPr>
        <w:pStyle w:val="BodyText"/>
        <w:spacing w:line="240" w:lineRule="auto" w:before="46"/>
        <w:ind w:left="573" w:right="0"/>
        <w:jc w:val="left"/>
      </w:pPr>
      <w:r>
        <w:rPr>
          <w:rFonts w:ascii="宋体" w:hAnsi="宋体" w:cs="宋体" w:eastAsia="宋体" w:hint="default"/>
        </w:rPr>
        <w:t>2000</w:t>
      </w:r>
      <w:r>
        <w:rPr/>
        <w:t>年</w:t>
      </w:r>
      <w:r>
        <w:rPr>
          <w:rFonts w:ascii="宋体" w:hAnsi="宋体" w:cs="宋体" w:eastAsia="宋体" w:hint="default"/>
        </w:rPr>
        <w:t>9</w:t>
      </w:r>
      <w:r>
        <w:rPr/>
        <w:t>月</w:t>
      </w:r>
      <w:r>
        <w:rPr>
          <w:rFonts w:ascii="宋体" w:hAnsi="宋体" w:cs="宋体" w:eastAsia="宋体" w:hint="default"/>
        </w:rPr>
        <w:t>7</w:t>
      </w:r>
      <w:r>
        <w:rPr/>
        <w:t>日，广东金龙基企业有限公司等八家公司股东与深圳市太光科技有限公司签订《股权转让</w:t>
      </w:r>
    </w:p>
    <w:p>
      <w:pPr>
        <w:spacing w:after="0" w:line="240" w:lineRule="auto"/>
        <w:jc w:val="left"/>
        <w:sectPr>
          <w:headerReference w:type="default" r:id="rId51"/>
          <w:footerReference w:type="default" r:id="rId52"/>
          <w:pgSz w:w="11910" w:h="16840"/>
          <w:pgMar w:header="877" w:footer="1227" w:top="1100" w:bottom="1420" w:left="980" w:right="980"/>
          <w:pgNumType w:start="120"/>
        </w:sectPr>
      </w:pPr>
    </w:p>
    <w:p>
      <w:pPr>
        <w:spacing w:line="240" w:lineRule="auto" w:before="9"/>
        <w:rPr>
          <w:rFonts w:ascii="宋体" w:hAnsi="宋体" w:cs="宋体" w:eastAsia="宋体" w:hint="default"/>
          <w:sz w:val="26"/>
          <w:szCs w:val="26"/>
        </w:rPr>
      </w:pPr>
    </w:p>
    <w:p>
      <w:pPr>
        <w:pStyle w:val="BodyText"/>
        <w:spacing w:line="408" w:lineRule="auto" w:before="36"/>
        <w:ind w:right="5"/>
        <w:jc w:val="left"/>
      </w:pPr>
      <w:r>
        <w:rPr>
          <w:spacing w:val="-2"/>
        </w:rPr>
        <w:t>协议》，广东金龙基企业有限公司等八家股东将合计持有的太光电信股份</w:t>
      </w:r>
      <w:r>
        <w:rPr>
          <w:rFonts w:ascii="宋体" w:hAnsi="宋体" w:cs="宋体" w:eastAsia="宋体" w:hint="default"/>
          <w:spacing w:val="-2"/>
        </w:rPr>
        <w:t>1,989.71</w:t>
      </w:r>
      <w:r>
        <w:rPr>
          <w:spacing w:val="-2"/>
        </w:rPr>
        <w:t>万股转让给深圳市太光</w:t>
      </w:r>
      <w:r>
        <w:rPr>
          <w:spacing w:val="-41"/>
        </w:rPr>
        <w:t> </w:t>
      </w:r>
      <w:r>
        <w:rPr>
          <w:spacing w:val="-41"/>
        </w:rPr>
      </w:r>
      <w:r>
        <w:rPr/>
        <w:t>科技有限公司。</w:t>
      </w:r>
    </w:p>
    <w:p>
      <w:pPr>
        <w:pStyle w:val="BodyText"/>
        <w:spacing w:line="240" w:lineRule="auto" w:before="46"/>
        <w:ind w:left="573" w:right="5"/>
        <w:jc w:val="left"/>
      </w:pPr>
      <w:r>
        <w:rPr/>
        <w:t>经过上述股权变动，深圳市太光科技有限公司成为太光电信的控股股东。</w:t>
      </w:r>
    </w:p>
    <w:p>
      <w:pPr>
        <w:spacing w:line="240" w:lineRule="auto" w:before="10"/>
        <w:rPr>
          <w:rFonts w:ascii="宋体" w:hAnsi="宋体" w:cs="宋体" w:eastAsia="宋体" w:hint="default"/>
          <w:sz w:val="14"/>
          <w:szCs w:val="14"/>
        </w:rPr>
      </w:pPr>
    </w:p>
    <w:p>
      <w:pPr>
        <w:pStyle w:val="BodyText"/>
        <w:spacing w:line="408" w:lineRule="auto"/>
        <w:ind w:left="573" w:right="5"/>
        <w:jc w:val="left"/>
      </w:pPr>
      <w:r>
        <w:rPr/>
        <w:t>（</w:t>
      </w:r>
      <w:r>
        <w:rPr>
          <w:rFonts w:ascii="宋体" w:hAnsi="宋体" w:cs="宋体" w:eastAsia="宋体" w:hint="default"/>
        </w:rPr>
        <w:t>3</w:t>
      </w:r>
      <w:r>
        <w:rPr/>
        <w:t>）</w:t>
      </w:r>
      <w:r>
        <w:rPr>
          <w:rFonts w:ascii="宋体" w:hAnsi="宋体" w:cs="宋体" w:eastAsia="宋体" w:hint="default"/>
        </w:rPr>
        <w:t>2002</w:t>
      </w:r>
      <w:r>
        <w:rPr/>
        <w:t>年太光电信股权变更</w:t>
      </w:r>
      <w:r>
        <w:rPr>
          <w:w w:val="100"/>
        </w:rPr>
        <w:t> </w:t>
      </w:r>
      <w:r>
        <w:rPr>
          <w:rFonts w:ascii="宋体" w:hAnsi="宋体" w:cs="宋体" w:eastAsia="宋体" w:hint="default"/>
          <w:spacing w:val="-2"/>
        </w:rPr>
        <w:t>2002</w:t>
      </w:r>
      <w:r>
        <w:rPr>
          <w:spacing w:val="-2"/>
        </w:rPr>
        <w:t>年</w:t>
      </w:r>
      <w:r>
        <w:rPr>
          <w:rFonts w:ascii="宋体" w:hAnsi="宋体" w:cs="宋体" w:eastAsia="宋体" w:hint="default"/>
          <w:spacing w:val="-2"/>
        </w:rPr>
        <w:t>8</w:t>
      </w:r>
      <w:r>
        <w:rPr>
          <w:spacing w:val="-2"/>
        </w:rPr>
        <w:t>月，巨龙信息技术有限责任公司收购太光电信第二大股东北京新唐建筑装饰工程有限公司和</w:t>
      </w:r>
    </w:p>
    <w:p>
      <w:pPr>
        <w:pStyle w:val="BodyText"/>
        <w:spacing w:line="408" w:lineRule="auto" w:before="46"/>
        <w:ind w:right="5"/>
        <w:jc w:val="left"/>
      </w:pPr>
      <w:r>
        <w:rPr>
          <w:spacing w:val="-2"/>
        </w:rPr>
        <w:t>第三大股东北京德惠俱乐部有限公司合计所持有的太光电信股份</w:t>
      </w:r>
      <w:r>
        <w:rPr>
          <w:rFonts w:ascii="宋体" w:hAnsi="宋体" w:cs="宋体" w:eastAsia="宋体" w:hint="default"/>
          <w:spacing w:val="-2"/>
        </w:rPr>
        <w:t>1,983.37</w:t>
      </w:r>
      <w:r>
        <w:rPr>
          <w:spacing w:val="-2"/>
        </w:rPr>
        <w:t>万股，占太光电信总股本的</w:t>
      </w:r>
      <w:r>
        <w:rPr>
          <w:spacing w:val="-13"/>
        </w:rPr>
        <w:t> </w:t>
      </w:r>
      <w:r>
        <w:rPr>
          <w:spacing w:val="-13"/>
        </w:rPr>
      </w:r>
      <w:r>
        <w:rPr>
          <w:rFonts w:ascii="宋体" w:hAnsi="宋体" w:cs="宋体" w:eastAsia="宋体" w:hint="default"/>
        </w:rPr>
        <w:t>24.24%</w:t>
      </w:r>
      <w:r>
        <w:rPr/>
        <w:t>，成为太光电信第二大股东。</w:t>
      </w:r>
    </w:p>
    <w:p>
      <w:pPr>
        <w:pStyle w:val="BodyText"/>
        <w:spacing w:line="410" w:lineRule="auto" w:before="46"/>
        <w:ind w:left="573" w:right="5"/>
        <w:jc w:val="left"/>
      </w:pPr>
      <w:r>
        <w:rPr/>
        <w:t>（</w:t>
      </w:r>
      <w:r>
        <w:rPr>
          <w:rFonts w:ascii="宋体" w:hAnsi="宋体" w:cs="宋体" w:eastAsia="宋体" w:hint="default"/>
        </w:rPr>
        <w:t>4</w:t>
      </w:r>
      <w:r>
        <w:rPr/>
        <w:t>）</w:t>
      </w:r>
      <w:r>
        <w:rPr>
          <w:rFonts w:ascii="宋体" w:hAnsi="宋体" w:cs="宋体" w:eastAsia="宋体" w:hint="default"/>
        </w:rPr>
        <w:t>2004</w:t>
      </w:r>
      <w:r>
        <w:rPr/>
        <w:t>年太光电信股权变更</w:t>
      </w:r>
      <w:r>
        <w:rPr>
          <w:w w:val="100"/>
        </w:rPr>
        <w:t> </w:t>
      </w:r>
      <w:r>
        <w:rPr>
          <w:rFonts w:ascii="宋体" w:hAnsi="宋体" w:cs="宋体" w:eastAsia="宋体" w:hint="default"/>
          <w:spacing w:val="-2"/>
        </w:rPr>
        <w:t>2004</w:t>
      </w:r>
      <w:r>
        <w:rPr>
          <w:spacing w:val="-2"/>
        </w:rPr>
        <w:t>年</w:t>
      </w:r>
      <w:r>
        <w:rPr>
          <w:rFonts w:ascii="宋体" w:hAnsi="宋体" w:cs="宋体" w:eastAsia="宋体" w:hint="default"/>
          <w:spacing w:val="-2"/>
        </w:rPr>
        <w:t>8</w:t>
      </w:r>
      <w:r>
        <w:rPr>
          <w:spacing w:val="-2"/>
        </w:rPr>
        <w:t>月，因欠款纠纷，北京市第二中级人民法院将巨龙信息技术有限责任公司所持太光电信股份</w:t>
      </w:r>
    </w:p>
    <w:p>
      <w:pPr>
        <w:pStyle w:val="BodyText"/>
        <w:spacing w:line="408" w:lineRule="auto" w:before="44"/>
        <w:ind w:right="5"/>
        <w:jc w:val="left"/>
      </w:pPr>
      <w:r>
        <w:rPr>
          <w:rFonts w:ascii="宋体" w:hAnsi="宋体" w:cs="宋体" w:eastAsia="宋体" w:hint="default"/>
          <w:spacing w:val="-2"/>
        </w:rPr>
        <w:t>608.37</w:t>
      </w:r>
      <w:r>
        <w:rPr>
          <w:spacing w:val="-2"/>
        </w:rPr>
        <w:t>万股（占太光电信总股本的</w:t>
      </w:r>
      <w:r>
        <w:rPr>
          <w:spacing w:val="59"/>
        </w:rPr>
        <w:t> </w:t>
      </w:r>
      <w:r>
        <w:rPr>
          <w:rFonts w:ascii="宋体" w:hAnsi="宋体" w:cs="宋体" w:eastAsia="宋体" w:hint="default"/>
          <w:spacing w:val="-2"/>
        </w:rPr>
        <w:t>7.44%</w:t>
      </w:r>
      <w:r>
        <w:rPr>
          <w:spacing w:val="-2"/>
        </w:rPr>
        <w:t>）公开拍卖，由上海华之达商贸有限公司竞买取得并成为太光电</w:t>
      </w:r>
      <w:r>
        <w:rPr>
          <w:spacing w:val="-93"/>
        </w:rPr>
        <w:t> </w:t>
      </w:r>
      <w:r>
        <w:rPr>
          <w:spacing w:val="-93"/>
        </w:rPr>
      </w:r>
      <w:r>
        <w:rPr/>
        <w:t>信第三大股东。</w:t>
      </w:r>
    </w:p>
    <w:p>
      <w:pPr>
        <w:pStyle w:val="BodyText"/>
        <w:spacing w:line="408" w:lineRule="auto" w:before="46"/>
        <w:ind w:left="573" w:right="5"/>
        <w:jc w:val="left"/>
      </w:pPr>
      <w:r>
        <w:rPr/>
        <w:t>（</w:t>
      </w:r>
      <w:r>
        <w:rPr>
          <w:rFonts w:ascii="宋体" w:hAnsi="宋体" w:cs="宋体" w:eastAsia="宋体" w:hint="default"/>
        </w:rPr>
        <w:t>5</w:t>
      </w:r>
      <w:r>
        <w:rPr/>
        <w:t>）</w:t>
      </w:r>
      <w:r>
        <w:rPr>
          <w:rFonts w:ascii="宋体" w:hAnsi="宋体" w:cs="宋体" w:eastAsia="宋体" w:hint="default"/>
        </w:rPr>
        <w:t>2004</w:t>
      </w:r>
      <w:r>
        <w:rPr/>
        <w:t>年太光电信控股股东更名</w:t>
      </w:r>
      <w:r>
        <w:rPr>
          <w:w w:val="100"/>
        </w:rPr>
        <w:t> </w:t>
      </w:r>
      <w:r>
        <w:rPr>
          <w:rFonts w:ascii="宋体" w:hAnsi="宋体" w:cs="宋体" w:eastAsia="宋体" w:hint="default"/>
          <w:spacing w:val="-2"/>
        </w:rPr>
        <w:t>2004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9</w:t>
      </w:r>
      <w:r>
        <w:rPr>
          <w:spacing w:val="-2"/>
        </w:rPr>
        <w:t>日，太光电信控股股东深圳市太光科技有限公司更名为深圳市申昌科技有限公司（以下</w:t>
      </w:r>
    </w:p>
    <w:p>
      <w:pPr>
        <w:pStyle w:val="BodyText"/>
        <w:spacing w:line="240" w:lineRule="auto" w:before="46"/>
        <w:ind w:right="5"/>
        <w:jc w:val="left"/>
      </w:pPr>
      <w:r>
        <w:rPr/>
        <w:t>简称深圳申昌科技）。</w:t>
      </w:r>
    </w:p>
    <w:p>
      <w:pPr>
        <w:spacing w:line="240" w:lineRule="auto" w:before="10"/>
        <w:rPr>
          <w:rFonts w:ascii="宋体" w:hAnsi="宋体" w:cs="宋体" w:eastAsia="宋体" w:hint="default"/>
          <w:sz w:val="14"/>
          <w:szCs w:val="14"/>
        </w:rPr>
      </w:pPr>
    </w:p>
    <w:p>
      <w:pPr>
        <w:pStyle w:val="BodyText"/>
        <w:spacing w:line="408" w:lineRule="auto"/>
        <w:ind w:left="573" w:right="5"/>
        <w:jc w:val="left"/>
      </w:pPr>
      <w:r>
        <w:rPr/>
        <w:t>（</w:t>
      </w:r>
      <w:r>
        <w:rPr>
          <w:rFonts w:ascii="宋体" w:hAnsi="宋体" w:cs="宋体" w:eastAsia="宋体" w:hint="default"/>
        </w:rPr>
        <w:t>6</w:t>
      </w:r>
      <w:r>
        <w:rPr/>
        <w:t>）</w:t>
      </w:r>
      <w:r>
        <w:rPr>
          <w:rFonts w:ascii="宋体" w:hAnsi="宋体" w:cs="宋体" w:eastAsia="宋体" w:hint="default"/>
        </w:rPr>
        <w:t>2006</w:t>
      </w:r>
      <w:r>
        <w:rPr/>
        <w:t>年太光电信股权变更</w:t>
      </w:r>
      <w:r>
        <w:rPr>
          <w:w w:val="100"/>
        </w:rPr>
        <w:t> </w:t>
      </w:r>
      <w:r>
        <w:rPr>
          <w:rFonts w:ascii="宋体" w:hAnsi="宋体" w:cs="宋体" w:eastAsia="宋体" w:hint="default"/>
          <w:spacing w:val="-2"/>
        </w:rPr>
        <w:t>2006</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12</w:t>
      </w:r>
      <w:r>
        <w:rPr>
          <w:spacing w:val="-2"/>
        </w:rPr>
        <w:t>日，太光电信第二大股东巨龙信息技术有限责任公司所持有的太光电信</w:t>
      </w:r>
      <w:r>
        <w:rPr>
          <w:rFonts w:ascii="宋体" w:hAnsi="宋体" w:cs="宋体" w:eastAsia="宋体" w:hint="default"/>
          <w:spacing w:val="-2"/>
        </w:rPr>
        <w:t>1,375</w:t>
      </w:r>
      <w:r>
        <w:rPr>
          <w:spacing w:val="-2"/>
        </w:rPr>
        <w:t>万股股份被</w:t>
      </w:r>
    </w:p>
    <w:p>
      <w:pPr>
        <w:pStyle w:val="BodyText"/>
        <w:spacing w:line="408" w:lineRule="auto" w:before="46"/>
        <w:ind w:right="5"/>
        <w:jc w:val="left"/>
      </w:pPr>
      <w:r>
        <w:rPr/>
        <w:t>拍卖给四家公司，其中上海锯爱企业发展有限公司购买</w:t>
      </w:r>
      <w:r>
        <w:rPr>
          <w:rFonts w:ascii="宋体" w:hAnsi="宋体" w:cs="宋体" w:eastAsia="宋体" w:hint="default"/>
        </w:rPr>
        <w:t>400</w:t>
      </w:r>
      <w:r>
        <w:rPr/>
        <w:t>万股，上海优麦点广告有限公司购买</w:t>
      </w:r>
      <w:r>
        <w:rPr>
          <w:rFonts w:ascii="宋体" w:hAnsi="宋体" w:cs="宋体" w:eastAsia="宋体" w:hint="default"/>
        </w:rPr>
        <w:t>400</w:t>
      </w:r>
      <w:r>
        <w:rPr/>
        <w:t>万股，</w:t>
      </w:r>
      <w:r>
        <w:rPr>
          <w:spacing w:val="-28"/>
        </w:rPr>
        <w:t> </w:t>
      </w:r>
      <w:r>
        <w:rPr>
          <w:spacing w:val="-2"/>
        </w:rPr>
        <w:t>陕西瑞发投资有限公司购买</w:t>
      </w:r>
      <w:r>
        <w:rPr>
          <w:rFonts w:ascii="宋体" w:hAnsi="宋体" w:cs="宋体" w:eastAsia="宋体" w:hint="default"/>
          <w:spacing w:val="-2"/>
        </w:rPr>
        <w:t>400</w:t>
      </w:r>
      <w:r>
        <w:rPr>
          <w:spacing w:val="-2"/>
        </w:rPr>
        <w:t>万股，海南合旺实业投资有限公司购买</w:t>
      </w:r>
      <w:r>
        <w:rPr>
          <w:rFonts w:ascii="宋体" w:hAnsi="宋体" w:cs="宋体" w:eastAsia="宋体" w:hint="default"/>
          <w:spacing w:val="-2"/>
        </w:rPr>
        <w:t>175</w:t>
      </w:r>
      <w:r>
        <w:rPr>
          <w:spacing w:val="-2"/>
        </w:rPr>
        <w:t>万股。巨龙信息技术有限责任公</w:t>
      </w:r>
      <w:r>
        <w:rPr>
          <w:spacing w:val="-41"/>
        </w:rPr>
        <w:t> </w:t>
      </w:r>
      <w:r>
        <w:rPr>
          <w:spacing w:val="-41"/>
        </w:rPr>
      </w:r>
      <w:r>
        <w:rPr/>
        <w:t>司不再持有太光电信股份。</w:t>
      </w:r>
    </w:p>
    <w:p>
      <w:pPr>
        <w:pStyle w:val="BodyText"/>
        <w:spacing w:line="408" w:lineRule="auto" w:before="46"/>
        <w:ind w:left="573" w:right="5"/>
        <w:jc w:val="left"/>
      </w:pPr>
      <w:r>
        <w:rPr/>
        <w:t>（</w:t>
      </w:r>
      <w:r>
        <w:rPr>
          <w:rFonts w:ascii="宋体" w:hAnsi="宋体" w:cs="宋体" w:eastAsia="宋体" w:hint="default"/>
        </w:rPr>
        <w:t>7</w:t>
      </w:r>
      <w:r>
        <w:rPr/>
        <w:t>）</w:t>
      </w:r>
      <w:r>
        <w:rPr>
          <w:rFonts w:ascii="宋体" w:hAnsi="宋体" w:cs="宋体" w:eastAsia="宋体" w:hint="default"/>
        </w:rPr>
        <w:t>2006</w:t>
      </w:r>
      <w:r>
        <w:rPr/>
        <w:t>年股权分置改革</w:t>
      </w:r>
      <w:r>
        <w:rPr>
          <w:w w:val="100"/>
        </w:rPr>
        <w:t> </w:t>
      </w:r>
      <w:r>
        <w:rPr>
          <w:rFonts w:ascii="宋体" w:hAnsi="宋体" w:cs="宋体" w:eastAsia="宋体" w:hint="default"/>
          <w:spacing w:val="-2"/>
        </w:rPr>
        <w:t>2006</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26</w:t>
      </w:r>
      <w:r>
        <w:rPr>
          <w:spacing w:val="-2"/>
        </w:rPr>
        <w:t>日，太光电信召开</w:t>
      </w:r>
      <w:r>
        <w:rPr>
          <w:rFonts w:ascii="宋体" w:hAnsi="宋体" w:cs="宋体" w:eastAsia="宋体" w:hint="default"/>
          <w:spacing w:val="-2"/>
        </w:rPr>
        <w:t>2006</w:t>
      </w:r>
      <w:r>
        <w:rPr>
          <w:spacing w:val="-2"/>
        </w:rPr>
        <w:t>年第二次临时股东大会审议通过了股权分置改革方案：以</w:t>
      </w:r>
      <w:r>
        <w:rPr>
          <w:rFonts w:ascii="宋体" w:hAnsi="宋体" w:cs="宋体" w:eastAsia="宋体" w:hint="default"/>
          <w:spacing w:val="-2"/>
        </w:rPr>
        <w:t>2005</w:t>
      </w:r>
      <w:r>
        <w:rPr>
          <w:spacing w:val="-2"/>
        </w:rPr>
        <w:t>年</w:t>
      </w:r>
    </w:p>
    <w:p>
      <w:pPr>
        <w:pStyle w:val="BodyText"/>
        <w:spacing w:line="408" w:lineRule="auto" w:before="46"/>
        <w:ind w:right="5"/>
        <w:jc w:val="left"/>
      </w:pPr>
      <w:r>
        <w:rPr>
          <w:rFonts w:ascii="宋体" w:hAnsi="宋体" w:cs="宋体" w:eastAsia="宋体" w:hint="default"/>
        </w:rPr>
        <w:t>12</w:t>
      </w:r>
      <w:r>
        <w:rPr/>
        <w:t>月</w:t>
      </w:r>
      <w:r>
        <w:rPr>
          <w:rFonts w:ascii="宋体" w:hAnsi="宋体" w:cs="宋体" w:eastAsia="宋体" w:hint="default"/>
        </w:rPr>
        <w:t>31</w:t>
      </w:r>
      <w:r>
        <w:rPr/>
        <w:t>日流通股</w:t>
      </w:r>
      <w:r>
        <w:rPr>
          <w:rFonts w:ascii="宋体" w:hAnsi="宋体" w:cs="宋体" w:eastAsia="宋体" w:hint="default"/>
        </w:rPr>
        <w:t>2,200</w:t>
      </w:r>
      <w:r>
        <w:rPr/>
        <w:t>万股为基数，按每</w:t>
      </w:r>
      <w:r>
        <w:rPr>
          <w:rFonts w:ascii="宋体" w:hAnsi="宋体" w:cs="宋体" w:eastAsia="宋体" w:hint="default"/>
        </w:rPr>
        <w:t>10</w:t>
      </w:r>
      <w:r>
        <w:rPr/>
        <w:t>股转增</w:t>
      </w:r>
      <w:r>
        <w:rPr>
          <w:rFonts w:ascii="宋体" w:hAnsi="宋体" w:cs="宋体" w:eastAsia="宋体" w:hint="default"/>
        </w:rPr>
        <w:t>4</w:t>
      </w:r>
      <w:r>
        <w:rPr/>
        <w:t>股的比例，以资本公积金向全体流通股股东转增股本。</w:t>
      </w:r>
      <w:r>
        <w:rPr>
          <w:spacing w:val="-31"/>
        </w:rPr>
        <w:t> </w:t>
      </w:r>
      <w:r>
        <w:rPr>
          <w:spacing w:val="-31"/>
        </w:rPr>
      </w:r>
      <w:r>
        <w:rPr/>
        <w:t>股权分置改革完成后，太光电信总股本增至</w:t>
      </w:r>
      <w:r>
        <w:rPr>
          <w:rFonts w:ascii="宋体" w:hAnsi="宋体" w:cs="宋体" w:eastAsia="宋体" w:hint="default"/>
        </w:rPr>
        <w:t>9,062.77</w:t>
      </w:r>
      <w:r>
        <w:rPr/>
        <w:t>万股。</w:t>
      </w:r>
    </w:p>
    <w:p>
      <w:pPr>
        <w:pStyle w:val="BodyText"/>
        <w:spacing w:line="408" w:lineRule="auto" w:before="46"/>
        <w:ind w:left="573" w:right="5"/>
        <w:jc w:val="left"/>
      </w:pPr>
      <w:r>
        <w:rPr/>
        <w:t>（</w:t>
      </w:r>
      <w:r>
        <w:rPr>
          <w:rFonts w:ascii="宋体" w:hAnsi="宋体" w:cs="宋体" w:eastAsia="宋体" w:hint="default"/>
        </w:rPr>
        <w:t>8</w:t>
      </w:r>
      <w:r>
        <w:rPr/>
        <w:t>）</w:t>
      </w:r>
      <w:r>
        <w:rPr>
          <w:rFonts w:ascii="宋体" w:hAnsi="宋体" w:cs="宋体" w:eastAsia="宋体" w:hint="default"/>
        </w:rPr>
        <w:t>2010</w:t>
      </w:r>
      <w:r>
        <w:rPr/>
        <w:t>年太光电信控股股东更名</w:t>
      </w:r>
      <w:r>
        <w:rPr>
          <w:w w:val="100"/>
        </w:rPr>
        <w:t> </w:t>
      </w:r>
      <w:r>
        <w:rPr>
          <w:rFonts w:ascii="宋体" w:hAnsi="宋体" w:cs="宋体" w:eastAsia="宋体" w:hint="default"/>
          <w:spacing w:val="-7"/>
        </w:rPr>
        <w:t>2010</w:t>
      </w:r>
      <w:r>
        <w:rPr>
          <w:spacing w:val="-7"/>
        </w:rPr>
        <w:t>年</w:t>
      </w:r>
      <w:r>
        <w:rPr>
          <w:rFonts w:ascii="宋体" w:hAnsi="宋体" w:cs="宋体" w:eastAsia="宋体" w:hint="default"/>
          <w:spacing w:val="-7"/>
        </w:rPr>
        <w:t>2</w:t>
      </w:r>
      <w:r>
        <w:rPr>
          <w:spacing w:val="-7"/>
        </w:rPr>
        <w:t>月</w:t>
      </w:r>
      <w:r>
        <w:rPr>
          <w:rFonts w:ascii="宋体" w:hAnsi="宋体" w:cs="宋体" w:eastAsia="宋体" w:hint="default"/>
          <w:spacing w:val="-7"/>
        </w:rPr>
        <w:t>8</w:t>
      </w:r>
      <w:r>
        <w:rPr>
          <w:spacing w:val="-7"/>
        </w:rPr>
        <w:t>日，太光电信控股股东深圳申昌科技更名为昆山市申昌科技有限公司（以下简称申昌科技）。</w:t>
      </w:r>
    </w:p>
    <w:p>
      <w:pPr>
        <w:pStyle w:val="BodyText"/>
        <w:spacing w:line="240" w:lineRule="auto" w:before="46"/>
        <w:ind w:right="5"/>
        <w:jc w:val="left"/>
      </w:pPr>
      <w:r>
        <w:rPr/>
        <w:t>截至</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30</w:t>
      </w:r>
      <w:r>
        <w:rPr/>
        <w:t>日前，申昌科技持有太光电信</w:t>
      </w:r>
      <w:r>
        <w:rPr>
          <w:rFonts w:ascii="宋体" w:hAnsi="宋体" w:cs="宋体" w:eastAsia="宋体" w:hint="default"/>
        </w:rPr>
        <w:t>1,989.71</w:t>
      </w:r>
      <w:r>
        <w:rPr/>
        <w:t>万股，持股比例</w:t>
      </w:r>
      <w:r>
        <w:rPr>
          <w:rFonts w:ascii="宋体" w:hAnsi="宋体" w:cs="宋体" w:eastAsia="宋体" w:hint="default"/>
        </w:rPr>
        <w:t>21.95%</w:t>
      </w:r>
      <w:r>
        <w:rPr/>
        <w:t>。</w:t>
      </w:r>
    </w:p>
    <w:p>
      <w:pPr>
        <w:spacing w:line="240" w:lineRule="auto" w:before="10"/>
        <w:rPr>
          <w:rFonts w:ascii="宋体" w:hAnsi="宋体" w:cs="宋体" w:eastAsia="宋体" w:hint="default"/>
          <w:sz w:val="14"/>
          <w:szCs w:val="14"/>
        </w:rPr>
      </w:pPr>
    </w:p>
    <w:p>
      <w:pPr>
        <w:pStyle w:val="BodyText"/>
        <w:spacing w:line="408" w:lineRule="auto"/>
        <w:ind w:left="573" w:right="5"/>
        <w:jc w:val="left"/>
      </w:pPr>
      <w:r>
        <w:rPr/>
        <w:t>（</w:t>
      </w:r>
      <w:r>
        <w:rPr>
          <w:rFonts w:ascii="宋体" w:hAnsi="宋体" w:cs="宋体" w:eastAsia="宋体" w:hint="default"/>
        </w:rPr>
        <w:t>9</w:t>
      </w:r>
      <w:r>
        <w:rPr/>
        <w:t>）</w:t>
      </w:r>
      <w:r>
        <w:rPr>
          <w:rFonts w:ascii="宋体" w:hAnsi="宋体" w:cs="宋体" w:eastAsia="宋体" w:hint="default"/>
        </w:rPr>
        <w:t>2013</w:t>
      </w:r>
      <w:r>
        <w:rPr/>
        <w:t>年度重大资产重组</w:t>
      </w:r>
      <w:r>
        <w:rPr>
          <w:w w:val="100"/>
        </w:rPr>
        <w:t> </w:t>
      </w:r>
      <w:r>
        <w:rPr>
          <w:spacing w:val="-2"/>
        </w:rPr>
        <w:t>根据太光电信</w:t>
      </w:r>
      <w:r>
        <w:rPr>
          <w:rFonts w:ascii="宋体" w:hAnsi="宋体" w:cs="宋体" w:eastAsia="宋体" w:hint="default"/>
          <w:spacing w:val="-2"/>
        </w:rPr>
        <w:t>2013</w:t>
      </w:r>
      <w:r>
        <w:rPr>
          <w:spacing w:val="-2"/>
        </w:rPr>
        <w:t>年第二次临时股东大会决议通过的《关于公司吸收合并神州信息并募集配套资金构</w:t>
      </w:r>
    </w:p>
    <w:p>
      <w:pPr>
        <w:pStyle w:val="BodyText"/>
        <w:spacing w:line="240" w:lineRule="auto" w:before="46"/>
        <w:ind w:right="5"/>
        <w:jc w:val="left"/>
      </w:pPr>
      <w:r>
        <w:rPr/>
        <w:t>成重大资产重组且构成关联交易的议案》、《关于公司吸收合并神州信息并募集配套资金具体方案的议案</w:t>
      </w:r>
    </w:p>
    <w:p>
      <w:pPr>
        <w:spacing w:after="0" w:line="240" w:lineRule="auto"/>
        <w:jc w:val="left"/>
        <w:sectPr>
          <w:pgSz w:w="11910" w:h="16840"/>
          <w:pgMar w:header="877" w:footer="1227" w:top="1100" w:bottom="1420" w:left="980" w:right="800"/>
        </w:sectPr>
      </w:pPr>
    </w:p>
    <w:p>
      <w:pPr>
        <w:spacing w:line="240" w:lineRule="auto" w:before="9"/>
        <w:rPr>
          <w:rFonts w:ascii="宋体" w:hAnsi="宋体" w:cs="宋体" w:eastAsia="宋体" w:hint="default"/>
          <w:sz w:val="26"/>
          <w:szCs w:val="26"/>
        </w:rPr>
      </w:pPr>
    </w:p>
    <w:p>
      <w:pPr>
        <w:pStyle w:val="BodyText"/>
        <w:spacing w:line="408" w:lineRule="auto" w:before="36"/>
        <w:ind w:right="98"/>
        <w:jc w:val="left"/>
      </w:pPr>
      <w:r>
        <w:rPr/>
        <w:t>（修订）》、《关于公司与申昌科技签署</w:t>
      </w:r>
      <w:r>
        <w:rPr>
          <w:rFonts w:ascii="宋体" w:hAnsi="宋体" w:cs="宋体" w:eastAsia="宋体" w:hint="default"/>
        </w:rPr>
        <w:t>&lt;</w:t>
      </w:r>
      <w:r>
        <w:rPr/>
        <w:t>关于深圳市太光电信股份有限公司向特定对象发行股份之股份</w:t>
      </w:r>
      <w:r>
        <w:rPr>
          <w:w w:val="100"/>
        </w:rPr>
        <w:t> </w:t>
      </w:r>
      <w:r>
        <w:rPr/>
        <w:t>认购协议</w:t>
      </w:r>
      <w:r>
        <w:rPr>
          <w:rFonts w:ascii="宋体" w:hAnsi="宋体" w:cs="宋体" w:eastAsia="宋体" w:hint="default"/>
        </w:rPr>
        <w:t>&gt;</w:t>
      </w:r>
      <w:r>
        <w:rPr/>
        <w:t>的议案》、《关于公司与神州信息签署的</w:t>
      </w:r>
      <w:r>
        <w:rPr>
          <w:rFonts w:ascii="宋体" w:hAnsi="宋体" w:cs="宋体" w:eastAsia="宋体" w:hint="default"/>
        </w:rPr>
        <w:t>&lt;</w:t>
      </w:r>
      <w:r>
        <w:rPr/>
        <w:t>吸收合并协议</w:t>
      </w:r>
      <w:r>
        <w:rPr>
          <w:rFonts w:ascii="宋体" w:hAnsi="宋体" w:cs="宋体" w:eastAsia="宋体" w:hint="default"/>
        </w:rPr>
        <w:t>&gt;</w:t>
      </w:r>
      <w:r>
        <w:rPr/>
        <w:t>及其补充协议的议案》，并经中国证</w:t>
      </w:r>
      <w:r>
        <w:rPr>
          <w:w w:val="100"/>
        </w:rPr>
        <w:t> </w:t>
      </w:r>
      <w:r>
        <w:rPr>
          <w:spacing w:val="-2"/>
        </w:rPr>
        <w:t>券监督管理委员会证监许可</w:t>
      </w:r>
      <w:r>
        <w:rPr>
          <w:rFonts w:ascii="宋体" w:hAnsi="宋体" w:cs="宋体" w:eastAsia="宋体" w:hint="default"/>
          <w:spacing w:val="-2"/>
        </w:rPr>
        <w:t>[2013]1578</w:t>
      </w:r>
      <w:r>
        <w:rPr>
          <w:spacing w:val="-2"/>
        </w:rPr>
        <w:t>号《关于核准深圳市太光电信股份有限公司吸收合并神州数码信息</w:t>
      </w:r>
      <w:r>
        <w:rPr>
          <w:spacing w:val="-34"/>
        </w:rPr>
        <w:t> </w:t>
      </w:r>
      <w:r>
        <w:rPr>
          <w:spacing w:val="-34"/>
        </w:rPr>
      </w:r>
      <w:r>
        <w:rPr>
          <w:spacing w:val="-7"/>
        </w:rPr>
        <w:t>服务股份有限公司并募集配套资金的批复》的核准，太光电信向神州信息的股东神州数码软件有限公司（以</w:t>
      </w:r>
      <w:r>
        <w:rPr>
          <w:spacing w:val="-20"/>
        </w:rPr>
        <w:t> </w:t>
      </w:r>
      <w:r>
        <w:rPr>
          <w:spacing w:val="-20"/>
        </w:rPr>
      </w:r>
      <w:r>
        <w:rPr>
          <w:spacing w:val="-2"/>
        </w:rPr>
        <w:t>下简称神码软件）、天津信锐投资合伙企业（有限合伙）（以下简称天津信锐）、中新苏州工业园区创业</w:t>
      </w:r>
      <w:r>
        <w:rPr>
          <w:spacing w:val="-45"/>
        </w:rPr>
        <w:t> </w:t>
      </w:r>
      <w:r>
        <w:rPr>
          <w:spacing w:val="-45"/>
        </w:rPr>
      </w:r>
      <w:r>
        <w:rPr/>
        <w:t>投资有限公司（以下简称中新创投）、</w:t>
      </w:r>
      <w:r>
        <w:rPr>
          <w:rFonts w:ascii="宋体" w:hAnsi="宋体" w:cs="宋体" w:eastAsia="宋体" w:hint="default"/>
        </w:rPr>
        <w:t>Infinity I-China Investments (Israel),</w:t>
      </w:r>
      <w:r>
        <w:rPr>
          <w:rFonts w:ascii="宋体" w:hAnsi="宋体" w:cs="宋体" w:eastAsia="宋体" w:hint="default"/>
          <w:spacing w:val="-10"/>
        </w:rPr>
        <w:t> </w:t>
      </w:r>
      <w:r>
        <w:rPr>
          <w:rFonts w:ascii="宋体" w:hAnsi="宋体" w:cs="宋体" w:eastAsia="宋体" w:hint="default"/>
        </w:rPr>
        <w:t>L.P.</w:t>
      </w:r>
      <w:r>
        <w:rPr/>
        <w:t>（以下简称华亿</w:t>
      </w:r>
      <w:r>
        <w:rPr>
          <w:w w:val="100"/>
        </w:rPr>
        <w:t> </w:t>
      </w:r>
      <w:r>
        <w:rPr>
          <w:spacing w:val="-6"/>
        </w:rPr>
        <w:t>投资）、南京汇庆天下科技有限公司（以下简称南京汇庆）发行</w:t>
      </w:r>
      <w:r>
        <w:rPr>
          <w:rFonts w:ascii="宋体" w:hAnsi="宋体" w:cs="宋体" w:eastAsia="宋体" w:hint="default"/>
          <w:spacing w:val="-6"/>
        </w:rPr>
        <w:t>319,399,894</w:t>
      </w:r>
      <w:r>
        <w:rPr>
          <w:spacing w:val="-6"/>
        </w:rPr>
        <w:t>股股份（每股面值人民币</w:t>
      </w:r>
      <w:r>
        <w:rPr>
          <w:rFonts w:ascii="宋体" w:hAnsi="宋体" w:cs="宋体" w:eastAsia="宋体" w:hint="default"/>
          <w:spacing w:val="-6"/>
        </w:rPr>
        <w:t>1</w:t>
      </w:r>
      <w:r>
        <w:rPr>
          <w:spacing w:val="-6"/>
        </w:rPr>
        <w:t>元）</w:t>
      </w:r>
      <w:r>
        <w:rPr>
          <w:spacing w:val="-37"/>
        </w:rPr>
        <w:t> </w:t>
      </w:r>
      <w:r>
        <w:rPr>
          <w:spacing w:val="-2"/>
        </w:rPr>
        <w:t>吸收合并神州信息，向控股股东申昌科技发行新股</w:t>
      </w:r>
      <w:r>
        <w:rPr>
          <w:rFonts w:ascii="宋体" w:hAnsi="宋体" w:cs="宋体" w:eastAsia="宋体" w:hint="default"/>
          <w:spacing w:val="-2"/>
        </w:rPr>
        <w:t>21,186,440</w:t>
      </w:r>
      <w:r>
        <w:rPr>
          <w:spacing w:val="-2"/>
        </w:rPr>
        <w:t>股募集配套资金，并申请增加注册资本人民</w:t>
      </w:r>
      <w:r>
        <w:rPr>
          <w:spacing w:val="-39"/>
        </w:rPr>
        <w:t> </w:t>
      </w:r>
      <w:r>
        <w:rPr>
          <w:spacing w:val="-39"/>
        </w:rPr>
      </w:r>
      <w:r>
        <w:rPr/>
        <w:t>币</w:t>
      </w:r>
      <w:r>
        <w:rPr>
          <w:rFonts w:ascii="宋体" w:hAnsi="宋体" w:cs="宋体" w:eastAsia="宋体" w:hint="default"/>
        </w:rPr>
        <w:t>340,586,334</w:t>
      </w:r>
      <w:r>
        <w:rPr/>
        <w:t>元。</w:t>
      </w:r>
    </w:p>
    <w:p>
      <w:pPr>
        <w:pStyle w:val="BodyText"/>
        <w:spacing w:line="408" w:lineRule="auto" w:before="46"/>
        <w:ind w:right="290" w:firstLine="420"/>
        <w:jc w:val="both"/>
      </w:pPr>
      <w:r>
        <w:rPr>
          <w:spacing w:val="-2"/>
        </w:rPr>
        <w:t>根据《吸收合并协议》及补充协议，太光电信向神州信息股东发行股份</w:t>
      </w:r>
      <w:r>
        <w:rPr>
          <w:rFonts w:ascii="宋体" w:hAnsi="宋体" w:cs="宋体" w:eastAsia="宋体" w:hint="default"/>
          <w:spacing w:val="-2"/>
        </w:rPr>
        <w:t>319,399,894</w:t>
      </w:r>
      <w:r>
        <w:rPr>
          <w:spacing w:val="-2"/>
        </w:rPr>
        <w:t>股（发行价格为</w:t>
      </w:r>
      <w:r>
        <w:rPr>
          <w:w w:val="100"/>
        </w:rPr>
        <w:t> </w:t>
      </w:r>
      <w:r>
        <w:rPr>
          <w:rFonts w:ascii="宋体" w:hAnsi="宋体" w:cs="宋体" w:eastAsia="宋体" w:hint="default"/>
          <w:spacing w:val="-2"/>
        </w:rPr>
        <w:t>9.44</w:t>
      </w:r>
      <w:r>
        <w:rPr>
          <w:spacing w:val="-2"/>
        </w:rPr>
        <w:t>元</w:t>
      </w:r>
      <w:r>
        <w:rPr>
          <w:rFonts w:ascii="宋体" w:hAnsi="宋体" w:cs="宋体" w:eastAsia="宋体" w:hint="default"/>
          <w:spacing w:val="-2"/>
        </w:rPr>
        <w:t>/</w:t>
      </w:r>
      <w:r>
        <w:rPr>
          <w:spacing w:val="-2"/>
        </w:rPr>
        <w:t>股），用以支付吸收合并之对价；神州信息股东神码软件、天津信锐、中新创投、华亿投资、南</w:t>
      </w:r>
      <w:r>
        <w:rPr>
          <w:spacing w:val="-18"/>
        </w:rPr>
        <w:t> </w:t>
      </w:r>
      <w:r>
        <w:rPr>
          <w:spacing w:val="-18"/>
        </w:rPr>
      </w:r>
      <w:r>
        <w:rPr>
          <w:spacing w:val="-2"/>
        </w:rPr>
        <w:t>京汇庆以其持有的神州信息的全部资产、负债及业务认购</w:t>
      </w:r>
      <w:r>
        <w:rPr>
          <w:rFonts w:ascii="宋体" w:hAnsi="宋体" w:cs="宋体" w:eastAsia="宋体" w:hint="default"/>
          <w:spacing w:val="-2"/>
        </w:rPr>
        <w:t>319,399,894</w:t>
      </w:r>
      <w:r>
        <w:rPr>
          <w:spacing w:val="-2"/>
        </w:rPr>
        <w:t>股股份。太光电信向控股股东申昌</w:t>
      </w:r>
      <w:r>
        <w:rPr>
          <w:spacing w:val="-12"/>
        </w:rPr>
        <w:t> </w:t>
      </w:r>
      <w:r>
        <w:rPr>
          <w:spacing w:val="-12"/>
        </w:rPr>
      </w:r>
      <w:r>
        <w:rPr/>
        <w:t>科技发行股份募集配套资金的发行价格与向神州信息股东发行股份价格一致。</w:t>
      </w:r>
    </w:p>
    <w:p>
      <w:pPr>
        <w:pStyle w:val="BodyText"/>
        <w:spacing w:line="408" w:lineRule="auto" w:before="46"/>
        <w:ind w:right="98" w:firstLine="420"/>
        <w:jc w:val="left"/>
      </w:pP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17</w:t>
      </w:r>
      <w:r>
        <w:rPr/>
        <w:t>日，太光电信与神州信息签署《资产交割确认书》，自资产交割日</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17</w:t>
      </w:r>
      <w:r>
        <w:rPr/>
        <w:t>日起，</w:t>
      </w:r>
      <w:r>
        <w:rPr>
          <w:w w:val="100"/>
        </w:rPr>
        <w:t> </w:t>
      </w:r>
      <w:r>
        <w:rPr>
          <w:spacing w:val="-2"/>
        </w:rPr>
        <w:t>神州信息的全部资产、负债、业务由太光电信享有和承担；神州信息的业务随资产、负债转由太光电信承</w:t>
      </w:r>
      <w:r>
        <w:rPr>
          <w:spacing w:val="-50"/>
        </w:rPr>
        <w:t> </w:t>
      </w:r>
      <w:r>
        <w:rPr>
          <w:spacing w:val="-50"/>
        </w:rPr>
      </w:r>
      <w:r>
        <w:rPr/>
        <w:t>担，由此产生的收益、风险由太光电信承担。</w:t>
      </w:r>
    </w:p>
    <w:p>
      <w:pPr>
        <w:pStyle w:val="BodyText"/>
        <w:spacing w:line="408" w:lineRule="auto" w:before="46"/>
        <w:ind w:right="98" w:firstLine="420"/>
        <w:jc w:val="left"/>
      </w:pP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23</w:t>
      </w:r>
      <w:r>
        <w:rPr>
          <w:spacing w:val="-2"/>
        </w:rPr>
        <w:t>日，太光电信在资产过户完成后即向中国证券登记结算有限责任公司深圳分公司申请办</w:t>
      </w:r>
      <w:r>
        <w:rPr>
          <w:w w:val="100"/>
        </w:rPr>
        <w:t> </w:t>
      </w:r>
      <w:r>
        <w:rPr/>
        <w:t>理增发股份登记事项，新发股份于</w:t>
      </w:r>
      <w:r>
        <w:rPr>
          <w:rFonts w:ascii="宋体" w:hAnsi="宋体" w:cs="宋体" w:eastAsia="宋体" w:hint="default"/>
        </w:rPr>
        <w:t>2013 </w:t>
      </w:r>
      <w:r>
        <w:rPr/>
        <w:t>年</w:t>
      </w:r>
      <w:r>
        <w:rPr>
          <w:rFonts w:ascii="宋体" w:hAnsi="宋体" w:cs="宋体" w:eastAsia="宋体" w:hint="default"/>
        </w:rPr>
        <w:t>12</w:t>
      </w:r>
      <w:r>
        <w:rPr/>
        <w:t>月</w:t>
      </w:r>
      <w:r>
        <w:rPr>
          <w:rFonts w:ascii="宋体" w:hAnsi="宋体" w:cs="宋体" w:eastAsia="宋体" w:hint="default"/>
        </w:rPr>
        <w:t>30</w:t>
      </w:r>
      <w:r>
        <w:rPr>
          <w:rFonts w:ascii="宋体" w:hAnsi="宋体" w:cs="宋体" w:eastAsia="宋体" w:hint="default"/>
          <w:spacing w:val="-2"/>
        </w:rPr>
        <w:t> </w:t>
      </w:r>
      <w:r>
        <w:rPr/>
        <w:t>日正式上市。</w:t>
      </w:r>
    </w:p>
    <w:p>
      <w:pPr>
        <w:pStyle w:val="BodyText"/>
        <w:spacing w:line="408" w:lineRule="auto" w:before="46"/>
        <w:ind w:right="607" w:firstLine="420"/>
        <w:jc w:val="left"/>
      </w:pP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26</w:t>
      </w:r>
      <w:r>
        <w:rPr>
          <w:spacing w:val="-2"/>
        </w:rPr>
        <w:t>日，太光电信注册资本变更为</w:t>
      </w:r>
      <w:r>
        <w:rPr>
          <w:rFonts w:ascii="宋体" w:hAnsi="宋体" w:cs="宋体" w:eastAsia="宋体" w:hint="default"/>
          <w:spacing w:val="-2"/>
        </w:rPr>
        <w:t>431,214,014</w:t>
      </w:r>
      <w:r>
        <w:rPr>
          <w:spacing w:val="-2"/>
        </w:rPr>
        <w:t>元，并业经信永中和会计师事务所出具的</w:t>
      </w:r>
      <w:r>
        <w:rPr>
          <w:w w:val="100"/>
        </w:rPr>
        <w:t> </w:t>
      </w:r>
      <w:r>
        <w:rPr>
          <w:rFonts w:ascii="宋体" w:hAnsi="宋体" w:cs="宋体" w:eastAsia="宋体" w:hint="default"/>
        </w:rPr>
        <w:t>XYZH/2012A1055-8</w:t>
      </w:r>
      <w:r>
        <w:rPr/>
        <w:t>号《验资报告》验证。</w:t>
      </w:r>
    </w:p>
    <w:p>
      <w:pPr>
        <w:pStyle w:val="BodyText"/>
        <w:spacing w:line="408" w:lineRule="auto" w:before="46"/>
        <w:ind w:right="98" w:firstLine="420"/>
        <w:jc w:val="left"/>
      </w:pPr>
      <w:r>
        <w:rPr>
          <w:spacing w:val="-2"/>
        </w:rPr>
        <w:t>太光电信吸收合并完成前控股股东为昆山市申昌科技有限公司；吸收合并完成后控股股东变更为神州</w:t>
      </w:r>
      <w:r>
        <w:rPr>
          <w:w w:val="100"/>
        </w:rPr>
        <w:t> </w:t>
      </w:r>
      <w:r>
        <w:rPr/>
        <w:t>数码软件有限公司（持股比例</w:t>
      </w:r>
      <w:r>
        <w:rPr>
          <w:rFonts w:ascii="宋体" w:hAnsi="宋体" w:cs="宋体" w:eastAsia="宋体" w:hint="default"/>
        </w:rPr>
        <w:t>45.17%</w:t>
      </w:r>
      <w:r>
        <w:rPr/>
        <w:t>）。</w:t>
      </w:r>
    </w:p>
    <w:p>
      <w:pPr>
        <w:pStyle w:val="BodyText"/>
        <w:spacing w:line="408" w:lineRule="auto" w:before="46"/>
        <w:ind w:right="98" w:firstLine="420"/>
        <w:jc w:val="left"/>
      </w:pPr>
      <w:r>
        <w:rPr>
          <w:rFonts w:ascii="宋体" w:hAnsi="宋体" w:cs="宋体" w:eastAsia="宋体" w:hint="default"/>
          <w:spacing w:val="-4"/>
        </w:rPr>
        <w:t>2014</w:t>
      </w:r>
      <w:r>
        <w:rPr>
          <w:spacing w:val="-4"/>
        </w:rPr>
        <w:t>年</w:t>
      </w:r>
      <w:r>
        <w:rPr>
          <w:rFonts w:ascii="宋体" w:hAnsi="宋体" w:cs="宋体" w:eastAsia="宋体" w:hint="default"/>
          <w:spacing w:val="-4"/>
        </w:rPr>
        <w:t>2</w:t>
      </w:r>
      <w:r>
        <w:rPr>
          <w:spacing w:val="-4"/>
        </w:rPr>
        <w:t>月</w:t>
      </w:r>
      <w:r>
        <w:rPr>
          <w:rFonts w:ascii="宋体" w:hAnsi="宋体" w:cs="宋体" w:eastAsia="宋体" w:hint="default"/>
          <w:spacing w:val="-4"/>
        </w:rPr>
        <w:t>26</w:t>
      </w:r>
      <w:r>
        <w:rPr>
          <w:spacing w:val="-4"/>
        </w:rPr>
        <w:t>日，经国家工商总局和深圳市市场监督管理局核准，太光电信完成了工商变更登记手续，</w:t>
      </w:r>
      <w:r>
        <w:rPr>
          <w:w w:val="100"/>
        </w:rPr>
        <w:t> </w:t>
      </w:r>
      <w:r>
        <w:rPr/>
        <w:t>公司名称由“深圳市太光电信股份有限公司”变更为“神州数码信息服务股份有限公司”（以</w:t>
      </w:r>
      <w:r>
        <w:rPr>
          <w:rFonts w:ascii="宋体" w:hAnsi="宋体" w:cs="宋体" w:eastAsia="宋体" w:hint="default"/>
        </w:rPr>
        <w:t>2014</w:t>
      </w:r>
      <w:r>
        <w:rPr/>
        <w:t>年</w:t>
      </w:r>
      <w:r>
        <w:rPr>
          <w:rFonts w:ascii="宋体" w:hAnsi="宋体" w:cs="宋体" w:eastAsia="宋体" w:hint="default"/>
        </w:rPr>
        <w:t>2</w:t>
      </w:r>
      <w:r>
        <w:rPr/>
        <w:t>月</w:t>
      </w:r>
      <w:r>
        <w:rPr>
          <w:w w:val="100"/>
        </w:rPr>
        <w:t> </w:t>
      </w:r>
      <w:r>
        <w:rPr>
          <w:rFonts w:ascii="宋体" w:hAnsi="宋体" w:cs="宋体" w:eastAsia="宋体" w:hint="default"/>
          <w:spacing w:val="-2"/>
        </w:rPr>
        <w:t>26</w:t>
      </w:r>
      <w:r>
        <w:rPr>
          <w:spacing w:val="-2"/>
        </w:rPr>
        <w:t>日为界限，之前公司名称为“深圳市太光电信股份有限公司”，之后公司名称为“神州数码信息服务股</w:t>
      </w:r>
      <w:r>
        <w:rPr>
          <w:spacing w:val="-40"/>
        </w:rPr>
        <w:t> </w:t>
      </w:r>
      <w:r>
        <w:rPr>
          <w:spacing w:val="-40"/>
        </w:rPr>
      </w:r>
      <w:r>
        <w:rPr/>
        <w:t>份有限公司”），法定代表人由“宋波”变更为“郭为”。</w:t>
      </w:r>
    </w:p>
    <w:p>
      <w:pPr>
        <w:pStyle w:val="BodyText"/>
        <w:spacing w:line="408" w:lineRule="auto" w:before="46"/>
        <w:ind w:left="573" w:right="98"/>
        <w:jc w:val="left"/>
      </w:pPr>
      <w:r>
        <w:rPr/>
        <w:t>（</w:t>
      </w:r>
      <w:r>
        <w:rPr>
          <w:rFonts w:ascii="宋体" w:hAnsi="宋体" w:cs="宋体" w:eastAsia="宋体" w:hint="default"/>
        </w:rPr>
        <w:t>10</w:t>
      </w:r>
      <w:r>
        <w:rPr/>
        <w:t>）</w:t>
      </w:r>
      <w:r>
        <w:rPr>
          <w:rFonts w:ascii="宋体" w:hAnsi="宋体" w:cs="宋体" w:eastAsia="宋体" w:hint="default"/>
        </w:rPr>
        <w:t>2014</w:t>
      </w:r>
      <w:r>
        <w:rPr/>
        <w:t>年度发行股份及支付现金购买资产事项</w:t>
      </w:r>
      <w:r>
        <w:rPr>
          <w:w w:val="100"/>
        </w:rPr>
        <w:t> </w:t>
      </w:r>
      <w:r>
        <w:rPr>
          <w:spacing w:val="-2"/>
        </w:rPr>
        <w:t>根据神州信息第六届董事会</w:t>
      </w:r>
      <w:r>
        <w:rPr>
          <w:rFonts w:ascii="宋体" w:hAnsi="宋体" w:cs="宋体" w:eastAsia="宋体" w:hint="default"/>
          <w:spacing w:val="-2"/>
        </w:rPr>
        <w:t>2014</w:t>
      </w:r>
      <w:r>
        <w:rPr>
          <w:spacing w:val="-2"/>
        </w:rPr>
        <w:t>年第七次临时会议决议通过的《关于公司向特定对象发行股份购买资</w:t>
      </w:r>
    </w:p>
    <w:p>
      <w:pPr>
        <w:pStyle w:val="BodyText"/>
        <w:spacing w:line="240" w:lineRule="auto" w:before="46"/>
        <w:ind w:right="98"/>
        <w:jc w:val="left"/>
      </w:pPr>
      <w:r>
        <w:rPr/>
        <w:t>产并募集配套资金方案的议案》、第六届董事会</w:t>
      </w:r>
      <w:r>
        <w:rPr>
          <w:rFonts w:ascii="宋体" w:hAnsi="宋体" w:cs="宋体" w:eastAsia="宋体" w:hint="default"/>
        </w:rPr>
        <w:t>2014</w:t>
      </w:r>
      <w:r>
        <w:rPr/>
        <w:t>年第九次临时会议决议及</w:t>
      </w:r>
      <w:r>
        <w:rPr>
          <w:rFonts w:ascii="宋体" w:hAnsi="宋体" w:cs="宋体" w:eastAsia="宋体" w:hint="default"/>
        </w:rPr>
        <w:t>2014</w:t>
      </w:r>
      <w:r>
        <w:rPr/>
        <w:t>年度第四次临时股东大</w:t>
      </w:r>
    </w:p>
    <w:p>
      <w:pPr>
        <w:spacing w:after="0" w:line="240" w:lineRule="auto"/>
        <w:jc w:val="left"/>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408" w:lineRule="auto" w:before="36"/>
        <w:ind w:right="206"/>
        <w:jc w:val="both"/>
      </w:pPr>
      <w:r>
        <w:rPr>
          <w:spacing w:val="-2"/>
        </w:rPr>
        <w:t>会决议通过的《关于公司向特定对象发行股份购买资产并募集配套资金方案的议案（修订）》及神州信息</w:t>
      </w:r>
      <w:r>
        <w:rPr>
          <w:spacing w:val="-44"/>
        </w:rPr>
        <w:t> </w:t>
      </w:r>
      <w:r>
        <w:rPr>
          <w:spacing w:val="-44"/>
        </w:rPr>
      </w:r>
      <w:r>
        <w:rPr>
          <w:spacing w:val="-2"/>
        </w:rPr>
        <w:t>与北京中农信达信息技术有限公司（以下简称中农信达）全体股东签署的《发行股份及支付现金购买资产</w:t>
      </w:r>
      <w:r>
        <w:rPr>
          <w:spacing w:val="-43"/>
        </w:rPr>
        <w:t> </w:t>
      </w:r>
      <w:r>
        <w:rPr>
          <w:spacing w:val="-43"/>
        </w:rPr>
      </w:r>
      <w:r>
        <w:rPr/>
        <w:t>协议》与《发行股份及支付现金购买资产协议之补充协议》，神州信息拟购买中农信达</w:t>
      </w:r>
      <w:r>
        <w:rPr>
          <w:rFonts w:ascii="宋体" w:hAnsi="宋体" w:cs="宋体" w:eastAsia="宋体" w:hint="default"/>
        </w:rPr>
        <w:t>100%</w:t>
      </w:r>
      <w:r>
        <w:rPr/>
        <w:t>股权。</w:t>
      </w:r>
    </w:p>
    <w:p>
      <w:pPr>
        <w:pStyle w:val="BodyText"/>
        <w:spacing w:line="408" w:lineRule="auto" w:before="46"/>
        <w:ind w:right="98" w:firstLine="420"/>
        <w:jc w:val="left"/>
      </w:pPr>
      <w:r>
        <w:rPr>
          <w:spacing w:val="-2"/>
        </w:rPr>
        <w:t>中国证券监督管理委员会下发证监许可</w:t>
      </w:r>
      <w:r>
        <w:rPr>
          <w:rFonts w:ascii="宋体" w:hAnsi="宋体" w:cs="宋体" w:eastAsia="宋体" w:hint="default"/>
          <w:spacing w:val="-2"/>
        </w:rPr>
        <w:t>[2014]1258</w:t>
      </w:r>
      <w:r>
        <w:rPr>
          <w:spacing w:val="-2"/>
        </w:rPr>
        <w:t>号《关于核准神州数码信息服务股份有限公司向冯</w:t>
      </w:r>
      <w:r>
        <w:rPr>
          <w:w w:val="100"/>
        </w:rPr>
        <w:t> </w:t>
      </w:r>
      <w:r>
        <w:rPr/>
        <w:t>健刚等发行股份购买资产并募集配套资金的批复》，核准神州信息向冯健刚发行</w:t>
      </w:r>
      <w:r>
        <w:rPr>
          <w:rFonts w:ascii="宋体" w:hAnsi="宋体" w:cs="宋体" w:eastAsia="宋体" w:hint="default"/>
        </w:rPr>
        <w:t>6,073,988</w:t>
      </w:r>
      <w:r>
        <w:rPr/>
        <w:t>股股份、向王</w:t>
      </w:r>
      <w:r>
        <w:rPr>
          <w:w w:val="100"/>
        </w:rPr>
        <w:t> </w:t>
      </w:r>
      <w:r>
        <w:rPr/>
        <w:t>宇飞发行</w:t>
      </w:r>
      <w:r>
        <w:rPr>
          <w:rFonts w:ascii="宋体" w:hAnsi="宋体" w:cs="宋体" w:eastAsia="宋体" w:hint="default"/>
        </w:rPr>
        <w:t>5,540,462</w:t>
      </w:r>
      <w:r>
        <w:rPr/>
        <w:t>股股份、向张丹丹发行</w:t>
      </w:r>
      <w:r>
        <w:rPr>
          <w:rFonts w:ascii="宋体" w:hAnsi="宋体" w:cs="宋体" w:eastAsia="宋体" w:hint="default"/>
        </w:rPr>
        <w:t>4,432,369</w:t>
      </w:r>
      <w:r>
        <w:rPr/>
        <w:t>股股份、向贺胜龙发行</w:t>
      </w:r>
      <w:r>
        <w:rPr>
          <w:rFonts w:ascii="宋体" w:hAnsi="宋体" w:cs="宋体" w:eastAsia="宋体" w:hint="default"/>
        </w:rPr>
        <w:t>3,078,033</w:t>
      </w:r>
      <w:r>
        <w:rPr/>
        <w:t>股股份、向王正发</w:t>
      </w:r>
      <w:r>
        <w:rPr>
          <w:w w:val="100"/>
        </w:rPr>
        <w:t> </w:t>
      </w:r>
      <w:r>
        <w:rPr/>
        <w:t>行</w:t>
      </w:r>
      <w:r>
        <w:rPr>
          <w:rFonts w:ascii="宋体" w:hAnsi="宋体" w:cs="宋体" w:eastAsia="宋体" w:hint="default"/>
        </w:rPr>
        <w:t>820,809</w:t>
      </w:r>
      <w:r>
        <w:rPr/>
        <w:t>股股份、向蒋云发行</w:t>
      </w:r>
      <w:r>
        <w:rPr>
          <w:rFonts w:ascii="宋体" w:hAnsi="宋体" w:cs="宋体" w:eastAsia="宋体" w:hint="default"/>
        </w:rPr>
        <w:t>287,283</w:t>
      </w:r>
      <w:r>
        <w:rPr/>
        <w:t>股股份、向王建林发行</w:t>
      </w:r>
      <w:r>
        <w:rPr>
          <w:rFonts w:ascii="宋体" w:hAnsi="宋体" w:cs="宋体" w:eastAsia="宋体" w:hint="default"/>
        </w:rPr>
        <w:t>287,283</w:t>
      </w:r>
      <w:r>
        <w:rPr/>
        <w:t>股股份购买相关资产，核准神州信</w:t>
      </w:r>
      <w:r>
        <w:rPr>
          <w:w w:val="100"/>
        </w:rPr>
        <w:t> </w:t>
      </w:r>
      <w:r>
        <w:rPr/>
        <w:t>息非公开发行不超过</w:t>
      </w:r>
      <w:r>
        <w:rPr>
          <w:rFonts w:ascii="宋体" w:hAnsi="宋体" w:cs="宋体" w:eastAsia="宋体" w:hint="default"/>
        </w:rPr>
        <w:t>10,856,269</w:t>
      </w:r>
      <w:r>
        <w:rPr/>
        <w:t>股新股募集上述发行股份购买资产的配套资金。</w:t>
      </w:r>
    </w:p>
    <w:p>
      <w:pPr>
        <w:pStyle w:val="BodyText"/>
        <w:spacing w:line="408" w:lineRule="auto" w:before="46"/>
        <w:ind w:right="102" w:firstLine="420"/>
        <w:jc w:val="left"/>
      </w:pPr>
      <w:r>
        <w:rPr/>
        <w:t>根据《发行股份及支付现金购买资产协议》与《发行股份及支付现金购买资产协议之补充协议》，神</w:t>
      </w:r>
      <w:r>
        <w:rPr>
          <w:w w:val="100"/>
        </w:rPr>
        <w:t> </w:t>
      </w:r>
      <w:r>
        <w:rPr>
          <w:spacing w:val="-2"/>
        </w:rPr>
        <w:t>州信息向前述的中农信达原股东发行股份共计</w:t>
      </w:r>
      <w:r>
        <w:rPr>
          <w:rFonts w:ascii="宋体" w:hAnsi="宋体" w:cs="宋体" w:eastAsia="宋体" w:hint="default"/>
          <w:spacing w:val="-2"/>
        </w:rPr>
        <w:t>20,520,227</w:t>
      </w:r>
      <w:r>
        <w:rPr>
          <w:spacing w:val="-2"/>
        </w:rPr>
        <w:t>股（发行价格为</w:t>
      </w:r>
      <w:r>
        <w:rPr>
          <w:rFonts w:ascii="宋体" w:hAnsi="宋体" w:cs="宋体" w:eastAsia="宋体" w:hint="default"/>
          <w:spacing w:val="-2"/>
        </w:rPr>
        <w:t>24.22</w:t>
      </w:r>
      <w:r>
        <w:rPr>
          <w:spacing w:val="-2"/>
        </w:rPr>
        <w:t>元</w:t>
      </w:r>
      <w:r>
        <w:rPr>
          <w:rFonts w:ascii="宋体" w:hAnsi="宋体" w:cs="宋体" w:eastAsia="宋体" w:hint="default"/>
          <w:spacing w:val="-2"/>
        </w:rPr>
        <w:t>/</w:t>
      </w:r>
      <w:r>
        <w:rPr>
          <w:spacing w:val="-2"/>
        </w:rPr>
        <w:t>股）。截至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spacing w:val="-30"/>
        </w:rPr>
        <w:t> </w:t>
      </w:r>
      <w:r>
        <w:rPr>
          <w:rFonts w:ascii="宋体" w:hAnsi="宋体" w:cs="宋体" w:eastAsia="宋体" w:hint="default"/>
          <w:spacing w:val="-4"/>
        </w:rPr>
        <w:t>3</w:t>
      </w:r>
      <w:r>
        <w:rPr>
          <w:spacing w:val="-4"/>
        </w:rPr>
        <w:t>日止，公司已收到新增注册资本人民币</w:t>
      </w:r>
      <w:r>
        <w:rPr>
          <w:rFonts w:ascii="宋体" w:hAnsi="宋体" w:cs="宋体" w:eastAsia="宋体" w:hint="default"/>
          <w:spacing w:val="-4"/>
        </w:rPr>
        <w:t>20,520,227.00</w:t>
      </w:r>
      <w:r>
        <w:rPr>
          <w:spacing w:val="-4"/>
        </w:rPr>
        <w:t>元，变更后的注册资本为人民币</w:t>
      </w:r>
      <w:r>
        <w:rPr>
          <w:rFonts w:ascii="宋体" w:hAnsi="宋体" w:cs="宋体" w:eastAsia="宋体" w:hint="default"/>
          <w:spacing w:val="-4"/>
        </w:rPr>
        <w:t>451,734,241.00</w:t>
      </w:r>
      <w:r>
        <w:rPr>
          <w:spacing w:val="-4"/>
        </w:rPr>
        <w:t>元，</w:t>
      </w:r>
      <w:r>
        <w:rPr/>
        <w:t> 并业经信永中和会计师事务所出具的</w:t>
      </w:r>
      <w:r>
        <w:rPr>
          <w:rFonts w:ascii="宋体" w:hAnsi="宋体" w:cs="宋体" w:eastAsia="宋体" w:hint="default"/>
        </w:rPr>
        <w:t>XYZH/2014A1054-5</w:t>
      </w:r>
      <w:r>
        <w:rPr/>
        <w:t>号《验资报告》验证。</w:t>
      </w:r>
    </w:p>
    <w:p>
      <w:pPr>
        <w:pStyle w:val="BodyText"/>
        <w:spacing w:line="408" w:lineRule="auto" w:before="46"/>
        <w:ind w:right="206" w:firstLine="420"/>
        <w:jc w:val="left"/>
      </w:pPr>
      <w:r>
        <w:rPr>
          <w:spacing w:val="-2"/>
        </w:rPr>
        <w:t>根据《发行股份及支付现金购买资产协议》、《发行股份及支付现金购买资产协议之补充协议》及证</w:t>
      </w:r>
      <w:r>
        <w:rPr>
          <w:w w:val="100"/>
        </w:rPr>
        <w:t> </w:t>
      </w:r>
      <w:r>
        <w:rPr>
          <w:spacing w:val="-2"/>
        </w:rPr>
        <w:t>监许可</w:t>
      </w:r>
      <w:r>
        <w:rPr>
          <w:rFonts w:ascii="宋体" w:hAnsi="宋体" w:cs="宋体" w:eastAsia="宋体" w:hint="default"/>
          <w:spacing w:val="-2"/>
        </w:rPr>
        <w:t>[2014]1258</w:t>
      </w:r>
      <w:r>
        <w:rPr>
          <w:spacing w:val="-2"/>
        </w:rPr>
        <w:t>号《关于核准神州数码信息服务股份有限公司向冯健刚等发行股份购买资产并募集配套</w:t>
      </w:r>
      <w:r>
        <w:rPr>
          <w:spacing w:val="-34"/>
        </w:rPr>
        <w:t> </w:t>
      </w:r>
      <w:r>
        <w:rPr>
          <w:spacing w:val="-34"/>
        </w:rPr>
      </w:r>
      <w:r>
        <w:rPr>
          <w:spacing w:val="-2"/>
        </w:rPr>
        <w:t>资金的批复》，神州信息向财通基金管理有限公司、华安基金管理有限公司、华商基金管理有限公司、泰</w:t>
      </w:r>
      <w:r>
        <w:rPr>
          <w:spacing w:val="-43"/>
        </w:rPr>
        <w:t> </w:t>
      </w:r>
      <w:r>
        <w:rPr>
          <w:spacing w:val="-43"/>
        </w:rPr>
      </w:r>
      <w:r>
        <w:rPr/>
        <w:t>康资产管理有限责任公司、兴业全球基金管理有限公司发行股份共计</w:t>
      </w:r>
      <w:r>
        <w:rPr>
          <w:rFonts w:ascii="宋体" w:hAnsi="宋体" w:cs="宋体" w:eastAsia="宋体" w:hint="default"/>
        </w:rPr>
        <w:t>7,171,717</w:t>
      </w:r>
      <w:r>
        <w:rPr/>
        <w:t>股并募集配套资金</w:t>
      </w:r>
      <w:r>
        <w:rPr>
          <w:w w:val="100"/>
        </w:rPr>
        <w:t> </w:t>
      </w:r>
      <w:r>
        <w:rPr>
          <w:rFonts w:ascii="宋体" w:hAnsi="宋体" w:cs="宋体" w:eastAsia="宋体" w:hint="default"/>
          <w:spacing w:val="-5"/>
        </w:rPr>
        <w:t>236,666,661</w:t>
      </w:r>
      <w:r>
        <w:rPr>
          <w:spacing w:val="-5"/>
        </w:rPr>
        <w:t>元（发行价格为</w:t>
      </w:r>
      <w:r>
        <w:rPr>
          <w:rFonts w:ascii="宋体" w:hAnsi="宋体" w:cs="宋体" w:eastAsia="宋体" w:hint="default"/>
          <w:spacing w:val="-5"/>
        </w:rPr>
        <w:t>33.00</w:t>
      </w:r>
      <w:r>
        <w:rPr>
          <w:spacing w:val="-5"/>
        </w:rPr>
        <w:t>元</w:t>
      </w:r>
      <w:r>
        <w:rPr>
          <w:rFonts w:ascii="宋体" w:hAnsi="宋体" w:cs="宋体" w:eastAsia="宋体" w:hint="default"/>
          <w:spacing w:val="-5"/>
        </w:rPr>
        <w:t>/</w:t>
      </w:r>
      <w:r>
        <w:rPr>
          <w:spacing w:val="-5"/>
        </w:rPr>
        <w:t>股），截至</w:t>
      </w:r>
      <w:r>
        <w:rPr>
          <w:rFonts w:ascii="宋体" w:hAnsi="宋体" w:cs="宋体" w:eastAsia="宋体" w:hint="default"/>
          <w:spacing w:val="-5"/>
        </w:rPr>
        <w:t>2014</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19</w:t>
      </w:r>
      <w:r>
        <w:rPr>
          <w:spacing w:val="-5"/>
        </w:rPr>
        <w:t>日止，公司已收到募集资金</w:t>
      </w:r>
      <w:r>
        <w:rPr>
          <w:rFonts w:ascii="宋体" w:hAnsi="宋体" w:cs="宋体" w:eastAsia="宋体" w:hint="default"/>
          <w:spacing w:val="-5"/>
        </w:rPr>
        <w:t>236,666,661</w:t>
      </w:r>
      <w:r>
        <w:rPr>
          <w:spacing w:val="-5"/>
        </w:rPr>
        <w:t>元，</w:t>
      </w:r>
      <w:r>
        <w:rPr>
          <w:spacing w:val="-30"/>
        </w:rPr>
        <w:t> </w:t>
      </w:r>
      <w:r>
        <w:rPr/>
        <w:t>扣除公司依据协议应支付给西南证券股份有限公司的财务顾问费用</w:t>
      </w:r>
      <w:r>
        <w:rPr>
          <w:rFonts w:ascii="宋体" w:hAnsi="宋体" w:cs="宋体" w:eastAsia="宋体" w:hint="default"/>
        </w:rPr>
        <w:t>10,000,000.00</w:t>
      </w:r>
      <w:r>
        <w:rPr/>
        <w:t>元后，实际募集资金净</w:t>
      </w:r>
      <w:r>
        <w:rPr>
          <w:w w:val="100"/>
        </w:rPr>
        <w:t> </w:t>
      </w:r>
      <w:r>
        <w:rPr>
          <w:spacing w:val="-4"/>
        </w:rPr>
        <w:t>额为</w:t>
      </w:r>
      <w:r>
        <w:rPr>
          <w:rFonts w:ascii="宋体" w:hAnsi="宋体" w:cs="宋体" w:eastAsia="宋体" w:hint="default"/>
          <w:spacing w:val="-4"/>
        </w:rPr>
        <w:t>226,666,661</w:t>
      </w:r>
      <w:r>
        <w:rPr>
          <w:spacing w:val="-4"/>
        </w:rPr>
        <w:t>元，其中新增注册资本</w:t>
      </w:r>
      <w:r>
        <w:rPr>
          <w:rFonts w:ascii="宋体" w:hAnsi="宋体" w:cs="宋体" w:eastAsia="宋体" w:hint="default"/>
          <w:spacing w:val="-4"/>
        </w:rPr>
        <w:t>7,171,717.00</w:t>
      </w:r>
      <w:r>
        <w:rPr>
          <w:spacing w:val="-4"/>
        </w:rPr>
        <w:t>元，变更后的注册资本为人民币</w:t>
      </w:r>
      <w:r>
        <w:rPr>
          <w:rFonts w:ascii="宋体" w:hAnsi="宋体" w:cs="宋体" w:eastAsia="宋体" w:hint="default"/>
          <w:spacing w:val="-4"/>
        </w:rPr>
        <w:t>458,905,958.00</w:t>
      </w:r>
      <w:r>
        <w:rPr>
          <w:spacing w:val="-4"/>
        </w:rPr>
        <w:t>元，</w:t>
      </w:r>
      <w:r>
        <w:rPr>
          <w:spacing w:val="13"/>
        </w:rPr>
        <w:t> </w:t>
      </w:r>
      <w:r>
        <w:rPr/>
        <w:t>并业经信永中和会计师事务所出具的</w:t>
      </w:r>
      <w:r>
        <w:rPr>
          <w:rFonts w:ascii="宋体" w:hAnsi="宋体" w:cs="宋体" w:eastAsia="宋体" w:hint="default"/>
        </w:rPr>
        <w:t>XYZH/2014A1054-6</w:t>
      </w:r>
      <w:r>
        <w:rPr/>
        <w:t>号《验资报告》验证。</w:t>
      </w:r>
    </w:p>
    <w:p>
      <w:pPr>
        <w:pStyle w:val="BodyText"/>
        <w:spacing w:line="408" w:lineRule="auto" w:before="46"/>
        <w:ind w:right="205" w:firstLine="420"/>
        <w:jc w:val="left"/>
      </w:pPr>
      <w:r>
        <w:rPr/>
        <w:t>被购买资产作价依据为经北京中同华资产评估有限公司出具的中同华评报字</w:t>
      </w:r>
      <w:r>
        <w:rPr>
          <w:spacing w:val="13"/>
        </w:rPr>
        <w:t> </w:t>
      </w:r>
      <w:r>
        <w:rPr>
          <w:rFonts w:ascii="宋体" w:hAnsi="宋体" w:cs="宋体" w:eastAsia="宋体" w:hint="default"/>
          <w:spacing w:val="-3"/>
        </w:rPr>
        <w:t>(2014)</w:t>
      </w:r>
      <w:r>
        <w:rPr>
          <w:spacing w:val="-3"/>
        </w:rPr>
        <w:t>第</w:t>
      </w:r>
      <w:r>
        <w:rPr>
          <w:rFonts w:ascii="宋体" w:hAnsi="宋体" w:cs="宋体" w:eastAsia="宋体" w:hint="default"/>
          <w:spacing w:val="-3"/>
        </w:rPr>
        <w:t>406</w:t>
      </w:r>
      <w:r>
        <w:rPr>
          <w:spacing w:val="-3"/>
        </w:rPr>
        <w:t>号《神州数</w:t>
      </w:r>
      <w:r>
        <w:rPr>
          <w:w w:val="100"/>
        </w:rPr>
        <w:t> </w:t>
      </w:r>
      <w:r>
        <w:rPr/>
        <w:t>码信息服务股份有限公司向特定对象发行股份购买资产并募集配套资金所涉及北京中农信达信息技术有</w:t>
      </w:r>
      <w:r>
        <w:rPr>
          <w:w w:val="100"/>
        </w:rPr>
        <w:t> </w:t>
      </w:r>
      <w:r>
        <w:rPr/>
        <w:t>限公司股权评估项目资产评估报告书》。</w:t>
      </w:r>
    </w:p>
    <w:p>
      <w:pPr>
        <w:pStyle w:val="BodyText"/>
        <w:spacing w:line="408" w:lineRule="auto" w:before="46"/>
        <w:ind w:left="573" w:right="98" w:firstLine="2"/>
        <w:jc w:val="left"/>
      </w:pPr>
      <w:r>
        <w:rPr>
          <w:rFonts w:ascii="宋体" w:hAnsi="宋体" w:cs="宋体" w:eastAsia="宋体" w:hint="default"/>
          <w:b/>
          <w:bCs/>
        </w:rPr>
        <w:t>3</w:t>
      </w:r>
      <w:r>
        <w:rPr>
          <w:rFonts w:ascii="宋体" w:hAnsi="宋体" w:cs="宋体" w:eastAsia="宋体" w:hint="default"/>
          <w:b/>
          <w:bCs/>
        </w:rPr>
        <w:t>、其他基本情况</w:t>
      </w:r>
      <w:r>
        <w:rPr>
          <w:rFonts w:ascii="宋体" w:hAnsi="宋体" w:cs="宋体" w:eastAsia="宋体" w:hint="default"/>
          <w:b/>
          <w:bCs/>
          <w:w w:val="100"/>
        </w:rPr>
        <w:t> </w:t>
      </w:r>
      <w:r>
        <w:rPr>
          <w:spacing w:val="-2"/>
        </w:rPr>
        <w:t>注册地址：深圳市南山区科发路</w:t>
      </w:r>
      <w:r>
        <w:rPr>
          <w:rFonts w:ascii="宋体" w:hAnsi="宋体" w:cs="宋体" w:eastAsia="宋体" w:hint="default"/>
          <w:spacing w:val="-2"/>
        </w:rPr>
        <w:t>8</w:t>
      </w:r>
      <w:r>
        <w:rPr>
          <w:spacing w:val="-2"/>
        </w:rPr>
        <w:t>号金融服务技术创新基地</w:t>
      </w:r>
      <w:r>
        <w:rPr>
          <w:rFonts w:ascii="宋体" w:hAnsi="宋体" w:cs="宋体" w:eastAsia="宋体" w:hint="default"/>
          <w:spacing w:val="-2"/>
        </w:rPr>
        <w:t>1</w:t>
      </w:r>
      <w:r>
        <w:rPr>
          <w:spacing w:val="-2"/>
        </w:rPr>
        <w:t>栋</w:t>
      </w:r>
      <w:r>
        <w:rPr>
          <w:rFonts w:ascii="宋体" w:hAnsi="宋体" w:cs="宋体" w:eastAsia="宋体" w:hint="default"/>
          <w:spacing w:val="-2"/>
        </w:rPr>
        <w:t>3C5</w:t>
      </w:r>
      <w:r>
        <w:rPr>
          <w:spacing w:val="-2"/>
        </w:rPr>
        <w:t>单元；企业法人营业执照注册号</w:t>
      </w:r>
    </w:p>
    <w:p>
      <w:pPr>
        <w:pStyle w:val="BodyText"/>
        <w:spacing w:line="240" w:lineRule="auto" w:before="46"/>
        <w:ind w:right="0"/>
        <w:jc w:val="both"/>
      </w:pPr>
      <w:r>
        <w:rPr>
          <w:rFonts w:ascii="宋体" w:hAnsi="宋体" w:cs="宋体" w:eastAsia="宋体" w:hint="default"/>
        </w:rPr>
        <w:t>440301103593790</w:t>
      </w:r>
      <w:r>
        <w:rPr/>
        <w:t>。</w:t>
      </w:r>
    </w:p>
    <w:p>
      <w:pPr>
        <w:spacing w:line="240" w:lineRule="auto" w:before="10"/>
        <w:rPr>
          <w:rFonts w:ascii="宋体" w:hAnsi="宋体" w:cs="宋体" w:eastAsia="宋体" w:hint="default"/>
          <w:sz w:val="14"/>
          <w:szCs w:val="14"/>
        </w:rPr>
      </w:pPr>
    </w:p>
    <w:p>
      <w:pPr>
        <w:pStyle w:val="BodyText"/>
        <w:spacing w:line="408" w:lineRule="auto"/>
        <w:ind w:right="206" w:firstLine="420"/>
        <w:jc w:val="both"/>
      </w:pPr>
      <w:r>
        <w:rPr>
          <w:spacing w:val="-2"/>
        </w:rPr>
        <w:t>经营范围：研究、开发金融自助设备及相关应用软件，销售本公司所研发产品并提供售后服务；提供</w:t>
      </w:r>
      <w:r>
        <w:rPr>
          <w:w w:val="100"/>
        </w:rPr>
        <w:t> </w:t>
      </w:r>
      <w:r>
        <w:rPr>
          <w:spacing w:val="-2"/>
        </w:rPr>
        <w:t>信息技术及相关技术的咨询、开发、技术服务；软件开发、信息系统的集成并提供售后服务；从事信息系</w:t>
      </w:r>
      <w:r>
        <w:rPr>
          <w:spacing w:val="-43"/>
        </w:rPr>
        <w:t> </w:t>
      </w:r>
      <w:r>
        <w:rPr>
          <w:spacing w:val="-43"/>
        </w:rPr>
      </w:r>
      <w:r>
        <w:rPr>
          <w:spacing w:val="-2"/>
        </w:rPr>
        <w:t>统集成配套计算机硬件及零件、网络设备、多媒体产品、电子信息产品及通讯产品、办公自动化设备、仪</w:t>
      </w:r>
    </w:p>
    <w:p>
      <w:pPr>
        <w:spacing w:after="0" w:line="408" w:lineRule="auto"/>
        <w:jc w:val="both"/>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408" w:lineRule="auto" w:before="36"/>
        <w:ind w:left="573" w:right="140" w:hanging="420"/>
        <w:jc w:val="left"/>
      </w:pPr>
      <w:r>
        <w:rPr/>
        <w:t>器仪表、电器及印刷照排设备的批发、进出口及相关业务。</w:t>
      </w:r>
      <w:r>
        <w:rPr>
          <w:w w:val="100"/>
        </w:rPr>
        <w:t> </w:t>
      </w:r>
      <w:r>
        <w:rPr/>
        <w:t>本财务报告于</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27</w:t>
      </w:r>
      <w:r>
        <w:rPr/>
        <w:t>日由本公司董事会批准报出。</w:t>
      </w:r>
      <w:r>
        <w:rPr>
          <w:w w:val="100"/>
        </w:rPr>
        <w:t> </w:t>
      </w:r>
      <w:r>
        <w:rPr>
          <w:spacing w:val="-2"/>
        </w:rPr>
        <w:t>本公司合并财务报表范围包括神州数码系统集成服务有限公司、神州数码信息系统有限公司等</w:t>
      </w:r>
      <w:r>
        <w:rPr>
          <w:rFonts w:ascii="宋体" w:hAnsi="宋体" w:cs="宋体" w:eastAsia="宋体" w:hint="default"/>
          <w:spacing w:val="-2"/>
        </w:rPr>
        <w:t>21</w:t>
      </w:r>
      <w:r>
        <w:rPr>
          <w:spacing w:val="-2"/>
        </w:rPr>
        <w:t>家子</w:t>
      </w:r>
    </w:p>
    <w:p>
      <w:pPr>
        <w:pStyle w:val="BodyText"/>
        <w:spacing w:line="408" w:lineRule="auto" w:before="46"/>
        <w:ind w:right="140"/>
        <w:jc w:val="left"/>
      </w:pPr>
      <w:r>
        <w:rPr>
          <w:spacing w:val="-2"/>
        </w:rPr>
        <w:t>公司。与上年相比，本年因新设增加北京神州数码锐行快捷信息技术服务有限公司，因收购增加北京中农</w:t>
      </w:r>
      <w:r>
        <w:rPr>
          <w:spacing w:val="-44"/>
        </w:rPr>
        <w:t> </w:t>
      </w:r>
      <w:r>
        <w:rPr>
          <w:spacing w:val="-44"/>
        </w:rPr>
      </w:r>
      <w:r>
        <w:rPr/>
        <w:t>信达信息技术有限公司和昆明中农信息技术有限公司。</w:t>
      </w:r>
    </w:p>
    <w:p>
      <w:pPr>
        <w:pStyle w:val="BodyText"/>
        <w:spacing w:line="240" w:lineRule="auto" w:before="46"/>
        <w:ind w:left="573" w:right="140"/>
        <w:jc w:val="left"/>
      </w:pPr>
      <w:r>
        <w:rPr/>
        <w:t>详见本附注“八、合并范围的变更”</w:t>
      </w:r>
      <w:r>
        <w:rPr>
          <w:spacing w:val="-5"/>
        </w:rPr>
        <w:t> </w:t>
      </w:r>
      <w:r>
        <w:rPr/>
        <w:t>及本附注“九、在其他主体中的权益”相关内容。</w:t>
      </w:r>
    </w:p>
    <w:p>
      <w:pPr>
        <w:spacing w:line="240" w:lineRule="auto" w:before="0"/>
        <w:rPr>
          <w:rFonts w:ascii="宋体" w:hAnsi="宋体" w:cs="宋体" w:eastAsia="宋体" w:hint="default"/>
          <w:sz w:val="20"/>
          <w:szCs w:val="20"/>
        </w:rPr>
      </w:pPr>
    </w:p>
    <w:p>
      <w:pPr>
        <w:pStyle w:val="Heading2"/>
        <w:spacing w:line="240" w:lineRule="auto" w:before="175"/>
        <w:ind w:right="140"/>
        <w:jc w:val="left"/>
        <w:rPr>
          <w:b w:val="0"/>
          <w:bCs w:val="0"/>
        </w:rPr>
      </w:pPr>
      <w:r>
        <w:rPr/>
        <w:t>四、财务报表的编制基础</w:t>
      </w:r>
      <w:r>
        <w:rPr>
          <w:b w:val="0"/>
          <w:bCs w:val="0"/>
        </w:rPr>
      </w:r>
    </w:p>
    <w:p>
      <w:pPr>
        <w:spacing w:line="240" w:lineRule="auto" w:before="2"/>
        <w:rPr>
          <w:rFonts w:ascii="宋体" w:hAnsi="宋体" w:cs="宋体" w:eastAsia="宋体" w:hint="default"/>
          <w:b/>
          <w:bCs/>
          <w:sz w:val="29"/>
          <w:szCs w:val="29"/>
        </w:rPr>
      </w:pPr>
    </w:p>
    <w:p>
      <w:pPr>
        <w:pStyle w:val="Heading4"/>
        <w:spacing w:line="240" w:lineRule="auto"/>
        <w:ind w:right="14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1"/>
        <w:rPr>
          <w:rFonts w:ascii="宋体" w:hAnsi="宋体" w:cs="宋体" w:eastAsia="宋体" w:hint="default"/>
          <w:b/>
          <w:bCs/>
          <w:sz w:val="29"/>
          <w:szCs w:val="29"/>
        </w:rPr>
      </w:pPr>
    </w:p>
    <w:p>
      <w:pPr>
        <w:pStyle w:val="BodyText"/>
        <w:spacing w:line="408" w:lineRule="auto"/>
        <w:ind w:right="140" w:firstLine="420"/>
        <w:jc w:val="left"/>
      </w:pPr>
      <w:r>
        <w:rPr>
          <w:spacing w:val="-7"/>
        </w:rPr>
        <w:t>本公司财务报表以持续经营为基础，根据实际发生的交易和事项，按照财政部颁布的《企业会计准则》</w:t>
      </w:r>
      <w:r>
        <w:rPr>
          <w:w w:val="100"/>
        </w:rPr>
        <w:t> </w:t>
      </w:r>
      <w:r>
        <w:rPr/>
        <w:t>及相关规定，并基于本附注“五、重要会计政策及会计估计”所述会计政策和会计估计编制。</w:t>
      </w:r>
    </w:p>
    <w:p>
      <w:pPr>
        <w:spacing w:line="240" w:lineRule="auto" w:before="11"/>
        <w:rPr>
          <w:rFonts w:ascii="宋体" w:hAnsi="宋体" w:cs="宋体" w:eastAsia="宋体" w:hint="default"/>
          <w:sz w:val="24"/>
          <w:szCs w:val="24"/>
        </w:rPr>
      </w:pPr>
    </w:p>
    <w:p>
      <w:pPr>
        <w:pStyle w:val="Heading4"/>
        <w:spacing w:line="240" w:lineRule="auto"/>
        <w:ind w:right="140"/>
        <w:jc w:val="left"/>
        <w:rPr>
          <w:b w:val="0"/>
          <w:bCs w:val="0"/>
        </w:rPr>
      </w:pPr>
      <w:r>
        <w:rPr>
          <w:rFonts w:ascii="宋体" w:hAnsi="宋体" w:cs="宋体" w:eastAsia="宋体" w:hint="default"/>
        </w:rPr>
        <w:t>2</w:t>
      </w:r>
      <w:r>
        <w:rPr/>
        <w:t>、持续经营</w:t>
      </w:r>
      <w:r>
        <w:rPr>
          <w:b w:val="0"/>
          <w:bCs w:val="0"/>
        </w:rPr>
      </w:r>
    </w:p>
    <w:p>
      <w:pPr>
        <w:spacing w:line="240" w:lineRule="auto" w:before="0"/>
        <w:rPr>
          <w:rFonts w:ascii="宋体" w:hAnsi="宋体" w:cs="宋体" w:eastAsia="宋体" w:hint="default"/>
          <w:b/>
          <w:bCs/>
          <w:sz w:val="20"/>
          <w:szCs w:val="20"/>
        </w:rPr>
      </w:pPr>
    </w:p>
    <w:p>
      <w:pPr>
        <w:spacing w:line="652" w:lineRule="auto" w:before="145"/>
        <w:ind w:left="153" w:right="140" w:firstLine="420"/>
        <w:jc w:val="left"/>
        <w:rPr>
          <w:rFonts w:ascii="宋体" w:hAnsi="宋体" w:cs="宋体" w:eastAsia="宋体" w:hint="default"/>
          <w:sz w:val="21"/>
          <w:szCs w:val="21"/>
        </w:rPr>
      </w:pPr>
      <w:r>
        <w:rPr>
          <w:rFonts w:ascii="宋体" w:hAnsi="宋体" w:cs="宋体" w:eastAsia="宋体" w:hint="default"/>
          <w:spacing w:val="-2"/>
          <w:sz w:val="21"/>
          <w:szCs w:val="21"/>
        </w:rPr>
        <w:t>本公司有近期获利经营的历史且有财务资源支持，认为以持续经营为基础编制财务报表是合理的。</w:t>
      </w:r>
      <w:r>
        <w:rPr>
          <w:rFonts w:ascii="宋体" w:hAnsi="宋体" w:cs="宋体" w:eastAsia="宋体" w:hint="default"/>
          <w:w w:val="100"/>
          <w:sz w:val="21"/>
          <w:szCs w:val="21"/>
        </w:rPr>
        <w:t> </w:t>
      </w:r>
      <w:r>
        <w:rPr>
          <w:rFonts w:ascii="宋体" w:hAnsi="宋体" w:cs="宋体" w:eastAsia="宋体" w:hint="default"/>
          <w:b/>
          <w:bCs/>
          <w:sz w:val="21"/>
          <w:szCs w:val="21"/>
        </w:rPr>
        <w:t>五、重要会计政策及会计估计</w:t>
      </w:r>
      <w:r>
        <w:rPr>
          <w:rFonts w:ascii="宋体" w:hAnsi="宋体" w:cs="宋体" w:eastAsia="宋体" w:hint="default"/>
          <w:sz w:val="21"/>
          <w:szCs w:val="21"/>
        </w:rPr>
      </w:r>
    </w:p>
    <w:p>
      <w:pPr>
        <w:pStyle w:val="Heading4"/>
        <w:spacing w:line="240" w:lineRule="auto" w:before="24"/>
        <w:ind w:right="140"/>
        <w:jc w:val="left"/>
        <w:rPr>
          <w:b w:val="0"/>
          <w:bCs w:val="0"/>
        </w:rPr>
      </w:pPr>
      <w:r>
        <w:rPr>
          <w:rFonts w:ascii="宋体" w:hAnsi="宋体" w:cs="宋体" w:eastAsia="宋体" w:hint="default"/>
        </w:rPr>
        <w:t>1</w:t>
      </w:r>
      <w:r>
        <w:rPr/>
        <w:t>、遵循企业会计准则的声明</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45"/>
        <w:ind w:right="140" w:firstLine="420"/>
        <w:jc w:val="left"/>
      </w:pPr>
      <w:r>
        <w:rPr>
          <w:spacing w:val="-2"/>
        </w:rPr>
        <w:t>本公司编制的财务报表符合企业会计准则的要求，真实、完整地反映了本公司的财务状况、经营成果</w:t>
      </w:r>
      <w:r>
        <w:rPr>
          <w:w w:val="100"/>
        </w:rPr>
        <w:t> </w:t>
      </w:r>
      <w:r>
        <w:rPr/>
        <w:t>和现金流量等有关信息。</w:t>
      </w:r>
    </w:p>
    <w:p>
      <w:pPr>
        <w:spacing w:line="240" w:lineRule="auto" w:before="11"/>
        <w:rPr>
          <w:rFonts w:ascii="宋体" w:hAnsi="宋体" w:cs="宋体" w:eastAsia="宋体" w:hint="default"/>
          <w:sz w:val="24"/>
          <w:szCs w:val="24"/>
        </w:rPr>
      </w:pPr>
    </w:p>
    <w:p>
      <w:pPr>
        <w:spacing w:line="595" w:lineRule="auto" w:before="0"/>
        <w:ind w:left="153" w:right="452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本公司的会计期间为公历</w:t>
      </w:r>
      <w:r>
        <w:rPr>
          <w:rFonts w:ascii="宋体" w:hAnsi="宋体" w:cs="宋体" w:eastAsia="宋体" w:hint="default"/>
          <w:spacing w:val="-2"/>
          <w:sz w:val="21"/>
          <w:szCs w:val="21"/>
        </w:rPr>
        <w:t>1</w:t>
      </w:r>
      <w:r>
        <w:rPr>
          <w:rFonts w:ascii="宋体" w:hAnsi="宋体" w:cs="宋体" w:eastAsia="宋体" w:hint="default"/>
          <w:spacing w:val="-2"/>
          <w:sz w:val="21"/>
          <w:szCs w:val="21"/>
        </w:rPr>
        <w:t>月</w:t>
      </w:r>
      <w:r>
        <w:rPr>
          <w:rFonts w:ascii="宋体" w:hAnsi="宋体" w:cs="宋体" w:eastAsia="宋体" w:hint="default"/>
          <w:spacing w:val="-2"/>
          <w:sz w:val="21"/>
          <w:szCs w:val="21"/>
        </w:rPr>
        <w:t>1</w:t>
      </w:r>
      <w:r>
        <w:rPr>
          <w:rFonts w:ascii="宋体" w:hAnsi="宋体" w:cs="宋体" w:eastAsia="宋体" w:hint="default"/>
          <w:spacing w:val="-2"/>
          <w:sz w:val="21"/>
          <w:szCs w:val="21"/>
        </w:rPr>
        <w:t>日至</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w:t>
      </w:r>
    </w:p>
    <w:p>
      <w:pPr>
        <w:pStyle w:val="BodyText"/>
        <w:spacing w:line="595" w:lineRule="auto" w:before="161"/>
        <w:ind w:right="755"/>
        <w:jc w:val="left"/>
      </w:pPr>
      <w:r>
        <w:rPr>
          <w:rFonts w:ascii="宋体" w:hAnsi="宋体" w:cs="宋体" w:eastAsia="宋体" w:hint="default"/>
          <w:b/>
          <w:bCs/>
        </w:rPr>
        <w:t>3</w:t>
      </w:r>
      <w:r>
        <w:rPr>
          <w:rFonts w:ascii="宋体" w:hAnsi="宋体" w:cs="宋体" w:eastAsia="宋体" w:hint="default"/>
          <w:b/>
          <w:bCs/>
        </w:rPr>
        <w:t>、营业周期</w:t>
      </w:r>
      <w:r>
        <w:rPr>
          <w:rFonts w:ascii="宋体" w:hAnsi="宋体" w:cs="宋体" w:eastAsia="宋体" w:hint="default"/>
          <w:b/>
          <w:bCs/>
          <w:w w:val="100"/>
        </w:rPr>
        <w:t> </w:t>
      </w:r>
      <w:r>
        <w:rPr>
          <w:spacing w:val="-2"/>
        </w:rPr>
        <w:t>本公司的营业周期为公历</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日，并且作为资产和负债的流动性划分标准。</w:t>
      </w:r>
    </w:p>
    <w:p>
      <w:pPr>
        <w:spacing w:line="595" w:lineRule="auto" w:before="160"/>
        <w:ind w:left="153" w:right="660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本公司以人民币为记账本位币。</w:t>
      </w:r>
    </w:p>
    <w:p>
      <w:pPr>
        <w:spacing w:after="0" w:line="595" w:lineRule="auto"/>
        <w:jc w:val="left"/>
        <w:rPr>
          <w:rFonts w:ascii="宋体" w:hAnsi="宋体" w:cs="宋体" w:eastAsia="宋体" w:hint="default"/>
          <w:sz w:val="21"/>
          <w:szCs w:val="21"/>
        </w:rPr>
        <w:sectPr>
          <w:pgSz w:w="11910" w:h="16840"/>
          <w:pgMar w:header="877" w:footer="1227" w:top="1100" w:bottom="1420" w:left="980" w:right="980"/>
        </w:sectPr>
      </w:pPr>
    </w:p>
    <w:p>
      <w:pPr>
        <w:spacing w:line="240" w:lineRule="auto" w:before="1"/>
        <w:rPr>
          <w:rFonts w:ascii="宋体" w:hAnsi="宋体" w:cs="宋体" w:eastAsia="宋体" w:hint="default"/>
          <w:sz w:val="25"/>
          <w:szCs w:val="25"/>
        </w:rPr>
      </w:pPr>
    </w:p>
    <w:p>
      <w:pPr>
        <w:pStyle w:val="Heading4"/>
        <w:spacing w:line="240" w:lineRule="auto" w:before="36"/>
        <w:ind w:right="5"/>
        <w:jc w:val="left"/>
        <w:rPr>
          <w:b w:val="0"/>
          <w:bCs w:val="0"/>
        </w:rPr>
      </w:pPr>
      <w:r>
        <w:rPr>
          <w:rFonts w:ascii="宋体" w:hAnsi="宋体" w:cs="宋体" w:eastAsia="宋体" w:hint="default"/>
        </w:rPr>
        <w:t>5</w:t>
      </w:r>
      <w:r>
        <w:rPr/>
        <w:t>、同一控制下和非同一控制下企业合并的会计处理方法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45"/>
        <w:ind w:right="5" w:firstLine="420"/>
        <w:jc w:val="left"/>
      </w:pPr>
      <w:r>
        <w:rPr>
          <w:spacing w:val="-2"/>
        </w:rPr>
        <w:t>本公司作为合并方，在同一控制下企业合并中取得的资产和负债，在合并日按被合并方在最终控制方</w:t>
      </w:r>
      <w:r>
        <w:rPr>
          <w:w w:val="100"/>
        </w:rPr>
        <w:t> </w:t>
      </w:r>
      <w:r>
        <w:rPr/>
        <w:t>合并报表中的账面价值计量。取得的净资产账面价值与支付的合并对价账面价值的差额，调整资本公积；</w:t>
      </w:r>
      <w:r>
        <w:rPr>
          <w:spacing w:val="-31"/>
        </w:rPr>
        <w:t> </w:t>
      </w:r>
      <w:r>
        <w:rPr>
          <w:spacing w:val="-31"/>
        </w:rPr>
      </w:r>
      <w:r>
        <w:rPr/>
        <w:t>资本公积不足冲减的，调整留存收益。</w:t>
      </w:r>
    </w:p>
    <w:p>
      <w:pPr>
        <w:pStyle w:val="BodyText"/>
        <w:spacing w:line="408" w:lineRule="auto" w:before="46"/>
        <w:ind w:right="5" w:firstLine="420"/>
        <w:jc w:val="left"/>
      </w:pPr>
      <w:r>
        <w:rPr/>
        <w:t>在非同一控制下企业合并中取得的被购买方可辨认资产、负债及或有负债在收购日以公允价值计量。</w:t>
      </w:r>
      <w:r>
        <w:rPr>
          <w:w w:val="100"/>
        </w:rPr>
        <w:t> </w:t>
      </w:r>
      <w:r>
        <w:rPr/>
        <w:t>合并成本为本公司在购买日为取得对被购买方的控制权而支付的现金或非现金资产、发行或承担的负债、</w:t>
      </w:r>
      <w:r>
        <w:rPr>
          <w:spacing w:val="-31"/>
        </w:rPr>
        <w:t> </w:t>
      </w:r>
      <w:r>
        <w:rPr>
          <w:spacing w:val="-31"/>
        </w:rPr>
      </w:r>
      <w:r>
        <w:rPr>
          <w:spacing w:val="-2"/>
        </w:rPr>
        <w:t>发行的权益性证券等的公允价值以及在企业合并中发生的各项直接相关费用之和（通过多次交易分步实现</w:t>
      </w:r>
      <w:r>
        <w:rPr>
          <w:spacing w:val="-43"/>
        </w:rPr>
        <w:t> </w:t>
      </w:r>
      <w:r>
        <w:rPr>
          <w:spacing w:val="-43"/>
        </w:rPr>
      </w:r>
      <w:r>
        <w:rPr>
          <w:spacing w:val="-2"/>
        </w:rPr>
        <w:t>的企业合并，其合并成本为每一单项交易的成本之和）。合并成本大于合并中取得的被购买方可辨认净资</w:t>
      </w:r>
      <w:r>
        <w:rPr>
          <w:spacing w:val="-43"/>
        </w:rPr>
        <w:t> </w:t>
      </w:r>
      <w:r>
        <w:rPr>
          <w:spacing w:val="-43"/>
        </w:rPr>
      </w:r>
      <w:r>
        <w:rPr>
          <w:spacing w:val="-5"/>
        </w:rPr>
        <w:t>产公允价值份额的差额，确认为商誉；合并成本小于合并中取得的被购买方可辨认净资产公允价值份额的，</w:t>
      </w:r>
      <w:r>
        <w:rPr>
          <w:spacing w:val="-4"/>
        </w:rPr>
        <w:t> </w:t>
      </w:r>
      <w:r>
        <w:rPr>
          <w:spacing w:val="-4"/>
        </w:rPr>
      </w:r>
      <w:r>
        <w:rPr>
          <w:spacing w:val="-2"/>
        </w:rPr>
        <w:t>首先对合并中取得的各项可辨认资产、负债及或有负债的公允价值、以及合并对价的非现金资产或发行的</w:t>
      </w:r>
      <w:r>
        <w:rPr>
          <w:spacing w:val="-44"/>
        </w:rPr>
        <w:t> </w:t>
      </w:r>
      <w:r>
        <w:rPr>
          <w:spacing w:val="-44"/>
        </w:rPr>
      </w:r>
      <w:r>
        <w:rPr>
          <w:spacing w:val="-2"/>
        </w:rPr>
        <w:t>权益性证券等的公允价值进行复核，经复核后，合并成本仍小于合并中取得的被购买方可辨认净资产公允</w:t>
      </w:r>
      <w:r>
        <w:rPr>
          <w:spacing w:val="-42"/>
        </w:rPr>
        <w:t> </w:t>
      </w:r>
      <w:r>
        <w:rPr>
          <w:spacing w:val="-42"/>
        </w:rPr>
      </w:r>
      <w:r>
        <w:rPr/>
        <w:t>价值份额的，将其差额计入合并当期营业外收入。</w:t>
      </w:r>
    </w:p>
    <w:p>
      <w:pPr>
        <w:spacing w:line="682" w:lineRule="exact" w:before="24"/>
        <w:ind w:left="573" w:right="1325" w:hanging="42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本公司将所有控制的子公司及结构化主体纳入合并财务报表范围。</w:t>
      </w:r>
    </w:p>
    <w:p>
      <w:pPr>
        <w:pStyle w:val="BodyText"/>
        <w:spacing w:line="408" w:lineRule="auto" w:before="86"/>
        <w:ind w:right="5" w:firstLine="420"/>
        <w:jc w:val="left"/>
      </w:pPr>
      <w:r>
        <w:rPr>
          <w:spacing w:val="-2"/>
        </w:rPr>
        <w:t>在编制合并财务报表时，子公司与本公司采用的会计政策或会计期间不一致的，按照本公司的会计政</w:t>
      </w:r>
      <w:r>
        <w:rPr>
          <w:w w:val="100"/>
        </w:rPr>
        <w:t> </w:t>
      </w:r>
      <w:r>
        <w:rPr/>
        <w:t>策或会计期间对子公司财务报表进行必要的调整。</w:t>
      </w:r>
    </w:p>
    <w:p>
      <w:pPr>
        <w:pStyle w:val="BodyText"/>
        <w:spacing w:line="408" w:lineRule="auto" w:before="46"/>
        <w:ind w:right="5" w:firstLine="420"/>
        <w:jc w:val="left"/>
      </w:pPr>
      <w:r>
        <w:rPr/>
        <w:t>合并范围内的所有重大内部交易、往来余额及未实现利润在合并报表编制时予以抵销。子公司的所有</w:t>
      </w:r>
      <w:r>
        <w:rPr>
          <w:w w:val="100"/>
        </w:rPr>
        <w:t> </w:t>
      </w:r>
      <w:r>
        <w:rPr>
          <w:spacing w:val="-2"/>
        </w:rPr>
        <w:t>者权益中不属于母公司的份额以及当期净损益、其他综合收益及综合收益总额中属于少数股东权益的份额，</w:t>
      </w:r>
      <w:r>
        <w:rPr>
          <w:spacing w:val="-43"/>
        </w:rPr>
        <w:t> </w:t>
      </w:r>
      <w:r>
        <w:rPr>
          <w:spacing w:val="-43"/>
        </w:rPr>
      </w:r>
      <w:r>
        <w:rPr/>
        <w:t>分别在合并财务报表“少数股东权益、少数股东损益、归属于少数股东的其他综合收益及归属于少数股东</w:t>
      </w:r>
      <w:r>
        <w:rPr>
          <w:w w:val="100"/>
        </w:rPr>
        <w:t> </w:t>
      </w:r>
      <w:r>
        <w:rPr/>
        <w:t>的综合收益总额”项目列示。</w:t>
      </w:r>
    </w:p>
    <w:p>
      <w:pPr>
        <w:pStyle w:val="BodyText"/>
        <w:spacing w:line="408" w:lineRule="auto" w:before="46"/>
        <w:ind w:right="5" w:firstLine="420"/>
        <w:jc w:val="left"/>
      </w:pPr>
      <w:r>
        <w:rPr/>
        <w:t>对于同一控制下企业合并取得的子公司，其经营成果和现金流量自合并当期期初纳入合并财务报表。</w:t>
      </w:r>
      <w:r>
        <w:rPr>
          <w:w w:val="100"/>
        </w:rPr>
        <w:t> </w:t>
      </w:r>
      <w:r>
        <w:rPr>
          <w:spacing w:val="-2"/>
        </w:rPr>
        <w:t>编制比较合并财务报表时，对上年财务报表的相关项目进行调整，视同合并后形成的报告主体自最终控制</w:t>
      </w:r>
      <w:r>
        <w:rPr>
          <w:spacing w:val="-43"/>
        </w:rPr>
        <w:t> </w:t>
      </w:r>
      <w:r>
        <w:rPr>
          <w:spacing w:val="-43"/>
        </w:rPr>
      </w:r>
      <w:r>
        <w:rPr/>
        <w:t>方开始控制时点起一直存在。</w:t>
      </w:r>
    </w:p>
    <w:p>
      <w:pPr>
        <w:pStyle w:val="BodyText"/>
        <w:spacing w:line="408" w:lineRule="auto" w:before="46"/>
        <w:ind w:right="326" w:firstLine="420"/>
        <w:jc w:val="both"/>
      </w:pPr>
      <w:r>
        <w:rPr>
          <w:spacing w:val="-2"/>
        </w:rPr>
        <w:t>对于非同一控制下企业合并取得子公司，经营成果和现金流量自本公司取得控制权之日起纳入合并财</w:t>
      </w:r>
      <w:r>
        <w:rPr>
          <w:w w:val="100"/>
        </w:rPr>
        <w:t> </w:t>
      </w:r>
      <w:r>
        <w:rPr>
          <w:spacing w:val="-2"/>
        </w:rPr>
        <w:t>务报表。在编制合并财务报表时，以购买日确定的各项可辨认资产、负债及或有负债的公允价值为基础对</w:t>
      </w:r>
      <w:r>
        <w:rPr>
          <w:spacing w:val="-43"/>
        </w:rPr>
        <w:t> </w:t>
      </w:r>
      <w:r>
        <w:rPr>
          <w:spacing w:val="-43"/>
        </w:rPr>
      </w:r>
      <w:r>
        <w:rPr/>
        <w:t>子公司的财务报表进行调整。</w:t>
      </w:r>
    </w:p>
    <w:p>
      <w:pPr>
        <w:spacing w:after="0" w:line="408" w:lineRule="auto"/>
        <w:jc w:val="both"/>
        <w:sectPr>
          <w:pgSz w:w="11910" w:h="16840"/>
          <w:pgMar w:header="877" w:footer="1227" w:top="1100" w:bottom="1420" w:left="980" w:right="800"/>
        </w:sectPr>
      </w:pPr>
    </w:p>
    <w:p>
      <w:pPr>
        <w:spacing w:line="240" w:lineRule="auto" w:before="1"/>
        <w:rPr>
          <w:rFonts w:ascii="宋体" w:hAnsi="宋体" w:cs="宋体" w:eastAsia="宋体" w:hint="default"/>
          <w:sz w:val="25"/>
          <w:szCs w:val="25"/>
        </w:rPr>
      </w:pPr>
    </w:p>
    <w:p>
      <w:pPr>
        <w:pStyle w:val="Heading4"/>
        <w:spacing w:line="240" w:lineRule="auto" w:before="36"/>
        <w:ind w:right="0"/>
        <w:jc w:val="both"/>
        <w:rPr>
          <w:b w:val="0"/>
          <w:bCs w:val="0"/>
        </w:rPr>
      </w:pPr>
      <w:r>
        <w:rPr>
          <w:rFonts w:ascii="宋体" w:hAnsi="宋体" w:cs="宋体" w:eastAsia="宋体" w:hint="default"/>
        </w:rPr>
        <w:t>7</w:t>
      </w:r>
      <w:r>
        <w:rPr/>
        <w:t>、现金及现金等价物的确定标准</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45"/>
        <w:ind w:right="146" w:firstLine="420"/>
        <w:jc w:val="both"/>
      </w:pPr>
      <w:r>
        <w:rPr>
          <w:spacing w:val="-2"/>
        </w:rPr>
        <w:t>本公司现金流量表之现金指库存现金以及可以随时用于支付的存款。现金流量表之现金等价物指持有</w:t>
      </w:r>
      <w:r>
        <w:rPr>
          <w:w w:val="100"/>
        </w:rPr>
        <w:t> </w:t>
      </w:r>
      <w:r>
        <w:rPr>
          <w:spacing w:val="-2"/>
        </w:rPr>
        <w:t>期限短（一般是指从购买日起三个月内到期）、流动性强、易于转换为已知金额现金、价值变动风险很小</w:t>
      </w:r>
      <w:r>
        <w:rPr>
          <w:spacing w:val="-43"/>
        </w:rPr>
        <w:t> </w:t>
      </w:r>
      <w:r>
        <w:rPr>
          <w:spacing w:val="-43"/>
        </w:rPr>
      </w:r>
      <w:r>
        <w:rPr/>
        <w:t>的投资。</w:t>
      </w:r>
    </w:p>
    <w:p>
      <w:pPr>
        <w:spacing w:line="240" w:lineRule="auto" w:before="11"/>
        <w:rPr>
          <w:rFonts w:ascii="宋体" w:hAnsi="宋体" w:cs="宋体" w:eastAsia="宋体" w:hint="default"/>
          <w:sz w:val="24"/>
          <w:szCs w:val="24"/>
        </w:rPr>
      </w:pPr>
    </w:p>
    <w:p>
      <w:pPr>
        <w:pStyle w:val="Heading4"/>
        <w:spacing w:line="240" w:lineRule="auto"/>
        <w:ind w:right="0"/>
        <w:jc w:val="both"/>
        <w:rPr>
          <w:b w:val="0"/>
          <w:bCs w:val="0"/>
        </w:rPr>
      </w:pPr>
      <w:r>
        <w:rPr>
          <w:rFonts w:ascii="宋体" w:hAnsi="宋体" w:cs="宋体" w:eastAsia="宋体" w:hint="default"/>
        </w:rPr>
        <w:t>8</w:t>
      </w:r>
      <w:r>
        <w:rPr/>
        <w:t>、外币业务和外币报表折算</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45"/>
        <w:ind w:left="573" w:right="140"/>
        <w:jc w:val="left"/>
      </w:pPr>
      <w:r>
        <w:rPr/>
        <w:t>（</w:t>
      </w:r>
      <w:r>
        <w:rPr>
          <w:rFonts w:ascii="宋体" w:hAnsi="宋体" w:cs="宋体" w:eastAsia="宋体" w:hint="default"/>
        </w:rPr>
        <w:t>1</w:t>
      </w:r>
      <w:r>
        <w:rPr/>
        <w:t>）外币交易</w:t>
      </w:r>
      <w:r>
        <w:rPr>
          <w:w w:val="100"/>
        </w:rPr>
        <w:t> </w:t>
      </w:r>
      <w:r>
        <w:rPr>
          <w:spacing w:val="-2"/>
        </w:rPr>
        <w:t>本公司外币交易按交易发生日的即期汇率将外币金额折算为人民币金额。于资产负债表日，外币货币</w:t>
      </w:r>
    </w:p>
    <w:p>
      <w:pPr>
        <w:pStyle w:val="BodyText"/>
        <w:spacing w:line="408" w:lineRule="auto" w:before="46"/>
        <w:ind w:right="145"/>
        <w:jc w:val="both"/>
      </w:pPr>
      <w:r>
        <w:rPr>
          <w:spacing w:val="-2"/>
        </w:rPr>
        <w:t>性项目采用资产负债表日的即期汇率折算为人民币，所产生的折算差额除了为购建或生产符合资本化条件</w:t>
      </w:r>
      <w:r>
        <w:rPr>
          <w:spacing w:val="-43"/>
        </w:rPr>
        <w:t> </w:t>
      </w:r>
      <w:r>
        <w:rPr>
          <w:spacing w:val="-43"/>
        </w:rPr>
      </w:r>
      <w:r>
        <w:rPr>
          <w:spacing w:val="-2"/>
        </w:rPr>
        <w:t>的资产而借入的外币专门借款产生的汇兑差额按资本化的原则处理外，直接计入当期损益。以公允价值计</w:t>
      </w:r>
      <w:r>
        <w:rPr>
          <w:spacing w:val="-42"/>
        </w:rPr>
        <w:t> </w:t>
      </w:r>
      <w:r>
        <w:rPr>
          <w:spacing w:val="-42"/>
        </w:rPr>
      </w:r>
      <w:r>
        <w:rPr>
          <w:spacing w:val="-2"/>
        </w:rPr>
        <w:t>量的外币非货币性项目，采用公允价值确定日的即期汇率折算为人民币，所产生的折算差额，作为公允价</w:t>
      </w:r>
      <w:r>
        <w:rPr>
          <w:spacing w:val="-44"/>
        </w:rPr>
        <w:t> </w:t>
      </w:r>
      <w:r>
        <w:rPr>
          <w:spacing w:val="-44"/>
        </w:rPr>
      </w:r>
      <w:r>
        <w:rPr>
          <w:spacing w:val="-2"/>
        </w:rPr>
        <w:t>值变动直接计入当期损益。以历史成本计量的外币非货币性项目，仍采用交易发生日的即期汇率折算，不</w:t>
      </w:r>
      <w:r>
        <w:rPr>
          <w:spacing w:val="-43"/>
        </w:rPr>
        <w:t> </w:t>
      </w:r>
      <w:r>
        <w:rPr>
          <w:spacing w:val="-43"/>
        </w:rPr>
      </w:r>
      <w:r>
        <w:rPr/>
        <w:t>改变其人民币金额。</w:t>
      </w:r>
    </w:p>
    <w:p>
      <w:pPr>
        <w:pStyle w:val="BodyText"/>
        <w:spacing w:line="408" w:lineRule="auto" w:before="46"/>
        <w:ind w:left="573" w:right="140"/>
        <w:jc w:val="left"/>
      </w:pPr>
      <w:r>
        <w:rPr/>
        <w:t>（</w:t>
      </w:r>
      <w:r>
        <w:rPr>
          <w:rFonts w:ascii="宋体" w:hAnsi="宋体" w:cs="宋体" w:eastAsia="宋体" w:hint="default"/>
        </w:rPr>
        <w:t>2</w:t>
      </w:r>
      <w:r>
        <w:rPr/>
        <w:t>）外币财务报表的折算</w:t>
      </w:r>
      <w:r>
        <w:rPr>
          <w:w w:val="100"/>
        </w:rPr>
        <w:t> </w:t>
      </w:r>
      <w:r>
        <w:rPr>
          <w:spacing w:val="-2"/>
        </w:rPr>
        <w:t>外币资产负债表中资产、负债类项目采用资产负债表日的即期汇率折算；所有者权益类项目除“未分</w:t>
      </w:r>
    </w:p>
    <w:p>
      <w:pPr>
        <w:pStyle w:val="BodyText"/>
        <w:spacing w:line="408" w:lineRule="auto" w:before="46"/>
        <w:ind w:right="146"/>
        <w:jc w:val="both"/>
      </w:pPr>
      <w:r>
        <w:rPr>
          <w:spacing w:val="-2"/>
        </w:rPr>
        <w:t>配利润”外，均按业务发生时的即期汇率折算；利润表中的收入与费用项目，采用交易发生日的即期汇率</w:t>
      </w:r>
      <w:r>
        <w:rPr>
          <w:spacing w:val="-44"/>
        </w:rPr>
        <w:t> </w:t>
      </w:r>
      <w:r>
        <w:rPr>
          <w:spacing w:val="-44"/>
        </w:rPr>
      </w:r>
      <w:r>
        <w:rPr>
          <w:spacing w:val="-2"/>
        </w:rPr>
        <w:t>折算。上述折算产生的外币报表折算差额，在所有者权益项目下单独列示。外币现金流量采用现金流量发</w:t>
      </w:r>
      <w:r>
        <w:rPr>
          <w:spacing w:val="-44"/>
        </w:rPr>
        <w:t> </w:t>
      </w:r>
      <w:r>
        <w:rPr>
          <w:spacing w:val="-44"/>
        </w:rPr>
      </w:r>
      <w:r>
        <w:rPr/>
        <w:t>生日的即期汇率折算。汇率变动对现金的影响额，在现金流量表中单独列示。</w:t>
      </w:r>
    </w:p>
    <w:p>
      <w:pPr>
        <w:pStyle w:val="BodyText"/>
        <w:spacing w:line="408" w:lineRule="auto" w:before="46"/>
        <w:ind w:right="146" w:firstLine="420"/>
        <w:jc w:val="both"/>
      </w:pPr>
      <w:r>
        <w:rPr>
          <w:spacing w:val="-2"/>
        </w:rPr>
        <w:t>注：说明发生外币交易时折算汇率的确定方法、在资产负债表日外币货币性项目采用的折算方法、汇</w:t>
      </w:r>
      <w:r>
        <w:rPr>
          <w:w w:val="100"/>
        </w:rPr>
        <w:t> </w:t>
      </w:r>
      <w:r>
        <w:rPr/>
        <w:t>兑损益的处理方法以及外币报表折算的会计处理方法。</w:t>
      </w:r>
    </w:p>
    <w:p>
      <w:pPr>
        <w:spacing w:line="240" w:lineRule="auto" w:before="11"/>
        <w:rPr>
          <w:rFonts w:ascii="宋体" w:hAnsi="宋体" w:cs="宋体" w:eastAsia="宋体" w:hint="default"/>
          <w:sz w:val="24"/>
          <w:szCs w:val="24"/>
        </w:rPr>
      </w:pPr>
    </w:p>
    <w:p>
      <w:pPr>
        <w:pStyle w:val="Heading4"/>
        <w:spacing w:line="240" w:lineRule="auto"/>
        <w:ind w:right="0"/>
        <w:jc w:val="both"/>
        <w:rPr>
          <w:b w:val="0"/>
          <w:bCs w:val="0"/>
        </w:rPr>
      </w:pPr>
      <w:r>
        <w:rPr>
          <w:rFonts w:ascii="宋体" w:hAnsi="宋体" w:cs="宋体" w:eastAsia="宋体" w:hint="default"/>
        </w:rPr>
        <w:t>9</w:t>
      </w:r>
      <w:r>
        <w:rPr/>
        <w:t>、金融工具</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45"/>
        <w:ind w:left="573" w:right="140"/>
        <w:jc w:val="left"/>
      </w:pPr>
      <w:r>
        <w:rPr/>
        <w:t>（</w:t>
      </w:r>
      <w:r>
        <w:rPr>
          <w:rFonts w:ascii="宋体" w:hAnsi="宋体" w:cs="宋体" w:eastAsia="宋体" w:hint="default"/>
        </w:rPr>
        <w:t>1</w:t>
      </w:r>
      <w:r>
        <w:rPr/>
        <w:t>）金融资产</w:t>
      </w:r>
    </w:p>
    <w:p>
      <w:pPr>
        <w:spacing w:line="240" w:lineRule="auto" w:before="10"/>
        <w:rPr>
          <w:rFonts w:ascii="宋体" w:hAnsi="宋体" w:cs="宋体" w:eastAsia="宋体" w:hint="default"/>
          <w:sz w:val="14"/>
          <w:szCs w:val="14"/>
        </w:rPr>
      </w:pPr>
    </w:p>
    <w:p>
      <w:pPr>
        <w:pStyle w:val="BodyText"/>
        <w:spacing w:line="408" w:lineRule="auto"/>
        <w:ind w:left="573" w:right="140" w:firstLine="527"/>
        <w:jc w:val="left"/>
      </w:pPr>
      <w:r>
        <w:rPr>
          <w:rFonts w:ascii="宋体" w:hAnsi="宋体" w:cs="宋体" w:eastAsia="宋体" w:hint="default"/>
        </w:rPr>
        <w:t>1</w:t>
      </w:r>
      <w:r>
        <w:rPr/>
        <w:t>）金融资产分类</w:t>
      </w:r>
      <w:r>
        <w:rPr>
          <w:w w:val="100"/>
        </w:rPr>
        <w:t> </w:t>
      </w:r>
      <w:r>
        <w:rPr>
          <w:spacing w:val="-2"/>
        </w:rPr>
        <w:t>本公司按投资目的和经济实质对拥有的金融资产分为以公允价值计量且其变动计入当期损益的金融</w:t>
      </w:r>
    </w:p>
    <w:p>
      <w:pPr>
        <w:pStyle w:val="BodyText"/>
        <w:spacing w:line="408" w:lineRule="auto" w:before="46"/>
        <w:ind w:left="573" w:right="140" w:hanging="420"/>
        <w:jc w:val="left"/>
      </w:pPr>
      <w:r>
        <w:rPr/>
        <w:t>资产、持有至到期投资、应收款项和可供出售金融资产四大类。</w:t>
      </w:r>
      <w:r>
        <w:rPr>
          <w:w w:val="100"/>
        </w:rPr>
        <w:t> </w:t>
      </w:r>
      <w:r>
        <w:rPr>
          <w:spacing w:val="-2"/>
        </w:rPr>
        <w:t>以公允价值计量且其变动计入当期损益的金融资产，包括交易性金融资产和在初始确认时指定为以公</w:t>
      </w:r>
    </w:p>
    <w:p>
      <w:pPr>
        <w:pStyle w:val="BodyText"/>
        <w:spacing w:line="408" w:lineRule="auto" w:before="46"/>
        <w:ind w:left="573" w:right="140" w:hanging="420"/>
        <w:jc w:val="left"/>
      </w:pPr>
      <w:r>
        <w:rPr/>
        <w:t>允价值计量且其变动计入当期损益的金融资产。</w:t>
      </w:r>
      <w:r>
        <w:rPr>
          <w:w w:val="100"/>
        </w:rPr>
        <w:t> </w:t>
      </w:r>
      <w:r>
        <w:rPr>
          <w:spacing w:val="-2"/>
        </w:rPr>
        <w:t>持有至到期投资是指到期日固定、回收金额固定或可确定，且管理层有明确意图和能力持有至到期的</w:t>
      </w:r>
    </w:p>
    <w:p>
      <w:pPr>
        <w:spacing w:after="0" w:line="408" w:lineRule="auto"/>
        <w:jc w:val="left"/>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408" w:lineRule="auto" w:before="36"/>
        <w:ind w:left="573" w:right="1325" w:hanging="420"/>
        <w:jc w:val="left"/>
      </w:pPr>
      <w:r>
        <w:rPr/>
        <w:t>非衍生金融资产。</w:t>
      </w:r>
      <w:r>
        <w:rPr>
          <w:w w:val="100"/>
        </w:rPr>
        <w:t> </w:t>
      </w:r>
      <w:r>
        <w:rPr>
          <w:spacing w:val="-2"/>
        </w:rPr>
        <w:t>应收款项是指在活跃市场中没有报价，回收金额固定或可确定的非衍生金融资产。</w:t>
      </w:r>
    </w:p>
    <w:p>
      <w:pPr>
        <w:pStyle w:val="BodyText"/>
        <w:spacing w:line="408" w:lineRule="auto" w:before="46"/>
        <w:ind w:right="5" w:firstLine="420"/>
        <w:jc w:val="left"/>
      </w:pPr>
      <w:r>
        <w:rPr>
          <w:spacing w:val="-2"/>
        </w:rPr>
        <w:t>可供出售金融资产，是指初始确认时即被指定为可供出售的非衍生金融资产，以及未被划分为其他类</w:t>
      </w:r>
      <w:r>
        <w:rPr>
          <w:w w:val="100"/>
        </w:rPr>
        <w:t> </w:t>
      </w:r>
      <w:r>
        <w:rPr>
          <w:spacing w:val="-2"/>
        </w:rPr>
        <w:t>的金融资产。这类资产中，在活跃市场中没有报价且其公允价值不能可靠计量的权益工具投资以及与该权</w:t>
      </w:r>
      <w:r>
        <w:rPr>
          <w:spacing w:val="-44"/>
        </w:rPr>
        <w:t> </w:t>
      </w:r>
      <w:r>
        <w:rPr>
          <w:spacing w:val="-44"/>
        </w:rPr>
      </w:r>
      <w:r>
        <w:rPr>
          <w:spacing w:val="-2"/>
        </w:rPr>
        <w:t>益工具挂钩并须通过交付该权益工具结算的衍生金融资产，按成本进行后续计量；其他存在活跃市场报价</w:t>
      </w:r>
      <w:r>
        <w:rPr>
          <w:spacing w:val="-43"/>
        </w:rPr>
        <w:t> </w:t>
      </w:r>
      <w:r>
        <w:rPr>
          <w:spacing w:val="-43"/>
        </w:rPr>
      </w:r>
      <w:r>
        <w:rPr/>
        <w:t>或虽没有活跃市场报价但公允价值能够可靠计量的，按公允价值计量，公允价值变动计入其他综合收益。</w:t>
      </w:r>
      <w:r>
        <w:rPr>
          <w:spacing w:val="-31"/>
        </w:rPr>
        <w:t> </w:t>
      </w:r>
      <w:r>
        <w:rPr>
          <w:spacing w:val="-31"/>
        </w:rPr>
      </w:r>
      <w:r>
        <w:rPr>
          <w:spacing w:val="-2"/>
        </w:rPr>
        <w:t>对于此类金融资产采用公允价值进行后续计量，除减值损失及外币货币性金融资产形成的汇兑损益外，可</w:t>
      </w:r>
      <w:r>
        <w:rPr>
          <w:spacing w:val="-45"/>
        </w:rPr>
        <w:t> </w:t>
      </w:r>
      <w:r>
        <w:rPr>
          <w:spacing w:val="-45"/>
        </w:rPr>
      </w:r>
      <w:r>
        <w:rPr>
          <w:spacing w:val="-2"/>
        </w:rPr>
        <w:t>供出售金融资产公允价值变动直接计入股东权益，待该金融资产终止确认时，原直接计入权益的公允价值</w:t>
      </w:r>
      <w:r>
        <w:rPr>
          <w:spacing w:val="-43"/>
        </w:rPr>
        <w:t> </w:t>
      </w:r>
      <w:r>
        <w:rPr>
          <w:spacing w:val="-43"/>
        </w:rPr>
      </w:r>
      <w:r>
        <w:rPr>
          <w:spacing w:val="-2"/>
        </w:rPr>
        <w:t>变动累计额转入当期损益。可供出售债务工具投资在持有期间按实际利率法计算的利息，以及被投资单位</w:t>
      </w:r>
      <w:r>
        <w:rPr>
          <w:spacing w:val="-44"/>
        </w:rPr>
        <w:t> </w:t>
      </w:r>
      <w:r>
        <w:rPr>
          <w:spacing w:val="-44"/>
        </w:rPr>
      </w:r>
      <w:r>
        <w:rPr>
          <w:spacing w:val="-2"/>
        </w:rPr>
        <w:t>宣告发放的与可供出售权益工具投资相关的现金股利，作为投资收益计入当期损益。对于在活跃市场中没</w:t>
      </w:r>
      <w:r>
        <w:rPr>
          <w:spacing w:val="-44"/>
        </w:rPr>
        <w:t> </w:t>
      </w:r>
      <w:r>
        <w:rPr>
          <w:spacing w:val="-44"/>
        </w:rPr>
      </w:r>
      <w:r>
        <w:rPr/>
        <w:t>有报价且其公允价值不能可靠计量的权益工具投资，按成本计量。</w:t>
      </w:r>
    </w:p>
    <w:p>
      <w:pPr>
        <w:pStyle w:val="BodyText"/>
        <w:spacing w:line="408" w:lineRule="auto" w:before="46"/>
        <w:ind w:left="573" w:right="5" w:firstLine="527"/>
        <w:jc w:val="left"/>
      </w:pPr>
      <w:r>
        <w:rPr>
          <w:rFonts w:ascii="宋体" w:hAnsi="宋体" w:cs="宋体" w:eastAsia="宋体" w:hint="default"/>
        </w:rPr>
        <w:t>2</w:t>
      </w:r>
      <w:r>
        <w:rPr/>
        <w:t>）金融资产确认依据和计量方法</w:t>
      </w:r>
      <w:r>
        <w:rPr>
          <w:w w:val="100"/>
        </w:rPr>
        <w:t> </w:t>
      </w:r>
      <w:r>
        <w:rPr>
          <w:spacing w:val="-2"/>
        </w:rPr>
        <w:t>金融资产满足下列条件之一的，予以终止确认：①收取该金融资产现金流量的合同权利终止；②该金</w:t>
      </w:r>
    </w:p>
    <w:p>
      <w:pPr>
        <w:pStyle w:val="BodyText"/>
        <w:spacing w:line="408" w:lineRule="auto" w:before="46"/>
        <w:ind w:right="5"/>
        <w:jc w:val="left"/>
      </w:pPr>
      <w:r>
        <w:rPr>
          <w:spacing w:val="-5"/>
        </w:rPr>
        <w:t>融资产已转移，且本集团将金融资产所有权上几乎所有的风险和报酬转移给转入方；③该金融资产已转移， </w:t>
      </w:r>
      <w:r>
        <w:rPr>
          <w:spacing w:val="-2"/>
        </w:rPr>
        <w:t>虽然本集团既没有转移也没有保留金融资产所有权上几乎所有的风险和报酬，但是放弃了对该金融资产控</w:t>
      </w:r>
      <w:r>
        <w:rPr>
          <w:spacing w:val="-43"/>
        </w:rPr>
        <w:t> </w:t>
      </w:r>
      <w:r>
        <w:rPr>
          <w:spacing w:val="-43"/>
        </w:rPr>
      </w:r>
      <w:r>
        <w:rPr/>
        <w:t>制。</w:t>
      </w:r>
    </w:p>
    <w:p>
      <w:pPr>
        <w:pStyle w:val="BodyText"/>
        <w:spacing w:line="408" w:lineRule="auto" w:before="46"/>
        <w:ind w:right="5" w:firstLine="420"/>
        <w:jc w:val="left"/>
      </w:pPr>
      <w:r>
        <w:rPr>
          <w:spacing w:val="-2"/>
        </w:rPr>
        <w:t>企业既没有转移也没有保留金融资产所有权上几乎所有的风险和报酬，且未放弃对该金融资产控制的，</w:t>
      </w:r>
      <w:r>
        <w:rPr>
          <w:w w:val="100"/>
        </w:rPr>
        <w:t> </w:t>
      </w:r>
      <w:r>
        <w:rPr/>
        <w:t>则按照其继续涉入所转移金融资产的程度确认有关金融资产，并相应确认有关负债。</w:t>
      </w:r>
    </w:p>
    <w:p>
      <w:pPr>
        <w:pStyle w:val="BodyText"/>
        <w:spacing w:line="408" w:lineRule="auto" w:before="46"/>
        <w:ind w:right="5" w:firstLine="420"/>
        <w:jc w:val="left"/>
      </w:pPr>
      <w:r>
        <w:rPr>
          <w:spacing w:val="-2"/>
        </w:rPr>
        <w:t>金融资产整体转移满足终止确认条件的，将所转移金融资产的账面价值，与因转移而收到的对价及原</w:t>
      </w:r>
      <w:r>
        <w:rPr>
          <w:w w:val="100"/>
        </w:rPr>
        <w:t> </w:t>
      </w:r>
      <w:r>
        <w:rPr/>
        <w:t>计入其他综合收益的公允价值变动累计额之和的差额计入当期损益。</w:t>
      </w:r>
    </w:p>
    <w:p>
      <w:pPr>
        <w:pStyle w:val="BodyText"/>
        <w:spacing w:line="408" w:lineRule="auto" w:before="46"/>
        <w:ind w:right="326" w:firstLine="420"/>
        <w:jc w:val="both"/>
      </w:pPr>
      <w:r>
        <w:rPr>
          <w:spacing w:val="-2"/>
        </w:rPr>
        <w:t>金融资产部分转移满足终止确认条件的，将所转移金融资产整体的账面价值，在终止确认部分和未终</w:t>
      </w:r>
      <w:r>
        <w:rPr>
          <w:w w:val="100"/>
        </w:rPr>
        <w:t> </w:t>
      </w:r>
      <w:r>
        <w:rPr>
          <w:spacing w:val="-2"/>
        </w:rPr>
        <w:t>止确认部分之间，按照各自的相对公允价值进行分摊，并将因转移而收到的对价及应分摊至终止确认部分</w:t>
      </w:r>
      <w:r>
        <w:rPr>
          <w:spacing w:val="-44"/>
        </w:rPr>
        <w:t> </w:t>
      </w:r>
      <w:r>
        <w:rPr>
          <w:spacing w:val="-44"/>
        </w:rPr>
      </w:r>
      <w:r>
        <w:rPr/>
        <w:t>的原计入其他综合收益的公允价值变动累计额之和，与分摊的前述账面金额的差额计入当期损益。</w:t>
      </w:r>
    </w:p>
    <w:p>
      <w:pPr>
        <w:pStyle w:val="BodyText"/>
        <w:spacing w:line="408" w:lineRule="auto" w:before="46"/>
        <w:ind w:left="573" w:right="5" w:firstLine="527"/>
        <w:jc w:val="left"/>
      </w:pPr>
      <w:r>
        <w:rPr>
          <w:rFonts w:ascii="宋体" w:hAnsi="宋体" w:cs="宋体" w:eastAsia="宋体" w:hint="default"/>
        </w:rPr>
        <w:t>3</w:t>
      </w:r>
      <w:r>
        <w:rPr/>
        <w:t>）金融资产减值的测试方法及会计处理方法</w:t>
      </w:r>
      <w:r>
        <w:rPr>
          <w:w w:val="100"/>
        </w:rPr>
        <w:t> </w:t>
      </w:r>
      <w:r>
        <w:rPr>
          <w:spacing w:val="-2"/>
        </w:rPr>
        <w:t>除以公允价值计量且其变动计入当期损益的金融资产外，本公司于资产负债表日对其他金融资产的账</w:t>
      </w:r>
    </w:p>
    <w:p>
      <w:pPr>
        <w:pStyle w:val="BodyText"/>
        <w:spacing w:line="408" w:lineRule="auto" w:before="46"/>
        <w:ind w:left="573" w:right="5" w:hanging="420"/>
        <w:jc w:val="left"/>
      </w:pPr>
      <w:r>
        <w:rPr/>
        <w:t>面价值进行检查，如果有客观证据表明某项金融资产发生减值的，计提减值准备。</w:t>
      </w:r>
      <w:r>
        <w:rPr>
          <w:w w:val="100"/>
        </w:rPr>
        <w:t> </w:t>
      </w:r>
      <w:r>
        <w:rPr>
          <w:spacing w:val="-2"/>
        </w:rPr>
        <w:t>本公司以公允价值计量且其变动计入当期损益的可供出售金融资产，年末按照市场价值确认的公允价</w:t>
      </w:r>
    </w:p>
    <w:p>
      <w:pPr>
        <w:pStyle w:val="BodyText"/>
        <w:spacing w:line="408" w:lineRule="auto" w:before="46"/>
        <w:ind w:right="5"/>
        <w:jc w:val="left"/>
      </w:pPr>
      <w:r>
        <w:rPr>
          <w:spacing w:val="-2"/>
        </w:rPr>
        <w:t>值，较按照市场价值确认的初始成本，下跌幅度达到或超过</w:t>
      </w:r>
      <w:r>
        <w:rPr>
          <w:rFonts w:ascii="宋体" w:hAnsi="宋体" w:cs="宋体" w:eastAsia="宋体" w:hint="default"/>
          <w:spacing w:val="-2"/>
        </w:rPr>
        <w:t>50%</w:t>
      </w:r>
      <w:r>
        <w:rPr>
          <w:spacing w:val="-2"/>
        </w:rPr>
        <w:t>以上；或截至资产负债表日持续下跌时间</w:t>
      </w:r>
      <w:r>
        <w:rPr>
          <w:spacing w:val="-21"/>
        </w:rPr>
        <w:t> </w:t>
      </w:r>
      <w:r>
        <w:rPr>
          <w:spacing w:val="-21"/>
        </w:rPr>
      </w:r>
      <w:r>
        <w:rPr/>
        <w:t>已经达到或超过</w:t>
      </w:r>
      <w:r>
        <w:rPr>
          <w:rFonts w:ascii="宋体" w:hAnsi="宋体" w:cs="宋体" w:eastAsia="宋体" w:hint="default"/>
        </w:rPr>
        <w:t>12</w:t>
      </w:r>
      <w:r>
        <w:rPr/>
        <w:t>个月，本公司根据成本与年末公允价值的差额确认累积应计提的减值准备。</w:t>
      </w:r>
    </w:p>
    <w:p>
      <w:pPr>
        <w:spacing w:after="0" w:line="408" w:lineRule="auto"/>
        <w:jc w:val="left"/>
        <w:sectPr>
          <w:pgSz w:w="11910" w:h="16840"/>
          <w:pgMar w:header="877" w:footer="1227" w:top="1100" w:bottom="1420" w:left="980" w:right="800"/>
        </w:sectPr>
      </w:pPr>
    </w:p>
    <w:p>
      <w:pPr>
        <w:spacing w:line="240" w:lineRule="auto" w:before="9"/>
        <w:rPr>
          <w:rFonts w:ascii="宋体" w:hAnsi="宋体" w:cs="宋体" w:eastAsia="宋体" w:hint="default"/>
          <w:sz w:val="26"/>
          <w:szCs w:val="26"/>
        </w:rPr>
      </w:pPr>
    </w:p>
    <w:p>
      <w:pPr>
        <w:pStyle w:val="BodyText"/>
        <w:spacing w:line="408" w:lineRule="auto" w:before="36"/>
        <w:ind w:right="146" w:firstLine="420"/>
        <w:jc w:val="both"/>
      </w:pPr>
      <w:r>
        <w:rPr>
          <w:spacing w:val="-2"/>
        </w:rPr>
        <w:t>当可供出售金融资产发生减值，原直接计入股东权益的因公允价值下降形成的累计损失予以转出并计</w:t>
      </w:r>
      <w:r>
        <w:rPr>
          <w:w w:val="100"/>
        </w:rPr>
        <w:t> </w:t>
      </w:r>
      <w:r>
        <w:rPr/>
        <w:t>入减值损失。对已确认减值损失的可供出售权益工具投资，期后公允价值上升直接计入股东权益。</w:t>
      </w:r>
    </w:p>
    <w:p>
      <w:pPr>
        <w:pStyle w:val="BodyText"/>
        <w:spacing w:line="240" w:lineRule="auto" w:before="46"/>
        <w:ind w:left="573" w:right="140"/>
        <w:jc w:val="left"/>
      </w:pPr>
      <w:r>
        <w:rPr/>
        <w:t>（</w:t>
      </w:r>
      <w:r>
        <w:rPr>
          <w:rFonts w:ascii="宋体" w:hAnsi="宋体" w:cs="宋体" w:eastAsia="宋体" w:hint="default"/>
        </w:rPr>
        <w:t>2</w:t>
      </w:r>
      <w:r>
        <w:rPr/>
        <w:t>）金融负债</w:t>
      </w:r>
    </w:p>
    <w:p>
      <w:pPr>
        <w:spacing w:line="240" w:lineRule="auto" w:before="10"/>
        <w:rPr>
          <w:rFonts w:ascii="宋体" w:hAnsi="宋体" w:cs="宋体" w:eastAsia="宋体" w:hint="default"/>
          <w:sz w:val="14"/>
          <w:szCs w:val="14"/>
        </w:rPr>
      </w:pPr>
    </w:p>
    <w:p>
      <w:pPr>
        <w:pStyle w:val="BodyText"/>
        <w:spacing w:line="408" w:lineRule="auto"/>
        <w:ind w:left="573" w:right="140" w:firstLine="527"/>
        <w:jc w:val="left"/>
      </w:pPr>
      <w:r>
        <w:rPr>
          <w:rFonts w:ascii="宋体" w:hAnsi="宋体" w:cs="宋体" w:eastAsia="宋体" w:hint="default"/>
        </w:rPr>
        <w:t>1</w:t>
      </w:r>
      <w:r>
        <w:rPr/>
        <w:t>）金融负债分类、确认依据和计量方法</w:t>
      </w:r>
      <w:r>
        <w:rPr>
          <w:w w:val="100"/>
        </w:rPr>
        <w:t> </w:t>
      </w:r>
      <w:r>
        <w:rPr>
          <w:spacing w:val="-2"/>
        </w:rPr>
        <w:t>本公司的金融负债于初始确认时分类为以公允价值计量且其变动计入当期损益的金融负债和其他金</w:t>
      </w:r>
    </w:p>
    <w:p>
      <w:pPr>
        <w:pStyle w:val="BodyText"/>
        <w:spacing w:line="240" w:lineRule="auto" w:before="46"/>
        <w:ind w:right="0"/>
        <w:jc w:val="both"/>
      </w:pPr>
      <w:r>
        <w:rPr/>
        <w:t>融负债。</w:t>
      </w:r>
    </w:p>
    <w:p>
      <w:pPr>
        <w:spacing w:line="240" w:lineRule="auto" w:before="10"/>
        <w:rPr>
          <w:rFonts w:ascii="宋体" w:hAnsi="宋体" w:cs="宋体" w:eastAsia="宋体" w:hint="default"/>
          <w:sz w:val="14"/>
          <w:szCs w:val="14"/>
        </w:rPr>
      </w:pPr>
    </w:p>
    <w:p>
      <w:pPr>
        <w:pStyle w:val="BodyText"/>
        <w:spacing w:line="408" w:lineRule="auto"/>
        <w:ind w:right="146" w:firstLine="420"/>
        <w:jc w:val="both"/>
      </w:pPr>
      <w:r>
        <w:rPr>
          <w:spacing w:val="-2"/>
        </w:rPr>
        <w:t>以公允价值计量且其变动计入当期损益的金融负债，包括交易性金融负债和初始确认时指定为以公允</w:t>
      </w:r>
      <w:r>
        <w:rPr>
          <w:w w:val="100"/>
        </w:rPr>
        <w:t> </w:t>
      </w:r>
      <w:r>
        <w:rPr>
          <w:spacing w:val="-2"/>
        </w:rPr>
        <w:t>价值计量且其变动计入当期损益的金融负债。按照公允价值进行后续计量，公允价值变动形成的利得或损</w:t>
      </w:r>
      <w:r>
        <w:rPr>
          <w:spacing w:val="-42"/>
        </w:rPr>
        <w:t> </w:t>
      </w:r>
      <w:r>
        <w:rPr>
          <w:spacing w:val="-42"/>
        </w:rPr>
      </w:r>
      <w:r>
        <w:rPr/>
        <w:t>失以及与该金融负债相关的股利和利息支出计入当期损益。</w:t>
      </w:r>
    </w:p>
    <w:p>
      <w:pPr>
        <w:pStyle w:val="BodyText"/>
        <w:spacing w:line="408" w:lineRule="auto" w:before="46"/>
        <w:ind w:left="1101" w:right="2860" w:hanging="528"/>
        <w:jc w:val="left"/>
      </w:pPr>
      <w:r>
        <w:rPr>
          <w:spacing w:val="-2"/>
        </w:rPr>
        <w:t>其他金融负债采用实际利率法，按照摊余成本进行后续计量。</w:t>
      </w:r>
      <w:r>
        <w:rPr>
          <w:spacing w:val="-52"/>
        </w:rPr>
        <w:t> </w:t>
      </w:r>
      <w:r>
        <w:rPr>
          <w:spacing w:val="-52"/>
        </w:rPr>
      </w:r>
      <w:r>
        <w:rPr>
          <w:rFonts w:ascii="宋体" w:hAnsi="宋体" w:cs="宋体" w:eastAsia="宋体" w:hint="default"/>
        </w:rPr>
        <w:t>2</w:t>
      </w:r>
      <w:r>
        <w:rPr/>
        <w:t>）金融负债终止确认条件</w:t>
      </w:r>
    </w:p>
    <w:p>
      <w:pPr>
        <w:pStyle w:val="BodyText"/>
        <w:spacing w:line="408" w:lineRule="auto" w:before="46"/>
        <w:ind w:right="146" w:firstLine="420"/>
        <w:jc w:val="both"/>
      </w:pPr>
      <w:r>
        <w:rPr>
          <w:spacing w:val="-2"/>
        </w:rPr>
        <w:t>金融负债的现时义务全部或部分已经解除时，终止确认该金融负债或义务已解除的部分。公司与债权</w:t>
      </w:r>
      <w:r>
        <w:rPr>
          <w:w w:val="100"/>
        </w:rPr>
        <w:t> </w:t>
      </w:r>
      <w:r>
        <w:rPr>
          <w:spacing w:val="-2"/>
        </w:rPr>
        <w:t>人之间签订协议，以承担新金融负债方式替换现存金融负债，且新金融负债与现存金融负债的合同条款实</w:t>
      </w:r>
      <w:r>
        <w:rPr>
          <w:spacing w:val="-43"/>
        </w:rPr>
        <w:t> </w:t>
      </w:r>
      <w:r>
        <w:rPr>
          <w:spacing w:val="-43"/>
        </w:rPr>
      </w:r>
      <w:r>
        <w:rPr>
          <w:spacing w:val="-2"/>
        </w:rPr>
        <w:t>质上不同的，终止确认现存金融负债，并同时确认新金融负债。公司对现存金融负债全部或部分的合同条</w:t>
      </w:r>
      <w:r>
        <w:rPr>
          <w:spacing w:val="-42"/>
        </w:rPr>
        <w:t> </w:t>
      </w:r>
      <w:r>
        <w:rPr>
          <w:spacing w:val="-42"/>
        </w:rPr>
      </w:r>
      <w:r>
        <w:rPr>
          <w:spacing w:val="-2"/>
        </w:rPr>
        <w:t>款作出实质性修改的，终止确认现存金融负债或其一部分，同时将修改条款后的金融负债确认为一项新金</w:t>
      </w:r>
      <w:r>
        <w:rPr>
          <w:spacing w:val="-44"/>
        </w:rPr>
        <w:t> </w:t>
      </w:r>
      <w:r>
        <w:rPr>
          <w:spacing w:val="-44"/>
        </w:rPr>
      </w:r>
      <w:r>
        <w:rPr/>
        <w:t>融负债。终止确认部分的账面价值与支付的对价之间的差额，计入当期损益。</w:t>
      </w:r>
    </w:p>
    <w:p>
      <w:pPr>
        <w:pStyle w:val="BodyText"/>
        <w:spacing w:line="408" w:lineRule="auto" w:before="46"/>
        <w:ind w:left="573" w:right="140"/>
        <w:jc w:val="left"/>
      </w:pPr>
      <w:r>
        <w:rPr/>
        <w:t>（</w:t>
      </w:r>
      <w:r>
        <w:rPr>
          <w:rFonts w:ascii="宋体" w:hAnsi="宋体" w:cs="宋体" w:eastAsia="宋体" w:hint="default"/>
        </w:rPr>
        <w:t>3</w:t>
      </w:r>
      <w:r>
        <w:rPr/>
        <w:t>）金融资产和金融负债的公允价值确定方法</w:t>
      </w:r>
      <w:r>
        <w:rPr>
          <w:w w:val="100"/>
        </w:rPr>
        <w:t> </w:t>
      </w:r>
      <w:r>
        <w:rPr>
          <w:spacing w:val="-2"/>
        </w:rPr>
        <w:t>金融工具存在活跃市场的，活跃市场中的市场报价用于确定其公允价值。在活跃市场上，本公司已持</w:t>
      </w:r>
    </w:p>
    <w:p>
      <w:pPr>
        <w:pStyle w:val="BodyText"/>
        <w:spacing w:line="408" w:lineRule="auto" w:before="46"/>
        <w:ind w:right="146"/>
        <w:jc w:val="both"/>
      </w:pPr>
      <w:r>
        <w:rPr>
          <w:spacing w:val="-2"/>
        </w:rPr>
        <w:t>有的金融资产或拟承担的金融负债以现行出价作为相应资产或负债的公允价值；本公司拟购入的金融资产</w:t>
      </w:r>
      <w:r>
        <w:rPr>
          <w:spacing w:val="-43"/>
        </w:rPr>
        <w:t> </w:t>
      </w:r>
      <w:r>
        <w:rPr>
          <w:spacing w:val="-43"/>
        </w:rPr>
      </w:r>
      <w:r>
        <w:rPr>
          <w:spacing w:val="-2"/>
        </w:rPr>
        <w:t>或已承担的金融负债以现行要价作为相应资产或负债的公允价值。金融资产或金融负债没有现行出价和要</w:t>
      </w:r>
      <w:r>
        <w:rPr>
          <w:spacing w:val="-43"/>
        </w:rPr>
        <w:t> </w:t>
      </w:r>
      <w:r>
        <w:rPr>
          <w:spacing w:val="-43"/>
        </w:rPr>
      </w:r>
      <w:r>
        <w:rPr>
          <w:spacing w:val="-2"/>
        </w:rPr>
        <w:t>价，但最近交易日后经济环境没有发生重大变化的，则采用最近交易的市场报价确定该金融资产或金融负</w:t>
      </w:r>
      <w:r>
        <w:rPr>
          <w:spacing w:val="-44"/>
        </w:rPr>
        <w:t> </w:t>
      </w:r>
      <w:r>
        <w:rPr>
          <w:spacing w:val="-44"/>
        </w:rPr>
      </w:r>
      <w:r>
        <w:rPr/>
        <w:t>债的公允价值。</w:t>
      </w:r>
    </w:p>
    <w:p>
      <w:pPr>
        <w:pStyle w:val="BodyText"/>
        <w:spacing w:line="408" w:lineRule="auto" w:before="46"/>
        <w:ind w:right="146" w:firstLine="420"/>
        <w:jc w:val="both"/>
      </w:pPr>
      <w:r>
        <w:rPr>
          <w:spacing w:val="-2"/>
        </w:rPr>
        <w:t>金融工具不存在活跃市场的，采用估值技术确定其公允价值。估值技术包括参考熟悉情况并自愿交易</w:t>
      </w:r>
      <w:r>
        <w:rPr>
          <w:w w:val="100"/>
        </w:rPr>
        <w:t> </w:t>
      </w:r>
      <w:r>
        <w:rPr>
          <w:spacing w:val="-2"/>
        </w:rPr>
        <w:t>的各方最近进行的市场交易中使用的价格、参照实质上相同的其他金融资产的当前公允价值、现金流量折</w:t>
      </w:r>
      <w:r>
        <w:rPr>
          <w:spacing w:val="-44"/>
        </w:rPr>
        <w:t> </w:t>
      </w:r>
      <w:r>
        <w:rPr>
          <w:spacing w:val="-44"/>
        </w:rPr>
      </w:r>
      <w:r>
        <w:rPr/>
        <w:t>现法和期权定价模型等。</w:t>
      </w:r>
    </w:p>
    <w:p>
      <w:pPr>
        <w:spacing w:line="240" w:lineRule="auto" w:before="11"/>
        <w:rPr>
          <w:rFonts w:ascii="宋体" w:hAnsi="宋体" w:cs="宋体" w:eastAsia="宋体" w:hint="default"/>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10</w:t>
      </w:r>
      <w:r>
        <w:rPr/>
        <w:t>、应收款项</w:t>
      </w:r>
      <w:r>
        <w:rPr>
          <w:b w:val="0"/>
          <w:bCs w:val="0"/>
        </w:rPr>
      </w:r>
    </w:p>
    <w:p>
      <w:pPr>
        <w:spacing w:line="240" w:lineRule="auto" w:before="11"/>
        <w:rPr>
          <w:rFonts w:ascii="宋体" w:hAnsi="宋体" w:cs="宋体" w:eastAsia="宋体" w:hint="default"/>
          <w:b/>
          <w:bCs/>
          <w:sz w:val="29"/>
          <w:szCs w:val="29"/>
        </w:rPr>
      </w:pPr>
    </w:p>
    <w:p>
      <w:pPr>
        <w:pStyle w:val="BodyText"/>
        <w:spacing w:line="408" w:lineRule="auto"/>
        <w:ind w:right="146" w:firstLine="420"/>
        <w:jc w:val="both"/>
      </w:pPr>
      <w:r>
        <w:rPr>
          <w:spacing w:val="-2"/>
        </w:rPr>
        <w:t>本公司在资产负债表日对应收款项账面价值进行检查，对存在债务单位撤销、破产、资不抵债、现金</w:t>
      </w:r>
      <w:r>
        <w:rPr>
          <w:w w:val="100"/>
        </w:rPr>
        <w:t> </w:t>
      </w:r>
      <w:r>
        <w:rPr>
          <w:spacing w:val="-2"/>
        </w:rPr>
        <w:t>流量严重不足、发生严重自然灾害等导致停产而在可预见的时间内无法偿付债务等；其他确凿证据表明确</w:t>
      </w:r>
    </w:p>
    <w:p>
      <w:pPr>
        <w:spacing w:after="0" w:line="408" w:lineRule="auto"/>
        <w:jc w:val="both"/>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408" w:lineRule="auto" w:before="36"/>
        <w:ind w:left="573" w:right="140" w:hanging="420"/>
        <w:jc w:val="left"/>
      </w:pPr>
      <w:r>
        <w:rPr/>
        <w:t>实无法收回或收回的可能性不大的应收款项，计提坏账准备。</w:t>
      </w:r>
      <w:r>
        <w:rPr>
          <w:w w:val="100"/>
        </w:rPr>
        <w:t> </w:t>
      </w:r>
      <w:r>
        <w:rPr>
          <w:spacing w:val="-2"/>
        </w:rPr>
        <w:t>对可能发生的坏账损失采用备抵法核算，期末单独或按组合进行减值测试，计提坏账准备，计入当期</w:t>
      </w:r>
    </w:p>
    <w:p>
      <w:pPr>
        <w:pStyle w:val="BodyText"/>
        <w:spacing w:line="408" w:lineRule="auto" w:before="46"/>
        <w:ind w:right="140"/>
        <w:jc w:val="left"/>
      </w:pPr>
      <w:r>
        <w:rPr>
          <w:spacing w:val="-2"/>
        </w:rPr>
        <w:t>损益。对于有确凿证据表明确实无法收回的应收款项，经本公司按规定程序批准后列作坏账损失，冲销提</w:t>
      </w:r>
      <w:r>
        <w:rPr>
          <w:spacing w:val="-44"/>
        </w:rPr>
        <w:t> </w:t>
      </w:r>
      <w:r>
        <w:rPr>
          <w:spacing w:val="-44"/>
        </w:rPr>
      </w:r>
      <w:r>
        <w:rPr/>
        <w:t>取的坏账准备。应收款项中与关联公司的往来一般不计提坏账准备。</w:t>
      </w:r>
    </w:p>
    <w:p>
      <w:pPr>
        <w:spacing w:line="240" w:lineRule="auto" w:before="11"/>
        <w:rPr>
          <w:rFonts w:ascii="宋体" w:hAnsi="宋体" w:cs="宋体" w:eastAsia="宋体" w:hint="default"/>
          <w:sz w:val="24"/>
          <w:szCs w:val="24"/>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
        <w:rPr>
          <w:rFonts w:ascii="宋体" w:hAnsi="宋体" w:cs="宋体" w:eastAsia="宋体" w:hint="default"/>
          <w:b/>
          <w:bCs/>
          <w:sz w:val="25"/>
          <w:szCs w:val="25"/>
        </w:rPr>
      </w:pPr>
    </w:p>
    <w:tbl>
      <w:tblPr>
        <w:tblW w:w="0" w:type="auto"/>
        <w:jc w:val="left"/>
        <w:tblInd w:w="140" w:type="dxa"/>
        <w:tblLayout w:type="fixed"/>
        <w:tblCellMar>
          <w:top w:w="0" w:type="dxa"/>
          <w:left w:w="0" w:type="dxa"/>
          <w:bottom w:w="0" w:type="dxa"/>
          <w:right w:w="0" w:type="dxa"/>
        </w:tblCellMar>
        <w:tblLook w:val="01E0"/>
      </w:tblPr>
      <w:tblGrid>
        <w:gridCol w:w="4783"/>
        <w:gridCol w:w="4787"/>
      </w:tblGrid>
      <w:tr>
        <w:trPr>
          <w:trHeight w:val="476" w:hRule="exact"/>
        </w:trPr>
        <w:tc>
          <w:tcPr>
            <w:tcW w:w="478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2"/>
              <w:ind w:left="1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万元的应收款项视为重大应收款项</w:t>
            </w:r>
          </w:p>
        </w:tc>
      </w:tr>
      <w:tr>
        <w:trPr>
          <w:trHeight w:val="821" w:hRule="exact"/>
        </w:trPr>
        <w:tc>
          <w:tcPr>
            <w:tcW w:w="478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6" w:space="0" w:color="000000"/>
              <w:left w:val="single" w:sz="6" w:space="0" w:color="000000"/>
              <w:bottom w:val="single" w:sz="12" w:space="0" w:color="000000"/>
              <w:right w:val="single" w:sz="12" w:space="0" w:color="000000"/>
            </w:tcBorders>
          </w:tcPr>
          <w:p>
            <w:pPr>
              <w:pStyle w:val="TableParagraph"/>
              <w:spacing w:line="367" w:lineRule="auto" w:before="116"/>
              <w:ind w:left="23" w:right="6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8"/>
        <w:rPr>
          <w:rFonts w:ascii="宋体" w:hAnsi="宋体" w:cs="宋体" w:eastAsia="宋体" w:hint="default"/>
          <w:b/>
          <w:bCs/>
          <w:sz w:val="23"/>
          <w:szCs w:val="23"/>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4"/>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4784"/>
        <w:gridCol w:w="4787"/>
      </w:tblGrid>
      <w:tr>
        <w:trPr>
          <w:trHeight w:val="443" w:hRule="exact"/>
        </w:trPr>
        <w:tc>
          <w:tcPr>
            <w:tcW w:w="478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5"/>
              <w:ind w:right="3"/>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5"/>
              <w:ind w:left="11"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1911"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3"/>
              <w:ind w:left="23" w:right="-34"/>
              <w:jc w:val="left"/>
              <w:rPr>
                <w:rFonts w:ascii="宋体" w:hAnsi="宋体" w:cs="宋体" w:eastAsia="宋体" w:hint="default"/>
                <w:sz w:val="18"/>
                <w:szCs w:val="18"/>
              </w:rPr>
            </w:pPr>
            <w:r>
              <w:rPr>
                <w:rFonts w:ascii="宋体" w:hAnsi="宋体" w:cs="宋体" w:eastAsia="宋体" w:hint="default"/>
                <w:sz w:val="18"/>
                <w:szCs w:val="18"/>
              </w:rPr>
              <w:t>本公司根据合同付款条件将付款期限延伸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天为信用账期，</w:t>
            </w: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对于一个项目，将超账期账龄在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180 </w:t>
            </w:r>
            <w:r>
              <w:rPr>
                <w:rFonts w:ascii="宋体" w:hAnsi="宋体" w:cs="宋体" w:eastAsia="宋体" w:hint="default"/>
                <w:sz w:val="18"/>
                <w:szCs w:val="18"/>
              </w:rPr>
              <w:t>天以上或者欠款账龄在</w:t>
            </w:r>
          </w:p>
          <w:p>
            <w:pPr>
              <w:pStyle w:val="TableParagraph"/>
              <w:spacing w:line="355" w:lineRule="auto" w:before="111"/>
              <w:ind w:left="23"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720 </w:t>
            </w:r>
            <w:r>
              <w:rPr>
                <w:rFonts w:ascii="宋体" w:hAnsi="宋体" w:cs="宋体" w:eastAsia="宋体" w:hint="default"/>
                <w:sz w:val="18"/>
                <w:szCs w:val="18"/>
              </w:rPr>
              <w:t>天以上的应收账款原值进行汇总，如果汇总金额在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万元以上，对该项目所有的应收账款全额计提坏账准备，如 果取得客户回款证明，则按照账期组合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II </w:t>
            </w:r>
            <w:r>
              <w:rPr>
                <w:rFonts w:ascii="宋体" w:hAnsi="宋体" w:cs="宋体" w:eastAsia="宋体" w:hint="default"/>
                <w:sz w:val="18"/>
                <w:szCs w:val="18"/>
              </w:rPr>
              <w:t>计提坏账准备。</w:t>
            </w:r>
          </w:p>
        </w:tc>
      </w:tr>
      <w:tr>
        <w:trPr>
          <w:trHeight w:val="468"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II</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70"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以关联方往来款划分组合，不计提坏账准备</w:t>
            </w:r>
          </w:p>
        </w:tc>
      </w:tr>
      <w:tr>
        <w:trPr>
          <w:trHeight w:val="475" w:hRule="exact"/>
        </w:trPr>
        <w:tc>
          <w:tcPr>
            <w:tcW w:w="478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47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投标和保函保证金、房租押金、个人借款等不计提坏账准备</w:t>
            </w:r>
          </w:p>
        </w:tc>
      </w:tr>
    </w:tbl>
    <w:p>
      <w:pPr>
        <w:pStyle w:val="BodyText"/>
        <w:spacing w:line="240" w:lineRule="auto" w:before="66"/>
        <w:ind w:right="140"/>
        <w:jc w:val="left"/>
      </w:pPr>
      <w:r>
        <w:rPr/>
        <w:t>组合中，采用账龄分析法计提坏账准备的：</w:t>
      </w:r>
    </w:p>
    <w:p>
      <w:pPr>
        <w:spacing w:line="240" w:lineRule="auto" w:before="10"/>
        <w:rPr>
          <w:rFonts w:ascii="宋体" w:hAnsi="宋体" w:cs="宋体" w:eastAsia="宋体" w:hint="default"/>
          <w:sz w:val="14"/>
          <w:szCs w:val="14"/>
        </w:rPr>
      </w:pPr>
    </w:p>
    <w:p>
      <w:pPr>
        <w:pStyle w:val="BodyText"/>
        <w:spacing w:line="408" w:lineRule="auto"/>
        <w:ind w:right="8199"/>
        <w:jc w:val="left"/>
        <w:rPr>
          <w:rFonts w:ascii="宋体" w:hAnsi="宋体" w:cs="宋体" w:eastAsia="宋体" w:hint="default"/>
        </w:rPr>
      </w:pPr>
      <w:r>
        <w:rPr/>
        <w:t>√</w:t>
      </w:r>
      <w:r>
        <w:rPr>
          <w:spacing w:val="-1"/>
        </w:rPr>
        <w:t> </w:t>
      </w:r>
      <w:r>
        <w:rPr/>
        <w:t>适用□不适用</w:t>
      </w:r>
      <w:r>
        <w:rPr>
          <w:w w:val="100"/>
        </w:rPr>
        <w:t> </w:t>
      </w:r>
      <w:r>
        <w:rPr/>
        <w:t>账期组合</w:t>
      </w:r>
      <w:r>
        <w:rPr>
          <w:rFonts w:ascii="宋体" w:hAnsi="宋体" w:cs="宋体" w:eastAsia="宋体" w:hint="default"/>
        </w:rPr>
        <w:t>II</w:t>
      </w:r>
    </w:p>
    <w:tbl>
      <w:tblPr>
        <w:tblW w:w="0" w:type="auto"/>
        <w:jc w:val="left"/>
        <w:tblInd w:w="124" w:type="dxa"/>
        <w:tblLayout w:type="fixed"/>
        <w:tblCellMar>
          <w:top w:w="0" w:type="dxa"/>
          <w:left w:w="0" w:type="dxa"/>
          <w:bottom w:w="0" w:type="dxa"/>
          <w:right w:w="0" w:type="dxa"/>
        </w:tblCellMar>
        <w:tblLook w:val="01E0"/>
      </w:tblPr>
      <w:tblGrid>
        <w:gridCol w:w="3221"/>
        <w:gridCol w:w="3173"/>
        <w:gridCol w:w="3222"/>
      </w:tblGrid>
      <w:tr>
        <w:trPr>
          <w:trHeight w:val="476" w:hRule="exact"/>
        </w:trPr>
        <w:tc>
          <w:tcPr>
            <w:tcW w:w="322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2"/>
              <w:ind w:left="-1"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317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85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22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62"/>
              <w:ind w:left="792"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70" w:hRule="exact"/>
        </w:trPr>
        <w:tc>
          <w:tcPr>
            <w:tcW w:w="32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18"/>
                <w:szCs w:val="18"/>
              </w:rPr>
            </w:pPr>
            <w:r>
              <w:rPr>
                <w:rFonts w:ascii="宋体" w:hAnsi="宋体" w:cs="宋体" w:eastAsia="宋体" w:hint="default"/>
                <w:sz w:val="18"/>
                <w:szCs w:val="18"/>
              </w:rPr>
              <w:t>未超账期</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0.00%</w:t>
            </w:r>
          </w:p>
        </w:tc>
        <w:tc>
          <w:tcPr>
            <w:tcW w:w="32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4"/>
              <w:ind w:right="92"/>
              <w:jc w:val="right"/>
              <w:rPr>
                <w:rFonts w:ascii="Times New Roman" w:hAnsi="Times New Roman" w:cs="Times New Roman" w:eastAsia="Times New Roman" w:hint="default"/>
                <w:sz w:val="18"/>
                <w:szCs w:val="18"/>
              </w:rPr>
            </w:pPr>
            <w:r>
              <w:rPr>
                <w:rFonts w:ascii="Times New Roman"/>
                <w:sz w:val="18"/>
              </w:rPr>
              <w:t>0.00%</w:t>
            </w:r>
          </w:p>
        </w:tc>
      </w:tr>
      <w:tr>
        <w:trPr>
          <w:trHeight w:val="468" w:hRule="exact"/>
        </w:trPr>
        <w:tc>
          <w:tcPr>
            <w:tcW w:w="32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 </w:t>
            </w:r>
            <w:r>
              <w:rPr>
                <w:rFonts w:ascii="宋体" w:hAnsi="宋体" w:cs="宋体" w:eastAsia="宋体" w:hint="default"/>
                <w:sz w:val="18"/>
                <w:szCs w:val="18"/>
              </w:rPr>
              <w:t>天</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5.00%</w:t>
            </w:r>
          </w:p>
        </w:tc>
        <w:tc>
          <w:tcPr>
            <w:tcW w:w="32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4"/>
              <w:ind w:right="92"/>
              <w:jc w:val="right"/>
              <w:rPr>
                <w:rFonts w:ascii="Times New Roman" w:hAnsi="Times New Roman" w:cs="Times New Roman" w:eastAsia="Times New Roman" w:hint="default"/>
                <w:sz w:val="18"/>
                <w:szCs w:val="18"/>
              </w:rPr>
            </w:pPr>
            <w:r>
              <w:rPr>
                <w:rFonts w:ascii="Times New Roman"/>
                <w:sz w:val="18"/>
              </w:rPr>
              <w:t>0.00%</w:t>
            </w:r>
          </w:p>
        </w:tc>
      </w:tr>
      <w:tr>
        <w:trPr>
          <w:trHeight w:val="470" w:hRule="exact"/>
        </w:trPr>
        <w:tc>
          <w:tcPr>
            <w:tcW w:w="32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5"/>
              <w:jc w:val="right"/>
              <w:rPr>
                <w:rFonts w:ascii="Times New Roman" w:hAnsi="Times New Roman" w:cs="Times New Roman" w:eastAsia="Times New Roman" w:hint="default"/>
                <w:sz w:val="18"/>
                <w:szCs w:val="18"/>
              </w:rPr>
            </w:pPr>
            <w:r>
              <w:rPr>
                <w:rFonts w:ascii="Times New Roman"/>
                <w:sz w:val="18"/>
              </w:rPr>
              <w:t>10.00%</w:t>
            </w:r>
          </w:p>
        </w:tc>
        <w:tc>
          <w:tcPr>
            <w:tcW w:w="32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4"/>
              <w:ind w:right="92"/>
              <w:jc w:val="right"/>
              <w:rPr>
                <w:rFonts w:ascii="Times New Roman" w:hAnsi="Times New Roman" w:cs="Times New Roman" w:eastAsia="Times New Roman" w:hint="default"/>
                <w:sz w:val="18"/>
                <w:szCs w:val="18"/>
              </w:rPr>
            </w:pPr>
            <w:r>
              <w:rPr>
                <w:rFonts w:ascii="Times New Roman"/>
                <w:sz w:val="18"/>
              </w:rPr>
              <w:t>0.00%</w:t>
            </w:r>
          </w:p>
        </w:tc>
      </w:tr>
      <w:tr>
        <w:trPr>
          <w:trHeight w:val="468" w:hRule="exact"/>
        </w:trPr>
        <w:tc>
          <w:tcPr>
            <w:tcW w:w="32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181-270 </w:t>
            </w:r>
            <w:r>
              <w:rPr>
                <w:rFonts w:ascii="宋体" w:hAnsi="宋体" w:cs="宋体" w:eastAsia="宋体" w:hint="default"/>
                <w:sz w:val="18"/>
                <w:szCs w:val="18"/>
              </w:rPr>
              <w:t>天</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Times New Roman" w:hAnsi="Times New Roman" w:cs="Times New Roman" w:eastAsia="Times New Roman" w:hint="default"/>
                <w:sz w:val="18"/>
                <w:szCs w:val="18"/>
              </w:rPr>
            </w:pPr>
            <w:r>
              <w:rPr>
                <w:rFonts w:ascii="Times New Roman"/>
                <w:sz w:val="18"/>
              </w:rPr>
              <w:t>20.00%</w:t>
            </w:r>
          </w:p>
        </w:tc>
        <w:tc>
          <w:tcPr>
            <w:tcW w:w="32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92"/>
              <w:jc w:val="right"/>
              <w:rPr>
                <w:rFonts w:ascii="Times New Roman" w:hAnsi="Times New Roman" w:cs="Times New Roman" w:eastAsia="Times New Roman" w:hint="default"/>
                <w:sz w:val="18"/>
                <w:szCs w:val="18"/>
              </w:rPr>
            </w:pPr>
            <w:r>
              <w:rPr>
                <w:rFonts w:ascii="Times New Roman"/>
                <w:sz w:val="18"/>
              </w:rPr>
              <w:t>0.00%</w:t>
            </w:r>
          </w:p>
        </w:tc>
      </w:tr>
      <w:tr>
        <w:trPr>
          <w:trHeight w:val="468" w:hRule="exact"/>
        </w:trPr>
        <w:tc>
          <w:tcPr>
            <w:tcW w:w="32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271-360 </w:t>
            </w:r>
            <w:r>
              <w:rPr>
                <w:rFonts w:ascii="宋体" w:hAnsi="宋体" w:cs="宋体" w:eastAsia="宋体" w:hint="default"/>
                <w:sz w:val="18"/>
                <w:szCs w:val="18"/>
              </w:rPr>
              <w:t>天</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5"/>
              <w:jc w:val="right"/>
              <w:rPr>
                <w:rFonts w:ascii="Times New Roman" w:hAnsi="Times New Roman" w:cs="Times New Roman" w:eastAsia="Times New Roman" w:hint="default"/>
                <w:sz w:val="18"/>
                <w:szCs w:val="18"/>
              </w:rPr>
            </w:pPr>
            <w:r>
              <w:rPr>
                <w:rFonts w:ascii="Times New Roman"/>
                <w:sz w:val="18"/>
              </w:rPr>
              <w:t>50.00%</w:t>
            </w:r>
          </w:p>
        </w:tc>
        <w:tc>
          <w:tcPr>
            <w:tcW w:w="32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4"/>
              <w:ind w:right="92"/>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322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361 </w:t>
            </w:r>
            <w:r>
              <w:rPr>
                <w:rFonts w:ascii="宋体" w:hAnsi="宋体" w:cs="宋体" w:eastAsia="宋体" w:hint="default"/>
                <w:sz w:val="18"/>
                <w:szCs w:val="18"/>
              </w:rPr>
              <w:t>天以上</w:t>
            </w:r>
          </w:p>
        </w:tc>
        <w:tc>
          <w:tcPr>
            <w:tcW w:w="31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322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4"/>
              <w:ind w:right="92"/>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240" w:lineRule="auto" w:before="36"/>
        <w:ind w:right="140"/>
        <w:jc w:val="left"/>
      </w:pPr>
      <w:r>
        <w:rPr/>
        <w:t>组合中，采用余额百分比法计提坏账准备的：</w:t>
      </w:r>
    </w:p>
    <w:p>
      <w:pPr>
        <w:spacing w:line="240" w:lineRule="auto" w:before="10"/>
        <w:rPr>
          <w:rFonts w:ascii="宋体" w:hAnsi="宋体" w:cs="宋体" w:eastAsia="宋体" w:hint="default"/>
          <w:sz w:val="14"/>
          <w:szCs w:val="14"/>
        </w:rPr>
      </w:pPr>
    </w:p>
    <w:p>
      <w:pPr>
        <w:pStyle w:val="BodyText"/>
        <w:spacing w:line="240" w:lineRule="auto"/>
        <w:ind w:right="140"/>
        <w:jc w:val="left"/>
      </w:pPr>
      <w:r>
        <w:rPr/>
        <w:t>□</w:t>
      </w:r>
      <w:r>
        <w:rPr>
          <w:spacing w:val="-1"/>
        </w:rPr>
        <w:t> </w:t>
      </w:r>
      <w:r>
        <w:rPr/>
        <w:t>适用√不适用</w:t>
      </w:r>
    </w:p>
    <w:p>
      <w:pPr>
        <w:spacing w:after="0" w:line="240" w:lineRule="auto"/>
        <w:jc w:val="left"/>
        <w:sectPr>
          <w:pgSz w:w="11910" w:h="16840"/>
          <w:pgMar w:header="877"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Heading4"/>
        <w:spacing w:line="240" w:lineRule="auto" w:before="36"/>
        <w:ind w:right="98"/>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
        <w:rPr>
          <w:rFonts w:ascii="宋体" w:hAnsi="宋体" w:cs="宋体" w:eastAsia="宋体" w:hint="default"/>
          <w:b/>
          <w:bCs/>
          <w:sz w:val="25"/>
          <w:szCs w:val="25"/>
        </w:rPr>
      </w:pPr>
    </w:p>
    <w:tbl>
      <w:tblPr>
        <w:tblW w:w="0" w:type="auto"/>
        <w:jc w:val="left"/>
        <w:tblInd w:w="140" w:type="dxa"/>
        <w:tblLayout w:type="fixed"/>
        <w:tblCellMar>
          <w:top w:w="0" w:type="dxa"/>
          <w:left w:w="0" w:type="dxa"/>
          <w:bottom w:w="0" w:type="dxa"/>
          <w:right w:w="0" w:type="dxa"/>
        </w:tblCellMar>
        <w:tblLook w:val="01E0"/>
      </w:tblPr>
      <w:tblGrid>
        <w:gridCol w:w="4783"/>
        <w:gridCol w:w="4787"/>
      </w:tblGrid>
      <w:tr>
        <w:trPr>
          <w:trHeight w:val="822" w:hRule="exact"/>
        </w:trPr>
        <w:tc>
          <w:tcPr>
            <w:tcW w:w="478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12" w:space="0" w:color="000000"/>
              <w:left w:val="single" w:sz="6" w:space="0" w:color="000000"/>
              <w:bottom w:val="single" w:sz="6" w:space="0" w:color="000000"/>
              <w:right w:val="single" w:sz="12" w:space="0" w:color="000000"/>
            </w:tcBorders>
          </w:tcPr>
          <w:p>
            <w:pPr>
              <w:pStyle w:val="TableParagraph"/>
              <w:spacing w:line="364" w:lineRule="auto" w:before="117"/>
              <w:ind w:left="23" w:right="60"/>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 征的应收款项</w:t>
            </w:r>
          </w:p>
        </w:tc>
      </w:tr>
      <w:tr>
        <w:trPr>
          <w:trHeight w:val="821" w:hRule="exact"/>
        </w:trPr>
        <w:tc>
          <w:tcPr>
            <w:tcW w:w="478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6" w:space="0" w:color="000000"/>
              <w:left w:val="single" w:sz="6" w:space="0" w:color="000000"/>
              <w:bottom w:val="single" w:sz="12" w:space="0" w:color="000000"/>
              <w:right w:val="single" w:sz="12" w:space="0" w:color="000000"/>
            </w:tcBorders>
          </w:tcPr>
          <w:p>
            <w:pPr>
              <w:pStyle w:val="TableParagraph"/>
              <w:spacing w:line="367" w:lineRule="auto" w:before="116"/>
              <w:ind w:left="23" w:right="6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8"/>
        <w:rPr>
          <w:rFonts w:ascii="宋体" w:hAnsi="宋体" w:cs="宋体" w:eastAsia="宋体" w:hint="default"/>
          <w:b/>
          <w:bCs/>
          <w:sz w:val="23"/>
          <w:szCs w:val="23"/>
        </w:rPr>
      </w:pPr>
    </w:p>
    <w:p>
      <w:pPr>
        <w:pStyle w:val="Heading4"/>
        <w:spacing w:line="240" w:lineRule="auto" w:before="36"/>
        <w:ind w:right="98"/>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2"/>
        <w:rPr>
          <w:rFonts w:ascii="宋体" w:hAnsi="宋体" w:cs="宋体" w:eastAsia="宋体" w:hint="default"/>
          <w:b/>
          <w:bCs/>
          <w:sz w:val="29"/>
          <w:szCs w:val="29"/>
        </w:rPr>
      </w:pPr>
    </w:p>
    <w:p>
      <w:pPr>
        <w:pStyle w:val="BodyText"/>
        <w:spacing w:line="408" w:lineRule="auto"/>
        <w:ind w:left="573" w:right="98"/>
        <w:jc w:val="left"/>
      </w:pPr>
      <w:r>
        <w:rPr/>
        <w:t>本公司存货主要包括库存商品、在产品、在途物资等。</w:t>
      </w:r>
      <w:r>
        <w:rPr>
          <w:w w:val="100"/>
        </w:rPr>
        <w:t> </w:t>
      </w:r>
      <w:r>
        <w:rPr>
          <w:spacing w:val="-2"/>
        </w:rPr>
        <w:t>存货实行永续盘存制。存货在取得时按实际成本计价；领用或发出存货，采用按照项目单独核算的移</w:t>
      </w:r>
    </w:p>
    <w:p>
      <w:pPr>
        <w:pStyle w:val="BodyText"/>
        <w:spacing w:line="408" w:lineRule="auto" w:before="46"/>
        <w:ind w:left="573" w:right="98" w:hanging="420"/>
        <w:jc w:val="left"/>
      </w:pPr>
      <w:r>
        <w:rPr/>
        <w:t>动加权平均法确定其实际成本。低值易耗品采用一次转销法进行摊销。</w:t>
      </w:r>
      <w:r>
        <w:rPr>
          <w:w w:val="100"/>
        </w:rPr>
        <w:t> </w:t>
      </w:r>
      <w:r>
        <w:rPr>
          <w:spacing w:val="-2"/>
        </w:rPr>
        <w:t>年末存货按成本与可变现净值孰低原则计价，对于存货因遭受毁损、全部或部分陈旧过时或销售价格</w:t>
      </w:r>
    </w:p>
    <w:p>
      <w:pPr>
        <w:pStyle w:val="BodyText"/>
        <w:spacing w:line="408" w:lineRule="auto" w:before="46"/>
        <w:ind w:right="206"/>
        <w:jc w:val="both"/>
      </w:pPr>
      <w:r>
        <w:rPr>
          <w:spacing w:val="-2"/>
        </w:rPr>
        <w:t>低于成本等原因，预计其成本不可收回的部分，提取存货跌价准备。库存商品及大宗原材料的存货跌价准</w:t>
      </w:r>
      <w:r>
        <w:rPr>
          <w:spacing w:val="-45"/>
        </w:rPr>
        <w:t> </w:t>
      </w:r>
      <w:r>
        <w:rPr>
          <w:spacing w:val="-45"/>
        </w:rPr>
      </w:r>
      <w:r>
        <w:rPr>
          <w:spacing w:val="-2"/>
        </w:rPr>
        <w:t>备按单个存货项目的成本高于其可变现净值的差额提取；其他数量繁多、单价较低的原辅材料按类别提取</w:t>
      </w:r>
      <w:r>
        <w:rPr>
          <w:spacing w:val="-42"/>
        </w:rPr>
        <w:t> </w:t>
      </w:r>
      <w:r>
        <w:rPr>
          <w:spacing w:val="-42"/>
        </w:rPr>
      </w:r>
      <w:r>
        <w:rPr/>
        <w:t>存货跌价准备。</w:t>
      </w:r>
    </w:p>
    <w:p>
      <w:pPr>
        <w:pStyle w:val="BodyText"/>
        <w:spacing w:line="408" w:lineRule="auto" w:before="46"/>
        <w:ind w:right="206" w:firstLine="420"/>
        <w:jc w:val="both"/>
      </w:pPr>
      <w:r>
        <w:rPr>
          <w:spacing w:val="-2"/>
        </w:rPr>
        <w:t>库存商品、在产品和用于出售的材料等直接用于出售的商品存货，其可变现净值按该存货的估计售价</w:t>
      </w:r>
      <w:r>
        <w:rPr>
          <w:w w:val="100"/>
        </w:rPr>
        <w:t> </w:t>
      </w:r>
      <w:r>
        <w:rPr>
          <w:spacing w:val="-2"/>
        </w:rPr>
        <w:t>减去估计的销售费用和相关税费后的金额确定；用于生产而持有的材料存货，其可变现净值按所生产的产</w:t>
      </w:r>
      <w:r>
        <w:rPr>
          <w:spacing w:val="-44"/>
        </w:rPr>
        <w:t> </w:t>
      </w:r>
      <w:r>
        <w:rPr>
          <w:spacing w:val="-44"/>
        </w:rPr>
      </w:r>
      <w:r>
        <w:rPr/>
        <w:t>成品的估计售价减去至完工时估计将要发生的成本、估计的销售费用和相关税费后的金额确定。</w:t>
      </w:r>
    </w:p>
    <w:p>
      <w:pPr>
        <w:spacing w:line="240" w:lineRule="auto" w:before="11"/>
        <w:rPr>
          <w:rFonts w:ascii="宋体" w:hAnsi="宋体" w:cs="宋体" w:eastAsia="宋体" w:hint="default"/>
          <w:sz w:val="24"/>
          <w:szCs w:val="24"/>
        </w:rPr>
      </w:pPr>
    </w:p>
    <w:p>
      <w:pPr>
        <w:pStyle w:val="Heading4"/>
        <w:spacing w:line="240" w:lineRule="auto"/>
        <w:ind w:right="98"/>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1"/>
        <w:rPr>
          <w:rFonts w:ascii="宋体" w:hAnsi="宋体" w:cs="宋体" w:eastAsia="宋体" w:hint="default"/>
          <w:b/>
          <w:bCs/>
          <w:sz w:val="29"/>
          <w:szCs w:val="29"/>
        </w:rPr>
      </w:pPr>
    </w:p>
    <w:p>
      <w:pPr>
        <w:pStyle w:val="BodyText"/>
        <w:spacing w:line="408" w:lineRule="auto"/>
        <w:ind w:left="573" w:right="98"/>
        <w:jc w:val="left"/>
      </w:pPr>
      <w:r>
        <w:rPr/>
        <w:t>本公司长期股权投资主要是对子公司的投资、对联营企业的投资和对合营企业的投资。</w:t>
      </w:r>
      <w:r>
        <w:rPr>
          <w:w w:val="100"/>
        </w:rPr>
        <w:t> </w:t>
      </w:r>
      <w:r>
        <w:rPr>
          <w:spacing w:val="-2"/>
        </w:rPr>
        <w:t>本公司对共同控制的判断依据是所有参与方或参与方组合集体控制该安排，并且该安排相关活动的政</w:t>
      </w:r>
    </w:p>
    <w:p>
      <w:pPr>
        <w:pStyle w:val="BodyText"/>
        <w:spacing w:line="410" w:lineRule="auto" w:before="46"/>
        <w:ind w:left="573" w:right="98" w:hanging="420"/>
        <w:jc w:val="left"/>
      </w:pPr>
      <w:r>
        <w:rPr/>
        <w:t>策必须经过这些集体控制该安排的参与方一致同意。</w:t>
      </w:r>
      <w:r>
        <w:rPr>
          <w:w w:val="100"/>
        </w:rPr>
        <w:t> </w:t>
      </w:r>
      <w:r>
        <w:rPr>
          <w:spacing w:val="-2"/>
        </w:rPr>
        <w:t>本公司直接或通过子公司间接拥有被投资单位</w:t>
      </w:r>
      <w:r>
        <w:rPr>
          <w:rFonts w:ascii="宋体" w:hAnsi="宋体" w:cs="宋体" w:eastAsia="宋体" w:hint="default"/>
          <w:spacing w:val="-2"/>
        </w:rPr>
        <w:t>20</w:t>
      </w:r>
      <w:r>
        <w:rPr>
          <w:spacing w:val="-2"/>
        </w:rPr>
        <w:t>％（含）以上但低于</w:t>
      </w:r>
      <w:r>
        <w:rPr>
          <w:rFonts w:ascii="宋体" w:hAnsi="宋体" w:cs="宋体" w:eastAsia="宋体" w:hint="default"/>
          <w:spacing w:val="-2"/>
        </w:rPr>
        <w:t>50</w:t>
      </w:r>
      <w:r>
        <w:rPr>
          <w:spacing w:val="-2"/>
        </w:rPr>
        <w:t>％的表决权时，通常认为对被</w:t>
      </w:r>
    </w:p>
    <w:p>
      <w:pPr>
        <w:pStyle w:val="BodyText"/>
        <w:spacing w:line="408" w:lineRule="auto" w:before="44"/>
        <w:ind w:right="98"/>
        <w:jc w:val="left"/>
      </w:pPr>
      <w:r>
        <w:rPr/>
        <w:t>投资单位具有重大影响。持有被投资单位</w:t>
      </w:r>
      <w:r>
        <w:rPr>
          <w:rFonts w:ascii="宋体" w:hAnsi="宋体" w:cs="宋体" w:eastAsia="宋体" w:hint="default"/>
        </w:rPr>
        <w:t>20%</w:t>
      </w:r>
      <w:r>
        <w:rPr/>
        <w:t>以下表决权的，还需要综合考虑在被投资单位的董事会或类</w:t>
      </w:r>
      <w:r>
        <w:rPr>
          <w:spacing w:val="-27"/>
        </w:rPr>
        <w:t> </w:t>
      </w:r>
      <w:r>
        <w:rPr>
          <w:spacing w:val="-27"/>
        </w:rPr>
      </w:r>
      <w:r>
        <w:rPr>
          <w:spacing w:val="-5"/>
        </w:rPr>
        <w:t>似权力机构中派有代表、或参与被投资单位财务和经营政策制定过程、或与被投资单位之间发生重要交易、 </w:t>
      </w:r>
      <w:r>
        <w:rPr>
          <w:spacing w:val="-5"/>
        </w:rPr>
      </w:r>
      <w:r>
        <w:rPr>
          <w:spacing w:val="-2"/>
        </w:rPr>
        <w:t>或向被投资单位派出管理人员、或向被投资单位提供关键技术资料等事实和情况判断对被投资单位具有重</w:t>
      </w:r>
      <w:r>
        <w:rPr>
          <w:spacing w:val="-43"/>
        </w:rPr>
        <w:t> </w:t>
      </w:r>
      <w:r>
        <w:rPr>
          <w:spacing w:val="-43"/>
        </w:rPr>
      </w:r>
      <w:r>
        <w:rPr/>
        <w:t>大影响。</w:t>
      </w:r>
    </w:p>
    <w:p>
      <w:pPr>
        <w:pStyle w:val="BodyText"/>
        <w:spacing w:line="408" w:lineRule="auto" w:before="46"/>
        <w:ind w:right="206" w:firstLine="420"/>
        <w:jc w:val="both"/>
      </w:pPr>
      <w:r>
        <w:rPr>
          <w:spacing w:val="-2"/>
        </w:rPr>
        <w:t>对被投资单位形成控制的，为本公司的子公司。通过同一控制下的企业合并取得的长期股权投资，在</w:t>
      </w:r>
      <w:r>
        <w:rPr>
          <w:w w:val="100"/>
        </w:rPr>
        <w:t> </w:t>
      </w:r>
      <w:r>
        <w:rPr>
          <w:spacing w:val="2"/>
        </w:rPr>
        <w:t>合并日按照取得被合并方在最终控制方合并报表中净资产的账面价值的份额作为长期股权投资的初始投</w:t>
      </w:r>
    </w:p>
    <w:p>
      <w:pPr>
        <w:spacing w:after="0" w:line="408" w:lineRule="auto"/>
        <w:jc w:val="both"/>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408" w:lineRule="auto" w:before="36"/>
        <w:ind w:right="98"/>
        <w:jc w:val="left"/>
      </w:pPr>
      <w:r>
        <w:rPr>
          <w:spacing w:val="-2"/>
        </w:rPr>
        <w:t>资成本。被合并方在合并日的净资产账面价值为负数的，长期股权投资成本按零确定。通过非同一控制下</w:t>
      </w:r>
      <w:r>
        <w:rPr>
          <w:spacing w:val="-44"/>
        </w:rPr>
        <w:t> </w:t>
      </w:r>
      <w:r>
        <w:rPr>
          <w:spacing w:val="-44"/>
        </w:rPr>
      </w:r>
      <w:r>
        <w:rPr/>
        <w:t>的企业合并取得的长期股权投资，以合并成本作为初始投资成本。</w:t>
      </w:r>
    </w:p>
    <w:p>
      <w:pPr>
        <w:pStyle w:val="BodyText"/>
        <w:spacing w:line="408" w:lineRule="auto" w:before="46"/>
        <w:ind w:right="206" w:firstLine="420"/>
        <w:jc w:val="both"/>
      </w:pPr>
      <w:r>
        <w:rPr>
          <w:spacing w:val="-2"/>
        </w:rPr>
        <w:t>除上述通过企业合并取得的长期股权投资外，以支付现金取得的长期股权投资，按照实际支付的购买</w:t>
      </w:r>
      <w:r>
        <w:rPr>
          <w:w w:val="100"/>
        </w:rPr>
        <w:t> </w:t>
      </w:r>
      <w:r>
        <w:rPr>
          <w:spacing w:val="-2"/>
        </w:rPr>
        <w:t>价款作为投资成本；以发行权益性证券取得的长期股权投资，按照发行权益性证券的公允价值作为投资成</w:t>
      </w:r>
      <w:r>
        <w:rPr>
          <w:spacing w:val="-42"/>
        </w:rPr>
        <w:t> </w:t>
      </w:r>
      <w:r>
        <w:rPr>
          <w:spacing w:val="-42"/>
        </w:rPr>
      </w:r>
      <w:r>
        <w:rPr>
          <w:spacing w:val="-2"/>
        </w:rPr>
        <w:t>本；投资者投入的长期股权投资，按照投资合同或协议约定的价值作为投资成本；以债务重组、非货币性</w:t>
      </w:r>
      <w:r>
        <w:rPr>
          <w:spacing w:val="-47"/>
        </w:rPr>
        <w:t> </w:t>
      </w:r>
      <w:r>
        <w:rPr>
          <w:spacing w:val="-47"/>
        </w:rPr>
      </w:r>
      <w:r>
        <w:rPr/>
        <w:t>资产交换等方式取得的长期股权投资，按相关会计准则的规定确定初始投资成本。</w:t>
      </w:r>
    </w:p>
    <w:p>
      <w:pPr>
        <w:pStyle w:val="BodyText"/>
        <w:spacing w:line="408" w:lineRule="auto" w:before="46"/>
        <w:ind w:left="573" w:right="98"/>
        <w:jc w:val="left"/>
      </w:pPr>
      <w:r>
        <w:rPr/>
        <w:t>本公司对子公司投资采用成本法核算，对合营企业及联营企业投资采用权益法核算。</w:t>
      </w:r>
      <w:r>
        <w:rPr>
          <w:w w:val="100"/>
        </w:rPr>
        <w:t> </w:t>
      </w:r>
      <w:r>
        <w:rPr>
          <w:spacing w:val="-2"/>
        </w:rPr>
        <w:t>后续计量采用成本法核算的长期股权投资，在追加投资时，按照追加投资支付的成本额公允价值及发</w:t>
      </w:r>
    </w:p>
    <w:p>
      <w:pPr>
        <w:pStyle w:val="BodyText"/>
        <w:spacing w:line="408" w:lineRule="auto" w:before="46"/>
        <w:ind w:right="98"/>
        <w:jc w:val="left"/>
      </w:pPr>
      <w:r>
        <w:rPr>
          <w:spacing w:val="-2"/>
        </w:rPr>
        <w:t>生的相关交易费用增加长期股权投资成本的账面价值。被投资单位宣告分派的现金股利或利润，按照应享</w:t>
      </w:r>
      <w:r>
        <w:rPr>
          <w:spacing w:val="-44"/>
        </w:rPr>
        <w:t> </w:t>
      </w:r>
      <w:r>
        <w:rPr>
          <w:spacing w:val="-44"/>
        </w:rPr>
      </w:r>
      <w:r>
        <w:rPr/>
        <w:t>有的金额确认为当期投资收益。</w:t>
      </w:r>
    </w:p>
    <w:p>
      <w:pPr>
        <w:pStyle w:val="BodyText"/>
        <w:spacing w:line="408" w:lineRule="auto" w:before="46"/>
        <w:ind w:right="111" w:firstLine="420"/>
        <w:jc w:val="both"/>
      </w:pPr>
      <w:r>
        <w:rPr>
          <w:spacing w:val="-2"/>
        </w:rPr>
        <w:t>后续计量采用权益法核算的长期股权投资，随着被他投资单位所有者权益的变动相应调整增加或减少</w:t>
      </w:r>
      <w:r>
        <w:rPr>
          <w:w w:val="100"/>
        </w:rPr>
        <w:t> </w:t>
      </w:r>
      <w:r>
        <w:rPr>
          <w:spacing w:val="-2"/>
        </w:rPr>
        <w:t>长期股权投资的账面价值。其中在确认应享有被投资单位净损益的份额时，以取得投资时被投资单位各项</w:t>
      </w:r>
      <w:r>
        <w:rPr>
          <w:spacing w:val="-43"/>
        </w:rPr>
        <w:t> </w:t>
      </w:r>
      <w:r>
        <w:rPr>
          <w:spacing w:val="-43"/>
        </w:rPr>
      </w:r>
      <w:r>
        <w:rPr>
          <w:spacing w:val="-2"/>
        </w:rPr>
        <w:t>可辨认资产等的公允价值为基础，按照本公司的会计政策及会计期间，并抵销与联营企业及合营企业之间</w:t>
      </w:r>
      <w:r>
        <w:rPr>
          <w:spacing w:val="-43"/>
        </w:rPr>
        <w:t> </w:t>
      </w:r>
      <w:r>
        <w:rPr>
          <w:spacing w:val="-43"/>
        </w:rPr>
      </w:r>
      <w:r>
        <w:rPr/>
        <w:t>发生的内部交易损益按照持股比例计算归属于投资企业的部分，对被投资单位的净利润进行调整后确认。</w:t>
      </w:r>
    </w:p>
    <w:p>
      <w:pPr>
        <w:pStyle w:val="BodyText"/>
        <w:spacing w:line="408" w:lineRule="auto" w:before="46"/>
        <w:ind w:right="205" w:firstLine="420"/>
        <w:jc w:val="both"/>
      </w:pPr>
      <w:r>
        <w:rPr>
          <w:spacing w:val="-2"/>
        </w:rPr>
        <w:t>处置长期股权投资，其账面价值与实际取得价款的差额，计入当期投资收益。采用权益法核算的长期</w:t>
      </w:r>
      <w:r>
        <w:rPr>
          <w:w w:val="100"/>
        </w:rPr>
        <w:t> </w:t>
      </w:r>
      <w:r>
        <w:rPr>
          <w:spacing w:val="-2"/>
        </w:rPr>
        <w:t>股权投资，因被投资单位除净损益以外所有者权益的其他变动而计入所有者权益的，处置该项投资时将原</w:t>
      </w:r>
      <w:r>
        <w:rPr>
          <w:spacing w:val="-43"/>
        </w:rPr>
        <w:t> </w:t>
      </w:r>
      <w:r>
        <w:rPr>
          <w:spacing w:val="-43"/>
        </w:rPr>
      </w:r>
      <w:r>
        <w:rPr/>
        <w:t>计入所有者权益的部分按相应比例转入当期投资损益。</w:t>
      </w:r>
    </w:p>
    <w:p>
      <w:pPr>
        <w:pStyle w:val="BodyText"/>
        <w:spacing w:line="408" w:lineRule="auto" w:before="46"/>
        <w:ind w:right="206" w:firstLine="420"/>
        <w:jc w:val="both"/>
      </w:pPr>
      <w:r>
        <w:rPr>
          <w:spacing w:val="-2"/>
        </w:rPr>
        <w:t>因处置部分股权投资等原因丧失了对被投资单位的共同控制或重大影响的，处置后的剩余股权改按可</w:t>
      </w:r>
      <w:r>
        <w:rPr>
          <w:w w:val="100"/>
        </w:rPr>
        <w:t> </w:t>
      </w:r>
      <w:r>
        <w:rPr>
          <w:spacing w:val="-2"/>
        </w:rPr>
        <w:t>供出售金融资产核算，剩余股权在丧失共同控制或重大影响之日的公允价值与账面价值之间的差额计入当</w:t>
      </w:r>
      <w:r>
        <w:rPr>
          <w:spacing w:val="-43"/>
        </w:rPr>
        <w:t> </w:t>
      </w:r>
      <w:r>
        <w:rPr>
          <w:spacing w:val="-43"/>
        </w:rPr>
      </w:r>
      <w:r>
        <w:rPr>
          <w:spacing w:val="-2"/>
        </w:rPr>
        <w:t>期损益。原股权投资因采用权益法核算而确认的其他综合收益，在终止采用权益法核算时采用与被投资单</w:t>
      </w:r>
      <w:r>
        <w:rPr>
          <w:spacing w:val="-44"/>
        </w:rPr>
        <w:t> </w:t>
      </w:r>
      <w:r>
        <w:rPr>
          <w:spacing w:val="-44"/>
        </w:rPr>
      </w:r>
      <w:r>
        <w:rPr/>
        <w:t>位直接处置相关资产或负债相同的基础进行会计处理。</w:t>
      </w:r>
    </w:p>
    <w:p>
      <w:pPr>
        <w:pStyle w:val="BodyText"/>
        <w:spacing w:line="408" w:lineRule="auto" w:before="46"/>
        <w:ind w:right="206" w:firstLine="420"/>
        <w:jc w:val="both"/>
      </w:pPr>
      <w:r>
        <w:rPr>
          <w:spacing w:val="-2"/>
        </w:rPr>
        <w:t>因处置部分长期股权投资丧失了对被投资单位控制的，处置后的剩余股权能够对被投资单位实施共同</w:t>
      </w:r>
      <w:r>
        <w:rPr>
          <w:w w:val="100"/>
        </w:rPr>
        <w:t> </w:t>
      </w:r>
      <w:r>
        <w:rPr>
          <w:spacing w:val="-2"/>
        </w:rPr>
        <w:t>控制或施加重大影响的，改按权益法核算，处置股权账面价值和处置对价的差额计入投资收益，并对该剩</w:t>
      </w:r>
      <w:r>
        <w:rPr>
          <w:spacing w:val="-43"/>
        </w:rPr>
        <w:t> </w:t>
      </w:r>
      <w:r>
        <w:rPr>
          <w:spacing w:val="-43"/>
        </w:rPr>
      </w:r>
      <w:r>
        <w:rPr>
          <w:spacing w:val="-2"/>
        </w:rPr>
        <w:t>余股权视同自取得时即采用权益法核算进行调整；处置后的剩余股权不能对被投资单位实施共同控制或施</w:t>
      </w:r>
      <w:r>
        <w:rPr>
          <w:spacing w:val="-43"/>
        </w:rPr>
        <w:t> </w:t>
      </w:r>
      <w:r>
        <w:rPr>
          <w:spacing w:val="-43"/>
        </w:rPr>
      </w:r>
      <w:r>
        <w:rPr>
          <w:spacing w:val="-2"/>
        </w:rPr>
        <w:t>加重大影响的，改按可供出售金融资产的有关规定进行会计处理，处置股权账面价值和处置对价的差额计</w:t>
      </w:r>
      <w:r>
        <w:rPr>
          <w:spacing w:val="-42"/>
        </w:rPr>
        <w:t> </w:t>
      </w:r>
      <w:r>
        <w:rPr>
          <w:spacing w:val="-42"/>
        </w:rPr>
      </w:r>
      <w:r>
        <w:rPr/>
        <w:t>入投资收益，剩余股权在丧失控制之日的公允价值与账面价值间的差额计入当期投资损益。</w:t>
      </w:r>
    </w:p>
    <w:p>
      <w:pPr>
        <w:spacing w:after="0" w:line="408" w:lineRule="auto"/>
        <w:jc w:val="both"/>
        <w:sectPr>
          <w:pgSz w:w="11910" w:h="16840"/>
          <w:pgMar w:header="877" w:footer="1227" w:top="1100" w:bottom="1420" w:left="980" w:right="920"/>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11"/>
        <w:rPr>
          <w:rFonts w:ascii="宋体" w:hAnsi="宋体" w:cs="宋体" w:eastAsia="宋体" w:hint="default"/>
          <w:b/>
          <w:bCs/>
          <w:sz w:val="29"/>
          <w:szCs w:val="29"/>
        </w:rPr>
      </w:pPr>
    </w:p>
    <w:p>
      <w:pPr>
        <w:pStyle w:val="BodyText"/>
        <w:spacing w:line="408" w:lineRule="auto"/>
        <w:ind w:right="333" w:firstLine="420"/>
        <w:jc w:val="both"/>
      </w:pPr>
      <w:r>
        <w:rPr>
          <w:spacing w:val="-2"/>
        </w:rPr>
        <w:t>本公司固定资产是指公司所拥有或控制的、使用年限在一年以上的，并在使用过程中保持原有实物</w:t>
      </w:r>
      <w:r>
        <w:rPr>
          <w:w w:val="100"/>
        </w:rPr>
        <w:t> </w:t>
      </w:r>
      <w:r>
        <w:rPr>
          <w:spacing w:val="-2"/>
        </w:rPr>
        <w:t>形态的资产，包括房屋建筑物、机器设备、运输设备、办公设备。固定资产按其取得时的成本作为入账</w:t>
      </w:r>
      <w:r>
        <w:rPr>
          <w:spacing w:val="-21"/>
        </w:rPr>
        <w:t> </w:t>
      </w:r>
      <w:r>
        <w:rPr>
          <w:spacing w:val="-21"/>
        </w:rPr>
      </w:r>
      <w:r>
        <w:rPr>
          <w:spacing w:val="-2"/>
        </w:rPr>
        <w:t>的价值，其中，外购的固定资产成本包括买价、相关税费，以及为使固定资产达到预定可使用状态前所</w:t>
      </w:r>
      <w:r>
        <w:rPr>
          <w:spacing w:val="-21"/>
        </w:rPr>
        <w:t> </w:t>
      </w:r>
      <w:r>
        <w:rPr>
          <w:spacing w:val="-21"/>
        </w:rPr>
      </w:r>
      <w:r>
        <w:rPr>
          <w:spacing w:val="-2"/>
        </w:rPr>
        <w:t>发生的可直接归属于该资产的其他支出；自行建造固定资产的成本，由建造该项资产达到预定可使用状</w:t>
      </w:r>
      <w:r>
        <w:rPr>
          <w:spacing w:val="-21"/>
        </w:rPr>
        <w:t> </w:t>
      </w:r>
      <w:r>
        <w:rPr>
          <w:spacing w:val="-21"/>
        </w:rPr>
      </w:r>
      <w:r>
        <w:rPr>
          <w:spacing w:val="-2"/>
        </w:rPr>
        <w:t>态前所发生的必要支出构成；投资者投入的固定资产，按投资合同或协议约定的价值作为入账价值，但</w:t>
      </w:r>
      <w:r>
        <w:rPr>
          <w:spacing w:val="-21"/>
        </w:rPr>
        <w:t> </w:t>
      </w:r>
      <w:r>
        <w:rPr>
          <w:spacing w:val="-21"/>
        </w:rPr>
      </w:r>
      <w:r>
        <w:rPr>
          <w:spacing w:val="-2"/>
        </w:rPr>
        <w:t>合同或协议约定价值不公允的按公允价值入账；融资租赁租入的固定资产，按租赁开始日租赁资产公允</w:t>
      </w:r>
      <w:r>
        <w:rPr>
          <w:spacing w:val="-21"/>
        </w:rPr>
        <w:t> </w:t>
      </w:r>
      <w:r>
        <w:rPr>
          <w:spacing w:val="-21"/>
        </w:rPr>
      </w:r>
      <w:r>
        <w:rPr>
          <w:spacing w:val="-2"/>
        </w:rPr>
        <w:t>价值与最低租赁付款额现值两者中较低者作为入账价值。与固定资产有关的后续支出，包括修理支出、</w:t>
      </w:r>
      <w:r>
        <w:rPr>
          <w:spacing w:val="-21"/>
        </w:rPr>
        <w:t> </w:t>
      </w:r>
      <w:r>
        <w:rPr>
          <w:spacing w:val="-21"/>
        </w:rPr>
      </w:r>
      <w:r>
        <w:rPr>
          <w:spacing w:val="-2"/>
        </w:rPr>
        <w:t>更新改造支出等，符合固定资产确认条件的，计入固定资产成本，对于被替换的部分，终止确认其账面</w:t>
      </w:r>
      <w:r>
        <w:rPr>
          <w:spacing w:val="-21"/>
        </w:rPr>
        <w:t> </w:t>
      </w:r>
      <w:r>
        <w:rPr>
          <w:spacing w:val="-21"/>
        </w:rPr>
      </w:r>
      <w:r>
        <w:rPr>
          <w:spacing w:val="-2"/>
        </w:rPr>
        <w:t>价值；不符合固定资产确认条件的，于发生时计入当期损益。除已提足折旧仍继续使用的固定资产和单</w:t>
      </w:r>
      <w:r>
        <w:rPr>
          <w:spacing w:val="-21"/>
        </w:rPr>
        <w:t> </w:t>
      </w:r>
      <w:r>
        <w:rPr>
          <w:spacing w:val="-21"/>
        </w:rPr>
      </w:r>
      <w:r>
        <w:rPr>
          <w:spacing w:val="-2"/>
        </w:rPr>
        <w:t>独计价入账的土地外，本公司对所有固定资产计提折旧。计提折旧时采用平均年限法，并根据用途分别</w:t>
      </w:r>
      <w:r>
        <w:rPr>
          <w:spacing w:val="-21"/>
        </w:rPr>
        <w:t> </w:t>
      </w:r>
      <w:r>
        <w:rPr>
          <w:spacing w:val="-21"/>
        </w:rPr>
      </w:r>
      <w:r>
        <w:rPr>
          <w:spacing w:val="-2"/>
        </w:rPr>
        <w:t>计入相关资产的成本或当期费用。本公司于每年年度终了，对固定资产的预计使用寿命、预计净残值和</w:t>
      </w:r>
      <w:r>
        <w:rPr>
          <w:spacing w:val="-21"/>
        </w:rPr>
        <w:t> </w:t>
      </w:r>
      <w:r>
        <w:rPr>
          <w:spacing w:val="-21"/>
        </w:rPr>
      </w:r>
      <w:r>
        <w:rPr>
          <w:spacing w:val="-2"/>
        </w:rPr>
        <w:t>折旧方法进行复核，如发生改变，则作为会计估计变更处理。当固定资产被处置、或者预期通过使用或</w:t>
      </w:r>
      <w:r>
        <w:rPr>
          <w:spacing w:val="-21"/>
        </w:rPr>
        <w:t> </w:t>
      </w:r>
      <w:r>
        <w:rPr>
          <w:spacing w:val="-21"/>
        </w:rPr>
      </w:r>
      <w:r>
        <w:rPr>
          <w:spacing w:val="-2"/>
        </w:rPr>
        <w:t>处置不能产生经济利益时，终止确认该固定资产。固定资产出售、转让、报废或毁损的处置收入扣除其</w:t>
      </w:r>
      <w:r>
        <w:rPr>
          <w:spacing w:val="-21"/>
        </w:rPr>
        <w:t> </w:t>
      </w:r>
      <w:r>
        <w:rPr>
          <w:spacing w:val="-21"/>
        </w:rPr>
      </w:r>
      <w:r>
        <w:rPr/>
        <w:t>账面价值和相关税费后的金额计入当期损益。</w:t>
      </w:r>
    </w:p>
    <w:p>
      <w:pPr>
        <w:spacing w:line="240" w:lineRule="auto" w:before="11"/>
        <w:rPr>
          <w:rFonts w:ascii="宋体" w:hAnsi="宋体" w:cs="宋体" w:eastAsia="宋体" w:hint="default"/>
          <w:sz w:val="24"/>
          <w:szCs w:val="24"/>
        </w:rPr>
      </w:pPr>
    </w:p>
    <w:p>
      <w:pPr>
        <w:pStyle w:val="Heading4"/>
        <w:spacing w:line="240" w:lineRule="auto"/>
        <w:ind w:right="14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49" w:hRule="exact"/>
        </w:trPr>
        <w:tc>
          <w:tcPr>
            <w:tcW w:w="191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1"/>
              <w:ind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1"/>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54"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21" w:right="0"/>
              <w:jc w:val="left"/>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4"/>
              <w:jc w:val="right"/>
              <w:rPr>
                <w:rFonts w:ascii="Times New Roman" w:hAnsi="Times New Roman" w:cs="Times New Roman" w:eastAsia="Times New Roman" w:hint="default"/>
                <w:sz w:val="18"/>
                <w:szCs w:val="18"/>
              </w:rPr>
            </w:pPr>
            <w:r>
              <w:rPr>
                <w:rFonts w:ascii="Times New Roman"/>
                <w:sz w:val="18"/>
              </w:rPr>
              <w:t>10.00%</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left="21" w:right="0"/>
              <w:jc w:val="left"/>
              <w:rPr>
                <w:rFonts w:ascii="Times New Roman" w:hAnsi="Times New Roman" w:cs="Times New Roman" w:eastAsia="Times New Roman" w:hint="default"/>
                <w:sz w:val="18"/>
                <w:szCs w:val="18"/>
              </w:rPr>
            </w:pPr>
            <w:r>
              <w:rPr>
                <w:rFonts w:ascii="Times New Roman"/>
                <w:sz w:val="18"/>
              </w:rPr>
              <w:t>2.25</w:t>
            </w:r>
          </w:p>
        </w:tc>
      </w:tr>
      <w:tr>
        <w:trPr>
          <w:trHeight w:val="456"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8"/>
              <w:ind w:left="1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2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21"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2"/>
              <w:jc w:val="right"/>
              <w:rPr>
                <w:rFonts w:ascii="Times New Roman" w:hAnsi="Times New Roman" w:cs="Times New Roman" w:eastAsia="Times New Roman" w:hint="default"/>
                <w:sz w:val="18"/>
                <w:szCs w:val="18"/>
              </w:rPr>
            </w:pPr>
            <w:r>
              <w:rPr>
                <w:rFonts w:ascii="Times New Roman"/>
                <w:sz w:val="18"/>
              </w:rPr>
              <w:t>0%-10%</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left="21" w:right="0"/>
              <w:jc w:val="left"/>
              <w:rPr>
                <w:rFonts w:ascii="Times New Roman" w:hAnsi="Times New Roman" w:cs="Times New Roman" w:eastAsia="Times New Roman" w:hint="default"/>
                <w:sz w:val="18"/>
                <w:szCs w:val="18"/>
              </w:rPr>
            </w:pPr>
            <w:r>
              <w:rPr>
                <w:rFonts w:ascii="Times New Roman"/>
                <w:sz w:val="18"/>
              </w:rPr>
              <w:t>18-20</w:t>
            </w:r>
          </w:p>
        </w:tc>
      </w:tr>
      <w:tr>
        <w:trPr>
          <w:trHeight w:val="456"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21"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z w:val="18"/>
              </w:rPr>
              <w:t>0%-10%</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left="21" w:right="0"/>
              <w:jc w:val="left"/>
              <w:rPr>
                <w:rFonts w:ascii="Times New Roman" w:hAnsi="Times New Roman" w:cs="Times New Roman" w:eastAsia="Times New Roman" w:hint="default"/>
                <w:sz w:val="18"/>
                <w:szCs w:val="18"/>
              </w:rPr>
            </w:pPr>
            <w:r>
              <w:rPr>
                <w:rFonts w:ascii="Times New Roman"/>
                <w:sz w:val="18"/>
              </w:rPr>
              <w:t>18-20</w:t>
            </w:r>
          </w:p>
        </w:tc>
      </w:tr>
      <w:tr>
        <w:trPr>
          <w:trHeight w:val="461" w:hRule="exact"/>
        </w:trPr>
        <w:tc>
          <w:tcPr>
            <w:tcW w:w="191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left="2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9"/>
              <w:ind w:left="21"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9"/>
              <w:ind w:right="12"/>
              <w:jc w:val="right"/>
              <w:rPr>
                <w:rFonts w:ascii="Times New Roman" w:hAnsi="Times New Roman" w:cs="Times New Roman" w:eastAsia="Times New Roman" w:hint="default"/>
                <w:sz w:val="18"/>
                <w:szCs w:val="18"/>
              </w:rPr>
            </w:pPr>
            <w:r>
              <w:rPr>
                <w:rFonts w:ascii="Times New Roman"/>
                <w:sz w:val="18"/>
              </w:rPr>
              <w:t>0%-10%</w:t>
            </w:r>
          </w:p>
        </w:tc>
        <w:tc>
          <w:tcPr>
            <w:tcW w:w="19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9"/>
              <w:ind w:left="21" w:right="0"/>
              <w:jc w:val="left"/>
              <w:rPr>
                <w:rFonts w:ascii="Times New Roman" w:hAnsi="Times New Roman" w:cs="Times New Roman" w:eastAsia="Times New Roman" w:hint="default"/>
                <w:sz w:val="18"/>
                <w:szCs w:val="18"/>
              </w:rPr>
            </w:pPr>
            <w:r>
              <w:rPr>
                <w:rFonts w:ascii="Times New Roman"/>
                <w:sz w:val="18"/>
              </w:rPr>
              <w:t>18-20</w:t>
            </w:r>
          </w:p>
        </w:tc>
      </w:tr>
    </w:tbl>
    <w:p>
      <w:pPr>
        <w:spacing w:line="240" w:lineRule="auto" w:before="8"/>
        <w:rPr>
          <w:rFonts w:ascii="宋体" w:hAnsi="宋体" w:cs="宋体" w:eastAsia="宋体" w:hint="default"/>
          <w:b/>
          <w:bCs/>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11"/>
        <w:rPr>
          <w:rFonts w:ascii="宋体" w:hAnsi="宋体" w:cs="宋体" w:eastAsia="宋体" w:hint="default"/>
          <w:b/>
          <w:bCs/>
          <w:sz w:val="29"/>
          <w:szCs w:val="29"/>
        </w:rPr>
      </w:pPr>
    </w:p>
    <w:p>
      <w:pPr>
        <w:pStyle w:val="BodyText"/>
        <w:spacing w:line="408" w:lineRule="auto"/>
        <w:ind w:right="140" w:firstLine="420"/>
        <w:jc w:val="left"/>
      </w:pPr>
      <w:r>
        <w:rPr>
          <w:spacing w:val="-2"/>
        </w:rPr>
        <w:t>在建工程在达到预定可使用状态之日起，根据工程预算、造价或工程实际成本等，按估计的价值结</w:t>
      </w:r>
      <w:r>
        <w:rPr>
          <w:w w:val="100"/>
        </w:rPr>
        <w:t> </w:t>
      </w:r>
      <w:r>
        <w:rPr/>
        <w:t>转固定资产，次月起开始计提折旧，待办理了竣工决算手续后再对固定资产原值差异作调整。</w:t>
      </w:r>
    </w:p>
    <w:p>
      <w:pPr>
        <w:spacing w:after="0" w:line="408" w:lineRule="auto"/>
        <w:jc w:val="left"/>
        <w:sectPr>
          <w:pgSz w:w="11910" w:h="16840"/>
          <w:pgMar w:header="877" w:footer="1227" w:top="1100" w:bottom="1420" w:left="980" w:right="980"/>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rFonts w:ascii="Times New Roman" w:hAnsi="Times New Roman" w:cs="Times New Roman" w:eastAsia="Times New Roman" w:hint="default"/>
        </w:rPr>
        <w:t>15</w:t>
      </w:r>
      <w:r>
        <w:rPr/>
        <w:t>、借款费用</w:t>
      </w:r>
      <w:r>
        <w:rPr>
          <w:b w:val="0"/>
          <w:bCs w:val="0"/>
        </w:rPr>
      </w:r>
    </w:p>
    <w:p>
      <w:pPr>
        <w:spacing w:line="240" w:lineRule="auto" w:before="12"/>
        <w:rPr>
          <w:rFonts w:ascii="宋体" w:hAnsi="宋体" w:cs="宋体" w:eastAsia="宋体" w:hint="default"/>
          <w:b/>
          <w:bCs/>
          <w:sz w:val="29"/>
          <w:szCs w:val="29"/>
        </w:rPr>
      </w:pPr>
    </w:p>
    <w:p>
      <w:pPr>
        <w:pStyle w:val="BodyText"/>
        <w:spacing w:line="408" w:lineRule="auto"/>
        <w:ind w:right="140" w:firstLine="420"/>
        <w:jc w:val="left"/>
      </w:pPr>
      <w:r>
        <w:rPr/>
        <w:t>借款费用包括借款利息、折价或溢价的摊销、辅助费用以及因外币借款而发生的汇兑差额等。可直</w:t>
      </w:r>
      <w:r>
        <w:rPr>
          <w:w w:val="100"/>
        </w:rPr>
        <w:t> </w:t>
      </w:r>
      <w:r>
        <w:rPr>
          <w:spacing w:val="-4"/>
        </w:rPr>
        <w:t>接归属于符合资本化条件的资产的购建或者生产的借款费用，在资产支出已经发生、借款费用已经发生、</w:t>
      </w:r>
      <w:r>
        <w:rPr>
          <w:spacing w:val="-49"/>
        </w:rPr>
        <w:t> </w:t>
      </w:r>
      <w:r>
        <w:rPr>
          <w:spacing w:val="-49"/>
        </w:rPr>
      </w:r>
      <w:r>
        <w:rPr/>
        <w:t>为使资产达到预定可使用或可销售状态所必要的购建或生产活动已经开始时，开始资本化；当购建或生</w:t>
      </w:r>
      <w:r>
        <w:rPr>
          <w:w w:val="100"/>
        </w:rPr>
        <w:t> </w:t>
      </w:r>
      <w:r>
        <w:rPr/>
        <w:t>产符合资本化条件的资产达到预定可使用或可销售状态时，停止资本化。其余借款费用在发生当期确认</w:t>
      </w:r>
      <w:r>
        <w:rPr>
          <w:w w:val="100"/>
        </w:rPr>
        <w:t> </w:t>
      </w:r>
      <w:r>
        <w:rPr/>
        <w:t>为费用。</w:t>
      </w:r>
    </w:p>
    <w:p>
      <w:pPr>
        <w:pStyle w:val="BodyText"/>
        <w:spacing w:line="408" w:lineRule="auto" w:before="46"/>
        <w:ind w:right="333" w:firstLine="420"/>
        <w:jc w:val="both"/>
      </w:pPr>
      <w:r>
        <w:rPr>
          <w:spacing w:val="-2"/>
        </w:rPr>
        <w:t>专门借款当期实际发生的利息费用，扣除尚未动用的借款资金存入银行取得的利息收入或进行暂时</w:t>
      </w:r>
      <w:r>
        <w:rPr>
          <w:w w:val="100"/>
        </w:rPr>
        <w:t> </w:t>
      </w:r>
      <w:r>
        <w:rPr>
          <w:spacing w:val="-2"/>
        </w:rPr>
        <w:t>性投资取得的投资收益后的金额予以资本化；一般借款根据累计资产支出超过专门借款部分的资产支出</w:t>
      </w:r>
      <w:r>
        <w:rPr>
          <w:spacing w:val="-21"/>
        </w:rPr>
        <w:t> </w:t>
      </w:r>
      <w:r>
        <w:rPr>
          <w:spacing w:val="-21"/>
        </w:rPr>
      </w:r>
      <w:r>
        <w:rPr/>
        <w:t>加权平均数乘以所占用一般借款的加权平均利率，确定资本化金额。</w:t>
      </w:r>
    </w:p>
    <w:p>
      <w:pPr>
        <w:pStyle w:val="BodyText"/>
        <w:spacing w:line="386" w:lineRule="auto" w:before="46"/>
        <w:ind w:right="333" w:firstLine="420"/>
        <w:jc w:val="both"/>
      </w:pPr>
      <w:r>
        <w:rPr/>
        <w:t>符合资本化条件的资产，是指需要经过相当长时间（通常指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年以上）的购建或者生产活动才能达</w:t>
      </w:r>
      <w:r>
        <w:rPr>
          <w:w w:val="100"/>
        </w:rPr>
        <w:t> </w:t>
      </w:r>
      <w:r>
        <w:rPr/>
        <w:t>到预定可使用或者可销售状态的固定资产、投资性房地产和存货等资产。</w:t>
      </w:r>
    </w:p>
    <w:p>
      <w:pPr>
        <w:pStyle w:val="BodyText"/>
        <w:spacing w:line="386" w:lineRule="auto" w:before="65"/>
        <w:ind w:right="333" w:firstLine="420"/>
        <w:jc w:val="both"/>
      </w:pPr>
      <w:r>
        <w:rPr/>
        <w:t>如果符合资本化条件的资产在购建或者生产过程中发生非正常中断、且中断时间连续超过</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个月，</w:t>
      </w:r>
      <w:r>
        <w:rPr>
          <w:w w:val="100"/>
        </w:rPr>
        <w:t> </w:t>
      </w:r>
      <w:r>
        <w:rPr/>
        <w:t>暂停借款费用的资本化，直至资产的购建或生产活动重新开始。</w:t>
      </w:r>
    </w:p>
    <w:p>
      <w:pPr>
        <w:spacing w:line="240" w:lineRule="auto" w:before="3"/>
        <w:rPr>
          <w:rFonts w:ascii="宋体" w:hAnsi="宋体" w:cs="宋体" w:eastAsia="宋体" w:hint="default"/>
          <w:sz w:val="26"/>
          <w:szCs w:val="26"/>
        </w:rPr>
      </w:pPr>
    </w:p>
    <w:p>
      <w:pPr>
        <w:pStyle w:val="Heading4"/>
        <w:spacing w:line="240" w:lineRule="auto"/>
        <w:ind w:right="140"/>
        <w:jc w:val="left"/>
        <w:rPr>
          <w:b w:val="0"/>
          <w:bCs w:val="0"/>
        </w:rPr>
      </w:pPr>
      <w:r>
        <w:rPr>
          <w:rFonts w:ascii="Times New Roman" w:hAnsi="Times New Roman" w:cs="Times New Roman" w:eastAsia="Times New Roman" w:hint="default"/>
        </w:rPr>
        <w:t>16</w:t>
      </w:r>
      <w:r>
        <w:rPr/>
        <w:t>、无形资产</w:t>
      </w:r>
      <w:r>
        <w:rPr>
          <w:b w:val="0"/>
          <w:bCs w:val="0"/>
        </w:rPr>
      </w:r>
    </w:p>
    <w:p>
      <w:pPr>
        <w:spacing w:line="682" w:lineRule="exact" w:before="69"/>
        <w:ind w:left="573" w:right="14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本公司无形资产包括专利技术、软件等，按取得时的实际成本计量，其中，购入的无形资产，按实</w:t>
      </w:r>
    </w:p>
    <w:p>
      <w:pPr>
        <w:pStyle w:val="BodyText"/>
        <w:spacing w:line="408" w:lineRule="auto" w:before="86"/>
        <w:ind w:right="333"/>
        <w:jc w:val="both"/>
      </w:pPr>
      <w:r>
        <w:rPr>
          <w:spacing w:val="-2"/>
        </w:rPr>
        <w:t>际支付的价款和相关的其他支出作为实际成本；投资者投入的无形资产，按投资合同或协议约定的价值</w:t>
      </w:r>
      <w:r>
        <w:rPr>
          <w:spacing w:val="-21"/>
        </w:rPr>
        <w:t> </w:t>
      </w:r>
      <w:r>
        <w:rPr>
          <w:spacing w:val="-21"/>
        </w:rPr>
      </w:r>
      <w:r>
        <w:rPr>
          <w:spacing w:val="-2"/>
        </w:rPr>
        <w:t>确定实际成本，但合同或协议约定价值不公允的，按公允价值确定实际成本；对非同一控制下合并中取</w:t>
      </w:r>
      <w:r>
        <w:rPr>
          <w:spacing w:val="-21"/>
        </w:rPr>
        <w:t> </w:t>
      </w:r>
      <w:r>
        <w:rPr>
          <w:spacing w:val="-21"/>
        </w:rPr>
      </w:r>
      <w:r>
        <w:rPr>
          <w:spacing w:val="-2"/>
        </w:rPr>
        <w:t>得被购买方拥有的但在其财务报表中未确认的软件无形资产，在对被购买方资产进行初始确认时，按公</w:t>
      </w:r>
      <w:r>
        <w:rPr>
          <w:spacing w:val="-21"/>
        </w:rPr>
        <w:t> </w:t>
      </w:r>
      <w:r>
        <w:rPr>
          <w:spacing w:val="-21"/>
        </w:rPr>
      </w:r>
      <w:r>
        <w:rPr/>
        <w:t>允价值确认为无形资产。</w:t>
      </w:r>
    </w:p>
    <w:p>
      <w:pPr>
        <w:pStyle w:val="BodyText"/>
        <w:spacing w:line="410" w:lineRule="auto" w:before="46"/>
        <w:ind w:right="333" w:firstLine="420"/>
        <w:jc w:val="both"/>
      </w:pPr>
      <w:r>
        <w:rPr>
          <w:spacing w:val="-2"/>
        </w:rPr>
        <w:t>专利技术、软件和其他无形资产按预计使用年限、合同规定的受益年限和法律规定的有效年限三者</w:t>
      </w:r>
      <w:r>
        <w:rPr>
          <w:w w:val="100"/>
        </w:rPr>
        <w:t> </w:t>
      </w:r>
      <w:r>
        <w:rPr/>
        <w:t>中最短者分期平均摊销。摊销金额按其受益对象计入相关资产成本和当期损益。</w:t>
      </w:r>
    </w:p>
    <w:p>
      <w:pPr>
        <w:pStyle w:val="BodyText"/>
        <w:spacing w:line="408" w:lineRule="auto" w:before="44"/>
        <w:ind w:right="333" w:firstLine="420"/>
        <w:jc w:val="both"/>
      </w:pPr>
      <w:r>
        <w:rPr>
          <w:spacing w:val="-2"/>
        </w:rPr>
        <w:t>对使用寿命有限的无形资产的预计使用寿命及摊销方法于每年年度终了进行复核并作适当调整。在</w:t>
      </w:r>
      <w:r>
        <w:rPr>
          <w:w w:val="100"/>
        </w:rPr>
        <w:t> </w:t>
      </w:r>
      <w:r>
        <w:rPr>
          <w:spacing w:val="-2"/>
        </w:rPr>
        <w:t>每个会计期间对使用寿命不确定的无形资产的预计使用寿命进行复核，如果有证据表明无形资产的使用</w:t>
      </w:r>
      <w:r>
        <w:rPr>
          <w:spacing w:val="-21"/>
        </w:rPr>
        <w:t> </w:t>
      </w:r>
      <w:r>
        <w:rPr>
          <w:spacing w:val="-21"/>
        </w:rPr>
      </w:r>
      <w:r>
        <w:rPr/>
        <w:t>寿命是有限的，则估计其使用寿命并在预计使用寿命内摊销。</w:t>
      </w:r>
    </w:p>
    <w:p>
      <w:pPr>
        <w:spacing w:line="682" w:lineRule="exact" w:before="24"/>
        <w:ind w:left="573" w:right="14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本公司内部研究开发项目支出根据其性质以及研发活动最终形成无形资产是否具有较大不确定性，</w:t>
      </w:r>
    </w:p>
    <w:p>
      <w:pPr>
        <w:spacing w:after="0" w:line="682" w:lineRule="exact"/>
        <w:jc w:val="left"/>
        <w:rPr>
          <w:rFonts w:ascii="宋体" w:hAnsi="宋体" w:cs="宋体" w:eastAsia="宋体" w:hint="default"/>
          <w:sz w:val="21"/>
          <w:szCs w:val="21"/>
        </w:rPr>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408" w:lineRule="auto" w:before="36"/>
        <w:ind w:left="573" w:right="140" w:hanging="420"/>
        <w:jc w:val="left"/>
      </w:pPr>
      <w:r>
        <w:rPr/>
        <w:t>分为研究阶段支出和开发阶段支出。</w:t>
      </w:r>
      <w:r>
        <w:rPr>
          <w:w w:val="100"/>
        </w:rPr>
        <w:t> </w:t>
      </w:r>
      <w:r>
        <w:rPr>
          <w:spacing w:val="-2"/>
        </w:rPr>
        <w:t>自行研究开发的无形资产，其研究阶段的支出，于发生时计入当期损益；其开发阶段的支出，同时</w:t>
      </w:r>
    </w:p>
    <w:p>
      <w:pPr>
        <w:pStyle w:val="BodyText"/>
        <w:spacing w:line="240" w:lineRule="auto" w:before="46"/>
        <w:ind w:right="140"/>
        <w:jc w:val="left"/>
      </w:pPr>
      <w:r>
        <w:rPr/>
        <w:t>满足下列条件的，确认为无形资产：</w:t>
      </w:r>
    </w:p>
    <w:p>
      <w:pPr>
        <w:spacing w:line="240" w:lineRule="auto" w:before="10"/>
        <w:rPr>
          <w:rFonts w:ascii="宋体" w:hAnsi="宋体" w:cs="宋体" w:eastAsia="宋体" w:hint="default"/>
          <w:sz w:val="14"/>
          <w:szCs w:val="14"/>
        </w:rPr>
      </w:pPr>
    </w:p>
    <w:p>
      <w:pPr>
        <w:pStyle w:val="BodyText"/>
        <w:spacing w:line="240" w:lineRule="auto"/>
        <w:ind w:left="573" w:right="14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77"/>
        <w:ind w:left="573" w:right="14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40" w:lineRule="auto" w:before="177"/>
        <w:ind w:left="573" w:right="140"/>
        <w:jc w:val="left"/>
      </w:pPr>
      <w:r>
        <w:rPr/>
        <w:t>（</w:t>
      </w:r>
      <w:r>
        <w:rPr>
          <w:rFonts w:ascii="Times New Roman" w:hAnsi="Times New Roman" w:cs="Times New Roman" w:eastAsia="Times New Roman" w:hint="default"/>
        </w:rPr>
        <w:t>3</w:t>
      </w:r>
      <w:r>
        <w:rPr/>
        <w:t>）运用该无形资产生产的产品存在市场或无形资产自身存在市场；</w:t>
      </w:r>
    </w:p>
    <w:p>
      <w:pPr>
        <w:pStyle w:val="BodyText"/>
        <w:spacing w:line="386" w:lineRule="auto" w:before="177"/>
        <w:ind w:right="140" w:firstLine="420"/>
        <w:jc w:val="left"/>
      </w:pPr>
      <w:r>
        <w:rPr>
          <w:spacing w:val="-2"/>
        </w:rPr>
        <w:t>（</w:t>
      </w:r>
      <w:r>
        <w:rPr>
          <w:rFonts w:ascii="Times New Roman" w:hAnsi="Times New Roman" w:cs="Times New Roman" w:eastAsia="Times New Roman" w:hint="default"/>
          <w:spacing w:val="-2"/>
        </w:rPr>
        <w:t>4</w:t>
      </w:r>
      <w:r>
        <w:rPr>
          <w:spacing w:val="-2"/>
        </w:rPr>
        <w:t>）有足够的技术、财务资源和其他资源支持，以完成该无形资产的开发，并有能力使用或出售该</w:t>
      </w:r>
      <w:r>
        <w:rPr>
          <w:w w:val="100"/>
        </w:rPr>
        <w:t> </w:t>
      </w:r>
      <w:r>
        <w:rPr/>
        <w:t>无形资产；</w:t>
      </w:r>
    </w:p>
    <w:p>
      <w:pPr>
        <w:pStyle w:val="BodyText"/>
        <w:spacing w:line="386" w:lineRule="auto" w:before="65"/>
        <w:ind w:left="573" w:right="140"/>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2"/>
        </w:rPr>
        <w:t>不满足上述条件的开发阶段的支出，于发生时计入当期损益。前期已计入损益的开发支出不在以后</w:t>
      </w:r>
    </w:p>
    <w:p>
      <w:pPr>
        <w:pStyle w:val="BodyText"/>
        <w:spacing w:line="408" w:lineRule="auto" w:before="65"/>
        <w:ind w:right="333"/>
        <w:jc w:val="both"/>
      </w:pPr>
      <w:r>
        <w:rPr>
          <w:spacing w:val="-2"/>
        </w:rPr>
        <w:t>期间确认为资产。已资本化的开发阶段的支出在资产负债表上列示为开发支出，自该项目达到预定可使</w:t>
      </w:r>
      <w:r>
        <w:rPr>
          <w:spacing w:val="-21"/>
        </w:rPr>
        <w:t> </w:t>
      </w:r>
      <w:r>
        <w:rPr>
          <w:spacing w:val="-21"/>
        </w:rPr>
      </w:r>
      <w:r>
        <w:rPr/>
        <w:t>用状态之日起转为无形资产。</w:t>
      </w:r>
    </w:p>
    <w:p>
      <w:pPr>
        <w:pStyle w:val="BodyText"/>
        <w:spacing w:line="682" w:lineRule="exact" w:before="24"/>
        <w:ind w:left="573" w:right="140" w:hanging="420"/>
        <w:jc w:val="left"/>
      </w:pPr>
      <w:r>
        <w:rPr>
          <w:rFonts w:ascii="Times New Roman" w:hAnsi="Times New Roman" w:cs="Times New Roman" w:eastAsia="Times New Roman" w:hint="default"/>
          <w:b/>
          <w:bCs/>
        </w:rPr>
        <w:t>17</w:t>
      </w:r>
      <w:r>
        <w:rPr>
          <w:rFonts w:ascii="宋体" w:hAnsi="宋体" w:cs="宋体" w:eastAsia="宋体" w:hint="default"/>
          <w:b/>
          <w:bCs/>
        </w:rPr>
        <w:t>、长期资产减值</w:t>
      </w:r>
      <w:r>
        <w:rPr>
          <w:rFonts w:ascii="宋体" w:hAnsi="宋体" w:cs="宋体" w:eastAsia="宋体" w:hint="default"/>
          <w:b/>
          <w:bCs/>
          <w:w w:val="100"/>
        </w:rPr>
        <w:t> </w:t>
      </w:r>
      <w:r>
        <w:rPr>
          <w:spacing w:val="-2"/>
        </w:rPr>
        <w:t>本公司于每一资产负债表日对长期股权投资、固定资产、在建工程、使用寿命有限的无形资产等项</w:t>
      </w:r>
    </w:p>
    <w:p>
      <w:pPr>
        <w:pStyle w:val="BodyText"/>
        <w:spacing w:line="408" w:lineRule="auto" w:before="86"/>
        <w:ind w:right="333"/>
        <w:jc w:val="both"/>
      </w:pPr>
      <w:r>
        <w:rPr>
          <w:spacing w:val="-2"/>
        </w:rPr>
        <w:t>目进行检查，当存在下列迹象时，表明资产可能发生了减值，本公司将进行减值测试。对商誉和使用寿</w:t>
      </w:r>
      <w:r>
        <w:rPr>
          <w:spacing w:val="-21"/>
        </w:rPr>
        <w:t> </w:t>
      </w:r>
      <w:r>
        <w:rPr>
          <w:spacing w:val="-21"/>
        </w:rPr>
      </w:r>
      <w:r>
        <w:rPr>
          <w:spacing w:val="-2"/>
        </w:rPr>
        <w:t>命不确定的无形资产，无论是否存在减值迹象，每年末均进行减值测试。难以对单项资产的可收回金额</w:t>
      </w:r>
      <w:r>
        <w:rPr>
          <w:spacing w:val="-21"/>
        </w:rPr>
        <w:t> </w:t>
      </w:r>
      <w:r>
        <w:rPr>
          <w:spacing w:val="-21"/>
        </w:rPr>
      </w:r>
      <w:r>
        <w:rPr/>
        <w:t>进行测试的，以该资产所属的资产组或资产组组合为基础测试。</w:t>
      </w:r>
    </w:p>
    <w:p>
      <w:pPr>
        <w:pStyle w:val="BodyText"/>
        <w:spacing w:line="408" w:lineRule="auto" w:before="46"/>
        <w:ind w:right="333" w:firstLine="420"/>
        <w:jc w:val="both"/>
      </w:pPr>
      <w:r>
        <w:rPr>
          <w:spacing w:val="-2"/>
        </w:rPr>
        <w:t>减值测试后，若该资产的账面价值超过其可收回金额，其差额确认为减值损失，上述资产的减值损</w:t>
      </w:r>
      <w:r>
        <w:rPr>
          <w:w w:val="100"/>
        </w:rPr>
        <w:t> </w:t>
      </w:r>
      <w:r>
        <w:rPr>
          <w:spacing w:val="-2"/>
        </w:rPr>
        <w:t>失一经确认，在以后会计期间不予转回。资产的可收回金额是指资产的公允价值减去处置费用后的净额</w:t>
      </w:r>
      <w:r>
        <w:rPr>
          <w:spacing w:val="-21"/>
        </w:rPr>
        <w:t> </w:t>
      </w:r>
      <w:r>
        <w:rPr>
          <w:spacing w:val="-21"/>
        </w:rPr>
      </w:r>
      <w:r>
        <w:rPr/>
        <w:t>与资产预计未来现金流量的现值两者之间的较高者。</w:t>
      </w:r>
    </w:p>
    <w:p>
      <w:pPr>
        <w:pStyle w:val="BodyText"/>
        <w:spacing w:line="240" w:lineRule="auto" w:before="46"/>
        <w:ind w:left="573" w:right="140"/>
        <w:jc w:val="left"/>
      </w:pPr>
      <w:r>
        <w:rPr/>
        <w:t>出现减值的迹象如下：</w:t>
      </w:r>
    </w:p>
    <w:p>
      <w:pPr>
        <w:spacing w:line="240" w:lineRule="auto" w:before="10"/>
        <w:rPr>
          <w:rFonts w:ascii="宋体" w:hAnsi="宋体" w:cs="宋体" w:eastAsia="宋体" w:hint="default"/>
          <w:sz w:val="14"/>
          <w:szCs w:val="14"/>
        </w:rPr>
      </w:pPr>
    </w:p>
    <w:p>
      <w:pPr>
        <w:pStyle w:val="BodyText"/>
        <w:spacing w:line="240" w:lineRule="auto"/>
        <w:ind w:left="573" w:right="140"/>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386" w:lineRule="auto" w:before="178"/>
        <w:ind w:right="140" w:firstLine="420"/>
        <w:jc w:val="left"/>
      </w:pPr>
      <w:r>
        <w:rPr>
          <w:spacing w:val="-2"/>
        </w:rPr>
        <w:t>（</w:t>
      </w:r>
      <w:r>
        <w:rPr>
          <w:rFonts w:ascii="Times New Roman" w:hAnsi="Times New Roman" w:cs="Times New Roman" w:eastAsia="Times New Roman" w:hint="default"/>
          <w:spacing w:val="-2"/>
        </w:rPr>
        <w:t>2</w:t>
      </w:r>
      <w:r>
        <w:rPr>
          <w:spacing w:val="-2"/>
        </w:rPr>
        <w:t>）企业经营所处的经济、技术或者法律等环境以及资产所处的市场在当期或者将在近期发生重大</w:t>
      </w:r>
      <w:r>
        <w:rPr>
          <w:w w:val="100"/>
        </w:rPr>
        <w:t> </w:t>
      </w:r>
      <w:r>
        <w:rPr/>
        <w:t>变化，从而对企业产生不利影响。</w:t>
      </w:r>
    </w:p>
    <w:p>
      <w:pPr>
        <w:pStyle w:val="BodyText"/>
        <w:spacing w:line="386" w:lineRule="auto" w:before="65"/>
        <w:ind w:right="140" w:firstLine="420"/>
        <w:jc w:val="left"/>
      </w:pPr>
      <w:r>
        <w:rPr>
          <w:spacing w:val="-2"/>
        </w:rPr>
        <w:t>（</w:t>
      </w:r>
      <w:r>
        <w:rPr>
          <w:rFonts w:ascii="Times New Roman" w:hAnsi="Times New Roman" w:cs="Times New Roman" w:eastAsia="Times New Roman" w:hint="default"/>
          <w:spacing w:val="-2"/>
        </w:rPr>
        <w:t>3</w:t>
      </w:r>
      <w:r>
        <w:rPr>
          <w:spacing w:val="-2"/>
        </w:rPr>
        <w:t>）市场利率或者其他市场投资报酬率在当期已经提高，从而影响企业计算资产预计未来现金流量</w:t>
      </w:r>
      <w:r>
        <w:rPr>
          <w:w w:val="100"/>
        </w:rPr>
        <w:t> </w:t>
      </w:r>
      <w:r>
        <w:rPr/>
        <w:t>现值的折现率，导致资产可收回金额大幅度降低。</w:t>
      </w:r>
    </w:p>
    <w:p>
      <w:pPr>
        <w:pStyle w:val="BodyText"/>
        <w:spacing w:line="240" w:lineRule="auto" w:before="65"/>
        <w:ind w:left="573" w:right="140"/>
        <w:jc w:val="left"/>
      </w:pPr>
      <w:r>
        <w:rPr/>
        <w:t>（</w:t>
      </w:r>
      <w:r>
        <w:rPr>
          <w:rFonts w:ascii="Times New Roman" w:hAnsi="Times New Roman" w:cs="Times New Roman" w:eastAsia="Times New Roman" w:hint="default"/>
        </w:rPr>
        <w:t>4</w:t>
      </w:r>
      <w:r>
        <w:rPr/>
        <w:t>）有证据表明资产已经陈旧过时或者其实体已经损坏。</w:t>
      </w:r>
    </w:p>
    <w:p>
      <w:pPr>
        <w:pStyle w:val="BodyText"/>
        <w:spacing w:line="240" w:lineRule="auto" w:before="177"/>
        <w:ind w:left="573" w:right="140"/>
        <w:jc w:val="left"/>
      </w:pPr>
      <w:r>
        <w:rPr/>
        <w:t>（</w:t>
      </w:r>
      <w:r>
        <w:rPr>
          <w:rFonts w:ascii="Times New Roman" w:hAnsi="Times New Roman" w:cs="Times New Roman" w:eastAsia="Times New Roman" w:hint="default"/>
        </w:rPr>
        <w:t>5</w:t>
      </w:r>
      <w:r>
        <w:rPr/>
        <w:t>）资产已经或者将被闲置、终止使用或者计划提前处置。</w:t>
      </w:r>
    </w:p>
    <w:p>
      <w:pPr>
        <w:spacing w:after="0" w:line="240" w:lineRule="auto"/>
        <w:jc w:val="left"/>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386" w:lineRule="auto" w:before="36"/>
        <w:ind w:right="244" w:firstLine="420"/>
        <w:jc w:val="both"/>
      </w:pPr>
      <w:r>
        <w:rPr>
          <w:spacing w:val="-2"/>
        </w:rPr>
        <w:t>（</w:t>
      </w:r>
      <w:r>
        <w:rPr>
          <w:rFonts w:ascii="Times New Roman" w:hAnsi="Times New Roman" w:cs="Times New Roman" w:eastAsia="Times New Roman" w:hint="default"/>
          <w:spacing w:val="-2"/>
        </w:rPr>
        <w:t>6</w:t>
      </w:r>
      <w:r>
        <w:rPr>
          <w:spacing w:val="-2"/>
        </w:rPr>
        <w:t>）企业内部报告的证据表明资产的经济绩效已经低于或者将低于预期，如资产所创造的净现金流</w:t>
      </w:r>
      <w:r>
        <w:rPr>
          <w:w w:val="100"/>
        </w:rPr>
        <w:t> </w:t>
      </w:r>
      <w:r>
        <w:rPr/>
        <w:t>量或者实现的营业利润（或者亏损）远远低于（或者高于）预计金额等。</w:t>
      </w:r>
    </w:p>
    <w:p>
      <w:pPr>
        <w:pStyle w:val="BodyText"/>
        <w:spacing w:line="240" w:lineRule="auto" w:before="65"/>
        <w:ind w:left="573" w:right="140"/>
        <w:jc w:val="left"/>
      </w:pPr>
      <w:r>
        <w:rPr/>
        <w:t>（</w:t>
      </w:r>
      <w:r>
        <w:rPr>
          <w:rFonts w:ascii="Times New Roman" w:hAnsi="Times New Roman" w:cs="Times New Roman" w:eastAsia="Times New Roman" w:hint="default"/>
        </w:rPr>
        <w:t>7</w:t>
      </w:r>
      <w:r>
        <w:rPr/>
        <w:t>）其他表明资产可能已经发生减值的迹象。</w:t>
      </w:r>
    </w:p>
    <w:p>
      <w:pPr>
        <w:spacing w:line="240" w:lineRule="auto" w:before="0"/>
        <w:rPr>
          <w:rFonts w:ascii="宋体" w:hAnsi="宋体" w:cs="宋体" w:eastAsia="宋体" w:hint="default"/>
          <w:sz w:val="22"/>
          <w:szCs w:val="22"/>
        </w:rPr>
      </w:pPr>
    </w:p>
    <w:p>
      <w:pPr>
        <w:pStyle w:val="Heading4"/>
        <w:spacing w:line="240" w:lineRule="auto" w:before="168"/>
        <w:ind w:right="140"/>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11"/>
        <w:rPr>
          <w:rFonts w:ascii="宋体" w:hAnsi="宋体" w:cs="宋体" w:eastAsia="宋体" w:hint="default"/>
          <w:b/>
          <w:bCs/>
          <w:sz w:val="29"/>
          <w:szCs w:val="29"/>
        </w:rPr>
      </w:pPr>
    </w:p>
    <w:p>
      <w:pPr>
        <w:pStyle w:val="BodyText"/>
        <w:spacing w:line="398" w:lineRule="auto"/>
        <w:ind w:right="333" w:firstLine="420"/>
        <w:jc w:val="both"/>
      </w:pPr>
      <w:r>
        <w:rPr/>
        <w:t>本公司长期待摊费用是指已经支出，但应由当期及以后各期承担的摊销期限在</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年以上</w:t>
      </w:r>
      <w:r>
        <w:rPr>
          <w:rFonts w:ascii="Times New Roman" w:hAnsi="Times New Roman" w:cs="Times New Roman" w:eastAsia="Times New Roman" w:hint="default"/>
        </w:rPr>
        <w:t>(</w:t>
      </w:r>
      <w:r>
        <w:rPr/>
        <w:t>不含</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的各项费用，该等费用在受益期内平均摊销。如果长期待摊费用项目不能使以后会计期间受益，则将尚</w:t>
      </w:r>
      <w:r>
        <w:rPr>
          <w:spacing w:val="-21"/>
        </w:rPr>
        <w:t> </w:t>
      </w:r>
      <w:r>
        <w:rPr>
          <w:spacing w:val="-21"/>
        </w:rPr>
      </w:r>
      <w:r>
        <w:rPr/>
        <w:t>未摊销的该项目的摊余价值全部转入当期损益。</w:t>
      </w:r>
    </w:p>
    <w:p>
      <w:pPr>
        <w:spacing w:line="240" w:lineRule="auto" w:before="6"/>
        <w:rPr>
          <w:rFonts w:ascii="宋体" w:hAnsi="宋体" w:cs="宋体" w:eastAsia="宋体" w:hint="default"/>
          <w:sz w:val="25"/>
          <w:szCs w:val="25"/>
        </w:rPr>
      </w:pPr>
    </w:p>
    <w:p>
      <w:pPr>
        <w:pStyle w:val="Heading4"/>
        <w:spacing w:line="240" w:lineRule="auto"/>
        <w:ind w:right="140"/>
        <w:jc w:val="left"/>
        <w:rPr>
          <w:b w:val="0"/>
          <w:bCs w:val="0"/>
        </w:rPr>
      </w:pPr>
      <w:r>
        <w:rPr>
          <w:rFonts w:ascii="Times New Roman" w:hAnsi="Times New Roman" w:cs="Times New Roman" w:eastAsia="Times New Roman" w:hint="default"/>
        </w:rPr>
        <w:t>19</w:t>
      </w:r>
      <w:r>
        <w:rPr/>
        <w:t>、职工薪酬</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ind w:left="573" w:right="140"/>
        <w:jc w:val="left"/>
      </w:pPr>
      <w:r>
        <w:rPr/>
        <w:t>本公司职工薪酬主要包括短期薪酬、设定提存计划和辞退福利。</w:t>
      </w:r>
    </w:p>
    <w:p>
      <w:pPr>
        <w:spacing w:line="660" w:lineRule="atLeast" w:before="102"/>
        <w:ind w:left="573" w:right="14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短期薪酬主要包括工资、奖金、津贴和补贴、职工福利费、社会保险费及住房公积金、工会经费和</w:t>
      </w:r>
    </w:p>
    <w:p>
      <w:pPr>
        <w:spacing w:line="240" w:lineRule="auto" w:before="10"/>
        <w:rPr>
          <w:rFonts w:ascii="宋体" w:hAnsi="宋体" w:cs="宋体" w:eastAsia="宋体" w:hint="default"/>
          <w:sz w:val="14"/>
          <w:szCs w:val="14"/>
        </w:rPr>
      </w:pPr>
    </w:p>
    <w:p>
      <w:pPr>
        <w:pStyle w:val="BodyText"/>
        <w:spacing w:line="408" w:lineRule="auto"/>
        <w:ind w:right="333"/>
        <w:jc w:val="both"/>
      </w:pPr>
      <w:r>
        <w:rPr>
          <w:spacing w:val="-2"/>
        </w:rPr>
        <w:t>职工教育经费等与获得职工提供的服务相关的支出，在职工提供服务的会计期间，将实际发生的短期薪</w:t>
      </w:r>
      <w:r>
        <w:rPr>
          <w:spacing w:val="-21"/>
        </w:rPr>
        <w:t> </w:t>
      </w:r>
      <w:r>
        <w:rPr>
          <w:spacing w:val="-21"/>
        </w:rPr>
      </w:r>
      <w:r>
        <w:rPr/>
        <w:t>酬确认为负债，并按照受益对象计入当期损益或相关资产成本。</w:t>
      </w:r>
    </w:p>
    <w:p>
      <w:pPr>
        <w:spacing w:line="682" w:lineRule="exact" w:before="24"/>
        <w:ind w:left="573" w:right="14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辞退福利是指如在职工劳动合同到期之前决定解除与职工的劳动关系，或为鼓励职工自愿接受裁减</w:t>
      </w:r>
    </w:p>
    <w:p>
      <w:pPr>
        <w:pStyle w:val="BodyText"/>
        <w:spacing w:line="408" w:lineRule="auto" w:before="86"/>
        <w:ind w:right="333"/>
        <w:jc w:val="both"/>
      </w:pPr>
      <w:r>
        <w:rPr>
          <w:spacing w:val="-2"/>
        </w:rPr>
        <w:t>而提出给予补偿的建议，如果本公司已经制定正式的解除劳动关系计划或提出自愿裁减建议，并即将实</w:t>
      </w:r>
      <w:r>
        <w:rPr>
          <w:spacing w:val="-21"/>
        </w:rPr>
        <w:t> </w:t>
      </w:r>
      <w:r>
        <w:rPr>
          <w:spacing w:val="-21"/>
        </w:rPr>
      </w:r>
      <w:r>
        <w:rPr>
          <w:spacing w:val="-2"/>
        </w:rPr>
        <w:t>施，同时本公司不能单方面撤回解除劳动关系计划或裁减建议的，确认因解除与职工劳动关系给予补偿</w:t>
      </w:r>
      <w:r>
        <w:rPr>
          <w:spacing w:val="-21"/>
        </w:rPr>
        <w:t> </w:t>
      </w:r>
      <w:r>
        <w:rPr>
          <w:spacing w:val="-21"/>
        </w:rPr>
      </w:r>
      <w:r>
        <w:rPr/>
        <w:t>产生的预计负债，计入当期损益。</w:t>
      </w:r>
    </w:p>
    <w:p>
      <w:pPr>
        <w:spacing w:line="240" w:lineRule="auto" w:before="11"/>
        <w:rPr>
          <w:rFonts w:ascii="宋体" w:hAnsi="宋体" w:cs="宋体" w:eastAsia="宋体" w:hint="default"/>
          <w:sz w:val="24"/>
          <w:szCs w:val="24"/>
        </w:rPr>
      </w:pPr>
    </w:p>
    <w:p>
      <w:pPr>
        <w:pStyle w:val="Heading4"/>
        <w:spacing w:line="240" w:lineRule="auto"/>
        <w:ind w:right="140"/>
        <w:jc w:val="left"/>
        <w:rPr>
          <w:b w:val="0"/>
          <w:bCs w:val="0"/>
        </w:rPr>
      </w:pPr>
      <w:r>
        <w:rPr>
          <w:rFonts w:ascii="Times New Roman" w:hAnsi="Times New Roman" w:cs="Times New Roman" w:eastAsia="Times New Roman" w:hint="default"/>
        </w:rPr>
        <w:t>20</w:t>
      </w:r>
      <w:r>
        <w:rPr/>
        <w:t>、预计负债</w:t>
      </w:r>
      <w:r>
        <w:rPr>
          <w:b w:val="0"/>
          <w:bCs w:val="0"/>
        </w:rPr>
      </w:r>
    </w:p>
    <w:p>
      <w:pPr>
        <w:spacing w:line="240" w:lineRule="auto" w:before="11"/>
        <w:rPr>
          <w:rFonts w:ascii="宋体" w:hAnsi="宋体" w:cs="宋体" w:eastAsia="宋体" w:hint="default"/>
          <w:b/>
          <w:bCs/>
          <w:sz w:val="29"/>
          <w:szCs w:val="29"/>
        </w:rPr>
      </w:pPr>
    </w:p>
    <w:p>
      <w:pPr>
        <w:pStyle w:val="BodyText"/>
        <w:spacing w:line="408" w:lineRule="auto"/>
        <w:ind w:right="333" w:firstLine="420"/>
        <w:jc w:val="both"/>
      </w:pPr>
      <w:r>
        <w:rPr>
          <w:spacing w:val="-2"/>
        </w:rPr>
        <w:t>当与对外担保、商业承兑汇票贴现、未决诉讼或仲裁、产品质量保证等或有事项相关的业务同时符</w:t>
      </w:r>
      <w:r>
        <w:rPr>
          <w:w w:val="100"/>
        </w:rPr>
        <w:t> </w:t>
      </w:r>
      <w:r>
        <w:rPr>
          <w:spacing w:val="-2"/>
        </w:rPr>
        <w:t>合以下条件时，本公司将其确认为负债：该义务是本公司承担的现时义务；该义务的履行很可能导致经</w:t>
      </w:r>
      <w:r>
        <w:rPr>
          <w:spacing w:val="-21"/>
        </w:rPr>
        <w:t> </w:t>
      </w:r>
      <w:r>
        <w:rPr>
          <w:spacing w:val="-21"/>
        </w:rPr>
      </w:r>
      <w:r>
        <w:rPr/>
        <w:t>济利益流出企业；该义务的金额能够可靠地计量。</w:t>
      </w:r>
    </w:p>
    <w:p>
      <w:pPr>
        <w:pStyle w:val="BodyText"/>
        <w:spacing w:line="408" w:lineRule="auto" w:before="46"/>
        <w:ind w:right="333" w:firstLine="420"/>
        <w:jc w:val="both"/>
      </w:pPr>
      <w:r>
        <w:rPr>
          <w:spacing w:val="-2"/>
        </w:rPr>
        <w:t>预计负债按照履行相关现时义务所需支出的最佳估计数进行初始计量，并综合考虑与或有事项有关</w:t>
      </w:r>
      <w:r>
        <w:rPr>
          <w:w w:val="100"/>
        </w:rPr>
        <w:t> </w:t>
      </w:r>
      <w:r>
        <w:rPr>
          <w:spacing w:val="-2"/>
        </w:rPr>
        <w:t>的风险、不确定性和货币时间价值等因素。货币时间价值影响重大的，通过对相关未来现金流出进行折</w:t>
      </w:r>
    </w:p>
    <w:p>
      <w:pPr>
        <w:spacing w:after="0" w:line="408" w:lineRule="auto"/>
        <w:jc w:val="both"/>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408" w:lineRule="auto" w:before="36"/>
        <w:ind w:right="333"/>
        <w:jc w:val="both"/>
      </w:pPr>
      <w:r>
        <w:rPr>
          <w:spacing w:val="-2"/>
        </w:rPr>
        <w:t>现后确定最佳估计数。每个资产负债表日对预计负债的账面价值进行复核，如有改变则对账面价值进行</w:t>
      </w:r>
      <w:r>
        <w:rPr>
          <w:spacing w:val="-21"/>
        </w:rPr>
        <w:t> </w:t>
      </w:r>
      <w:r>
        <w:rPr>
          <w:spacing w:val="-21"/>
        </w:rPr>
      </w:r>
      <w:r>
        <w:rPr/>
        <w:t>调整以反映当前最佳估计数。</w:t>
      </w:r>
    </w:p>
    <w:p>
      <w:pPr>
        <w:spacing w:line="240" w:lineRule="auto" w:before="11"/>
        <w:rPr>
          <w:rFonts w:ascii="宋体" w:hAnsi="宋体" w:cs="宋体" w:eastAsia="宋体" w:hint="default"/>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21</w:t>
      </w:r>
      <w:r>
        <w:rPr/>
        <w:t>、收入</w:t>
      </w:r>
      <w:r>
        <w:rPr>
          <w:b w:val="0"/>
          <w:bCs w:val="0"/>
        </w:rPr>
      </w:r>
    </w:p>
    <w:p>
      <w:pPr>
        <w:spacing w:line="240" w:lineRule="auto" w:before="11"/>
        <w:rPr>
          <w:rFonts w:ascii="宋体" w:hAnsi="宋体" w:cs="宋体" w:eastAsia="宋体" w:hint="default"/>
          <w:b/>
          <w:bCs/>
          <w:sz w:val="29"/>
          <w:szCs w:val="29"/>
        </w:rPr>
      </w:pPr>
    </w:p>
    <w:p>
      <w:pPr>
        <w:pStyle w:val="BodyText"/>
        <w:spacing w:line="408" w:lineRule="auto"/>
        <w:ind w:right="333" w:firstLine="420"/>
        <w:jc w:val="both"/>
      </w:pPr>
      <w:r>
        <w:rPr>
          <w:spacing w:val="-2"/>
        </w:rPr>
        <w:t>本公司的营业收入主要包括系统集成收入、技术服务收入、应用软件开发、金融专用设备相关、农</w:t>
      </w:r>
      <w:r>
        <w:rPr>
          <w:w w:val="100"/>
        </w:rPr>
        <w:t> </w:t>
      </w:r>
      <w:r>
        <w:rPr/>
        <w:t>村地理信息服务等，收入确认原则如下：</w:t>
      </w:r>
    </w:p>
    <w:p>
      <w:pPr>
        <w:pStyle w:val="BodyText"/>
        <w:spacing w:line="408" w:lineRule="auto" w:before="46"/>
        <w:ind w:right="333" w:firstLine="420"/>
        <w:jc w:val="both"/>
      </w:pPr>
      <w:r>
        <w:rPr>
          <w:spacing w:val="-2"/>
        </w:rPr>
        <w:t>本公司在已将商品所有权上的主要风险和报酬转移给购货方、本公司既没有保留通常与所有权相联</w:t>
      </w:r>
      <w:r>
        <w:rPr>
          <w:w w:val="100"/>
        </w:rPr>
        <w:t> </w:t>
      </w:r>
      <w:r>
        <w:rPr>
          <w:spacing w:val="-2"/>
        </w:rPr>
        <w:t>系的继续管理权、也没有对已售出的商品实施有效控制、收入的金额能够可靠地计量、相关的经济利益</w:t>
      </w:r>
      <w:r>
        <w:rPr>
          <w:spacing w:val="-21"/>
        </w:rPr>
        <w:t> </w:t>
      </w:r>
      <w:r>
        <w:rPr>
          <w:spacing w:val="-21"/>
        </w:rPr>
      </w:r>
      <w:r>
        <w:rPr/>
        <w:t>很可能流入企业、相关的已发生或将发生的成本能够可靠地计量时，确认销售商品收入的实现。</w:t>
      </w:r>
    </w:p>
    <w:p>
      <w:pPr>
        <w:pStyle w:val="BodyText"/>
        <w:spacing w:line="408" w:lineRule="auto" w:before="46"/>
        <w:ind w:right="333" w:firstLine="420"/>
        <w:jc w:val="both"/>
      </w:pPr>
      <w:r>
        <w:rPr>
          <w:spacing w:val="-2"/>
        </w:rPr>
        <w:t>本公司在劳务总收入和总成本能够可靠地计量、与劳务相关的经济利益很可能流入本公司、劳务的</w:t>
      </w:r>
      <w:r>
        <w:rPr>
          <w:w w:val="100"/>
        </w:rPr>
        <w:t> </w:t>
      </w:r>
      <w:r>
        <w:rPr>
          <w:spacing w:val="-2"/>
        </w:rPr>
        <w:t>完成进度能够可靠地确定时，确认劳务收入的实现。在资产负债表日，提供劳务交易的结果能够可靠估</w:t>
      </w:r>
      <w:r>
        <w:rPr>
          <w:spacing w:val="-21"/>
        </w:rPr>
        <w:t> </w:t>
      </w:r>
      <w:r>
        <w:rPr>
          <w:spacing w:val="-21"/>
        </w:rPr>
      </w:r>
      <w:r>
        <w:rPr>
          <w:spacing w:val="-2"/>
        </w:rPr>
        <w:t>计的，依据外部阶段证明，按完工百分比法确认相关的劳务收入。完工百分比按已经发生的成本占估计</w:t>
      </w:r>
      <w:r>
        <w:rPr>
          <w:spacing w:val="-21"/>
        </w:rPr>
        <w:t> </w:t>
      </w:r>
      <w:r>
        <w:rPr>
          <w:spacing w:val="-21"/>
        </w:rPr>
      </w:r>
      <w:r>
        <w:rPr>
          <w:spacing w:val="-2"/>
        </w:rPr>
        <w:t>总成本的比例确认；提供劳务交易结果不能够可靠估计、已经发生的劳务成本预计能够得到补偿的，按</w:t>
      </w:r>
      <w:r>
        <w:rPr>
          <w:spacing w:val="-21"/>
        </w:rPr>
        <w:t> </w:t>
      </w:r>
      <w:r>
        <w:rPr>
          <w:spacing w:val="-21"/>
        </w:rPr>
      </w:r>
      <w:r>
        <w:rPr>
          <w:spacing w:val="-2"/>
        </w:rPr>
        <w:t>已经发生的能够得到补偿的劳务成本金额确认提供劳务收入，并结转已经发生的劳务成本；提供劳务交</w:t>
      </w:r>
      <w:r>
        <w:rPr>
          <w:spacing w:val="-21"/>
        </w:rPr>
        <w:t> </w:t>
      </w:r>
      <w:r>
        <w:rPr>
          <w:spacing w:val="-21"/>
        </w:rPr>
      </w:r>
      <w:r>
        <w:rPr>
          <w:spacing w:val="-2"/>
        </w:rPr>
        <w:t>易结果不能够可靠估计、已经发生的劳务成本预计全部不能得到补偿的，将已经发生的劳务成本计入当</w:t>
      </w:r>
      <w:r>
        <w:rPr>
          <w:spacing w:val="-21"/>
        </w:rPr>
        <w:t> </w:t>
      </w:r>
      <w:r>
        <w:rPr>
          <w:spacing w:val="-21"/>
        </w:rPr>
      </w:r>
      <w:r>
        <w:rPr/>
        <w:t>期损益，不确认提供劳务收入。</w:t>
      </w:r>
    </w:p>
    <w:p>
      <w:pPr>
        <w:pStyle w:val="BodyText"/>
        <w:spacing w:line="408" w:lineRule="auto" w:before="46"/>
        <w:ind w:right="333" w:firstLine="420"/>
        <w:jc w:val="both"/>
      </w:pPr>
      <w:r>
        <w:rPr>
          <w:spacing w:val="-2"/>
        </w:rPr>
        <w:t>与交易相关的经济利益很可能流入本公司、收入的金额能够可靠地计量时，确认让渡资产使用权收</w:t>
      </w:r>
      <w:r>
        <w:rPr>
          <w:w w:val="100"/>
        </w:rPr>
        <w:t> </w:t>
      </w:r>
      <w:r>
        <w:rPr/>
        <w:t>入的实现。</w:t>
      </w:r>
    </w:p>
    <w:p>
      <w:pPr>
        <w:pStyle w:val="BodyText"/>
        <w:spacing w:line="240" w:lineRule="auto" w:before="46"/>
        <w:ind w:left="573" w:right="140"/>
        <w:jc w:val="left"/>
      </w:pPr>
      <w:r>
        <w:rPr/>
        <w:t>收入确认的具体处理方法：</w:t>
      </w:r>
    </w:p>
    <w:p>
      <w:pPr>
        <w:spacing w:line="240" w:lineRule="auto" w:before="10"/>
        <w:rPr>
          <w:rFonts w:ascii="宋体" w:hAnsi="宋体" w:cs="宋体" w:eastAsia="宋体" w:hint="default"/>
          <w:sz w:val="14"/>
          <w:szCs w:val="14"/>
        </w:rPr>
      </w:pPr>
    </w:p>
    <w:p>
      <w:pPr>
        <w:pStyle w:val="BodyText"/>
        <w:spacing w:line="386" w:lineRule="auto"/>
        <w:ind w:left="573" w:right="140"/>
        <w:jc w:val="left"/>
      </w:pPr>
      <w:r>
        <w:rPr/>
        <w:t>（</w:t>
      </w:r>
      <w:r>
        <w:rPr>
          <w:rFonts w:ascii="Times New Roman" w:hAnsi="Times New Roman" w:cs="Times New Roman" w:eastAsia="Times New Roman" w:hint="default"/>
        </w:rPr>
        <w:t>1</w:t>
      </w:r>
      <w:r>
        <w:rPr/>
        <w:t>）系统集成收入</w:t>
      </w:r>
      <w:r>
        <w:rPr>
          <w:w w:val="100"/>
        </w:rPr>
        <w:t> </w:t>
      </w:r>
      <w:r>
        <w:rPr>
          <w:spacing w:val="-2"/>
        </w:rPr>
        <w:t>若系统集成业务所涉及的销售商品部分与提供劳务部分能分开且单独计量时，则销售商品收入在发</w:t>
      </w:r>
    </w:p>
    <w:p>
      <w:pPr>
        <w:pStyle w:val="BodyText"/>
        <w:spacing w:line="408" w:lineRule="auto" w:before="65"/>
        <w:ind w:right="333"/>
        <w:jc w:val="both"/>
      </w:pPr>
      <w:r>
        <w:rPr>
          <w:spacing w:val="-2"/>
        </w:rPr>
        <w:t>货后并得到客户的收货证明时确认收入；对于能区分并能单独计量的劳务收入在资产负债表日，提供劳</w:t>
      </w:r>
      <w:r>
        <w:rPr>
          <w:spacing w:val="-21"/>
        </w:rPr>
        <w:t> </w:t>
      </w:r>
      <w:r>
        <w:rPr>
          <w:spacing w:val="-21"/>
        </w:rPr>
      </w:r>
      <w:r>
        <w:rPr>
          <w:spacing w:val="-2"/>
        </w:rPr>
        <w:t>务交易的结果能够可靠估计的，按完工百分比法确认相关的劳务收入；若由于业务特点销售商品部分与</w:t>
      </w:r>
      <w:r>
        <w:rPr>
          <w:spacing w:val="-21"/>
        </w:rPr>
        <w:t> </w:t>
      </w:r>
      <w:r>
        <w:rPr>
          <w:spacing w:val="-21"/>
        </w:rPr>
      </w:r>
      <w:r>
        <w:rPr>
          <w:spacing w:val="-2"/>
        </w:rPr>
        <w:t>提供劳务部分不能区分的，对于在同一个会计年度开始并完成的系统集成业务，系统集成收入在项目完</w:t>
      </w:r>
      <w:r>
        <w:rPr>
          <w:spacing w:val="-21"/>
        </w:rPr>
        <w:t> </w:t>
      </w:r>
      <w:r>
        <w:rPr>
          <w:spacing w:val="-21"/>
        </w:rPr>
      </w:r>
      <w:r>
        <w:rPr>
          <w:spacing w:val="-2"/>
        </w:rPr>
        <w:t>工，并收到客户的项目完工验收单时确认，对于系统集成业务的开始和完工分属不同的会计年度，且在</w:t>
      </w:r>
      <w:r>
        <w:rPr>
          <w:spacing w:val="-21"/>
        </w:rPr>
        <w:t> </w:t>
      </w:r>
      <w:r>
        <w:rPr>
          <w:spacing w:val="-21"/>
        </w:rPr>
      </w:r>
      <w:r>
        <w:rPr/>
        <w:t>资产负债表日，提供劳务交易的结果能够可靠估计的，按完工百分比法确认相关的劳务收入。</w:t>
      </w:r>
    </w:p>
    <w:p>
      <w:pPr>
        <w:pStyle w:val="BodyText"/>
        <w:spacing w:line="386" w:lineRule="auto" w:before="46"/>
        <w:ind w:left="573" w:right="140"/>
        <w:jc w:val="left"/>
      </w:pPr>
      <w:r>
        <w:rPr/>
        <w:t>（</w:t>
      </w:r>
      <w:r>
        <w:rPr>
          <w:rFonts w:ascii="Times New Roman" w:hAnsi="Times New Roman" w:cs="Times New Roman" w:eastAsia="Times New Roman" w:hint="default"/>
        </w:rPr>
        <w:t>2</w:t>
      </w:r>
      <w:r>
        <w:rPr/>
        <w:t>）技术服务、应用软件开发收入</w:t>
      </w:r>
      <w:r>
        <w:rPr>
          <w:w w:val="100"/>
        </w:rPr>
        <w:t> </w:t>
      </w:r>
      <w:r>
        <w:rPr>
          <w:spacing w:val="-2"/>
        </w:rPr>
        <w:t>依据外部阶段证明，按照完工百分比法确认收入。对于在同一个会计年度开始并完成的业务，其收</w:t>
      </w:r>
    </w:p>
    <w:p>
      <w:pPr>
        <w:pStyle w:val="BodyText"/>
        <w:spacing w:line="240" w:lineRule="auto" w:before="65"/>
        <w:ind w:right="0"/>
        <w:jc w:val="both"/>
      </w:pPr>
      <w:r>
        <w:rPr/>
        <w:t>入在项目完工，并收到客户的项目完工验收单时确认，对于业务的开始和完工分属不同的会计年度，且</w:t>
      </w:r>
    </w:p>
    <w:p>
      <w:pPr>
        <w:spacing w:after="0" w:line="240" w:lineRule="auto"/>
        <w:jc w:val="both"/>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408" w:lineRule="auto" w:before="36"/>
        <w:ind w:right="333"/>
        <w:jc w:val="both"/>
      </w:pPr>
      <w:r>
        <w:rPr>
          <w:spacing w:val="-2"/>
        </w:rPr>
        <w:t>在资产负债表日，提供劳务交易的结果能够可靠估计的，按完工百分比法确认相关的劳务收入；对于软</w:t>
      </w:r>
      <w:r>
        <w:rPr>
          <w:spacing w:val="-21"/>
        </w:rPr>
        <w:t> </w:t>
      </w:r>
      <w:r>
        <w:rPr>
          <w:spacing w:val="-21"/>
        </w:rPr>
      </w:r>
      <w:r>
        <w:rPr/>
        <w:t>件产品的销售，以客户验收确认，作为销售收入的实现。</w:t>
      </w:r>
    </w:p>
    <w:p>
      <w:pPr>
        <w:pStyle w:val="BodyText"/>
        <w:spacing w:line="400" w:lineRule="auto" w:before="46"/>
        <w:ind w:right="140" w:firstLine="420"/>
        <w:jc w:val="left"/>
      </w:pPr>
      <w:r>
        <w:rPr>
          <w:spacing w:val="-2"/>
        </w:rPr>
        <w:t>（</w:t>
      </w:r>
      <w:r>
        <w:rPr>
          <w:rFonts w:ascii="Times New Roman" w:hAnsi="Times New Roman" w:cs="Times New Roman" w:eastAsia="Times New Roman" w:hint="default"/>
          <w:spacing w:val="-2"/>
        </w:rPr>
        <w:t>3</w:t>
      </w:r>
      <w:r>
        <w:rPr>
          <w:spacing w:val="-2"/>
        </w:rPr>
        <w:t>）金融专用设备相关业务收入：本公司在已将金融专用设备所有权上的主要风险和报酬转移给购</w:t>
      </w:r>
      <w:r>
        <w:rPr>
          <w:w w:val="100"/>
        </w:rPr>
        <w:t> </w:t>
      </w:r>
      <w:r>
        <w:rPr/>
        <w:t>货方、本公司既没有保留通常与所有权相联系的继续管理权、也没有对已售出的金融专用设备实施有效</w:t>
      </w:r>
      <w:r>
        <w:rPr>
          <w:w w:val="100"/>
        </w:rPr>
        <w:t> </w:t>
      </w:r>
      <w:r>
        <w:rPr/>
        <w:t>控制、收入的金额能够可靠地计量、相关的经济利益很可能流入企业、相关的已发生或将发生的成本能</w:t>
      </w:r>
      <w:r>
        <w:rPr>
          <w:w w:val="100"/>
        </w:rPr>
        <w:t> </w:t>
      </w:r>
      <w:r>
        <w:rPr/>
        <w:t>够可靠地计量时，即发货时确认销售金融专用设备收入的实现。</w:t>
      </w:r>
    </w:p>
    <w:p>
      <w:pPr>
        <w:pStyle w:val="BodyText"/>
        <w:spacing w:line="386" w:lineRule="auto" w:before="52"/>
        <w:ind w:left="573" w:right="140"/>
        <w:jc w:val="left"/>
      </w:pPr>
      <w:r>
        <w:rPr/>
        <w:t>（</w:t>
      </w:r>
      <w:r>
        <w:rPr>
          <w:rFonts w:ascii="Times New Roman" w:hAnsi="Times New Roman" w:cs="Times New Roman" w:eastAsia="Times New Roman" w:hint="default"/>
        </w:rPr>
        <w:t>4</w:t>
      </w:r>
      <w:r>
        <w:rPr/>
        <w:t>）农村地理信息服务业务收入</w:t>
      </w:r>
      <w:r>
        <w:rPr>
          <w:w w:val="100"/>
        </w:rPr>
        <w:t> </w:t>
      </w:r>
      <w:r>
        <w:rPr>
          <w:spacing w:val="-2"/>
        </w:rPr>
        <w:t>农村地理信息服务收入是指为用户采集、加工、提供或管理农村地理信息的服务，目前主要业务为</w:t>
      </w:r>
    </w:p>
    <w:p>
      <w:pPr>
        <w:pStyle w:val="BodyText"/>
        <w:spacing w:line="408" w:lineRule="auto" w:before="65"/>
        <w:ind w:left="573" w:right="140" w:hanging="420"/>
        <w:jc w:val="left"/>
      </w:pPr>
      <w:r>
        <w:rPr/>
        <w:t>农村土地承包经营权确权业务，该业务涉及电子政务和辅助支持决策的地理信息服务领域。</w:t>
      </w:r>
      <w:r>
        <w:rPr>
          <w:w w:val="100"/>
        </w:rPr>
        <w:t> </w:t>
      </w:r>
      <w:r>
        <w:rPr>
          <w:spacing w:val="-2"/>
        </w:rPr>
        <w:t>此类业务按照完工百分比法确认收入。完工百分比按照实际成本支出与预算成本支出的比例来确定。</w:t>
      </w:r>
    </w:p>
    <w:p>
      <w:pPr>
        <w:spacing w:line="240" w:lineRule="auto" w:before="11"/>
        <w:rPr>
          <w:rFonts w:ascii="宋体" w:hAnsi="宋体" w:cs="宋体" w:eastAsia="宋体" w:hint="default"/>
          <w:sz w:val="24"/>
          <w:szCs w:val="24"/>
        </w:rPr>
      </w:pPr>
    </w:p>
    <w:p>
      <w:pPr>
        <w:pStyle w:val="Heading4"/>
        <w:spacing w:line="240" w:lineRule="auto"/>
        <w:ind w:right="140"/>
        <w:jc w:val="left"/>
        <w:rPr>
          <w:b w:val="0"/>
          <w:bCs w:val="0"/>
        </w:rPr>
      </w:pPr>
      <w:r>
        <w:rPr>
          <w:rFonts w:ascii="Times New Roman" w:hAnsi="Times New Roman" w:cs="Times New Roman" w:eastAsia="Times New Roman" w:hint="default"/>
        </w:rPr>
        <w:t>22</w:t>
      </w:r>
      <w:r>
        <w:rPr/>
        <w:t>、政府补助</w:t>
      </w:r>
      <w:r>
        <w:rPr>
          <w:b w:val="0"/>
          <w:bCs w:val="0"/>
        </w:rPr>
      </w:r>
    </w:p>
    <w:p>
      <w:pPr>
        <w:spacing w:line="682" w:lineRule="exact" w:before="69"/>
        <w:ind w:left="573" w:right="14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政府补助在本公司能够满足其所附的条件以及能够收到时予以确认。政府补助为货币性资产的，按</w:t>
      </w:r>
    </w:p>
    <w:p>
      <w:pPr>
        <w:pStyle w:val="BodyText"/>
        <w:spacing w:line="408" w:lineRule="auto" w:before="86"/>
        <w:ind w:right="333"/>
        <w:jc w:val="both"/>
      </w:pPr>
      <w:r>
        <w:rPr>
          <w:spacing w:val="-2"/>
        </w:rPr>
        <w:t>照实际收到的金额计量，对于按照固定的定额标准拨付的补助，按照应收的金额计量；政府补助为非货</w:t>
      </w:r>
      <w:r>
        <w:rPr>
          <w:spacing w:val="-21"/>
        </w:rPr>
        <w:t> </w:t>
      </w:r>
      <w:r>
        <w:rPr>
          <w:spacing w:val="-21"/>
        </w:rPr>
      </w:r>
      <w:r>
        <w:rPr>
          <w:spacing w:val="-2"/>
        </w:rPr>
        <w:t>币性资产的，按照公允价值计量，公允价值不能可靠取得的，按照名义金额</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元</w:t>
      </w:r>
      <w:r>
        <w:rPr>
          <w:rFonts w:ascii="Times New Roman" w:hAnsi="Times New Roman" w:cs="Times New Roman" w:eastAsia="Times New Roman" w:hint="default"/>
          <w:spacing w:val="-1"/>
        </w:rPr>
        <w:t>)</w:t>
      </w:r>
      <w:r>
        <w:rPr>
          <w:spacing w:val="-1"/>
        </w:rPr>
        <w:t>计量。</w:t>
      </w:r>
    </w:p>
    <w:p>
      <w:pPr>
        <w:pStyle w:val="BodyText"/>
        <w:spacing w:line="240" w:lineRule="auto" w:before="14"/>
        <w:ind w:left="573" w:right="140"/>
        <w:jc w:val="left"/>
      </w:pPr>
      <w:r>
        <w:rPr/>
        <w:t>与资产相关的政府补助确认为递延收益，并在相关资产使用寿命内平均分配计入当期损益。</w:t>
      </w:r>
    </w:p>
    <w:p>
      <w:pPr>
        <w:spacing w:line="660" w:lineRule="atLeast" w:before="102"/>
        <w:ind w:left="573" w:right="14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与收益相关的政府补助，用于补偿以后期间的相关费用或损失的，确认为递延收益，并在确认相关</w:t>
      </w:r>
    </w:p>
    <w:p>
      <w:pPr>
        <w:spacing w:line="240" w:lineRule="auto" w:before="10"/>
        <w:rPr>
          <w:rFonts w:ascii="宋体" w:hAnsi="宋体" w:cs="宋体" w:eastAsia="宋体" w:hint="default"/>
          <w:sz w:val="14"/>
          <w:szCs w:val="14"/>
        </w:rPr>
      </w:pPr>
    </w:p>
    <w:p>
      <w:pPr>
        <w:pStyle w:val="BodyText"/>
        <w:spacing w:line="240" w:lineRule="auto"/>
        <w:ind w:right="140"/>
        <w:jc w:val="left"/>
      </w:pPr>
      <w:r>
        <w:rPr/>
        <w:t>费用的期间计入当期损益；用于补偿已发生的相关费用或损失的，直接计入当期损益。</w:t>
      </w:r>
    </w:p>
    <w:p>
      <w:pPr>
        <w:spacing w:line="680" w:lineRule="atLeast" w:before="82"/>
        <w:ind w:left="573" w:right="14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递延所得税资产和递延所得税负债根据资产和负债的计税基础与其账面价值的差额</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暂时性差异</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计</w:t>
      </w:r>
    </w:p>
    <w:p>
      <w:pPr>
        <w:pStyle w:val="BodyText"/>
        <w:spacing w:line="408" w:lineRule="auto" w:before="177"/>
        <w:ind w:right="333"/>
        <w:jc w:val="both"/>
      </w:pPr>
      <w:r>
        <w:rPr>
          <w:spacing w:val="-2"/>
        </w:rPr>
        <w:t>算确认。对于按照税法规定能够于以后年度抵减应纳税所得额的可抵扣亏损和税款抵减，视同暂时性差</w:t>
      </w:r>
      <w:r>
        <w:rPr>
          <w:spacing w:val="-21"/>
        </w:rPr>
        <w:t> </w:t>
      </w:r>
      <w:r>
        <w:rPr>
          <w:spacing w:val="-21"/>
        </w:rPr>
      </w:r>
      <w:r>
        <w:rPr>
          <w:spacing w:val="-2"/>
        </w:rPr>
        <w:t>异确认相应的递延所得税资产。于资产负债表日，递延所得税资产和递延所得税负债，按照预期收回该</w:t>
      </w:r>
      <w:r>
        <w:rPr>
          <w:spacing w:val="-21"/>
        </w:rPr>
        <w:t> </w:t>
      </w:r>
      <w:r>
        <w:rPr>
          <w:spacing w:val="-21"/>
        </w:rPr>
      </w:r>
      <w:r>
        <w:rPr/>
        <w:t>资产或清偿该负债期间的适用税率计量。</w:t>
      </w:r>
    </w:p>
    <w:p>
      <w:pPr>
        <w:pStyle w:val="BodyText"/>
        <w:spacing w:line="408" w:lineRule="auto" w:before="46"/>
        <w:ind w:right="140" w:firstLine="420"/>
        <w:jc w:val="left"/>
      </w:pPr>
      <w:r>
        <w:rPr>
          <w:spacing w:val="-2"/>
        </w:rPr>
        <w:t>本公司以很可能取得用来抵扣可抵扣暂时性差异的应纳税所得额为限，确认由可抵扣暂时性差异产</w:t>
      </w:r>
      <w:r>
        <w:rPr>
          <w:w w:val="100"/>
        </w:rPr>
        <w:t> </w:t>
      </w:r>
      <w:r>
        <w:rPr>
          <w:spacing w:val="-2"/>
        </w:rPr>
        <w:t>生的递延所得税资产。对已确认的递延所得税资产，当预计到未来期间很可能无法获得足够的应纳税所</w:t>
      </w:r>
    </w:p>
    <w:p>
      <w:pPr>
        <w:spacing w:after="0" w:line="408" w:lineRule="auto"/>
        <w:jc w:val="left"/>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408" w:lineRule="auto" w:before="36"/>
        <w:ind w:right="333"/>
        <w:jc w:val="both"/>
      </w:pPr>
      <w:r>
        <w:rPr>
          <w:spacing w:val="-2"/>
        </w:rPr>
        <w:t>得额用以抵扣递延所得税资产时，应当减记递延所得税资产的账面价值。在很可能获得足够的应纳税所</w:t>
      </w:r>
      <w:r>
        <w:rPr>
          <w:spacing w:val="-21"/>
        </w:rPr>
        <w:t> </w:t>
      </w:r>
      <w:r>
        <w:rPr>
          <w:spacing w:val="-21"/>
        </w:rPr>
      </w:r>
      <w:r>
        <w:rPr/>
        <w:t>得额时，减记的金额予以转回。</w:t>
      </w:r>
    </w:p>
    <w:p>
      <w:pPr>
        <w:spacing w:line="240" w:lineRule="auto" w:before="11"/>
        <w:rPr>
          <w:rFonts w:ascii="宋体" w:hAnsi="宋体" w:cs="宋体" w:eastAsia="宋体" w:hint="default"/>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24</w:t>
      </w:r>
      <w:r>
        <w:rPr/>
        <w:t>、租赁</w:t>
      </w:r>
      <w:r>
        <w:rPr>
          <w:b w:val="0"/>
          <w:bCs w:val="0"/>
        </w:rPr>
      </w:r>
    </w:p>
    <w:p>
      <w:pPr>
        <w:spacing w:line="682" w:lineRule="exact" w:before="69"/>
        <w:ind w:left="573" w:right="286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本公司在租赁开始日将租赁分为融资租赁和经营租赁。</w:t>
      </w:r>
    </w:p>
    <w:p>
      <w:pPr>
        <w:pStyle w:val="BodyText"/>
        <w:spacing w:line="408" w:lineRule="auto" w:before="86"/>
        <w:ind w:right="140" w:firstLine="420"/>
        <w:jc w:val="left"/>
      </w:pPr>
      <w:r>
        <w:rPr/>
        <w:t>经营租赁是指除融资租赁以外的其他租赁。本公司作为承租方的租金在租赁期内的各个期间按直线</w:t>
      </w:r>
      <w:r>
        <w:rPr>
          <w:w w:val="100"/>
        </w:rPr>
        <w:t> </w:t>
      </w:r>
      <w:r>
        <w:rPr>
          <w:spacing w:val="-2"/>
        </w:rPr>
        <w:t>法计入相关资产成本或当期损益，本公司作为出租方的租金在租赁期内的各个期间按直线法确认为收入。</w:t>
      </w:r>
    </w:p>
    <w:p>
      <w:pPr>
        <w:spacing w:line="682" w:lineRule="exact" w:before="25"/>
        <w:ind w:left="573" w:right="14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融资租赁是指实质上转移了与资产所有权有关的全部风险和报酬的租赁。本公司作为承租方，在租</w:t>
      </w:r>
    </w:p>
    <w:p>
      <w:pPr>
        <w:pStyle w:val="BodyText"/>
        <w:spacing w:line="408" w:lineRule="auto" w:before="86"/>
        <w:ind w:right="333"/>
        <w:jc w:val="both"/>
      </w:pPr>
      <w:r>
        <w:rPr>
          <w:spacing w:val="-2"/>
        </w:rPr>
        <w:t>赁开始日，按租赁开始日租赁资产的公允价值与最低租赁付款额的现值两者中较低者，作为融资租入固</w:t>
      </w:r>
      <w:r>
        <w:rPr>
          <w:spacing w:val="-21"/>
        </w:rPr>
        <w:t> </w:t>
      </w:r>
      <w:r>
        <w:rPr>
          <w:spacing w:val="-21"/>
        </w:rPr>
      </w:r>
      <w:r>
        <w:rPr>
          <w:spacing w:val="-2"/>
        </w:rPr>
        <w:t>定资产的入账价值，将最低租赁付款额作为长期应付款的入账价值，将两者的差额记录为未确认融资费</w:t>
      </w:r>
      <w:r>
        <w:rPr>
          <w:spacing w:val="-21"/>
        </w:rPr>
        <w:t> </w:t>
      </w:r>
      <w:r>
        <w:rPr>
          <w:spacing w:val="-21"/>
        </w:rPr>
      </w:r>
      <w:r>
        <w:rPr/>
        <w:t>用。</w:t>
      </w:r>
    </w:p>
    <w:p>
      <w:pPr>
        <w:spacing w:line="240" w:lineRule="auto" w:before="11"/>
        <w:rPr>
          <w:rFonts w:ascii="宋体" w:hAnsi="宋体" w:cs="宋体" w:eastAsia="宋体" w:hint="default"/>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25</w:t>
      </w:r>
      <w:r>
        <w:rPr/>
        <w:t>、其他重要的会计政策和会计估计</w:t>
      </w:r>
      <w:r>
        <w:rPr>
          <w:b w:val="0"/>
          <w:bCs w:val="0"/>
        </w:rPr>
      </w:r>
    </w:p>
    <w:p>
      <w:pPr>
        <w:spacing w:line="240" w:lineRule="auto" w:before="11"/>
        <w:rPr>
          <w:rFonts w:ascii="宋体" w:hAnsi="宋体" w:cs="宋体" w:eastAsia="宋体" w:hint="default"/>
          <w:b/>
          <w:bCs/>
          <w:sz w:val="29"/>
          <w:szCs w:val="29"/>
        </w:rPr>
      </w:pPr>
    </w:p>
    <w:p>
      <w:pPr>
        <w:pStyle w:val="BodyText"/>
        <w:spacing w:line="386" w:lineRule="auto"/>
        <w:ind w:left="573" w:right="140"/>
        <w:jc w:val="left"/>
      </w:pPr>
      <w:r>
        <w:rPr>
          <w:spacing w:val="-10"/>
          <w:w w:val="100"/>
        </w:rPr>
        <w:t>（</w:t>
      </w:r>
      <w:r>
        <w:rPr>
          <w:rFonts w:ascii="Times New Roman" w:hAnsi="Times New Roman" w:cs="Times New Roman" w:eastAsia="Times New Roman" w:hint="default"/>
          <w:spacing w:val="-10"/>
          <w:w w:val="100"/>
        </w:rPr>
        <w:t>1</w:t>
      </w:r>
      <w:r>
        <w:rPr>
          <w:spacing w:val="-10"/>
          <w:w w:val="100"/>
        </w:rPr>
        <w:t>）、所得税的会计核算</w:t>
      </w:r>
      <w:r>
        <w:rPr>
          <w:spacing w:val="-104"/>
          <w:w w:val="100"/>
        </w:rPr>
        <w:t> </w:t>
      </w:r>
      <w:r>
        <w:rPr>
          <w:spacing w:val="-104"/>
          <w:w w:val="100"/>
        </w:rPr>
      </w:r>
      <w:r>
        <w:rPr>
          <w:spacing w:val="-2"/>
        </w:rPr>
        <w:t>所得税的会计核算采用资产负债表债务法。所得税费用包括当期所得税和递延所得税。除将与直接</w:t>
      </w:r>
    </w:p>
    <w:p>
      <w:pPr>
        <w:pStyle w:val="BodyText"/>
        <w:spacing w:line="408" w:lineRule="auto" w:before="65"/>
        <w:ind w:right="333"/>
        <w:jc w:val="both"/>
      </w:pPr>
      <w:r>
        <w:rPr>
          <w:spacing w:val="-2"/>
        </w:rPr>
        <w:t>计入股东权益的交易和事项相关的当期所得税和递延所得税计入股东权益，以及企业合并产生的递延所</w:t>
      </w:r>
      <w:r>
        <w:rPr>
          <w:spacing w:val="-21"/>
        </w:rPr>
        <w:t> </w:t>
      </w:r>
      <w:r>
        <w:rPr>
          <w:spacing w:val="-21"/>
        </w:rPr>
      </w:r>
      <w:r>
        <w:rPr/>
        <w:t>得税调整商誉的账面价值外，其余的当期所得税和递延所得税费用或收益计入当期损益。</w:t>
      </w:r>
    </w:p>
    <w:p>
      <w:pPr>
        <w:pStyle w:val="BodyText"/>
        <w:spacing w:line="408" w:lineRule="auto" w:before="46"/>
        <w:ind w:right="140" w:firstLine="420"/>
        <w:jc w:val="left"/>
      </w:pPr>
      <w:r>
        <w:rPr>
          <w:spacing w:val="-2"/>
        </w:rPr>
        <w:t>当期所得税是指企业按照税务规定计算确定的针对当期发生的交易和事项，应纳给税务部门的金额，</w:t>
      </w:r>
      <w:r>
        <w:rPr>
          <w:w w:val="100"/>
        </w:rPr>
        <w:t> </w:t>
      </w:r>
      <w:r>
        <w:rPr/>
        <w:t>即应交所得税；递延所得税是指按照资产负债表债务法应予确认的递延所得税资产和递延所得税负债在</w:t>
      </w:r>
      <w:r>
        <w:rPr>
          <w:w w:val="100"/>
        </w:rPr>
        <w:t> </w:t>
      </w:r>
      <w:r>
        <w:rPr/>
        <w:t>年末应有的金额相对于原已确认金额之间的差额。</w:t>
      </w:r>
    </w:p>
    <w:p>
      <w:pPr>
        <w:pStyle w:val="BodyText"/>
        <w:spacing w:line="386" w:lineRule="auto" w:before="46"/>
        <w:ind w:left="573" w:right="140"/>
        <w:jc w:val="left"/>
      </w:pPr>
      <w:r>
        <w:rPr>
          <w:spacing w:val="-14"/>
          <w:w w:val="100"/>
        </w:rPr>
        <w:t>（</w:t>
      </w:r>
      <w:r>
        <w:rPr>
          <w:rFonts w:ascii="Times New Roman" w:hAnsi="Times New Roman" w:cs="Times New Roman" w:eastAsia="Times New Roman" w:hint="default"/>
          <w:spacing w:val="-14"/>
          <w:w w:val="100"/>
        </w:rPr>
        <w:t>2</w:t>
      </w:r>
      <w:r>
        <w:rPr>
          <w:spacing w:val="-14"/>
          <w:w w:val="100"/>
        </w:rPr>
        <w:t>）、终止经营</w:t>
      </w:r>
      <w:r>
        <w:rPr>
          <w:w w:val="100"/>
        </w:rPr>
        <w:t> </w:t>
      </w:r>
      <w:r>
        <w:rPr>
          <w:spacing w:val="-2"/>
        </w:rPr>
        <w:t>终止经营是指本公司已被处置或被划归为持有待售的、在经营和编制财务报表时能够单独区分的组</w:t>
      </w:r>
    </w:p>
    <w:p>
      <w:pPr>
        <w:pStyle w:val="BodyText"/>
        <w:spacing w:line="408" w:lineRule="auto" w:before="65"/>
        <w:ind w:right="333"/>
        <w:jc w:val="both"/>
      </w:pPr>
      <w:r>
        <w:rPr>
          <w:spacing w:val="-2"/>
        </w:rPr>
        <w:t>成部分，该组成部分按照本公司计划将整体或部分进行处置。同时满足下列条件的本公司组成部分被划</w:t>
      </w:r>
      <w:r>
        <w:rPr>
          <w:spacing w:val="-21"/>
        </w:rPr>
        <w:t> </w:t>
      </w:r>
      <w:r>
        <w:rPr>
          <w:spacing w:val="-21"/>
        </w:rPr>
      </w:r>
      <w:r>
        <w:rPr>
          <w:spacing w:val="-2"/>
        </w:rPr>
        <w:t>归为持有待售：本公司已经就处置该组成部分作出决议、本公司已经与受让方签订了不可撤销的转让协</w:t>
      </w:r>
      <w:r>
        <w:rPr>
          <w:spacing w:val="-21"/>
        </w:rPr>
        <w:t> </w:t>
      </w:r>
      <w:r>
        <w:rPr>
          <w:spacing w:val="-21"/>
        </w:rPr>
      </w:r>
      <w:r>
        <w:rPr/>
        <w:t>议以及该项转让将在一年内完成。</w:t>
      </w:r>
    </w:p>
    <w:p>
      <w:pPr>
        <w:spacing w:after="0" w:line="408" w:lineRule="auto"/>
        <w:jc w:val="both"/>
        <w:sectPr>
          <w:pgSz w:w="11910" w:h="16840"/>
          <w:pgMar w:header="877" w:footer="1227" w:top="1100" w:bottom="1420" w:left="980" w:right="980"/>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rFonts w:ascii="Times New Roman" w:hAnsi="Times New Roman" w:cs="Times New Roman" w:eastAsia="Times New Roman" w:hint="default"/>
        </w:rPr>
        <w:t>26</w:t>
      </w:r>
      <w:r>
        <w:rPr/>
        <w:t>、重要会计政策和会计估计变更</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4679"/>
        <w:gridCol w:w="2835"/>
        <w:gridCol w:w="2057"/>
      </w:tblGrid>
      <w:tr>
        <w:trPr>
          <w:trHeight w:val="449" w:hRule="exact"/>
        </w:trPr>
        <w:tc>
          <w:tcPr>
            <w:tcW w:w="467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1"/>
              <w:ind w:left="124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83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05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1"/>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341" w:hRule="exact"/>
        </w:trPr>
        <w:tc>
          <w:tcPr>
            <w:tcW w:w="467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年，财政部修订了《企业会计准则第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w:t>
            </w:r>
          </w:p>
          <w:p>
            <w:pPr>
              <w:pStyle w:val="TableParagraph"/>
              <w:spacing w:line="240" w:lineRule="auto" w:before="113"/>
              <w:ind w:left="14"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p>
          <w:p>
            <w:pPr>
              <w:pStyle w:val="TableParagraph"/>
              <w:spacing w:line="240" w:lineRule="auto" w:before="111"/>
              <w:ind w:left="1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w:t>
            </w:r>
          </w:p>
          <w:p>
            <w:pPr>
              <w:pStyle w:val="TableParagraph"/>
              <w:spacing w:line="240" w:lineRule="auto" w:before="111"/>
              <w:ind w:left="14" w:right="-12"/>
              <w:jc w:val="left"/>
              <w:rPr>
                <w:rFonts w:ascii="宋体" w:hAnsi="宋体" w:cs="宋体" w:eastAsia="宋体" w:hint="default"/>
                <w:sz w:val="18"/>
                <w:szCs w:val="18"/>
              </w:rPr>
            </w:pPr>
            <w:r>
              <w:rPr>
                <w:rFonts w:ascii="宋体" w:hAnsi="宋体" w:cs="宋体" w:eastAsia="宋体" w:hint="default"/>
                <w:sz w:val="18"/>
                <w:szCs w:val="18"/>
              </w:rPr>
              <w:t>表</w:t>
            </w:r>
            <w:r>
              <w:rPr>
                <w:rFonts w:ascii="宋体" w:hAnsi="宋体" w:cs="宋体" w:eastAsia="宋体" w:hint="default"/>
                <w:spacing w:val="-92"/>
                <w:sz w:val="18"/>
                <w:szCs w:val="18"/>
              </w:rPr>
              <w:t>》</w:t>
            </w:r>
            <w:r>
              <w:rPr>
                <w:rFonts w:ascii="宋体" w:hAnsi="宋体" w:cs="宋体" w:eastAsia="宋体" w:hint="default"/>
                <w:sz w:val="18"/>
                <w:szCs w:val="18"/>
              </w:rPr>
              <w:t>，以及颁布了《企业会计</w:t>
            </w:r>
            <w:r>
              <w:rPr>
                <w:rFonts w:ascii="宋体" w:hAnsi="宋体" w:cs="宋体" w:eastAsia="宋体" w:hint="default"/>
                <w:spacing w:val="2"/>
                <w:sz w:val="18"/>
                <w:szCs w:val="18"/>
              </w:rPr>
              <w:t>准</w:t>
            </w:r>
            <w:r>
              <w:rPr>
                <w:rFonts w:ascii="宋体" w:hAnsi="宋体" w:cs="宋体" w:eastAsia="宋体" w:hint="default"/>
                <w:sz w:val="18"/>
                <w:szCs w:val="18"/>
              </w:rPr>
              <w:t>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w:t>
            </w:r>
            <w:r>
              <w:rPr>
                <w:rFonts w:ascii="宋体" w:hAnsi="宋体" w:cs="宋体" w:eastAsia="宋体" w:hint="default"/>
                <w:spacing w:val="-3"/>
                <w:sz w:val="18"/>
                <w:szCs w:val="18"/>
              </w:rPr>
              <w:t>允</w:t>
            </w:r>
            <w:r>
              <w:rPr>
                <w:rFonts w:ascii="宋体" w:hAnsi="宋体" w:cs="宋体" w:eastAsia="宋体" w:hint="default"/>
                <w:sz w:val="18"/>
                <w:szCs w:val="18"/>
              </w:rPr>
              <w:t>价值计量</w:t>
            </w:r>
            <w:r>
              <w:rPr>
                <w:rFonts w:ascii="宋体" w:hAnsi="宋体" w:cs="宋体" w:eastAsia="宋体" w:hint="default"/>
                <w:spacing w:val="-92"/>
                <w:sz w:val="18"/>
                <w:szCs w:val="18"/>
              </w:rPr>
              <w:t>》</w:t>
            </w:r>
            <w:r>
              <w:rPr>
                <w:rFonts w:ascii="宋体" w:hAnsi="宋体" w:cs="宋体" w:eastAsia="宋体" w:hint="default"/>
                <w:spacing w:val="-121"/>
                <w:sz w:val="18"/>
                <w:szCs w:val="18"/>
              </w:rPr>
              <w:t>、</w:t>
            </w:r>
            <w:r>
              <w:rPr>
                <w:rFonts w:ascii="宋体" w:hAnsi="宋体" w:cs="宋体" w:eastAsia="宋体" w:hint="default"/>
                <w:sz w:val="18"/>
                <w:szCs w:val="18"/>
              </w:rPr>
              <w:t>《企业会计准则第</w:t>
            </w:r>
          </w:p>
          <w:p>
            <w:pPr>
              <w:pStyle w:val="TableParagraph"/>
              <w:spacing w:line="240" w:lineRule="auto" w:before="111"/>
              <w:ind w:left="1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合营安排</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在其他主体中权</w:t>
            </w:r>
          </w:p>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益的披露》等具体准则，并自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日起施行。根</w:t>
            </w:r>
          </w:p>
          <w:p>
            <w:pPr>
              <w:pStyle w:val="TableParagraph"/>
              <w:spacing w:line="345" w:lineRule="auto" w:before="111"/>
              <w:ind w:left="14" w:right="46"/>
              <w:jc w:val="left"/>
              <w:rPr>
                <w:rFonts w:ascii="宋体" w:hAnsi="宋体" w:cs="宋体" w:eastAsia="宋体" w:hint="default"/>
                <w:sz w:val="18"/>
                <w:szCs w:val="18"/>
              </w:rPr>
            </w:pPr>
            <w:r>
              <w:rPr>
                <w:rFonts w:ascii="宋体" w:hAnsi="宋体" w:cs="宋体" w:eastAsia="宋体" w:hint="default"/>
                <w:sz w:val="18"/>
                <w:szCs w:val="18"/>
              </w:rPr>
              <w:t>据规定，本公司于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日起执行上述企业会计准 则，并对期初数相关项目及其金额做出相应调整。</w:t>
            </w:r>
          </w:p>
        </w:tc>
        <w:tc>
          <w:tcPr>
            <w:tcW w:w="28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67" w:lineRule="auto"/>
              <w:ind w:left="21" w:right="98"/>
              <w:jc w:val="left"/>
              <w:rPr>
                <w:rFonts w:ascii="宋体" w:hAnsi="宋体" w:cs="宋体" w:eastAsia="宋体" w:hint="default"/>
                <w:sz w:val="18"/>
                <w:szCs w:val="18"/>
              </w:rPr>
            </w:pPr>
            <w:r>
              <w:rPr>
                <w:rFonts w:ascii="宋体" w:hAnsi="宋体" w:cs="宋体" w:eastAsia="宋体" w:hint="default"/>
                <w:sz w:val="18"/>
                <w:szCs w:val="18"/>
              </w:rPr>
              <w:t>相关会计政策变更已经本公司第六 届董事会第六次会议批准。</w:t>
            </w:r>
          </w:p>
        </w:tc>
        <w:tc>
          <w:tcPr>
            <w:tcW w:w="205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bl>
    <w:p>
      <w:pPr>
        <w:spacing w:line="300" w:lineRule="auto" w:before="10"/>
        <w:ind w:left="153" w:right="234" w:firstLine="360"/>
        <w:jc w:val="left"/>
        <w:rPr>
          <w:rFonts w:ascii="宋体" w:hAnsi="宋体" w:cs="宋体" w:eastAsia="宋体" w:hint="default"/>
          <w:sz w:val="18"/>
          <w:szCs w:val="18"/>
        </w:rPr>
      </w:pPr>
      <w:r>
        <w:rPr>
          <w:rFonts w:ascii="宋体" w:hAnsi="宋体" w:cs="宋体" w:eastAsia="宋体" w:hint="default"/>
          <w:sz w:val="18"/>
          <w:szCs w:val="18"/>
        </w:rPr>
        <w:t>说明</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年以前，本公司对于被投资单位不具有共同控制或重大影响，并且在活跃市场中没有报价、公允价值 不能可靠计量的权益性投资采用成本法核算，确认为长期股权投资。根据修订的《企业会计准则第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p>
    <w:p>
      <w:pPr>
        <w:spacing w:line="300" w:lineRule="auto" w:before="13"/>
        <w:ind w:left="153" w:right="234" w:firstLine="0"/>
        <w:jc w:val="left"/>
        <w:rPr>
          <w:rFonts w:ascii="宋体" w:hAnsi="宋体" w:cs="宋体" w:eastAsia="宋体" w:hint="default"/>
          <w:sz w:val="18"/>
          <w:szCs w:val="18"/>
        </w:rPr>
      </w:pPr>
      <w:r>
        <w:rPr>
          <w:rFonts w:ascii="宋体" w:hAnsi="宋体" w:cs="宋体" w:eastAsia="宋体" w:hint="default"/>
          <w:sz w:val="18"/>
          <w:szCs w:val="18"/>
        </w:rPr>
        <w:t>规定，对上述权益性投资应适用于《企业会计准则第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0"/>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金融工具确认和计量》。本公司对该项会计政策变更采用追溯</w:t>
      </w:r>
      <w:r>
        <w:rPr>
          <w:rFonts w:ascii="宋体" w:hAnsi="宋体" w:cs="宋体" w:eastAsia="宋体" w:hint="default"/>
          <w:sz w:val="18"/>
          <w:szCs w:val="18"/>
        </w:rPr>
        <w:t> 调整法，</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年比较报表已重新表述，</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年资产负债表调减长期股权投资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7,696,485.95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元，调增可供出售金融资产 </w:t>
      </w:r>
      <w:r>
        <w:rPr>
          <w:rFonts w:ascii="Times New Roman" w:hAnsi="Times New Roman" w:cs="Times New Roman" w:eastAsia="Times New Roman" w:hint="default"/>
          <w:sz w:val="18"/>
          <w:szCs w:val="18"/>
        </w:rPr>
        <w:t>7,696,485.95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元，资产总额无影响。</w:t>
      </w:r>
    </w:p>
    <w:p>
      <w:pPr>
        <w:spacing w:before="13"/>
        <w:ind w:left="513" w:right="140" w:firstLine="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年度及本年财务报表中关于职工薪酬、财务报表列报、合并财务报表、公允价值计量、金融工具列报、合</w:t>
      </w:r>
    </w:p>
    <w:p>
      <w:pPr>
        <w:spacing w:before="63"/>
        <w:ind w:left="153" w:right="140" w:firstLine="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营安排及与在其他主体中权益的相关业务及事项，已按上述准则的规定进行核算与披露，新准则的实施不会对本公司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2013</w:t>
      </w:r>
    </w:p>
    <w:p>
      <w:pPr>
        <w:spacing w:before="63"/>
        <w:ind w:left="153" w:right="140" w:firstLine="0"/>
        <w:jc w:val="left"/>
        <w:rPr>
          <w:rFonts w:ascii="宋体" w:hAnsi="宋体" w:cs="宋体" w:eastAsia="宋体" w:hint="default"/>
          <w:sz w:val="18"/>
          <w:szCs w:val="18"/>
        </w:rPr>
      </w:pPr>
      <w:r>
        <w:rPr>
          <w:rFonts w:ascii="宋体" w:hAnsi="宋体" w:cs="宋体" w:eastAsia="宋体" w:hint="default"/>
          <w:sz w:val="18"/>
          <w:szCs w:val="18"/>
        </w:rPr>
        <w:t>年度及本年财务报表产生影响。</w:t>
      </w:r>
    </w:p>
    <w:p>
      <w:pPr>
        <w:spacing w:line="240" w:lineRule="auto" w:before="13"/>
        <w:rPr>
          <w:rFonts w:ascii="宋体" w:hAnsi="宋体" w:cs="宋体" w:eastAsia="宋体" w:hint="default"/>
          <w:sz w:val="14"/>
          <w:szCs w:val="14"/>
        </w:rPr>
      </w:pPr>
    </w:p>
    <w:p>
      <w:pPr>
        <w:pStyle w:val="Heading2"/>
        <w:spacing w:line="240" w:lineRule="auto" w:before="0"/>
        <w:ind w:right="140"/>
        <w:jc w:val="left"/>
        <w:rPr>
          <w:b w:val="0"/>
          <w:bCs w:val="0"/>
        </w:rPr>
      </w:pPr>
      <w:r>
        <w:rPr/>
        <w:t>六、税项</w:t>
      </w:r>
      <w:r>
        <w:rPr>
          <w:b w:val="0"/>
          <w:bCs w:val="0"/>
        </w:rPr>
      </w:r>
    </w:p>
    <w:p>
      <w:pPr>
        <w:pStyle w:val="Heading4"/>
        <w:spacing w:line="240" w:lineRule="auto" w:before="201"/>
        <w:ind w:right="14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6"/>
        <w:rPr>
          <w:rFonts w:ascii="宋体" w:hAnsi="宋体" w:cs="宋体" w:eastAsia="宋体" w:hint="default"/>
          <w:b/>
          <w:bCs/>
          <w:sz w:val="11"/>
          <w:szCs w:val="11"/>
        </w:rPr>
      </w:pPr>
    </w:p>
    <w:tbl>
      <w:tblPr>
        <w:tblW w:w="0" w:type="auto"/>
        <w:jc w:val="left"/>
        <w:tblInd w:w="140" w:type="dxa"/>
        <w:tblLayout w:type="fixed"/>
        <w:tblCellMar>
          <w:top w:w="0" w:type="dxa"/>
          <w:left w:w="0" w:type="dxa"/>
          <w:bottom w:w="0" w:type="dxa"/>
          <w:right w:w="0" w:type="dxa"/>
        </w:tblCellMar>
        <w:tblLook w:val="01E0"/>
      </w:tblPr>
      <w:tblGrid>
        <w:gridCol w:w="3189"/>
        <w:gridCol w:w="3190"/>
        <w:gridCol w:w="3191"/>
      </w:tblGrid>
      <w:tr>
        <w:trPr>
          <w:trHeight w:val="460" w:hRule="exact"/>
        </w:trPr>
        <w:tc>
          <w:tcPr>
            <w:tcW w:w="318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9"/>
              <w:ind w:right="9"/>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9"/>
              <w:ind w:left="9"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189" w:hRule="exact"/>
        </w:trPr>
        <w:tc>
          <w:tcPr>
            <w:tcW w:w="31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9" w:space="0" w:color="000000"/>
              <w:left w:val="single" w:sz="6" w:space="0" w:color="000000"/>
              <w:bottom w:val="single" w:sz="6" w:space="0" w:color="000000"/>
              <w:right w:val="single" w:sz="6" w:space="0" w:color="000000"/>
            </w:tcBorders>
          </w:tcPr>
          <w:p>
            <w:pPr>
              <w:pStyle w:val="TableParagraph"/>
              <w:spacing w:line="355" w:lineRule="auto" w:before="127"/>
              <w:ind w:left="21" w:right="33"/>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 乘以适用税率扣除当期允许抵扣的进项 税后的余额计算</w:t>
            </w:r>
            <w:r>
              <w:rPr>
                <w:rFonts w:ascii="Times New Roman" w:hAnsi="Times New Roman" w:cs="Times New Roman" w:eastAsia="Times New Roman" w:hint="default"/>
                <w:sz w:val="18"/>
                <w:szCs w:val="18"/>
              </w:rPr>
              <w:t>)</w:t>
            </w:r>
          </w:p>
        </w:tc>
        <w:tc>
          <w:tcPr>
            <w:tcW w:w="3191" w:type="dxa"/>
            <w:tcBorders>
              <w:top w:val="single" w:sz="9"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70" w:hRule="exact"/>
        </w:trPr>
        <w:tc>
          <w:tcPr>
            <w:tcW w:w="31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13"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6" w:space="0" w:color="000000"/>
              <w:left w:val="single" w:sz="6" w:space="0" w:color="000000"/>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31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1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68" w:hRule="exact"/>
        </w:trPr>
        <w:tc>
          <w:tcPr>
            <w:tcW w:w="31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1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70" w:hRule="exact"/>
        </w:trPr>
        <w:tc>
          <w:tcPr>
            <w:tcW w:w="31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5"/>
              <w:ind w:left="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企业所得税</w:t>
            </w:r>
            <w:r>
              <w:rPr>
                <w:rFonts w:ascii="Times New Roman" w:hAnsi="Times New Roman" w:cs="Times New Roman" w:eastAsia="Times New Roman" w:hint="default"/>
                <w:sz w:val="18"/>
                <w:szCs w:val="18"/>
              </w:rPr>
              <w:t>*1</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5"/>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68" w:hRule="exact"/>
        </w:trPr>
        <w:tc>
          <w:tcPr>
            <w:tcW w:w="318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1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w:t>
            </w:r>
          </w:p>
        </w:tc>
      </w:tr>
      <w:tr>
        <w:trPr>
          <w:trHeight w:val="475" w:hRule="exact"/>
        </w:trPr>
        <w:tc>
          <w:tcPr>
            <w:tcW w:w="3189"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23"/>
              <w:ind w:left="1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9"/>
        <w:rPr>
          <w:rFonts w:ascii="宋体" w:hAnsi="宋体" w:cs="宋体" w:eastAsia="宋体" w:hint="default"/>
          <w:b/>
          <w:bCs/>
          <w:sz w:val="26"/>
          <w:szCs w:val="26"/>
        </w:rPr>
      </w:pPr>
    </w:p>
    <w:p>
      <w:pPr>
        <w:pStyle w:val="BodyText"/>
        <w:spacing w:line="408" w:lineRule="auto" w:before="36"/>
        <w:ind w:right="206" w:firstLine="420"/>
        <w:jc w:val="left"/>
      </w:pPr>
      <w:r>
        <w:rPr>
          <w:rFonts w:ascii="宋体" w:hAnsi="宋体" w:cs="宋体" w:eastAsia="宋体" w:hint="default"/>
        </w:rPr>
        <w:t>*1</w:t>
      </w:r>
      <w:r>
        <w:rPr/>
        <w:t>、神州数码系统集成服务有限公司之子公司</w:t>
      </w:r>
      <w:r>
        <w:rPr>
          <w:rFonts w:ascii="宋体" w:hAnsi="宋体" w:cs="宋体" w:eastAsia="宋体" w:hint="default"/>
        </w:rPr>
        <w:t>Digital China Software (BVI) Ltd.</w:t>
      </w:r>
      <w:r>
        <w:rPr>
          <w:rFonts w:ascii="宋体" w:hAnsi="宋体" w:cs="宋体" w:eastAsia="宋体" w:hint="default"/>
          <w:spacing w:val="-33"/>
        </w:rPr>
        <w:t> </w:t>
      </w:r>
      <w:r>
        <w:rPr/>
        <w:t>为注册在英属维</w:t>
      </w:r>
      <w:r>
        <w:rPr>
          <w:w w:val="100"/>
        </w:rPr>
        <w:t> </w:t>
      </w:r>
      <w:r>
        <w:rPr/>
        <w:t>尔京群岛的离岸企业。按照当地税务法例，非当地经营所得利润以及资本利得，不缴纳利得税；</w:t>
      </w:r>
    </w:p>
    <w:p>
      <w:pPr>
        <w:pStyle w:val="BodyText"/>
        <w:spacing w:line="408" w:lineRule="auto" w:before="46"/>
        <w:ind w:right="206" w:firstLine="420"/>
        <w:jc w:val="left"/>
      </w:pPr>
      <w:r>
        <w:rPr>
          <w:rFonts w:ascii="宋体" w:hAnsi="宋体" w:cs="宋体" w:eastAsia="宋体" w:hint="default"/>
        </w:rPr>
        <w:t>Digital</w:t>
      </w:r>
      <w:r>
        <w:rPr>
          <w:rFonts w:ascii="宋体" w:hAnsi="宋体" w:cs="宋体" w:eastAsia="宋体" w:hint="default"/>
          <w:spacing w:val="-14"/>
        </w:rPr>
        <w:t> </w:t>
      </w:r>
      <w:r>
        <w:rPr>
          <w:rFonts w:ascii="宋体" w:hAnsi="宋体" w:cs="宋体" w:eastAsia="宋体" w:hint="default"/>
        </w:rPr>
        <w:t>China</w:t>
      </w:r>
      <w:r>
        <w:rPr>
          <w:rFonts w:ascii="宋体" w:hAnsi="宋体" w:cs="宋体" w:eastAsia="宋体" w:hint="default"/>
          <w:spacing w:val="-14"/>
        </w:rPr>
        <w:t> </w:t>
      </w:r>
      <w:r>
        <w:rPr>
          <w:rFonts w:ascii="宋体" w:hAnsi="宋体" w:cs="宋体" w:eastAsia="宋体" w:hint="default"/>
        </w:rPr>
        <w:t>Software</w:t>
      </w:r>
      <w:r>
        <w:rPr>
          <w:rFonts w:ascii="宋体" w:hAnsi="宋体" w:cs="宋体" w:eastAsia="宋体" w:hint="default"/>
          <w:spacing w:val="-17"/>
        </w:rPr>
        <w:t> </w:t>
      </w:r>
      <w:r>
        <w:rPr>
          <w:rFonts w:ascii="宋体" w:hAnsi="宋体" w:cs="宋体" w:eastAsia="宋体" w:hint="default"/>
        </w:rPr>
        <w:t>(BVI)</w:t>
      </w:r>
      <w:r>
        <w:rPr>
          <w:rFonts w:ascii="宋体" w:hAnsi="宋体" w:cs="宋体" w:eastAsia="宋体" w:hint="default"/>
          <w:spacing w:val="-17"/>
        </w:rPr>
        <w:t> </w:t>
      </w:r>
      <w:r>
        <w:rPr>
          <w:rFonts w:ascii="宋体" w:hAnsi="宋体" w:cs="宋体" w:eastAsia="宋体" w:hint="default"/>
        </w:rPr>
        <w:t>Ltd.</w:t>
      </w:r>
      <w:r>
        <w:rPr/>
        <w:t>之子公司</w:t>
      </w:r>
      <w:r>
        <w:rPr>
          <w:rFonts w:ascii="宋体" w:hAnsi="宋体" w:cs="宋体" w:eastAsia="宋体" w:hint="default"/>
        </w:rPr>
        <w:t>Digital</w:t>
      </w:r>
      <w:r>
        <w:rPr>
          <w:rFonts w:ascii="宋体" w:hAnsi="宋体" w:cs="宋体" w:eastAsia="宋体" w:hint="default"/>
          <w:spacing w:val="-14"/>
        </w:rPr>
        <w:t> </w:t>
      </w:r>
      <w:r>
        <w:rPr>
          <w:rFonts w:ascii="宋体" w:hAnsi="宋体" w:cs="宋体" w:eastAsia="宋体" w:hint="default"/>
        </w:rPr>
        <w:t>China</w:t>
      </w:r>
      <w:r>
        <w:rPr>
          <w:rFonts w:ascii="宋体" w:hAnsi="宋体" w:cs="宋体" w:eastAsia="宋体" w:hint="default"/>
          <w:spacing w:val="-14"/>
        </w:rPr>
        <w:t> </w:t>
      </w:r>
      <w:r>
        <w:rPr>
          <w:rFonts w:ascii="宋体" w:hAnsi="宋体" w:cs="宋体" w:eastAsia="宋体" w:hint="default"/>
        </w:rPr>
        <w:t>Advance</w:t>
      </w:r>
      <w:r>
        <w:rPr>
          <w:rFonts w:ascii="宋体" w:hAnsi="宋体" w:cs="宋体" w:eastAsia="宋体" w:hint="default"/>
          <w:spacing w:val="-14"/>
        </w:rPr>
        <w:t> </w:t>
      </w:r>
      <w:r>
        <w:rPr>
          <w:rFonts w:ascii="宋体" w:hAnsi="宋体" w:cs="宋体" w:eastAsia="宋体" w:hint="default"/>
        </w:rPr>
        <w:t>System</w:t>
      </w:r>
      <w:r>
        <w:rPr>
          <w:rFonts w:ascii="宋体" w:hAnsi="宋体" w:cs="宋体" w:eastAsia="宋体" w:hint="default"/>
          <w:spacing w:val="-17"/>
        </w:rPr>
        <w:t> </w:t>
      </w:r>
      <w:r>
        <w:rPr>
          <w:rFonts w:ascii="宋体" w:hAnsi="宋体" w:cs="宋体" w:eastAsia="宋体" w:hint="default"/>
        </w:rPr>
        <w:t>Ltd.</w:t>
      </w:r>
      <w:r>
        <w:rPr/>
        <w:t>、</w:t>
      </w:r>
      <w:r>
        <w:rPr>
          <w:rFonts w:ascii="宋体" w:hAnsi="宋体" w:cs="宋体" w:eastAsia="宋体" w:hint="default"/>
        </w:rPr>
        <w:t>Digital</w:t>
      </w:r>
      <w:r>
        <w:rPr>
          <w:rFonts w:ascii="宋体" w:hAnsi="宋体" w:cs="宋体" w:eastAsia="宋体" w:hint="default"/>
          <w:spacing w:val="-17"/>
        </w:rPr>
        <w:t> </w:t>
      </w:r>
      <w:r>
        <w:rPr>
          <w:rFonts w:ascii="宋体" w:hAnsi="宋体" w:cs="宋体" w:eastAsia="宋体" w:hint="default"/>
        </w:rPr>
        <w:t>China</w:t>
      </w:r>
      <w:r>
        <w:rPr>
          <w:rFonts w:ascii="宋体" w:hAnsi="宋体" w:cs="宋体" w:eastAsia="宋体" w:hint="default"/>
          <w:w w:val="100"/>
        </w:rPr>
        <w:t> </w:t>
      </w:r>
      <w:r>
        <w:rPr>
          <w:rFonts w:ascii="宋体" w:hAnsi="宋体" w:cs="宋体" w:eastAsia="宋体" w:hint="default"/>
        </w:rPr>
        <w:t>Financial Service Holding Limited</w:t>
      </w:r>
      <w:r>
        <w:rPr/>
        <w:t>、</w:t>
      </w:r>
      <w:r>
        <w:rPr>
          <w:rFonts w:ascii="宋体" w:hAnsi="宋体" w:cs="宋体" w:eastAsia="宋体" w:hint="default"/>
        </w:rPr>
        <w:t>Digital China Guo Feng Holding</w:t>
      </w:r>
      <w:r>
        <w:rPr>
          <w:rFonts w:ascii="宋体" w:hAnsi="宋体" w:cs="宋体" w:eastAsia="宋体" w:hint="default"/>
          <w:spacing w:val="-13"/>
        </w:rPr>
        <w:t> </w:t>
      </w:r>
      <w:r>
        <w:rPr>
          <w:rFonts w:ascii="宋体" w:hAnsi="宋体" w:cs="宋体" w:eastAsia="宋体" w:hint="default"/>
        </w:rPr>
        <w:t>Limited</w:t>
      </w:r>
      <w:r>
        <w:rPr/>
        <w:t>为香港居民企业，其</w:t>
      </w:r>
      <w:r>
        <w:rPr>
          <w:w w:val="100"/>
        </w:rPr>
        <w:t> </w:t>
      </w:r>
      <w:r>
        <w:rPr/>
        <w:t>所得税适用香港税务法例。按照香港税务法例，其适用利得税税率为</w:t>
      </w:r>
      <w:r>
        <w:rPr>
          <w:rFonts w:ascii="宋体" w:hAnsi="宋体" w:cs="宋体" w:eastAsia="宋体" w:hint="default"/>
        </w:rPr>
        <w:t>16.5%</w: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0" w:type="dxa"/>
        <w:tblLayout w:type="fixed"/>
        <w:tblCellMar>
          <w:top w:w="0" w:type="dxa"/>
          <w:left w:w="0" w:type="dxa"/>
          <w:bottom w:w="0" w:type="dxa"/>
          <w:right w:w="0" w:type="dxa"/>
        </w:tblCellMar>
        <w:tblLook w:val="01E0"/>
      </w:tblPr>
      <w:tblGrid>
        <w:gridCol w:w="4783"/>
        <w:gridCol w:w="4787"/>
      </w:tblGrid>
      <w:tr>
        <w:trPr>
          <w:trHeight w:val="462" w:hRule="exact"/>
        </w:trPr>
        <w:tc>
          <w:tcPr>
            <w:tcW w:w="4783" w:type="dxa"/>
            <w:tcBorders>
              <w:top w:val="single" w:sz="12" w:space="0" w:color="000000"/>
              <w:left w:val="single" w:sz="12" w:space="0" w:color="000000"/>
              <w:bottom w:val="single" w:sz="6" w:space="0" w:color="000000"/>
              <w:right w:val="single" w:sz="14" w:space="0" w:color="D2D2D2"/>
            </w:tcBorders>
            <w:shd w:val="clear" w:color="auto" w:fill="D9D9D9"/>
          </w:tcPr>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55" w:hRule="exact"/>
        </w:trPr>
        <w:tc>
          <w:tcPr>
            <w:tcW w:w="478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left="14" w:right="0"/>
              <w:jc w:val="center"/>
              <w:rPr>
                <w:rFonts w:ascii="Times New Roman" w:hAnsi="Times New Roman" w:cs="Times New Roman" w:eastAsia="Times New Roman" w:hint="default"/>
                <w:sz w:val="18"/>
                <w:szCs w:val="18"/>
              </w:rPr>
            </w:pPr>
            <w:r>
              <w:rPr>
                <w:rFonts w:ascii="Times New Roman"/>
                <w:sz w:val="18"/>
              </w:rPr>
              <w:t>15%</w:t>
            </w:r>
          </w:p>
        </w:tc>
      </w:tr>
      <w:tr>
        <w:trPr>
          <w:trHeight w:val="455" w:hRule="exact"/>
        </w:trPr>
        <w:tc>
          <w:tcPr>
            <w:tcW w:w="478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神州数码国信信息技术（苏州）有限公司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left="14" w:right="0"/>
              <w:jc w:val="center"/>
              <w:rPr>
                <w:rFonts w:ascii="Times New Roman" w:hAnsi="Times New Roman" w:cs="Times New Roman" w:eastAsia="Times New Roman" w:hint="default"/>
                <w:sz w:val="18"/>
                <w:szCs w:val="18"/>
              </w:rPr>
            </w:pPr>
            <w:r>
              <w:rPr>
                <w:rFonts w:ascii="Times New Roman"/>
                <w:sz w:val="18"/>
              </w:rPr>
              <w:t>15%</w:t>
            </w:r>
          </w:p>
        </w:tc>
      </w:tr>
      <w:tr>
        <w:trPr>
          <w:trHeight w:val="456" w:hRule="exact"/>
        </w:trPr>
        <w:tc>
          <w:tcPr>
            <w:tcW w:w="478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神州数码融信软件有限公司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left="14" w:right="0"/>
              <w:jc w:val="center"/>
              <w:rPr>
                <w:rFonts w:ascii="Times New Roman" w:hAnsi="Times New Roman" w:cs="Times New Roman" w:eastAsia="Times New Roman" w:hint="default"/>
                <w:sz w:val="18"/>
                <w:szCs w:val="18"/>
              </w:rPr>
            </w:pPr>
            <w:r>
              <w:rPr>
                <w:rFonts w:ascii="Times New Roman"/>
                <w:sz w:val="18"/>
              </w:rPr>
              <w:t>10%</w:t>
            </w:r>
          </w:p>
        </w:tc>
      </w:tr>
      <w:tr>
        <w:trPr>
          <w:trHeight w:val="454" w:hRule="exact"/>
        </w:trPr>
        <w:tc>
          <w:tcPr>
            <w:tcW w:w="478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58"/>
              <w:ind w:left="13" w:right="0"/>
              <w:jc w:val="left"/>
              <w:rPr>
                <w:rFonts w:ascii="Times New Roman" w:hAnsi="Times New Roman" w:cs="Times New Roman" w:eastAsia="Times New Roman" w:hint="default"/>
                <w:sz w:val="18"/>
                <w:szCs w:val="18"/>
              </w:rPr>
            </w:pPr>
            <w:r>
              <w:rPr>
                <w:rFonts w:ascii="Times New Roman"/>
                <w:sz w:val="18"/>
              </w:rPr>
              <w:t>Digital China Advance System</w:t>
            </w:r>
            <w:r>
              <w:rPr>
                <w:rFonts w:ascii="Times New Roman"/>
                <w:spacing w:val="-22"/>
                <w:sz w:val="18"/>
              </w:rPr>
              <w:t> </w:t>
            </w:r>
            <w:r>
              <w:rPr>
                <w:rFonts w:ascii="Times New Roman"/>
                <w:sz w:val="18"/>
              </w:rPr>
              <w:t>Ltd.</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left="9" w:right="0"/>
              <w:jc w:val="center"/>
              <w:rPr>
                <w:rFonts w:ascii="Times New Roman" w:hAnsi="Times New Roman" w:cs="Times New Roman" w:eastAsia="Times New Roman" w:hint="default"/>
                <w:sz w:val="18"/>
                <w:szCs w:val="18"/>
              </w:rPr>
            </w:pPr>
            <w:r>
              <w:rPr>
                <w:rFonts w:ascii="Times New Roman"/>
                <w:sz w:val="18"/>
              </w:rPr>
              <w:t>0%</w:t>
            </w:r>
          </w:p>
        </w:tc>
      </w:tr>
      <w:tr>
        <w:trPr>
          <w:trHeight w:val="456" w:hRule="exact"/>
        </w:trPr>
        <w:tc>
          <w:tcPr>
            <w:tcW w:w="478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神州数码金信科技股份有限公司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left="14" w:right="0"/>
              <w:jc w:val="center"/>
              <w:rPr>
                <w:rFonts w:ascii="Times New Roman" w:hAnsi="Times New Roman" w:cs="Times New Roman" w:eastAsia="Times New Roman" w:hint="default"/>
                <w:sz w:val="18"/>
                <w:szCs w:val="18"/>
              </w:rPr>
            </w:pPr>
            <w:r>
              <w:rPr>
                <w:rFonts w:ascii="Times New Roman"/>
                <w:sz w:val="18"/>
              </w:rPr>
              <w:t>15%</w:t>
            </w:r>
          </w:p>
        </w:tc>
      </w:tr>
      <w:tr>
        <w:trPr>
          <w:trHeight w:val="455" w:hRule="exact"/>
        </w:trPr>
        <w:tc>
          <w:tcPr>
            <w:tcW w:w="478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广州神州金信电子科技有限公司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left="8" w:right="0"/>
              <w:jc w:val="center"/>
              <w:rPr>
                <w:rFonts w:ascii="Times New Roman" w:hAnsi="Times New Roman" w:cs="Times New Roman" w:eastAsia="Times New Roman" w:hint="default"/>
                <w:sz w:val="18"/>
                <w:szCs w:val="18"/>
              </w:rPr>
            </w:pPr>
            <w:r>
              <w:rPr>
                <w:rFonts w:ascii="Times New Roman"/>
                <w:sz w:val="18"/>
              </w:rPr>
              <w:t>12.5%</w:t>
            </w:r>
          </w:p>
        </w:tc>
      </w:tr>
      <w:tr>
        <w:trPr>
          <w:trHeight w:val="460" w:hRule="exact"/>
        </w:trPr>
        <w:tc>
          <w:tcPr>
            <w:tcW w:w="478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7"/>
              <w:ind w:left="13" w:right="0"/>
              <w:jc w:val="left"/>
              <w:rPr>
                <w:rFonts w:ascii="宋体" w:hAnsi="宋体" w:cs="宋体" w:eastAsia="宋体" w:hint="default"/>
                <w:sz w:val="18"/>
                <w:szCs w:val="18"/>
              </w:rPr>
            </w:pPr>
            <w:r>
              <w:rPr>
                <w:rFonts w:ascii="宋体" w:hAnsi="宋体" w:cs="宋体" w:eastAsia="宋体" w:hint="default"/>
                <w:sz w:val="18"/>
                <w:szCs w:val="18"/>
              </w:rPr>
              <w:t>北京中农信达信息技术有限公司</w:t>
            </w:r>
          </w:p>
        </w:tc>
        <w:tc>
          <w:tcPr>
            <w:tcW w:w="47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9"/>
              <w:ind w:left="14" w:right="0"/>
              <w:jc w:val="center"/>
              <w:rPr>
                <w:rFonts w:ascii="Times New Roman" w:hAnsi="Times New Roman" w:cs="Times New Roman" w:eastAsia="Times New Roman" w:hint="default"/>
                <w:sz w:val="18"/>
                <w:szCs w:val="18"/>
              </w:rPr>
            </w:pPr>
            <w:r>
              <w:rPr>
                <w:rFonts w:ascii="Times New Roman"/>
                <w:sz w:val="18"/>
              </w:rPr>
              <w:t>15%</w:t>
            </w:r>
          </w:p>
        </w:tc>
      </w:tr>
    </w:tbl>
    <w:p>
      <w:pPr>
        <w:spacing w:line="240" w:lineRule="auto" w:before="8"/>
        <w:rPr>
          <w:rFonts w:ascii="宋体" w:hAnsi="宋体" w:cs="宋体" w:eastAsia="宋体" w:hint="default"/>
          <w:sz w:val="23"/>
          <w:szCs w:val="23"/>
        </w:rPr>
      </w:pPr>
    </w:p>
    <w:p>
      <w:pPr>
        <w:pStyle w:val="Heading4"/>
        <w:spacing w:line="240" w:lineRule="auto" w:before="36"/>
        <w:ind w:right="98"/>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12"/>
        <w:rPr>
          <w:rFonts w:ascii="宋体" w:hAnsi="宋体" w:cs="宋体" w:eastAsia="宋体" w:hint="default"/>
          <w:b/>
          <w:bCs/>
          <w:sz w:val="29"/>
          <w:szCs w:val="29"/>
        </w:rPr>
      </w:pPr>
    </w:p>
    <w:p>
      <w:pPr>
        <w:pStyle w:val="BodyText"/>
        <w:spacing w:line="408" w:lineRule="auto"/>
        <w:ind w:left="573" w:right="98"/>
        <w:jc w:val="left"/>
      </w:pPr>
      <w:r>
        <w:rPr/>
        <w:t>（</w:t>
      </w:r>
      <w:r>
        <w:rPr>
          <w:rFonts w:ascii="宋体" w:hAnsi="宋体" w:cs="宋体" w:eastAsia="宋体" w:hint="default"/>
        </w:rPr>
        <w:t>1</w:t>
      </w:r>
      <w:r>
        <w:rPr/>
        <w:t>）企业所得税</w:t>
      </w:r>
      <w:r>
        <w:rPr>
          <w:w w:val="100"/>
        </w:rPr>
        <w:t> </w:t>
      </w:r>
      <w:r>
        <w:rPr>
          <w:spacing w:val="-2"/>
        </w:rPr>
        <w:t>本公司之子公司神州数码系统集成服务有限公司</w:t>
      </w:r>
      <w:r>
        <w:rPr>
          <w:rFonts w:ascii="宋体" w:hAnsi="宋体" w:cs="宋体" w:eastAsia="宋体" w:hint="default"/>
          <w:spacing w:val="-2"/>
        </w:rPr>
        <w:t>2009</w:t>
      </w:r>
      <w:r>
        <w:rPr>
          <w:spacing w:val="-2"/>
        </w:rPr>
        <w:t>年</w:t>
      </w:r>
      <w:r>
        <w:rPr>
          <w:rFonts w:ascii="宋体" w:hAnsi="宋体" w:cs="宋体" w:eastAsia="宋体" w:hint="default"/>
          <w:spacing w:val="-2"/>
        </w:rPr>
        <w:t>6</w:t>
      </w:r>
      <w:r>
        <w:rPr>
          <w:spacing w:val="-2"/>
        </w:rPr>
        <w:t>月取得高新技术企业认证</w:t>
      </w:r>
      <w:r>
        <w:rPr>
          <w:rFonts w:ascii="宋体" w:hAnsi="宋体" w:cs="宋体" w:eastAsia="宋体" w:hint="default"/>
          <w:spacing w:val="-2"/>
        </w:rPr>
        <w:t>,</w:t>
      </w:r>
      <w:r>
        <w:rPr>
          <w:spacing w:val="-2"/>
        </w:rPr>
        <w:t>并于</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月通</w:t>
      </w:r>
      <w:r>
        <w:rPr/>
      </w:r>
    </w:p>
    <w:p>
      <w:pPr>
        <w:pStyle w:val="BodyText"/>
        <w:spacing w:line="408" w:lineRule="auto" w:before="46"/>
        <w:ind w:right="98"/>
        <w:jc w:val="left"/>
      </w:pPr>
      <w:r>
        <w:rPr/>
        <w:t>过高新技术企业复审。根据《中华人民共和国企业所得税法》规定，自获得高新技术企业认定后三年内，</w:t>
      </w:r>
      <w:r>
        <w:rPr>
          <w:spacing w:val="-31"/>
        </w:rPr>
        <w:t> </w:t>
      </w:r>
      <w:r>
        <w:rPr>
          <w:spacing w:val="-31"/>
        </w:rPr>
      </w:r>
      <w:r>
        <w:rPr/>
        <w:t>将享受按</w:t>
      </w:r>
      <w:r>
        <w:rPr>
          <w:rFonts w:ascii="宋体" w:hAnsi="宋体" w:cs="宋体" w:eastAsia="宋体" w:hint="default"/>
        </w:rPr>
        <w:t>15%</w:t>
      </w:r>
      <w:r>
        <w:rPr/>
        <w:t>的税率征收企业所得税的税收优惠政策。</w:t>
      </w:r>
      <w:r>
        <w:rPr>
          <w:spacing w:val="-13"/>
        </w:rPr>
        <w:t> </w:t>
      </w:r>
      <w:r>
        <w:rPr>
          <w:rFonts w:ascii="宋体" w:hAnsi="宋体" w:cs="宋体" w:eastAsia="宋体" w:hint="default"/>
        </w:rPr>
        <w:t>2014</w:t>
      </w:r>
      <w:r>
        <w:rPr/>
        <w:t>年适用所得税税率为</w:t>
      </w:r>
      <w:r>
        <w:rPr>
          <w:rFonts w:ascii="宋体" w:hAnsi="宋体" w:cs="宋体" w:eastAsia="宋体" w:hint="default"/>
        </w:rPr>
        <w:t>15%</w:t>
      </w:r>
      <w:r>
        <w:rPr/>
        <w:t>。</w:t>
      </w:r>
    </w:p>
    <w:p>
      <w:pPr>
        <w:pStyle w:val="BodyText"/>
        <w:spacing w:line="408" w:lineRule="auto" w:before="46"/>
        <w:ind w:right="98" w:firstLine="420"/>
        <w:jc w:val="left"/>
      </w:pPr>
      <w:r>
        <w:rPr/>
        <w:t>神州数码系统集成服务有限公司之子公司神州数码国信信息技术（苏州）有限公司自</w:t>
      </w:r>
      <w:r>
        <w:rPr>
          <w:rFonts w:ascii="宋体" w:hAnsi="宋体" w:cs="宋体" w:eastAsia="宋体" w:hint="default"/>
        </w:rPr>
        <w:t>2008</w:t>
      </w:r>
      <w:r>
        <w:rPr/>
        <w:t>年</w:t>
      </w:r>
      <w:r>
        <w:rPr>
          <w:rFonts w:ascii="宋体" w:hAnsi="宋体" w:cs="宋体" w:eastAsia="宋体" w:hint="default"/>
        </w:rPr>
        <w:t>9</w:t>
      </w:r>
      <w:r>
        <w:rPr/>
        <w:t>月取得</w:t>
      </w:r>
      <w:r>
        <w:rPr>
          <w:w w:val="100"/>
        </w:rPr>
        <w:t> </w:t>
      </w:r>
      <w:r>
        <w:rPr>
          <w:spacing w:val="-3"/>
        </w:rPr>
        <w:t>高新技术企业认证，</w:t>
      </w:r>
      <w:r>
        <w:rPr>
          <w:rFonts w:ascii="宋体" w:hAnsi="宋体" w:cs="宋体" w:eastAsia="宋体" w:hint="default"/>
          <w:spacing w:val="-3"/>
        </w:rPr>
        <w:t>2011</w:t>
      </w:r>
      <w:r>
        <w:rPr>
          <w:spacing w:val="-3"/>
        </w:rPr>
        <w:t>年</w:t>
      </w:r>
      <w:r>
        <w:rPr>
          <w:rFonts w:ascii="宋体" w:hAnsi="宋体" w:cs="宋体" w:eastAsia="宋体" w:hint="default"/>
          <w:spacing w:val="-3"/>
        </w:rPr>
        <w:t>9</w:t>
      </w:r>
      <w:r>
        <w:rPr>
          <w:spacing w:val="-3"/>
        </w:rPr>
        <w:t>月通过高新技术企业复审， </w:t>
      </w:r>
      <w:r>
        <w:rPr>
          <w:rFonts w:ascii="宋体" w:hAnsi="宋体" w:cs="宋体" w:eastAsia="宋体" w:hint="default"/>
          <w:spacing w:val="-4"/>
        </w:rPr>
        <w:t>2014</w:t>
      </w:r>
      <w:r>
        <w:rPr>
          <w:spacing w:val="-4"/>
        </w:rPr>
        <w:t>年</w:t>
      </w:r>
      <w:r>
        <w:rPr>
          <w:rFonts w:ascii="宋体" w:hAnsi="宋体" w:cs="宋体" w:eastAsia="宋体" w:hint="default"/>
          <w:spacing w:val="-4"/>
        </w:rPr>
        <w:t>6</w:t>
      </w:r>
      <w:r>
        <w:rPr>
          <w:spacing w:val="-4"/>
        </w:rPr>
        <w:t>月通过高新技术企业重新认定。根据《中</w:t>
      </w:r>
      <w:r>
        <w:rPr>
          <w:spacing w:val="-67"/>
        </w:rPr>
        <w:t> </w:t>
      </w:r>
      <w:r>
        <w:rPr>
          <w:spacing w:val="-67"/>
        </w:rPr>
      </w:r>
      <w:r>
        <w:rPr/>
        <w:t>华人民共和国企业所得税法》规定，自获得高新技术企业认定后三年内，将享受按</w:t>
      </w:r>
      <w:r>
        <w:rPr>
          <w:rFonts w:ascii="宋体" w:hAnsi="宋体" w:cs="宋体" w:eastAsia="宋体" w:hint="default"/>
        </w:rPr>
        <w:t>15%</w:t>
      </w:r>
      <w:r>
        <w:rPr/>
        <w:t>的税率征收企业所</w:t>
      </w:r>
      <w:r>
        <w:rPr>
          <w:w w:val="100"/>
        </w:rPr>
        <w:t> </w:t>
      </w:r>
      <w:r>
        <w:rPr/>
        <w:t>得税的税收优惠政策。</w:t>
      </w:r>
      <w:r>
        <w:rPr>
          <w:rFonts w:ascii="宋体" w:hAnsi="宋体" w:cs="宋体" w:eastAsia="宋体" w:hint="default"/>
        </w:rPr>
        <w:t>2014</w:t>
      </w:r>
      <w:r>
        <w:rPr/>
        <w:t>年适用所得税税率为</w:t>
      </w:r>
      <w:r>
        <w:rPr>
          <w:rFonts w:ascii="宋体" w:hAnsi="宋体" w:cs="宋体" w:eastAsia="宋体" w:hint="default"/>
        </w:rPr>
        <w:t>15%</w:t>
      </w:r>
      <w:r>
        <w:rPr/>
        <w:t>。</w:t>
      </w:r>
    </w:p>
    <w:p>
      <w:pPr>
        <w:pStyle w:val="BodyText"/>
        <w:spacing w:line="408" w:lineRule="auto" w:before="46"/>
        <w:ind w:right="98" w:firstLine="420"/>
        <w:jc w:val="left"/>
      </w:pPr>
      <w:r>
        <w:rPr/>
        <w:t>神州数码系统集成服务有限公司之子公司</w:t>
      </w:r>
      <w:r>
        <w:rPr>
          <w:rFonts w:ascii="宋体" w:hAnsi="宋体" w:cs="宋体" w:eastAsia="宋体" w:hint="default"/>
        </w:rPr>
        <w:t>Digital</w:t>
      </w:r>
      <w:r>
        <w:rPr>
          <w:rFonts w:ascii="宋体" w:hAnsi="宋体" w:cs="宋体" w:eastAsia="宋体" w:hint="default"/>
          <w:spacing w:val="-50"/>
        </w:rPr>
        <w:t> </w:t>
      </w:r>
      <w:r>
        <w:rPr>
          <w:rFonts w:ascii="宋体" w:hAnsi="宋体" w:cs="宋体" w:eastAsia="宋体" w:hint="default"/>
        </w:rPr>
        <w:t>China</w:t>
      </w:r>
      <w:r>
        <w:rPr>
          <w:rFonts w:ascii="宋体" w:hAnsi="宋体" w:cs="宋体" w:eastAsia="宋体" w:hint="default"/>
          <w:spacing w:val="-50"/>
        </w:rPr>
        <w:t> </w:t>
      </w:r>
      <w:r>
        <w:rPr>
          <w:rFonts w:ascii="宋体" w:hAnsi="宋体" w:cs="宋体" w:eastAsia="宋体" w:hint="default"/>
        </w:rPr>
        <w:t>Software</w:t>
      </w:r>
      <w:r>
        <w:rPr>
          <w:rFonts w:ascii="宋体" w:hAnsi="宋体" w:cs="宋体" w:eastAsia="宋体" w:hint="default"/>
          <w:spacing w:val="-47"/>
        </w:rPr>
        <w:t> </w:t>
      </w:r>
      <w:r>
        <w:rPr>
          <w:rFonts w:ascii="宋体" w:hAnsi="宋体" w:cs="宋体" w:eastAsia="宋体" w:hint="default"/>
        </w:rPr>
        <w:t>(BVI)</w:t>
      </w:r>
      <w:r>
        <w:rPr>
          <w:rFonts w:ascii="宋体" w:hAnsi="宋体" w:cs="宋体" w:eastAsia="宋体" w:hint="default"/>
          <w:spacing w:val="-50"/>
        </w:rPr>
        <w:t> </w:t>
      </w:r>
      <w:r>
        <w:rPr>
          <w:rFonts w:ascii="宋体" w:hAnsi="宋体" w:cs="宋体" w:eastAsia="宋体" w:hint="default"/>
        </w:rPr>
        <w:t>Ltd.</w:t>
      </w:r>
      <w:r>
        <w:rPr/>
        <w:t>之子公司</w:t>
      </w:r>
      <w:r>
        <w:rPr>
          <w:rFonts w:ascii="宋体" w:hAnsi="宋体" w:cs="宋体" w:eastAsia="宋体" w:hint="default"/>
        </w:rPr>
        <w:t>Digital</w:t>
      </w:r>
      <w:r>
        <w:rPr>
          <w:rFonts w:ascii="宋体" w:hAnsi="宋体" w:cs="宋体" w:eastAsia="宋体" w:hint="default"/>
          <w:spacing w:val="-50"/>
        </w:rPr>
        <w:t> </w:t>
      </w:r>
      <w:r>
        <w:rPr>
          <w:rFonts w:ascii="宋体" w:hAnsi="宋体" w:cs="宋体" w:eastAsia="宋体" w:hint="default"/>
        </w:rPr>
        <w:t>China</w:t>
      </w:r>
      <w:r>
        <w:rPr>
          <w:rFonts w:ascii="宋体" w:hAnsi="宋体" w:cs="宋体" w:eastAsia="宋体" w:hint="default"/>
          <w:w w:val="100"/>
        </w:rPr>
        <w:t> </w:t>
      </w:r>
      <w:r>
        <w:rPr>
          <w:rFonts w:ascii="宋体" w:hAnsi="宋体" w:cs="宋体" w:eastAsia="宋体" w:hint="default"/>
        </w:rPr>
        <w:t>Advance System</w:t>
      </w:r>
      <w:r>
        <w:rPr>
          <w:rFonts w:ascii="宋体" w:hAnsi="宋体" w:cs="宋体" w:eastAsia="宋体" w:hint="default"/>
          <w:spacing w:val="-5"/>
        </w:rPr>
        <w:t> </w:t>
      </w:r>
      <w:r>
        <w:rPr>
          <w:rFonts w:ascii="宋体" w:hAnsi="宋体" w:cs="宋体" w:eastAsia="宋体" w:hint="default"/>
        </w:rPr>
        <w:t>Ltd.</w:t>
      </w:r>
      <w:r>
        <w:rPr/>
        <w:t>申请海外收入税务优惠，不缴纳利得税。</w:t>
      </w:r>
    </w:p>
    <w:p>
      <w:pPr>
        <w:pStyle w:val="BodyText"/>
        <w:spacing w:line="408" w:lineRule="auto" w:before="46"/>
        <w:ind w:right="98" w:firstLine="420"/>
        <w:jc w:val="left"/>
      </w:pPr>
      <w:r>
        <w:rPr/>
        <w:t>根据国家发展和改革委员会、工业和信息化部、财政部、商务部和国家税务总局印发的发改高技</w:t>
      </w:r>
      <w:r>
        <w:rPr>
          <w:w w:val="100"/>
        </w:rPr>
        <w:t> </w:t>
      </w:r>
      <w:r>
        <w:rPr>
          <w:rFonts w:ascii="宋体" w:hAnsi="宋体" w:cs="宋体" w:eastAsia="宋体" w:hint="default"/>
        </w:rPr>
        <w:t>[2013]234</w:t>
      </w:r>
      <w:r>
        <w:rPr/>
        <w:t>、</w:t>
      </w:r>
      <w:r>
        <w:rPr>
          <w:rFonts w:ascii="宋体" w:hAnsi="宋体" w:cs="宋体" w:eastAsia="宋体" w:hint="default"/>
        </w:rPr>
        <w:t>2458</w:t>
      </w:r>
      <w:r>
        <w:rPr/>
        <w:t>号文件，</w:t>
      </w:r>
      <w:r>
        <w:rPr>
          <w:rFonts w:ascii="宋体" w:hAnsi="宋体" w:cs="宋体" w:eastAsia="宋体" w:hint="default"/>
        </w:rPr>
        <w:t>Digital China Financial Service Holding</w:t>
      </w:r>
      <w:r>
        <w:rPr>
          <w:rFonts w:ascii="宋体" w:hAnsi="宋体" w:cs="宋体" w:eastAsia="宋体" w:hint="default"/>
          <w:spacing w:val="-35"/>
        </w:rPr>
        <w:t> </w:t>
      </w:r>
      <w:r>
        <w:rPr>
          <w:rFonts w:ascii="宋体" w:hAnsi="宋体" w:cs="宋体" w:eastAsia="宋体" w:hint="default"/>
        </w:rPr>
        <w:t>Limited</w:t>
      </w:r>
      <w:r>
        <w:rPr/>
        <w:t>之子公司神州数码融信软</w:t>
      </w:r>
      <w:r>
        <w:rPr>
          <w:w w:val="100"/>
        </w:rPr>
        <w:t> </w:t>
      </w:r>
      <w:r>
        <w:rPr/>
        <w:t>件有限公司被核定为国家规划布局内重点软件企业，</w:t>
      </w:r>
      <w:r>
        <w:rPr>
          <w:rFonts w:ascii="宋体" w:hAnsi="宋体" w:cs="宋体" w:eastAsia="宋体" w:hint="default"/>
        </w:rPr>
        <w:t>2014</w:t>
      </w:r>
      <w:r>
        <w:rPr/>
        <w:t>年的适用税率为</w:t>
      </w:r>
      <w:r>
        <w:rPr>
          <w:rFonts w:ascii="宋体" w:hAnsi="宋体" w:cs="宋体" w:eastAsia="宋体" w:hint="default"/>
        </w:rPr>
        <w:t>10%</w:t>
      </w:r>
      <w:r>
        <w:rPr/>
        <w:t>。</w:t>
      </w:r>
    </w:p>
    <w:p>
      <w:pPr>
        <w:pStyle w:val="BodyText"/>
        <w:spacing w:line="240" w:lineRule="auto" w:before="46"/>
        <w:ind w:left="573" w:right="98"/>
        <w:jc w:val="left"/>
      </w:pPr>
      <w:r>
        <w:rPr/>
        <w:t>神州数码系统集成服务有限公司之子公司神州数码金信科技股份有限公司自</w:t>
      </w:r>
      <w:r>
        <w:rPr>
          <w:rFonts w:ascii="宋体" w:hAnsi="宋体" w:cs="宋体" w:eastAsia="宋体" w:hint="default"/>
        </w:rPr>
        <w:t>2008</w:t>
      </w:r>
      <w:r>
        <w:rPr/>
        <w:t>年</w:t>
      </w:r>
      <w:r>
        <w:rPr>
          <w:rFonts w:ascii="宋体" w:hAnsi="宋体" w:cs="宋体" w:eastAsia="宋体" w:hint="default"/>
        </w:rPr>
        <w:t>12</w:t>
      </w:r>
      <w:r>
        <w:rPr/>
        <w:t>月取得高新技</w:t>
      </w:r>
    </w:p>
    <w:p>
      <w:pPr>
        <w:spacing w:after="0" w:line="240" w:lineRule="auto"/>
        <w:jc w:val="left"/>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408" w:lineRule="auto" w:before="36"/>
        <w:ind w:right="390"/>
        <w:jc w:val="both"/>
      </w:pPr>
      <w:r>
        <w:rPr>
          <w:spacing w:val="-2"/>
        </w:rPr>
        <w:t>术企业认证，</w:t>
      </w:r>
      <w:r>
        <w:rPr>
          <w:rFonts w:ascii="宋体" w:hAnsi="宋体" w:cs="宋体" w:eastAsia="宋体" w:hint="default"/>
          <w:spacing w:val="-2"/>
        </w:rPr>
        <w:t>2011</w:t>
      </w:r>
      <w:r>
        <w:rPr>
          <w:spacing w:val="-2"/>
        </w:rPr>
        <w:t>年</w:t>
      </w:r>
      <w:r>
        <w:rPr>
          <w:rFonts w:ascii="宋体" w:hAnsi="宋体" w:cs="宋体" w:eastAsia="宋体" w:hint="default"/>
          <w:spacing w:val="-2"/>
        </w:rPr>
        <w:t>9</w:t>
      </w:r>
      <w:r>
        <w:rPr>
          <w:spacing w:val="-2"/>
        </w:rPr>
        <w:t>月通过高新技术企业复审，</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月通过高新技术企业重新认定。根据《中华人</w:t>
      </w:r>
      <w:r>
        <w:rPr>
          <w:spacing w:val="-18"/>
        </w:rPr>
        <w:t> </w:t>
      </w:r>
      <w:r>
        <w:rPr>
          <w:spacing w:val="-18"/>
        </w:rPr>
      </w:r>
      <w:r>
        <w:rPr>
          <w:spacing w:val="-2"/>
        </w:rPr>
        <w:t>民共和国企业所得税法》规定，自获得高新技术企业认定后三年内，将享受按</w:t>
      </w:r>
      <w:r>
        <w:rPr>
          <w:rFonts w:ascii="宋体" w:hAnsi="宋体" w:cs="宋体" w:eastAsia="宋体" w:hint="default"/>
          <w:spacing w:val="-2"/>
        </w:rPr>
        <w:t>15%</w:t>
      </w:r>
      <w:r>
        <w:rPr>
          <w:spacing w:val="-2"/>
        </w:rPr>
        <w:t>的税率征收企业所得税</w:t>
      </w:r>
      <w:r>
        <w:rPr>
          <w:spacing w:val="-20"/>
        </w:rPr>
        <w:t> </w:t>
      </w:r>
      <w:r>
        <w:rPr>
          <w:spacing w:val="-20"/>
        </w:rPr>
      </w:r>
      <w:r>
        <w:rPr/>
        <w:t>的税收优惠政策。</w:t>
      </w:r>
      <w:r>
        <w:rPr>
          <w:rFonts w:ascii="宋体" w:hAnsi="宋体" w:cs="宋体" w:eastAsia="宋体" w:hint="default"/>
        </w:rPr>
        <w:t>2014</w:t>
      </w:r>
      <w:r>
        <w:rPr/>
        <w:t>年适用所得税税率为</w:t>
      </w:r>
      <w:r>
        <w:rPr>
          <w:rFonts w:ascii="宋体" w:hAnsi="宋体" w:cs="宋体" w:eastAsia="宋体" w:hint="default"/>
        </w:rPr>
        <w:t>15%</w:t>
      </w:r>
      <w:r>
        <w:rPr/>
        <w:t>。</w:t>
      </w:r>
    </w:p>
    <w:p>
      <w:pPr>
        <w:pStyle w:val="BodyText"/>
        <w:spacing w:line="408" w:lineRule="auto" w:before="46"/>
        <w:ind w:right="0" w:firstLine="420"/>
        <w:jc w:val="left"/>
      </w:pPr>
      <w:r>
        <w:rPr/>
        <w:t>神州数码金信科技股份有限公司之子公司广州神州金信电子科技有限公司为软件生产企业，根据“财</w:t>
      </w:r>
      <w:r>
        <w:rPr>
          <w:w w:val="100"/>
        </w:rPr>
        <w:t> </w:t>
      </w:r>
      <w:r>
        <w:rPr/>
        <w:t>税</w:t>
      </w:r>
      <w:r>
        <w:rPr>
          <w:rFonts w:ascii="宋体" w:hAnsi="宋体" w:cs="宋体" w:eastAsia="宋体" w:hint="default"/>
        </w:rPr>
        <w:t>[2008]1</w:t>
      </w:r>
      <w:r>
        <w:rPr/>
        <w:t>号”文件，自获利年度起，第一年和第二年免征企业所得税，第三年至第五年减半征收企业所</w:t>
      </w:r>
      <w:r>
        <w:rPr>
          <w:w w:val="100"/>
        </w:rPr>
        <w:t> </w:t>
      </w:r>
      <w:r>
        <w:rPr>
          <w:spacing w:val="-7"/>
          <w:w w:val="100"/>
        </w:rPr>
        <w:t>得税。该公司</w:t>
      </w:r>
      <w:r>
        <w:rPr>
          <w:rFonts w:ascii="宋体" w:hAnsi="宋体" w:cs="宋体" w:eastAsia="宋体" w:hint="default"/>
          <w:spacing w:val="-7"/>
          <w:w w:val="100"/>
        </w:rPr>
        <w:t>2010</w:t>
      </w:r>
      <w:r>
        <w:rPr>
          <w:spacing w:val="-7"/>
          <w:w w:val="100"/>
        </w:rPr>
        <w:t>年为第一个获利年度，</w:t>
      </w:r>
      <w:r>
        <w:rPr>
          <w:rFonts w:ascii="宋体" w:hAnsi="宋体" w:cs="宋体" w:eastAsia="宋体" w:hint="default"/>
          <w:spacing w:val="-7"/>
          <w:w w:val="100"/>
        </w:rPr>
        <w:t>2010</w:t>
      </w:r>
      <w:r>
        <w:rPr>
          <w:spacing w:val="-7"/>
          <w:w w:val="100"/>
        </w:rPr>
        <w:t>年和</w:t>
      </w:r>
      <w:r>
        <w:rPr>
          <w:rFonts w:ascii="宋体" w:hAnsi="宋体" w:cs="宋体" w:eastAsia="宋体" w:hint="default"/>
          <w:spacing w:val="-7"/>
          <w:w w:val="100"/>
        </w:rPr>
        <w:t>2011</w:t>
      </w:r>
      <w:r>
        <w:rPr>
          <w:spacing w:val="-7"/>
          <w:w w:val="100"/>
        </w:rPr>
        <w:t>年免税，</w:t>
      </w:r>
      <w:r>
        <w:rPr>
          <w:rFonts w:ascii="宋体" w:hAnsi="宋体" w:cs="宋体" w:eastAsia="宋体" w:hint="default"/>
          <w:spacing w:val="-7"/>
          <w:w w:val="100"/>
        </w:rPr>
        <w:t>2012</w:t>
      </w:r>
      <w:r>
        <w:rPr>
          <w:spacing w:val="-7"/>
          <w:w w:val="100"/>
        </w:rPr>
        <w:t>年、</w:t>
      </w:r>
      <w:r>
        <w:rPr>
          <w:rFonts w:ascii="宋体" w:hAnsi="宋体" w:cs="宋体" w:eastAsia="宋体" w:hint="default"/>
          <w:spacing w:val="-7"/>
          <w:w w:val="100"/>
        </w:rPr>
        <w:t>2013</w:t>
      </w:r>
      <w:r>
        <w:rPr>
          <w:spacing w:val="-7"/>
          <w:w w:val="100"/>
        </w:rPr>
        <w:t>年和</w:t>
      </w:r>
      <w:r>
        <w:rPr>
          <w:rFonts w:ascii="宋体" w:hAnsi="宋体" w:cs="宋体" w:eastAsia="宋体" w:hint="default"/>
          <w:spacing w:val="-7"/>
          <w:w w:val="100"/>
        </w:rPr>
        <w:t>2014</w:t>
      </w:r>
      <w:r>
        <w:rPr>
          <w:spacing w:val="-7"/>
          <w:w w:val="100"/>
        </w:rPr>
        <w:t>年所得税税率为</w:t>
      </w:r>
      <w:r>
        <w:rPr>
          <w:rFonts w:ascii="宋体" w:hAnsi="宋体" w:cs="宋体" w:eastAsia="宋体" w:hint="default"/>
          <w:spacing w:val="-7"/>
          <w:w w:val="100"/>
        </w:rPr>
        <w:t>12.5%</w:t>
      </w:r>
      <w:r>
        <w:rPr>
          <w:spacing w:val="-7"/>
          <w:w w:val="100"/>
        </w:rPr>
        <w:t>。</w:t>
      </w:r>
    </w:p>
    <w:p>
      <w:pPr>
        <w:pStyle w:val="BodyText"/>
        <w:spacing w:line="408" w:lineRule="auto" w:before="46"/>
        <w:ind w:right="0" w:firstLine="420"/>
        <w:jc w:val="left"/>
      </w:pPr>
      <w:r>
        <w:rPr/>
        <w:t>本公司之子公司北京中农信达信息技术有限公司</w:t>
      </w:r>
      <w:r>
        <w:rPr>
          <w:rFonts w:ascii="宋体" w:hAnsi="宋体" w:cs="宋体" w:eastAsia="宋体" w:hint="default"/>
        </w:rPr>
        <w:t>2010</w:t>
      </w:r>
      <w:r>
        <w:rPr/>
        <w:t>年</w:t>
      </w:r>
      <w:r>
        <w:rPr>
          <w:rFonts w:ascii="宋体" w:hAnsi="宋体" w:cs="宋体" w:eastAsia="宋体" w:hint="default"/>
        </w:rPr>
        <w:t>9</w:t>
      </w:r>
      <w:r>
        <w:rPr/>
        <w:t>月取得高新技术企业认证</w:t>
      </w:r>
      <w:r>
        <w:rPr>
          <w:rFonts w:ascii="宋体" w:hAnsi="宋体" w:cs="宋体" w:eastAsia="宋体" w:hint="default"/>
        </w:rPr>
        <w:t>,</w:t>
      </w:r>
      <w:r>
        <w:rPr>
          <w:rFonts w:ascii="宋体" w:hAnsi="宋体" w:cs="宋体" w:eastAsia="宋体" w:hint="default"/>
          <w:spacing w:val="-5"/>
        </w:rPr>
        <w:t> </w:t>
      </w:r>
      <w:r>
        <w:rPr>
          <w:rFonts w:ascii="宋体" w:hAnsi="宋体" w:cs="宋体" w:eastAsia="宋体" w:hint="default"/>
        </w:rPr>
        <w:t>2013</w:t>
      </w:r>
      <w:r>
        <w:rPr/>
        <w:t>年</w:t>
      </w:r>
      <w:r>
        <w:rPr>
          <w:rFonts w:ascii="宋体" w:hAnsi="宋体" w:cs="宋体" w:eastAsia="宋体" w:hint="default"/>
        </w:rPr>
        <w:t>11</w:t>
      </w:r>
      <w:r>
        <w:rPr/>
        <w:t>月通过</w:t>
      </w:r>
      <w:r>
        <w:rPr>
          <w:w w:val="100"/>
        </w:rPr>
        <w:t> </w:t>
      </w:r>
      <w:r>
        <w:rPr>
          <w:spacing w:val="-2"/>
        </w:rPr>
        <w:t>高新技术企业复审。根据《中华人民共和国企业所得税法》规定，自获得高新技术企业认定后三年内，将</w:t>
      </w:r>
      <w:r>
        <w:rPr>
          <w:spacing w:val="-43"/>
        </w:rPr>
        <w:t> </w:t>
      </w:r>
      <w:r>
        <w:rPr>
          <w:spacing w:val="-43"/>
        </w:rPr>
      </w:r>
      <w:r>
        <w:rPr/>
        <w:t>享受按</w:t>
      </w:r>
      <w:r>
        <w:rPr>
          <w:rFonts w:ascii="宋体" w:hAnsi="宋体" w:cs="宋体" w:eastAsia="宋体" w:hint="default"/>
        </w:rPr>
        <w:t>15%</w:t>
      </w:r>
      <w:r>
        <w:rPr/>
        <w:t>的税率征收企业所得税的税收优惠政策。</w:t>
      </w:r>
      <w:r>
        <w:rPr>
          <w:rFonts w:ascii="宋体" w:hAnsi="宋体" w:cs="宋体" w:eastAsia="宋体" w:hint="default"/>
        </w:rPr>
        <w:t>2014</w:t>
      </w:r>
      <w:r>
        <w:rPr/>
        <w:t>年适用所得税税率为</w:t>
      </w:r>
      <w:r>
        <w:rPr>
          <w:rFonts w:ascii="宋体" w:hAnsi="宋体" w:cs="宋体" w:eastAsia="宋体" w:hint="default"/>
        </w:rPr>
        <w:t>15%</w:t>
      </w:r>
      <w:r>
        <w:rPr/>
        <w:t>。</w:t>
      </w:r>
    </w:p>
    <w:p>
      <w:pPr>
        <w:pStyle w:val="BodyText"/>
        <w:spacing w:line="408" w:lineRule="auto" w:before="46"/>
        <w:ind w:left="573" w:right="0"/>
        <w:jc w:val="left"/>
      </w:pPr>
      <w:r>
        <w:rPr/>
        <w:t>（</w:t>
      </w:r>
      <w:r>
        <w:rPr>
          <w:rFonts w:ascii="宋体" w:hAnsi="宋体" w:cs="宋体" w:eastAsia="宋体" w:hint="default"/>
        </w:rPr>
        <w:t>2</w:t>
      </w:r>
      <w:r>
        <w:rPr/>
        <w:t>）增值税</w:t>
      </w:r>
      <w:r>
        <w:rPr>
          <w:w w:val="100"/>
        </w:rPr>
        <w:t> </w:t>
      </w:r>
      <w:r>
        <w:rPr>
          <w:spacing w:val="-2"/>
        </w:rPr>
        <w:t>根据国发</w:t>
      </w:r>
      <w:r>
        <w:rPr>
          <w:rFonts w:ascii="宋体" w:hAnsi="宋体" w:cs="宋体" w:eastAsia="宋体" w:hint="default"/>
          <w:spacing w:val="-2"/>
        </w:rPr>
        <w:t>[2011]4</w:t>
      </w:r>
      <w:r>
        <w:rPr>
          <w:spacing w:val="-2"/>
        </w:rPr>
        <w:t>号《国务院关于印发进一步鼓励软件产业和集成电路产业发展若干政策的通知》，</w:t>
      </w:r>
    </w:p>
    <w:p>
      <w:pPr>
        <w:pStyle w:val="BodyText"/>
        <w:spacing w:line="408" w:lineRule="auto" w:before="46"/>
        <w:ind w:right="0"/>
        <w:jc w:val="left"/>
      </w:pPr>
      <w:r>
        <w:rPr>
          <w:spacing w:val="-7"/>
        </w:rPr>
        <w:t>本公司之子公司神州数码系统集成服务有限公司、神州数码信息系统有限公司、神州数码国信信息技术（苏</w:t>
      </w:r>
      <w:r>
        <w:rPr>
          <w:spacing w:val="-17"/>
        </w:rPr>
        <w:t> </w:t>
      </w:r>
      <w:r>
        <w:rPr>
          <w:spacing w:val="-17"/>
        </w:rPr>
      </w:r>
      <w:r>
        <w:rPr>
          <w:spacing w:val="-2"/>
        </w:rPr>
        <w:t>州）有限公司、神州数码融信软件有限公司、神州数码金信科技股份有限公司、北京中农信达信息技术有</w:t>
      </w:r>
      <w:r>
        <w:rPr>
          <w:spacing w:val="-47"/>
        </w:rPr>
        <w:t> </w:t>
      </w:r>
      <w:r>
        <w:rPr>
          <w:spacing w:val="-47"/>
        </w:rPr>
      </w:r>
      <w:r>
        <w:rPr/>
        <w:t>限公司自</w:t>
      </w:r>
      <w:r>
        <w:rPr>
          <w:rFonts w:ascii="宋体" w:hAnsi="宋体" w:cs="宋体" w:eastAsia="宋体" w:hint="default"/>
        </w:rPr>
        <w:t>2011</w:t>
      </w:r>
      <w:r>
        <w:rPr/>
        <w:t>年销售其自行开发生产的软件产品，按</w:t>
      </w:r>
      <w:r>
        <w:rPr>
          <w:rFonts w:ascii="宋体" w:hAnsi="宋体" w:cs="宋体" w:eastAsia="宋体" w:hint="default"/>
        </w:rPr>
        <w:t>17%</w:t>
      </w:r>
      <w:r>
        <w:rPr/>
        <w:t>的法定税率征收增值税后，对增值税实际税负超</w:t>
      </w:r>
      <w:r>
        <w:rPr>
          <w:w w:val="100"/>
        </w:rPr>
        <w:t> </w:t>
      </w:r>
      <w:r>
        <w:rPr/>
        <w:t>过</w:t>
      </w:r>
      <w:r>
        <w:rPr>
          <w:rFonts w:ascii="宋体" w:hAnsi="宋体" w:cs="宋体" w:eastAsia="宋体" w:hint="default"/>
        </w:rPr>
        <w:t>3%</w:t>
      </w:r>
      <w:r>
        <w:rPr/>
        <w:t>的部分实行即征即退政策。</w:t>
      </w:r>
    </w:p>
    <w:p>
      <w:pPr>
        <w:spacing w:line="240" w:lineRule="auto" w:before="2"/>
        <w:rPr>
          <w:rFonts w:ascii="宋体" w:hAnsi="宋体" w:cs="宋体" w:eastAsia="宋体" w:hint="default"/>
          <w:sz w:val="22"/>
          <w:szCs w:val="22"/>
        </w:rPr>
      </w:pPr>
    </w:p>
    <w:p>
      <w:pPr>
        <w:pStyle w:val="Heading2"/>
        <w:spacing w:line="240" w:lineRule="auto" w:before="0"/>
        <w:ind w:right="0"/>
        <w:jc w:val="left"/>
        <w:rPr>
          <w:b w:val="0"/>
          <w:bCs w:val="0"/>
        </w:rPr>
      </w:pPr>
      <w:r>
        <w:rPr/>
        <w:t>七、合并财务报表项目注释</w:t>
      </w:r>
      <w:r>
        <w:rPr>
          <w:b w:val="0"/>
          <w:bCs w:val="0"/>
        </w:rPr>
      </w:r>
    </w:p>
    <w:p>
      <w:pPr>
        <w:spacing w:line="240" w:lineRule="auto" w:before="1"/>
        <w:rPr>
          <w:rFonts w:ascii="宋体" w:hAnsi="宋体" w:cs="宋体" w:eastAsia="宋体" w:hint="default"/>
          <w:b/>
          <w:bCs/>
          <w:sz w:val="29"/>
          <w:szCs w:val="29"/>
        </w:rPr>
      </w:pPr>
    </w:p>
    <w:p>
      <w:pPr>
        <w:pStyle w:val="Heading4"/>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9"/>
        <w:rPr>
          <w:rFonts w:ascii="宋体" w:hAnsi="宋体" w:cs="宋体" w:eastAsia="宋体" w:hint="default"/>
          <w:b/>
          <w:bCs/>
          <w:sz w:val="30"/>
          <w:szCs w:val="30"/>
        </w:rPr>
      </w:pPr>
    </w:p>
    <w:p>
      <w:pPr>
        <w:spacing w:before="0"/>
        <w:ind w:left="0" w:right="40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173"/>
        <w:gridCol w:w="3200"/>
        <w:gridCol w:w="3191"/>
      </w:tblGrid>
      <w:tr>
        <w:trPr>
          <w:trHeight w:val="460" w:hRule="exact"/>
        </w:trPr>
        <w:tc>
          <w:tcPr>
            <w:tcW w:w="317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56"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160"/>
              <w:ind w:right="16"/>
              <w:jc w:val="right"/>
              <w:rPr>
                <w:rFonts w:ascii="Times New Roman" w:hAnsi="Times New Roman" w:cs="Times New Roman" w:eastAsia="Times New Roman" w:hint="default"/>
                <w:sz w:val="18"/>
                <w:szCs w:val="18"/>
              </w:rPr>
            </w:pPr>
            <w:r>
              <w:rPr>
                <w:rFonts w:ascii="Times New Roman"/>
                <w:spacing w:val="-1"/>
                <w:sz w:val="18"/>
              </w:rPr>
              <w:t>18,255.22</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9"/>
              <w:jc w:val="right"/>
              <w:rPr>
                <w:rFonts w:ascii="Times New Roman" w:hAnsi="Times New Roman" w:cs="Times New Roman" w:eastAsia="Times New Roman" w:hint="default"/>
                <w:sz w:val="18"/>
                <w:szCs w:val="18"/>
              </w:rPr>
            </w:pPr>
            <w:r>
              <w:rPr>
                <w:rFonts w:ascii="Times New Roman"/>
                <w:spacing w:val="-1"/>
                <w:sz w:val="18"/>
              </w:rPr>
              <w:t>49,734.74</w:t>
            </w:r>
          </w:p>
        </w:tc>
      </w:tr>
      <w:tr>
        <w:trPr>
          <w:trHeight w:val="456"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1,700,775,604.66</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1,532,365,014.59</w:t>
            </w:r>
          </w:p>
        </w:tc>
      </w:tr>
      <w:tr>
        <w:trPr>
          <w:trHeight w:val="454"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1,578,917.03</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35,691,297.98</w:t>
            </w:r>
          </w:p>
        </w:tc>
      </w:tr>
      <w:tr>
        <w:trPr>
          <w:trHeight w:val="456"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1,702,372,776.91</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1,568,106,047.31</w:t>
            </w:r>
          </w:p>
        </w:tc>
      </w:tr>
      <w:tr>
        <w:trPr>
          <w:trHeight w:val="461" w:hRule="exact"/>
        </w:trPr>
        <w:tc>
          <w:tcPr>
            <w:tcW w:w="317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187"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0" w:type="dxa"/>
            <w:tcBorders>
              <w:top w:val="single" w:sz="6" w:space="0" w:color="000000"/>
              <w:left w:val="single" w:sz="13" w:space="0" w:color="D2D2D2"/>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85,434,396.48</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16,226,975.81</w:t>
            </w:r>
          </w:p>
        </w:tc>
      </w:tr>
    </w:tbl>
    <w:p>
      <w:pPr>
        <w:pStyle w:val="BodyText"/>
        <w:spacing w:line="408" w:lineRule="auto" w:before="66"/>
        <w:ind w:right="0" w:firstLine="420"/>
        <w:jc w:val="left"/>
      </w:pP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日其他货币资金受限金额</w:t>
      </w:r>
      <w:r>
        <w:rPr>
          <w:rFonts w:ascii="宋体" w:hAnsi="宋体" w:cs="宋体" w:eastAsia="宋体" w:hint="default"/>
          <w:spacing w:val="-2"/>
        </w:rPr>
        <w:t>1,578,917.03</w:t>
      </w:r>
      <w:r>
        <w:rPr>
          <w:spacing w:val="-2"/>
        </w:rPr>
        <w:t>元，其中，法院保证金</w:t>
      </w:r>
      <w:r>
        <w:rPr>
          <w:rFonts w:ascii="宋体" w:hAnsi="宋体" w:cs="宋体" w:eastAsia="宋体" w:hint="default"/>
          <w:spacing w:val="-2"/>
        </w:rPr>
        <w:t>1,436,417.03</w:t>
      </w:r>
      <w:r>
        <w:rPr>
          <w:spacing w:val="-2"/>
        </w:rPr>
        <w:t>元，履约保</w:t>
      </w:r>
      <w:r>
        <w:rPr>
          <w:w w:val="100"/>
        </w:rPr>
        <w:t> </w:t>
      </w:r>
      <w:r>
        <w:rPr/>
        <w:t>证金</w:t>
      </w:r>
      <w:r>
        <w:rPr>
          <w:rFonts w:ascii="宋体" w:hAnsi="宋体" w:cs="宋体" w:eastAsia="宋体" w:hint="default"/>
        </w:rPr>
        <w:t>142,500.00</w:t>
      </w:r>
      <w:r>
        <w:rPr/>
        <w:t>元。</w:t>
      </w:r>
    </w:p>
    <w:p>
      <w:pPr>
        <w:spacing w:after="0" w:line="408" w:lineRule="auto"/>
        <w:jc w:val="left"/>
        <w:sectPr>
          <w:pgSz w:w="11910" w:h="16840"/>
          <w:pgMar w:header="877" w:footer="1227" w:top="1100" w:bottom="1420" w:left="980" w:right="820"/>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4"/>
        <w:rPr>
          <w:rFonts w:ascii="宋体" w:hAnsi="宋体" w:cs="宋体" w:eastAsia="宋体" w:hint="default"/>
          <w:b/>
          <w:bCs/>
          <w:sz w:val="27"/>
          <w:szCs w:val="27"/>
        </w:rPr>
      </w:pPr>
    </w:p>
    <w:p>
      <w:pPr>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173"/>
        <w:gridCol w:w="3200"/>
        <w:gridCol w:w="3191"/>
      </w:tblGrid>
      <w:tr>
        <w:trPr>
          <w:trHeight w:val="457" w:hRule="exact"/>
        </w:trPr>
        <w:tc>
          <w:tcPr>
            <w:tcW w:w="317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5"/>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5"/>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5"/>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0"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9" w:space="0" w:color="000000"/>
              <w:left w:val="single" w:sz="13" w:space="0" w:color="D2D2D2"/>
              <w:bottom w:val="single" w:sz="6" w:space="0" w:color="000000"/>
              <w:right w:val="single" w:sz="6" w:space="0" w:color="000000"/>
            </w:tcBorders>
          </w:tcPr>
          <w:p>
            <w:pPr>
              <w:pStyle w:val="TableParagraph"/>
              <w:spacing w:line="240" w:lineRule="auto" w:before="162"/>
              <w:ind w:right="17"/>
              <w:jc w:val="right"/>
              <w:rPr>
                <w:rFonts w:ascii="Times New Roman" w:hAnsi="Times New Roman" w:cs="Times New Roman" w:eastAsia="Times New Roman" w:hint="default"/>
                <w:sz w:val="18"/>
                <w:szCs w:val="18"/>
              </w:rPr>
            </w:pPr>
            <w:r>
              <w:rPr>
                <w:rFonts w:ascii="Times New Roman"/>
                <w:spacing w:val="-1"/>
                <w:sz w:val="18"/>
              </w:rPr>
              <w:t>36,681,950.40</w:t>
            </w:r>
          </w:p>
        </w:tc>
        <w:tc>
          <w:tcPr>
            <w:tcW w:w="3191" w:type="dxa"/>
            <w:tcBorders>
              <w:top w:val="single" w:sz="9" w:space="0" w:color="000000"/>
              <w:left w:val="single" w:sz="6" w:space="0" w:color="000000"/>
              <w:bottom w:val="single" w:sz="6" w:space="0" w:color="000000"/>
              <w:right w:val="single" w:sz="12" w:space="0" w:color="000000"/>
            </w:tcBorders>
          </w:tcPr>
          <w:p>
            <w:pPr>
              <w:pStyle w:val="TableParagraph"/>
              <w:spacing w:line="240" w:lineRule="auto" w:before="162"/>
              <w:ind w:right="10"/>
              <w:jc w:val="right"/>
              <w:rPr>
                <w:rFonts w:ascii="Times New Roman" w:hAnsi="Times New Roman" w:cs="Times New Roman" w:eastAsia="Times New Roman" w:hint="default"/>
                <w:sz w:val="18"/>
                <w:szCs w:val="18"/>
              </w:rPr>
            </w:pPr>
            <w:r>
              <w:rPr>
                <w:rFonts w:ascii="Times New Roman"/>
                <w:spacing w:val="-1"/>
                <w:sz w:val="18"/>
              </w:rPr>
              <w:t>46,318,871.47</w:t>
            </w:r>
          </w:p>
        </w:tc>
      </w:tr>
      <w:tr>
        <w:trPr>
          <w:trHeight w:val="468"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0" w:type="dxa"/>
            <w:tcBorders>
              <w:top w:val="single" w:sz="6" w:space="0" w:color="000000"/>
              <w:left w:val="single" w:sz="13"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75" w:hRule="exact"/>
        </w:trPr>
        <w:tc>
          <w:tcPr>
            <w:tcW w:w="317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6" w:space="0" w:color="000000"/>
              <w:left w:val="single" w:sz="13" w:space="0" w:color="D2D2D2"/>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36,681,950.40</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46,318,871.47</w:t>
            </w:r>
          </w:p>
        </w:tc>
      </w:tr>
    </w:tbl>
    <w:p>
      <w:pPr>
        <w:spacing w:line="240" w:lineRule="auto" w:before="9"/>
        <w:rPr>
          <w:rFonts w:ascii="宋体" w:hAnsi="宋体" w:cs="宋体" w:eastAsia="宋体" w:hint="default"/>
          <w:sz w:val="23"/>
          <w:szCs w:val="23"/>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4"/>
        <w:rPr>
          <w:rFonts w:ascii="宋体" w:hAnsi="宋体" w:cs="宋体" w:eastAsia="宋体" w:hint="default"/>
          <w:b/>
          <w:bCs/>
          <w:sz w:val="27"/>
          <w:szCs w:val="27"/>
        </w:rPr>
      </w:pPr>
    </w:p>
    <w:p>
      <w:pPr>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173"/>
        <w:gridCol w:w="3200"/>
        <w:gridCol w:w="3191"/>
      </w:tblGrid>
      <w:tr>
        <w:trPr>
          <w:trHeight w:val="458" w:hRule="exact"/>
        </w:trPr>
        <w:tc>
          <w:tcPr>
            <w:tcW w:w="317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5"/>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5"/>
              <w:ind w:left="87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5"/>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69"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7"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12,031,199.00</w:t>
            </w: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0" w:type="dxa"/>
            <w:tcBorders>
              <w:top w:val="single" w:sz="6" w:space="0" w:color="000000"/>
              <w:left w:val="single" w:sz="13"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75" w:hRule="exact"/>
        </w:trPr>
        <w:tc>
          <w:tcPr>
            <w:tcW w:w="317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6" w:space="0" w:color="000000"/>
              <w:left w:val="single" w:sz="13" w:space="0" w:color="D2D2D2"/>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12,031,199.00</w:t>
            </w:r>
          </w:p>
        </w:tc>
        <w:tc>
          <w:tcPr>
            <w:tcW w:w="3191"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7"/>
          <w:szCs w:val="27"/>
        </w:rPr>
      </w:pPr>
    </w:p>
    <w:p>
      <w:pPr>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1906"/>
        <w:gridCol w:w="1709"/>
        <w:gridCol w:w="1172"/>
        <w:gridCol w:w="1781"/>
        <w:gridCol w:w="1066"/>
        <w:gridCol w:w="2000"/>
      </w:tblGrid>
      <w:tr>
        <w:trPr>
          <w:trHeight w:val="476" w:hRule="exact"/>
        </w:trPr>
        <w:tc>
          <w:tcPr>
            <w:tcW w:w="1906" w:type="dxa"/>
            <w:vMerge w:val="restart"/>
            <w:tcBorders>
              <w:top w:val="single" w:sz="12" w:space="0" w:color="000000"/>
              <w:left w:val="single" w:sz="12"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728" w:type="dxa"/>
            <w:gridSpan w:val="5"/>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8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69" w:hRule="exact"/>
        </w:trPr>
        <w:tc>
          <w:tcPr>
            <w:tcW w:w="1906" w:type="dxa"/>
            <w:vMerge/>
            <w:tcBorders>
              <w:left w:val="single" w:sz="12" w:space="0" w:color="000000"/>
              <w:right w:val="single" w:sz="6" w:space="0" w:color="000000"/>
            </w:tcBorders>
            <w:shd w:val="clear" w:color="auto" w:fill="BEBEBE"/>
          </w:tcPr>
          <w:p>
            <w:pPr/>
          </w:p>
        </w:tc>
        <w:tc>
          <w:tcPr>
            <w:tcW w:w="2881"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47"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000" w:type="dxa"/>
            <w:vMerge w:val="restart"/>
            <w:tcBorders>
              <w:top w:val="single" w:sz="6" w:space="0" w:color="000000"/>
              <w:left w:val="single" w:sz="6" w:space="0" w:color="000000"/>
              <w:right w:val="single" w:sz="12" w:space="0" w:color="000000"/>
            </w:tcBorders>
            <w:shd w:val="clear" w:color="auto" w:fill="BEBEBE"/>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68" w:hRule="exact"/>
        </w:trPr>
        <w:tc>
          <w:tcPr>
            <w:tcW w:w="1906" w:type="dxa"/>
            <w:vMerge/>
            <w:tcBorders>
              <w:left w:val="single" w:sz="12" w:space="0" w:color="000000"/>
              <w:bottom w:val="single" w:sz="6" w:space="0" w:color="000000"/>
              <w:right w:val="single" w:sz="6" w:space="0" w:color="000000"/>
            </w:tcBorders>
            <w:shd w:val="clear" w:color="auto" w:fill="BEBEBE"/>
          </w:tcPr>
          <w:p>
            <w:pPr/>
          </w:p>
        </w:tc>
        <w:tc>
          <w:tcPr>
            <w:tcW w:w="17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7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0"/>
              <w:ind w:left="3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8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0"/>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0"/>
              <w:ind w:left="2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2000" w:type="dxa"/>
            <w:vMerge/>
            <w:tcBorders>
              <w:left w:val="single" w:sz="6" w:space="0" w:color="000000"/>
              <w:bottom w:val="single" w:sz="6" w:space="0" w:color="000000"/>
              <w:right w:val="single" w:sz="12" w:space="0" w:color="000000"/>
            </w:tcBorders>
            <w:shd w:val="clear" w:color="auto" w:fill="BEBEBE"/>
          </w:tcPr>
          <w:p>
            <w:pPr/>
          </w:p>
        </w:tc>
      </w:tr>
      <w:tr>
        <w:trPr>
          <w:trHeight w:val="953" w:hRule="exact"/>
        </w:trPr>
        <w:tc>
          <w:tcPr>
            <w:tcW w:w="1906"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319" w:lineRule="auto" w:before="10"/>
              <w:ind w:left="93" w:right="98"/>
              <w:jc w:val="both"/>
              <w:rPr>
                <w:rFonts w:ascii="宋体" w:hAnsi="宋体" w:cs="宋体" w:eastAsia="宋体" w:hint="default"/>
                <w:sz w:val="18"/>
                <w:szCs w:val="18"/>
              </w:rPr>
            </w:pPr>
            <w:r>
              <w:rPr>
                <w:rFonts w:ascii="宋体" w:hAnsi="宋体" w:cs="宋体" w:eastAsia="宋体" w:hint="default"/>
                <w:spacing w:val="7"/>
                <w:sz w:val="18"/>
                <w:szCs w:val="18"/>
              </w:rPr>
              <w:t>单项金额重大并单项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计提坏账准备的应收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账款</w:t>
            </w:r>
          </w:p>
        </w:tc>
        <w:tc>
          <w:tcPr>
            <w:tcW w:w="1709"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1906"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316" w:lineRule="auto" w:before="8"/>
              <w:ind w:left="93" w:right="98"/>
              <w:jc w:val="left"/>
              <w:rPr>
                <w:rFonts w:ascii="宋体" w:hAnsi="宋体" w:cs="宋体" w:eastAsia="宋体" w:hint="default"/>
                <w:sz w:val="18"/>
                <w:szCs w:val="18"/>
              </w:rPr>
            </w:pPr>
            <w:r>
              <w:rPr>
                <w:rFonts w:ascii="宋体" w:hAnsi="宋体" w:cs="宋体" w:eastAsia="宋体" w:hint="default"/>
                <w:spacing w:val="7"/>
                <w:sz w:val="18"/>
                <w:szCs w:val="18"/>
              </w:rPr>
              <w:t>按组合计提计提坏账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准备的应收账款</w:t>
            </w:r>
          </w:p>
        </w:tc>
        <w:tc>
          <w:tcPr>
            <w:tcW w:w="1709"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1906"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80"/>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53,560,878.34</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2.17%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53,560,878.34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1"/>
              <w:jc w:val="right"/>
              <w:rPr>
                <w:rFonts w:ascii="Times New Roman" w:hAnsi="Times New Roman" w:cs="Times New Roman" w:eastAsia="Times New Roman" w:hint="default"/>
                <w:sz w:val="18"/>
                <w:szCs w:val="18"/>
              </w:rPr>
            </w:pPr>
            <w:r>
              <w:rPr>
                <w:rFonts w:ascii="Times New Roman"/>
                <w:sz w:val="18"/>
              </w:rPr>
              <w:t>100%</w:t>
            </w:r>
          </w:p>
        </w:tc>
        <w:tc>
          <w:tcPr>
            <w:tcW w:w="20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right="9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70" w:hRule="exact"/>
        </w:trPr>
        <w:tc>
          <w:tcPr>
            <w:tcW w:w="1906"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80"/>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II</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2,400,908,924.19</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97.08%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172,311,832.37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7.18%</w:t>
            </w:r>
          </w:p>
        </w:tc>
        <w:tc>
          <w:tcPr>
            <w:tcW w:w="20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right="92"/>
              <w:jc w:val="right"/>
              <w:rPr>
                <w:rFonts w:ascii="Times New Roman" w:hAnsi="Times New Roman" w:cs="Times New Roman" w:eastAsia="Times New Roman" w:hint="default"/>
                <w:sz w:val="18"/>
                <w:szCs w:val="18"/>
              </w:rPr>
            </w:pPr>
            <w:r>
              <w:rPr>
                <w:rFonts w:ascii="Times New Roman"/>
                <w:spacing w:val="-1"/>
                <w:sz w:val="18"/>
              </w:rPr>
              <w:t>2,228,597,091.82</w:t>
            </w:r>
          </w:p>
        </w:tc>
      </w:tr>
      <w:tr>
        <w:trPr>
          <w:trHeight w:val="468" w:hRule="exact"/>
        </w:trPr>
        <w:tc>
          <w:tcPr>
            <w:tcW w:w="1906"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77"/>
              <w:ind w:left="93"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10,857,500.00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0.44%</w:t>
            </w:r>
          </w:p>
        </w:tc>
        <w:tc>
          <w:tcPr>
            <w:tcW w:w="178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spacing w:val="-1"/>
                <w:sz w:val="18"/>
              </w:rPr>
              <w:t>10,857,500.00</w:t>
            </w:r>
          </w:p>
        </w:tc>
      </w:tr>
      <w:tr>
        <w:trPr>
          <w:trHeight w:val="475" w:hRule="exact"/>
        </w:trPr>
        <w:tc>
          <w:tcPr>
            <w:tcW w:w="1906" w:type="dxa"/>
            <w:tcBorders>
              <w:top w:val="single" w:sz="6"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b/>
                <w:bCs/>
                <w:sz w:val="18"/>
                <w:szCs w:val="18"/>
              </w:rPr>
              <w:t>组合小计</w:t>
            </w:r>
            <w:r>
              <w:rPr>
                <w:rFonts w:ascii="宋体" w:hAnsi="宋体" w:cs="宋体" w:eastAsia="宋体" w:hint="default"/>
                <w:sz w:val="18"/>
                <w:szCs w:val="18"/>
              </w:rPr>
            </w:r>
          </w:p>
        </w:tc>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b/>
                <w:spacing w:val="-1"/>
                <w:sz w:val="18"/>
              </w:rPr>
              <w:t>2,465,327,302.53</w:t>
            </w:r>
            <w:r>
              <w:rPr>
                <w:rFonts w:ascii="Times New Roman"/>
                <w:spacing w:val="-1"/>
                <w:sz w:val="18"/>
              </w:rPr>
            </w:r>
          </w:p>
        </w:tc>
        <w:tc>
          <w:tcPr>
            <w:tcW w:w="11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b/>
                <w:sz w:val="18"/>
              </w:rPr>
              <w:t>99.69%</w:t>
            </w:r>
            <w:r>
              <w:rPr>
                <w:rFonts w:ascii="Times New Roman"/>
                <w:sz w:val="18"/>
              </w:rPr>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b/>
                <w:spacing w:val="-1"/>
                <w:sz w:val="18"/>
              </w:rPr>
              <w:t>225,872,710.71</w:t>
            </w:r>
            <w:r>
              <w:rPr>
                <w:rFonts w:ascii="Times New Roman"/>
                <w:spacing w:val="-1"/>
                <w:sz w:val="18"/>
              </w:rPr>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b/>
                <w:sz w:val="18"/>
              </w:rPr>
              <w:t>9.16%</w:t>
            </w:r>
            <w:r>
              <w:rPr>
                <w:rFonts w:ascii="Times New Roman"/>
                <w:sz w:val="18"/>
              </w:rPr>
            </w:r>
          </w:p>
        </w:tc>
        <w:tc>
          <w:tcPr>
            <w:tcW w:w="20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7"/>
              <w:ind w:right="92"/>
              <w:jc w:val="right"/>
              <w:rPr>
                <w:rFonts w:ascii="Times New Roman" w:hAnsi="Times New Roman" w:cs="Times New Roman" w:eastAsia="Times New Roman" w:hint="default"/>
                <w:sz w:val="18"/>
                <w:szCs w:val="18"/>
              </w:rPr>
            </w:pPr>
            <w:r>
              <w:rPr>
                <w:rFonts w:ascii="Times New Roman"/>
                <w:b/>
                <w:spacing w:val="-1"/>
                <w:sz w:val="18"/>
              </w:rPr>
              <w:t>2,239,454,591.82</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906"/>
        <w:gridCol w:w="1709"/>
        <w:gridCol w:w="1172"/>
        <w:gridCol w:w="1781"/>
        <w:gridCol w:w="1066"/>
        <w:gridCol w:w="2000"/>
      </w:tblGrid>
      <w:tr>
        <w:trPr>
          <w:trHeight w:val="958" w:hRule="exact"/>
        </w:trPr>
        <w:tc>
          <w:tcPr>
            <w:tcW w:w="1906"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316" w:lineRule="auto" w:before="10"/>
              <w:ind w:left="93" w:right="98"/>
              <w:jc w:val="both"/>
              <w:rPr>
                <w:rFonts w:ascii="宋体" w:hAnsi="宋体" w:cs="宋体" w:eastAsia="宋体" w:hint="default"/>
                <w:sz w:val="18"/>
                <w:szCs w:val="18"/>
              </w:rPr>
            </w:pPr>
            <w:r>
              <w:rPr>
                <w:rFonts w:ascii="宋体" w:hAnsi="宋体" w:cs="宋体" w:eastAsia="宋体" w:hint="default"/>
                <w:spacing w:val="7"/>
                <w:sz w:val="18"/>
                <w:szCs w:val="18"/>
              </w:rPr>
              <w:t>单项金额虽不重大但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单项计提坏账准备的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应收账款</w:t>
            </w:r>
          </w:p>
        </w:tc>
        <w:tc>
          <w:tcPr>
            <w:tcW w:w="17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7,762,363.27</w:t>
            </w:r>
          </w:p>
        </w:tc>
        <w:tc>
          <w:tcPr>
            <w:tcW w:w="11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0.31%</w:t>
            </w:r>
          </w:p>
        </w:tc>
        <w:tc>
          <w:tcPr>
            <w:tcW w:w="17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7,762,363.27</w:t>
            </w:r>
          </w:p>
        </w:tc>
        <w:tc>
          <w:tcPr>
            <w:tcW w:w="10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1"/>
              <w:jc w:val="right"/>
              <w:rPr>
                <w:rFonts w:ascii="Times New Roman" w:hAnsi="Times New Roman" w:cs="Times New Roman" w:eastAsia="Times New Roman" w:hint="default"/>
                <w:sz w:val="18"/>
                <w:szCs w:val="18"/>
              </w:rPr>
            </w:pPr>
            <w:r>
              <w:rPr>
                <w:rFonts w:ascii="Times New Roman"/>
                <w:sz w:val="18"/>
              </w:rPr>
              <w:t>100%</w:t>
            </w:r>
          </w:p>
        </w:tc>
        <w:tc>
          <w:tcPr>
            <w:tcW w:w="200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75" w:hRule="exact"/>
        </w:trPr>
        <w:tc>
          <w:tcPr>
            <w:tcW w:w="1906" w:type="dxa"/>
            <w:tcBorders>
              <w:top w:val="single" w:sz="6"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b/>
                <w:spacing w:val="-1"/>
                <w:sz w:val="18"/>
              </w:rPr>
              <w:t>2,473,089,665.80</w:t>
            </w:r>
            <w:r>
              <w:rPr>
                <w:rFonts w:ascii="Times New Roman"/>
                <w:spacing w:val="-1"/>
                <w:sz w:val="18"/>
              </w:rPr>
            </w:r>
          </w:p>
        </w:tc>
        <w:tc>
          <w:tcPr>
            <w:tcW w:w="11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b/>
                <w:spacing w:val="-1"/>
                <w:sz w:val="18"/>
              </w:rPr>
              <w:t>233,635,073.98</w:t>
            </w:r>
            <w:r>
              <w:rPr>
                <w:rFonts w:ascii="Times New Roman"/>
                <w:spacing w:val="-1"/>
                <w:sz w:val="18"/>
              </w:rPr>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b/>
                <w:spacing w:val="-1"/>
                <w:sz w:val="18"/>
              </w:rPr>
              <w:t>9.45</w:t>
            </w:r>
            <w:r>
              <w:rPr>
                <w:rFonts w:ascii="Times New Roman"/>
                <w:spacing w:val="-1"/>
                <w:sz w:val="18"/>
              </w:rPr>
            </w:r>
          </w:p>
        </w:tc>
        <w:tc>
          <w:tcPr>
            <w:tcW w:w="20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7"/>
              <w:ind w:right="92"/>
              <w:jc w:val="right"/>
              <w:rPr>
                <w:rFonts w:ascii="Times New Roman" w:hAnsi="Times New Roman" w:cs="Times New Roman" w:eastAsia="Times New Roman" w:hint="default"/>
                <w:sz w:val="18"/>
                <w:szCs w:val="18"/>
              </w:rPr>
            </w:pPr>
            <w:r>
              <w:rPr>
                <w:rFonts w:ascii="Times New Roman"/>
                <w:b/>
                <w:spacing w:val="-1"/>
                <w:sz w:val="18"/>
              </w:rPr>
              <w:t>2,239,454,591.82</w:t>
            </w:r>
            <w:r>
              <w:rPr>
                <w:rFonts w:ascii="Times New Roman"/>
                <w:spacing w:val="-1"/>
                <w:sz w:val="18"/>
              </w:rPr>
            </w:r>
          </w:p>
        </w:tc>
      </w:tr>
    </w:tbl>
    <w:p>
      <w:pPr>
        <w:pStyle w:val="BodyText"/>
        <w:spacing w:line="240" w:lineRule="auto" w:before="83"/>
        <w:ind w:right="140"/>
        <w:jc w:val="left"/>
      </w:pPr>
      <w:r>
        <w:rPr/>
        <w:t>（续）</w:t>
      </w:r>
    </w:p>
    <w:p>
      <w:pPr>
        <w:spacing w:line="240" w:lineRule="auto" w:before="7"/>
        <w:rPr>
          <w:rFonts w:ascii="宋体" w:hAnsi="宋体" w:cs="宋体" w:eastAsia="宋体"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1906"/>
        <w:gridCol w:w="1709"/>
        <w:gridCol w:w="1172"/>
        <w:gridCol w:w="1802"/>
        <w:gridCol w:w="1069"/>
        <w:gridCol w:w="2007"/>
      </w:tblGrid>
      <w:tr>
        <w:trPr>
          <w:trHeight w:val="476" w:hRule="exact"/>
        </w:trPr>
        <w:tc>
          <w:tcPr>
            <w:tcW w:w="1906" w:type="dxa"/>
            <w:vMerge w:val="restart"/>
            <w:tcBorders>
              <w:top w:val="single" w:sz="12" w:space="0" w:color="000000"/>
              <w:left w:val="single" w:sz="12"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759" w:type="dxa"/>
            <w:gridSpan w:val="5"/>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8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69" w:hRule="exact"/>
        </w:trPr>
        <w:tc>
          <w:tcPr>
            <w:tcW w:w="1906" w:type="dxa"/>
            <w:vMerge/>
            <w:tcBorders>
              <w:left w:val="single" w:sz="12" w:space="0" w:color="000000"/>
              <w:right w:val="single" w:sz="6" w:space="0" w:color="000000"/>
            </w:tcBorders>
            <w:shd w:val="clear" w:color="auto" w:fill="BEBEBE"/>
          </w:tcPr>
          <w:p>
            <w:pPr/>
          </w:p>
        </w:tc>
        <w:tc>
          <w:tcPr>
            <w:tcW w:w="2881"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71"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007" w:type="dxa"/>
            <w:vMerge w:val="restart"/>
            <w:tcBorders>
              <w:top w:val="single" w:sz="6" w:space="0" w:color="000000"/>
              <w:left w:val="single" w:sz="6" w:space="0" w:color="000000"/>
              <w:right w:val="single" w:sz="12" w:space="0" w:color="000000"/>
            </w:tcBorders>
            <w:shd w:val="clear" w:color="auto" w:fill="BEBEBE"/>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68" w:hRule="exact"/>
        </w:trPr>
        <w:tc>
          <w:tcPr>
            <w:tcW w:w="1906" w:type="dxa"/>
            <w:vMerge/>
            <w:tcBorders>
              <w:left w:val="single" w:sz="12" w:space="0" w:color="000000"/>
              <w:bottom w:val="single" w:sz="6" w:space="0" w:color="000000"/>
              <w:right w:val="single" w:sz="6" w:space="0" w:color="000000"/>
            </w:tcBorders>
            <w:shd w:val="clear" w:color="auto" w:fill="BEBEBE"/>
          </w:tcPr>
          <w:p>
            <w:pPr/>
          </w:p>
        </w:tc>
        <w:tc>
          <w:tcPr>
            <w:tcW w:w="17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7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0"/>
              <w:ind w:left="3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0"/>
              <w:ind w:left="5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0"/>
              <w:ind w:left="2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2007" w:type="dxa"/>
            <w:vMerge/>
            <w:tcBorders>
              <w:left w:val="single" w:sz="6" w:space="0" w:color="000000"/>
              <w:bottom w:val="single" w:sz="6" w:space="0" w:color="000000"/>
              <w:right w:val="single" w:sz="12" w:space="0" w:color="000000"/>
            </w:tcBorders>
            <w:shd w:val="clear" w:color="auto" w:fill="BEBEBE"/>
          </w:tcPr>
          <w:p>
            <w:pPr/>
          </w:p>
        </w:tc>
      </w:tr>
      <w:tr>
        <w:trPr>
          <w:trHeight w:val="951" w:hRule="exact"/>
        </w:trPr>
        <w:tc>
          <w:tcPr>
            <w:tcW w:w="1906"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319" w:lineRule="auto" w:before="8"/>
              <w:ind w:left="93" w:right="98"/>
              <w:jc w:val="both"/>
              <w:rPr>
                <w:rFonts w:ascii="宋体" w:hAnsi="宋体" w:cs="宋体" w:eastAsia="宋体" w:hint="default"/>
                <w:sz w:val="18"/>
                <w:szCs w:val="18"/>
              </w:rPr>
            </w:pPr>
            <w:r>
              <w:rPr>
                <w:rFonts w:ascii="宋体" w:hAnsi="宋体" w:cs="宋体" w:eastAsia="宋体" w:hint="default"/>
                <w:spacing w:val="7"/>
                <w:sz w:val="18"/>
                <w:szCs w:val="18"/>
              </w:rPr>
              <w:t>单项金额重大并单项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计提坏账准备的应收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账款</w:t>
            </w:r>
          </w:p>
        </w:tc>
        <w:tc>
          <w:tcPr>
            <w:tcW w:w="1709"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
        </w:tc>
        <w:tc>
          <w:tcPr>
            <w:tcW w:w="2007" w:type="dxa"/>
            <w:tcBorders>
              <w:top w:val="single" w:sz="6" w:space="0" w:color="000000"/>
              <w:left w:val="single" w:sz="6" w:space="0" w:color="000000"/>
              <w:bottom w:val="single" w:sz="6" w:space="0" w:color="000000"/>
              <w:right w:val="single" w:sz="12" w:space="0" w:color="000000"/>
            </w:tcBorders>
          </w:tcPr>
          <w:p>
            <w:pPr/>
          </w:p>
        </w:tc>
      </w:tr>
      <w:tr>
        <w:trPr>
          <w:trHeight w:val="641" w:hRule="exact"/>
        </w:trPr>
        <w:tc>
          <w:tcPr>
            <w:tcW w:w="1906"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316" w:lineRule="auto" w:before="10"/>
              <w:ind w:left="93" w:right="98"/>
              <w:jc w:val="left"/>
              <w:rPr>
                <w:rFonts w:ascii="宋体" w:hAnsi="宋体" w:cs="宋体" w:eastAsia="宋体" w:hint="default"/>
                <w:sz w:val="18"/>
                <w:szCs w:val="18"/>
              </w:rPr>
            </w:pPr>
            <w:r>
              <w:rPr>
                <w:rFonts w:ascii="宋体" w:hAnsi="宋体" w:cs="宋体" w:eastAsia="宋体" w:hint="default"/>
                <w:spacing w:val="7"/>
                <w:sz w:val="18"/>
                <w:szCs w:val="18"/>
              </w:rPr>
              <w:t>按组合计提计提坏账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准备的应收账款</w:t>
            </w:r>
          </w:p>
        </w:tc>
        <w:tc>
          <w:tcPr>
            <w:tcW w:w="1709"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
        </w:tc>
        <w:tc>
          <w:tcPr>
            <w:tcW w:w="2007"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1906"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80"/>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98,751,441.81</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3.32%</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98,751,441.81</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1"/>
              <w:jc w:val="right"/>
              <w:rPr>
                <w:rFonts w:ascii="Times New Roman" w:hAnsi="Times New Roman" w:cs="Times New Roman" w:eastAsia="Times New Roman" w:hint="default"/>
                <w:sz w:val="18"/>
                <w:szCs w:val="18"/>
              </w:rPr>
            </w:pPr>
            <w:r>
              <w:rPr>
                <w:rFonts w:ascii="Times New Roman"/>
                <w:sz w:val="18"/>
              </w:rPr>
              <w:t>100%</w:t>
            </w:r>
          </w:p>
        </w:tc>
        <w:tc>
          <w:tcPr>
            <w:tcW w:w="20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right="9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70" w:hRule="exact"/>
        </w:trPr>
        <w:tc>
          <w:tcPr>
            <w:tcW w:w="1906"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80"/>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II</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2,862,255,404.65</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96.13%</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205,123,186.11</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7.17%</w:t>
            </w:r>
          </w:p>
        </w:tc>
        <w:tc>
          <w:tcPr>
            <w:tcW w:w="20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spacing w:val="-1"/>
                <w:sz w:val="18"/>
              </w:rPr>
              <w:t>2,657,132,218.54</w:t>
            </w:r>
          </w:p>
        </w:tc>
      </w:tr>
      <w:tr>
        <w:trPr>
          <w:trHeight w:val="468" w:hRule="exact"/>
        </w:trPr>
        <w:tc>
          <w:tcPr>
            <w:tcW w:w="1906"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77"/>
              <w:ind w:left="93"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8,779,803.72</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0.29%</w:t>
            </w:r>
          </w:p>
        </w:tc>
        <w:tc>
          <w:tcPr>
            <w:tcW w:w="1802"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
        </w:tc>
        <w:tc>
          <w:tcPr>
            <w:tcW w:w="20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0"/>
              <w:ind w:right="91"/>
              <w:jc w:val="right"/>
              <w:rPr>
                <w:rFonts w:ascii="Times New Roman" w:hAnsi="Times New Roman" w:cs="Times New Roman" w:eastAsia="Times New Roman" w:hint="default"/>
                <w:sz w:val="18"/>
                <w:szCs w:val="18"/>
              </w:rPr>
            </w:pPr>
            <w:r>
              <w:rPr>
                <w:rFonts w:ascii="Times New Roman"/>
                <w:spacing w:val="-1"/>
                <w:sz w:val="18"/>
              </w:rPr>
              <w:t>8,779,803.72</w:t>
            </w:r>
          </w:p>
        </w:tc>
      </w:tr>
      <w:tr>
        <w:trPr>
          <w:trHeight w:val="468" w:hRule="exact"/>
        </w:trPr>
        <w:tc>
          <w:tcPr>
            <w:tcW w:w="1906"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b/>
                <w:bCs/>
                <w:sz w:val="18"/>
                <w:szCs w:val="18"/>
              </w:rPr>
              <w:t>组合小计</w:t>
            </w:r>
            <w:r>
              <w:rPr>
                <w:rFonts w:ascii="宋体" w:hAnsi="宋体" w:cs="宋体" w:eastAsia="宋体" w:hint="default"/>
                <w:sz w:val="18"/>
                <w:szCs w:val="18"/>
              </w:rPr>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b/>
                <w:spacing w:val="-1"/>
                <w:sz w:val="18"/>
              </w:rPr>
              <w:t>2,969,786,650.18</w:t>
            </w:r>
            <w:r>
              <w:rPr>
                <w:rFonts w:ascii="Times New Roman"/>
                <w:spacing w:val="-1"/>
                <w:sz w:val="18"/>
              </w:rPr>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b/>
                <w:sz w:val="18"/>
              </w:rPr>
              <w:t>99.74%</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b/>
                <w:spacing w:val="-1"/>
                <w:sz w:val="18"/>
              </w:rPr>
              <w:t>303,874,627.92</w:t>
            </w:r>
            <w:r>
              <w:rPr>
                <w:rFonts w:ascii="Times New Roman"/>
                <w:spacing w:val="-1"/>
                <w:sz w:val="18"/>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b/>
                <w:sz w:val="18"/>
              </w:rPr>
              <w:t>10.23%</w:t>
            </w:r>
            <w:r>
              <w:rPr>
                <w:rFonts w:ascii="Times New Roman"/>
                <w:sz w:val="18"/>
              </w:rPr>
            </w:r>
          </w:p>
        </w:tc>
        <w:tc>
          <w:tcPr>
            <w:tcW w:w="20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b/>
                <w:spacing w:val="-1"/>
                <w:sz w:val="18"/>
              </w:rPr>
              <w:t>2,665,912,022.26</w:t>
            </w:r>
            <w:r>
              <w:rPr>
                <w:rFonts w:ascii="Times New Roman"/>
                <w:spacing w:val="-1"/>
                <w:sz w:val="18"/>
              </w:rPr>
            </w:r>
          </w:p>
        </w:tc>
      </w:tr>
      <w:tr>
        <w:trPr>
          <w:trHeight w:val="953" w:hRule="exact"/>
        </w:trPr>
        <w:tc>
          <w:tcPr>
            <w:tcW w:w="1906"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319" w:lineRule="auto" w:before="10"/>
              <w:ind w:left="93" w:right="98"/>
              <w:jc w:val="both"/>
              <w:rPr>
                <w:rFonts w:ascii="宋体" w:hAnsi="宋体" w:cs="宋体" w:eastAsia="宋体" w:hint="default"/>
                <w:sz w:val="18"/>
                <w:szCs w:val="18"/>
              </w:rPr>
            </w:pPr>
            <w:r>
              <w:rPr>
                <w:rFonts w:ascii="宋体" w:hAnsi="宋体" w:cs="宋体" w:eastAsia="宋体" w:hint="default"/>
                <w:spacing w:val="7"/>
                <w:sz w:val="18"/>
                <w:szCs w:val="18"/>
              </w:rPr>
              <w:t>单项金额虽不重大但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单项计提坏账准备的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应收账款</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7,762,363.27</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0.26%</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6"/>
              <w:jc w:val="right"/>
              <w:rPr>
                <w:rFonts w:ascii="Times New Roman" w:hAnsi="Times New Roman" w:cs="Times New Roman" w:eastAsia="Times New Roman" w:hint="default"/>
                <w:sz w:val="18"/>
                <w:szCs w:val="18"/>
              </w:rPr>
            </w:pPr>
            <w:r>
              <w:rPr>
                <w:rFonts w:ascii="Times New Roman"/>
                <w:spacing w:val="-1"/>
                <w:sz w:val="18"/>
              </w:rPr>
              <w:t>7,762,363.27</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1"/>
              <w:jc w:val="right"/>
              <w:rPr>
                <w:rFonts w:ascii="Times New Roman" w:hAnsi="Times New Roman" w:cs="Times New Roman" w:eastAsia="Times New Roman" w:hint="default"/>
                <w:sz w:val="18"/>
                <w:szCs w:val="18"/>
              </w:rPr>
            </w:pPr>
            <w:r>
              <w:rPr>
                <w:rFonts w:ascii="Times New Roman"/>
                <w:sz w:val="18"/>
              </w:rPr>
              <w:t>100%</w:t>
            </w:r>
          </w:p>
        </w:tc>
        <w:tc>
          <w:tcPr>
            <w:tcW w:w="20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75" w:hRule="exact"/>
        </w:trPr>
        <w:tc>
          <w:tcPr>
            <w:tcW w:w="1906" w:type="dxa"/>
            <w:tcBorders>
              <w:top w:val="single" w:sz="6"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77"/>
              <w:ind w:left="9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b/>
                <w:spacing w:val="-1"/>
                <w:sz w:val="18"/>
              </w:rPr>
              <w:t>2,977,549,013.45</w:t>
            </w:r>
            <w:r>
              <w:rPr>
                <w:rFonts w:ascii="Times New Roman"/>
                <w:spacing w:val="-1"/>
                <w:sz w:val="18"/>
              </w:rPr>
            </w:r>
          </w:p>
        </w:tc>
        <w:tc>
          <w:tcPr>
            <w:tcW w:w="11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8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b/>
                <w:spacing w:val="-1"/>
                <w:sz w:val="18"/>
              </w:rPr>
              <w:t>311,636,991.19</w:t>
            </w:r>
            <w:r>
              <w:rPr>
                <w:rFonts w:ascii="Times New Roman"/>
                <w:spacing w:val="-1"/>
                <w:sz w:val="18"/>
              </w:rPr>
            </w:r>
          </w:p>
        </w:tc>
        <w:tc>
          <w:tcPr>
            <w:tcW w:w="10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z w:val="18"/>
              </w:rPr>
              <w:t>10.47%</w:t>
            </w:r>
            <w:r>
              <w:rPr>
                <w:rFonts w:ascii="Times New Roman"/>
                <w:sz w:val="18"/>
              </w:rPr>
            </w:r>
          </w:p>
        </w:tc>
        <w:tc>
          <w:tcPr>
            <w:tcW w:w="20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2,665,912,022.26</w:t>
            </w:r>
            <w:r>
              <w:rPr>
                <w:rFonts w:ascii="Times New Roman"/>
                <w:spacing w:val="-1"/>
                <w:sz w:val="18"/>
              </w:rPr>
            </w:r>
          </w:p>
        </w:tc>
      </w:tr>
    </w:tbl>
    <w:p>
      <w:pPr>
        <w:pStyle w:val="BodyText"/>
        <w:spacing w:line="240" w:lineRule="auto" w:before="66"/>
        <w:ind w:right="140"/>
        <w:jc w:val="left"/>
      </w:pPr>
      <w:r>
        <w:rPr/>
        <w:t>期末单项金额重大并单项计提坏账准备的应收账款：</w:t>
      </w:r>
    </w:p>
    <w:p>
      <w:pPr>
        <w:spacing w:line="240" w:lineRule="auto" w:before="10"/>
        <w:rPr>
          <w:rFonts w:ascii="宋体" w:hAnsi="宋体" w:cs="宋体" w:eastAsia="宋体" w:hint="default"/>
          <w:sz w:val="14"/>
          <w:szCs w:val="14"/>
        </w:rPr>
      </w:pPr>
    </w:p>
    <w:p>
      <w:pPr>
        <w:pStyle w:val="BodyText"/>
        <w:spacing w:line="408" w:lineRule="auto"/>
        <w:ind w:right="4524"/>
        <w:jc w:val="left"/>
      </w:pPr>
      <w:r>
        <w:rPr/>
        <w:t>□ 适用√不适用</w:t>
      </w:r>
      <w:r>
        <w:rPr>
          <w:w w:val="100"/>
        </w:rPr>
        <w:t> </w:t>
      </w:r>
      <w:r>
        <w:rPr>
          <w:spacing w:val="-2"/>
        </w:rPr>
        <w:t>组合中，按账龄分析法计提坏账准备的应收账款：</w:t>
      </w:r>
    </w:p>
    <w:p>
      <w:pPr>
        <w:pStyle w:val="BodyText"/>
        <w:spacing w:line="408" w:lineRule="auto" w:before="46"/>
        <w:ind w:right="4524"/>
        <w:jc w:val="left"/>
      </w:pPr>
      <w:r>
        <w:rPr/>
        <w:t>√ 适用□不适用</w:t>
      </w:r>
      <w:r>
        <w:rPr>
          <w:w w:val="100"/>
        </w:rPr>
        <w:t> </w:t>
      </w:r>
      <w:r>
        <w:rPr>
          <w:spacing w:val="-2"/>
        </w:rPr>
        <w:t>组合中，采用账期组合</w:t>
      </w:r>
      <w:r>
        <w:rPr>
          <w:rFonts w:ascii="宋体" w:hAnsi="宋体" w:cs="宋体" w:eastAsia="宋体" w:hint="default"/>
          <w:spacing w:val="-2"/>
        </w:rPr>
        <w:t>II</w:t>
      </w:r>
      <w:r>
        <w:rPr>
          <w:spacing w:val="-2"/>
        </w:rPr>
        <w:t>计提坏账准备的应收账款</w:t>
      </w:r>
    </w:p>
    <w:p>
      <w:pPr>
        <w:spacing w:before="98"/>
        <w:ind w:left="0" w:right="2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9"/>
        <w:rPr>
          <w:rFonts w:ascii="宋体" w:hAnsi="宋体" w:cs="宋体" w:eastAsia="宋体"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1063"/>
        <w:gridCol w:w="1637"/>
        <w:gridCol w:w="1174"/>
        <w:gridCol w:w="1484"/>
        <w:gridCol w:w="1640"/>
        <w:gridCol w:w="1171"/>
        <w:gridCol w:w="1486"/>
      </w:tblGrid>
      <w:tr>
        <w:trPr>
          <w:trHeight w:val="478" w:hRule="exact"/>
        </w:trPr>
        <w:tc>
          <w:tcPr>
            <w:tcW w:w="1063" w:type="dxa"/>
            <w:vMerge w:val="restart"/>
            <w:tcBorders>
              <w:top w:val="single" w:sz="12" w:space="0" w:color="000000"/>
              <w:left w:val="single" w:sz="12" w:space="0" w:color="000000"/>
              <w:right w:val="single" w:sz="6" w:space="0" w:color="000000"/>
            </w:tcBorders>
            <w:shd w:val="clear" w:color="auto" w:fill="BEBEBE"/>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295" w:type="dxa"/>
            <w:gridSpan w:val="3"/>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0"/>
              <w:ind w:left="13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4297" w:type="dxa"/>
            <w:gridSpan w:val="3"/>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80"/>
              <w:ind w:left="13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68" w:hRule="exact"/>
        </w:trPr>
        <w:tc>
          <w:tcPr>
            <w:tcW w:w="1063" w:type="dxa"/>
            <w:vMerge/>
            <w:tcBorders>
              <w:left w:val="single" w:sz="12" w:space="0" w:color="000000"/>
              <w:bottom w:val="single" w:sz="6" w:space="0" w:color="000000"/>
              <w:right w:val="single" w:sz="6" w:space="0" w:color="000000"/>
            </w:tcBorders>
            <w:shd w:val="clear" w:color="auto" w:fill="BEBEBE"/>
          </w:tcPr>
          <w:p>
            <w:pPr/>
          </w:p>
        </w:tc>
        <w:tc>
          <w:tcPr>
            <w:tcW w:w="16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7"/>
              <w:ind w:left="17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4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7"/>
              <w:ind w:left="37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7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7"/>
              <w:ind w:left="17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486" w:type="dxa"/>
            <w:tcBorders>
              <w:top w:val="single" w:sz="6"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77"/>
              <w:ind w:left="37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68" w:hRule="exact"/>
        </w:trPr>
        <w:tc>
          <w:tcPr>
            <w:tcW w:w="1063"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149"/>
              <w:ind w:left="93" w:right="0"/>
              <w:jc w:val="left"/>
              <w:rPr>
                <w:rFonts w:ascii="宋体" w:hAnsi="宋体" w:cs="宋体" w:eastAsia="宋体" w:hint="default"/>
                <w:sz w:val="18"/>
                <w:szCs w:val="18"/>
              </w:rPr>
            </w:pPr>
            <w:r>
              <w:rPr>
                <w:rFonts w:ascii="宋体" w:hAnsi="宋体" w:cs="宋体" w:eastAsia="宋体" w:hint="default"/>
                <w:sz w:val="18"/>
                <w:szCs w:val="18"/>
              </w:rPr>
              <w:t>未超账期</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1,817,671,082.57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0.00%</w:t>
            </w:r>
          </w:p>
        </w:tc>
        <w:tc>
          <w:tcPr>
            <w:tcW w:w="1484" w:type="dxa"/>
            <w:tcBorders>
              <w:top w:val="single" w:sz="6" w:space="0" w:color="000000"/>
              <w:left w:val="single" w:sz="6" w:space="0" w:color="000000"/>
              <w:bottom w:val="single" w:sz="6" w:space="0" w:color="000000"/>
              <w:right w:val="single" w:sz="6" w:space="0" w:color="000000"/>
            </w:tcBorders>
          </w:tcPr>
          <w:p>
            <w:pP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2,239,775,072.41</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0.00%</w:t>
            </w:r>
          </w:p>
        </w:tc>
        <w:tc>
          <w:tcPr>
            <w:tcW w:w="1486"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1063"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152"/>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 </w:t>
            </w:r>
            <w:r>
              <w:rPr>
                <w:rFonts w:ascii="宋体" w:hAnsi="宋体" w:cs="宋体" w:eastAsia="宋体" w:hint="default"/>
                <w:sz w:val="18"/>
                <w:szCs w:val="18"/>
              </w:rPr>
              <w:t>天</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196,202,454.27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9,810,122.71</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239,620,682.89</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w:t>
            </w:r>
          </w:p>
        </w:tc>
        <w:tc>
          <w:tcPr>
            <w:tcW w:w="14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11,981,034.35</w:t>
            </w:r>
          </w:p>
        </w:tc>
      </w:tr>
      <w:tr>
        <w:trPr>
          <w:trHeight w:val="468" w:hRule="exact"/>
        </w:trPr>
        <w:tc>
          <w:tcPr>
            <w:tcW w:w="1063"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149"/>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168,397,874.00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10%</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16,839,787.40</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135,191,463.96</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10%</w:t>
            </w:r>
          </w:p>
        </w:tc>
        <w:tc>
          <w:tcPr>
            <w:tcW w:w="14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13,519,146.40</w:t>
            </w:r>
          </w:p>
        </w:tc>
      </w:tr>
      <w:tr>
        <w:trPr>
          <w:trHeight w:val="475" w:hRule="exact"/>
        </w:trPr>
        <w:tc>
          <w:tcPr>
            <w:tcW w:w="1063" w:type="dxa"/>
            <w:tcBorders>
              <w:top w:val="single" w:sz="6"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152"/>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181-270 </w:t>
            </w:r>
            <w:r>
              <w:rPr>
                <w:rFonts w:ascii="宋体" w:hAnsi="宋体" w:cs="宋体" w:eastAsia="宋体" w:hint="default"/>
                <w:sz w:val="18"/>
                <w:szCs w:val="18"/>
              </w:rPr>
              <w:t>天</w:t>
            </w:r>
          </w:p>
        </w:tc>
        <w:tc>
          <w:tcPr>
            <w:tcW w:w="16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71,665,426.40</w:t>
            </w:r>
          </w:p>
        </w:tc>
        <w:tc>
          <w:tcPr>
            <w:tcW w:w="11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20%</w:t>
            </w:r>
          </w:p>
        </w:tc>
        <w:tc>
          <w:tcPr>
            <w:tcW w:w="14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14,333,085.28</w:t>
            </w:r>
          </w:p>
        </w:tc>
        <w:tc>
          <w:tcPr>
            <w:tcW w:w="16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59,284,669.46</w:t>
            </w:r>
          </w:p>
        </w:tc>
        <w:tc>
          <w:tcPr>
            <w:tcW w:w="11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20%</w:t>
            </w:r>
          </w:p>
        </w:tc>
        <w:tc>
          <w:tcPr>
            <w:tcW w:w="14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11,856,933.89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063"/>
        <w:gridCol w:w="1637"/>
        <w:gridCol w:w="1174"/>
        <w:gridCol w:w="1484"/>
        <w:gridCol w:w="1640"/>
        <w:gridCol w:w="1171"/>
        <w:gridCol w:w="1486"/>
      </w:tblGrid>
      <w:tr>
        <w:trPr>
          <w:trHeight w:val="478" w:hRule="exact"/>
        </w:trPr>
        <w:tc>
          <w:tcPr>
            <w:tcW w:w="1063"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152"/>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271-360 </w:t>
            </w:r>
            <w:r>
              <w:rPr>
                <w:rFonts w:ascii="宋体" w:hAnsi="宋体" w:cs="宋体" w:eastAsia="宋体" w:hint="default"/>
                <w:sz w:val="18"/>
                <w:szCs w:val="18"/>
              </w:rPr>
              <w:t>天</w:t>
            </w:r>
          </w:p>
        </w:tc>
        <w:tc>
          <w:tcPr>
            <w:tcW w:w="16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31,286,501.03</w:t>
            </w:r>
          </w:p>
        </w:tc>
        <w:tc>
          <w:tcPr>
            <w:tcW w:w="11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50%</w:t>
            </w:r>
          </w:p>
        </w:tc>
        <w:tc>
          <w:tcPr>
            <w:tcW w:w="14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15,643,251.06</w:t>
            </w:r>
          </w:p>
        </w:tc>
        <w:tc>
          <w:tcPr>
            <w:tcW w:w="16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41,234,888.93</w:t>
            </w:r>
          </w:p>
        </w:tc>
        <w:tc>
          <w:tcPr>
            <w:tcW w:w="11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50%</w:t>
            </w:r>
          </w:p>
        </w:tc>
        <w:tc>
          <w:tcPr>
            <w:tcW w:w="148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20,617,444.47</w:t>
            </w:r>
          </w:p>
        </w:tc>
      </w:tr>
      <w:tr>
        <w:trPr>
          <w:trHeight w:val="468" w:hRule="exact"/>
        </w:trPr>
        <w:tc>
          <w:tcPr>
            <w:tcW w:w="1063"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149"/>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天以上</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115,685,585.92</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100%</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115,685,585.92</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147,148,627.00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100%</w:t>
            </w:r>
          </w:p>
        </w:tc>
        <w:tc>
          <w:tcPr>
            <w:tcW w:w="14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147,148,627.00</w:t>
            </w:r>
          </w:p>
        </w:tc>
      </w:tr>
      <w:tr>
        <w:trPr>
          <w:trHeight w:val="475" w:hRule="exact"/>
        </w:trPr>
        <w:tc>
          <w:tcPr>
            <w:tcW w:w="1063" w:type="dxa"/>
            <w:tcBorders>
              <w:top w:val="single" w:sz="6"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152"/>
              <w:ind w:left="9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2,400,908,924.19</w:t>
            </w:r>
            <w:r>
              <w:rPr>
                <w:rFonts w:ascii="Times New Roman"/>
                <w:spacing w:val="-1"/>
                <w:sz w:val="18"/>
              </w:rPr>
            </w:r>
          </w:p>
        </w:tc>
        <w:tc>
          <w:tcPr>
            <w:tcW w:w="1174" w:type="dxa"/>
            <w:tcBorders>
              <w:top w:val="single" w:sz="6" w:space="0" w:color="000000"/>
              <w:left w:val="single" w:sz="6" w:space="0" w:color="000000"/>
              <w:bottom w:val="single" w:sz="12" w:space="0" w:color="000000"/>
              <w:right w:val="single" w:sz="6" w:space="0" w:color="000000"/>
            </w:tcBorders>
          </w:tcPr>
          <w:p>
            <w:pPr/>
          </w:p>
        </w:tc>
        <w:tc>
          <w:tcPr>
            <w:tcW w:w="14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spacing w:val="-1"/>
                <w:sz w:val="18"/>
              </w:rPr>
              <w:t>172,311,832.37</w:t>
            </w:r>
            <w:r>
              <w:rPr>
                <w:rFonts w:ascii="Times New Roman"/>
                <w:spacing w:val="-1"/>
                <w:sz w:val="18"/>
              </w:rPr>
            </w:r>
          </w:p>
        </w:tc>
        <w:tc>
          <w:tcPr>
            <w:tcW w:w="16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2,862,255,404.65</w:t>
            </w:r>
            <w:r>
              <w:rPr>
                <w:rFonts w:ascii="Times New Roman"/>
                <w:spacing w:val="-1"/>
                <w:sz w:val="18"/>
              </w:rPr>
            </w:r>
          </w:p>
        </w:tc>
        <w:tc>
          <w:tcPr>
            <w:tcW w:w="1171" w:type="dxa"/>
            <w:tcBorders>
              <w:top w:val="single" w:sz="6" w:space="0" w:color="000000"/>
              <w:left w:val="single" w:sz="6" w:space="0" w:color="000000"/>
              <w:bottom w:val="single" w:sz="12" w:space="0" w:color="000000"/>
              <w:right w:val="single" w:sz="6" w:space="0" w:color="000000"/>
            </w:tcBorders>
          </w:tcPr>
          <w:p>
            <w:pPr/>
          </w:p>
        </w:tc>
        <w:tc>
          <w:tcPr>
            <w:tcW w:w="14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b/>
                <w:spacing w:val="-1"/>
                <w:sz w:val="18"/>
              </w:rPr>
              <w:t>205,123,186.11</w:t>
            </w:r>
            <w:r>
              <w:rPr>
                <w:rFonts w:ascii="Times New Roman"/>
                <w:spacing w:val="-1"/>
                <w:sz w:val="18"/>
              </w:rPr>
            </w:r>
          </w:p>
        </w:tc>
      </w:tr>
    </w:tbl>
    <w:p>
      <w:pPr>
        <w:pStyle w:val="BodyText"/>
        <w:spacing w:line="240" w:lineRule="auto" w:before="66"/>
        <w:ind w:right="140"/>
        <w:jc w:val="left"/>
      </w:pPr>
      <w:r>
        <w:rPr/>
        <w:t>组合中，采用余额百分比法计提坏账准备的应收账款：</w:t>
      </w:r>
    </w:p>
    <w:p>
      <w:pPr>
        <w:spacing w:line="240" w:lineRule="auto" w:before="10"/>
        <w:rPr>
          <w:rFonts w:ascii="宋体" w:hAnsi="宋体" w:cs="宋体" w:eastAsia="宋体" w:hint="default"/>
          <w:sz w:val="14"/>
          <w:szCs w:val="14"/>
        </w:rPr>
      </w:pPr>
    </w:p>
    <w:p>
      <w:pPr>
        <w:pStyle w:val="BodyText"/>
        <w:spacing w:line="240" w:lineRule="auto"/>
        <w:ind w:right="140"/>
        <w:jc w:val="left"/>
      </w:pPr>
      <w:r>
        <w:rPr/>
        <w:t>□</w:t>
      </w:r>
      <w:r>
        <w:rPr>
          <w:spacing w:val="-1"/>
        </w:rPr>
        <w:t> </w:t>
      </w:r>
      <w:r>
        <w:rPr/>
        <w:t>适用√不适用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line="561" w:lineRule="auto" w:before="0"/>
        <w:ind w:left="153" w:right="5677"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）本期计提、收回或转回的坏账准备情况</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本期计提坏账准备金额</w:t>
      </w:r>
      <w:r>
        <w:rPr>
          <w:rFonts w:ascii="宋体" w:hAnsi="宋体" w:cs="宋体" w:eastAsia="宋体" w:hint="default"/>
          <w:sz w:val="21"/>
          <w:szCs w:val="21"/>
        </w:rPr>
        <w:t>-42,979,865.40</w:t>
      </w:r>
      <w:r>
        <w:rPr>
          <w:rFonts w:ascii="宋体" w:hAnsi="宋体" w:cs="宋体" w:eastAsia="宋体" w:hint="default"/>
          <w:sz w:val="21"/>
          <w:szCs w:val="21"/>
        </w:rPr>
        <w:t>元；</w:t>
      </w:r>
    </w:p>
    <w:p>
      <w:pPr>
        <w:spacing w:line="240" w:lineRule="auto" w:before="8"/>
        <w:rPr>
          <w:rFonts w:ascii="宋体" w:hAnsi="宋体" w:cs="宋体" w:eastAsia="宋体" w:hint="default"/>
          <w:sz w:val="14"/>
          <w:szCs w:val="14"/>
        </w:rPr>
      </w:pPr>
    </w:p>
    <w:p>
      <w:pPr>
        <w:pStyle w:val="Heading4"/>
        <w:spacing w:line="240" w:lineRule="auto"/>
        <w:ind w:right="140"/>
        <w:jc w:val="left"/>
        <w:rPr>
          <w:b w:val="0"/>
          <w:bCs w:val="0"/>
        </w:rPr>
      </w:pPr>
      <w:r>
        <w:rPr/>
        <w:t>（</w:t>
      </w:r>
      <w:r>
        <w:rPr>
          <w:rFonts w:ascii="宋体" w:hAnsi="宋体" w:cs="宋体" w:eastAsia="宋体" w:hint="default"/>
        </w:rPr>
        <w:t>3</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45"/>
        <w:ind w:right="140"/>
        <w:jc w:val="left"/>
      </w:pPr>
      <w:r>
        <w:rPr>
          <w:spacing w:val="-2"/>
        </w:rPr>
        <w:t>本年按欠款方归集的年末余额前五名应收账款汇总金额</w:t>
      </w:r>
      <w:r>
        <w:rPr>
          <w:rFonts w:ascii="宋体" w:hAnsi="宋体" w:cs="宋体" w:eastAsia="宋体" w:hint="default"/>
          <w:spacing w:val="-2"/>
        </w:rPr>
        <w:t>390,504,261.03</w:t>
      </w:r>
      <w:r>
        <w:rPr>
          <w:spacing w:val="-2"/>
        </w:rPr>
        <w:t>元，占应收账款年末余额合计数的</w:t>
      </w:r>
      <w:r>
        <w:rPr>
          <w:spacing w:val="-29"/>
        </w:rPr>
        <w:t> </w:t>
      </w:r>
      <w:r>
        <w:rPr>
          <w:spacing w:val="-29"/>
        </w:rPr>
      </w:r>
      <w:r>
        <w:rPr/>
        <w:t>比例</w:t>
      </w:r>
      <w:r>
        <w:rPr>
          <w:rFonts w:ascii="宋体" w:hAnsi="宋体" w:cs="宋体" w:eastAsia="宋体" w:hint="default"/>
        </w:rPr>
        <w:t>15.79%</w:t>
      </w:r>
      <w:r>
        <w:rPr/>
        <w:t>，相应计提的坏账准备年末余额汇总金额</w:t>
      </w:r>
      <w:r>
        <w:rPr>
          <w:rFonts w:ascii="宋体" w:hAnsi="宋体" w:cs="宋体" w:eastAsia="宋体" w:hint="default"/>
        </w:rPr>
        <w:t>27,165,553.98</w:t>
      </w:r>
      <w:r>
        <w:rPr/>
        <w:t>元。</w:t>
      </w:r>
    </w:p>
    <w:p>
      <w:pPr>
        <w:spacing w:after="0" w:line="408" w:lineRule="auto"/>
        <w:jc w:val="left"/>
        <w:sectPr>
          <w:pgSz w:w="11910" w:h="16840"/>
          <w:pgMar w:header="877" w:footer="1227" w:top="1100" w:bottom="1420" w:left="980" w:right="980"/>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7"/>
          <w:szCs w:val="27"/>
        </w:rPr>
      </w:pPr>
    </w:p>
    <w:p>
      <w:pPr>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02"/>
        <w:gridCol w:w="1927"/>
        <w:gridCol w:w="1913"/>
        <w:gridCol w:w="1916"/>
        <w:gridCol w:w="1916"/>
      </w:tblGrid>
      <w:tr>
        <w:trPr>
          <w:trHeight w:val="253" w:hRule="exact"/>
        </w:trPr>
        <w:tc>
          <w:tcPr>
            <w:tcW w:w="190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840"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11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11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18" w:hRule="exact"/>
        </w:trPr>
        <w:tc>
          <w:tcPr>
            <w:tcW w:w="1902"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0" w:type="dxa"/>
            <w:gridSpan w:val="2"/>
            <w:vMerge/>
            <w:tcBorders>
              <w:left w:val="single" w:sz="6" w:space="0" w:color="000000"/>
              <w:bottom w:val="single" w:sz="6" w:space="0" w:color="000000"/>
              <w:right w:val="single" w:sz="6" w:space="0" w:color="000000"/>
            </w:tcBorders>
            <w:shd w:val="clear" w:color="auto" w:fill="D2D2D2"/>
          </w:tcPr>
          <w:p>
            <w:pPr/>
          </w:p>
        </w:tc>
        <w:tc>
          <w:tcPr>
            <w:tcW w:w="3831" w:type="dxa"/>
            <w:gridSpan w:val="2"/>
            <w:vMerge/>
            <w:tcBorders>
              <w:left w:val="single" w:sz="6" w:space="0" w:color="000000"/>
              <w:bottom w:val="single" w:sz="6" w:space="0" w:color="000000"/>
              <w:right w:val="single" w:sz="12" w:space="0" w:color="000000"/>
            </w:tcBorders>
            <w:shd w:val="clear" w:color="auto" w:fill="D2D2D2"/>
          </w:tcPr>
          <w:p>
            <w:pPr/>
          </w:p>
        </w:tc>
      </w:tr>
      <w:tr>
        <w:trPr>
          <w:trHeight w:val="221" w:hRule="exact"/>
        </w:trPr>
        <w:tc>
          <w:tcPr>
            <w:tcW w:w="1902" w:type="dxa"/>
            <w:vMerge/>
            <w:tcBorders>
              <w:left w:val="single" w:sz="12" w:space="0" w:color="000000"/>
              <w:bottom w:val="nil" w:sz="6" w:space="0" w:color="auto"/>
              <w:right w:val="single" w:sz="6" w:space="0" w:color="000000"/>
            </w:tcBorders>
            <w:shd w:val="clear" w:color="auto" w:fill="D2D2D2"/>
          </w:tcPr>
          <w:p>
            <w:pPr/>
          </w:p>
        </w:tc>
        <w:tc>
          <w:tcPr>
            <w:tcW w:w="192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123"/>
              <w:ind w:left="6"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50" w:hRule="exact"/>
        </w:trPr>
        <w:tc>
          <w:tcPr>
            <w:tcW w:w="1902" w:type="dxa"/>
            <w:tcBorders>
              <w:top w:val="nil" w:sz="6" w:space="0" w:color="auto"/>
              <w:left w:val="single" w:sz="12" w:space="0" w:color="000000"/>
              <w:bottom w:val="single" w:sz="6" w:space="0" w:color="000000"/>
              <w:right w:val="single" w:sz="6" w:space="0" w:color="000000"/>
            </w:tcBorders>
            <w:shd w:val="clear" w:color="auto" w:fill="D2D2D2"/>
          </w:tcPr>
          <w:p>
            <w:pPr/>
          </w:p>
        </w:tc>
        <w:tc>
          <w:tcPr>
            <w:tcW w:w="1927"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6" w:space="0" w:color="000000"/>
            </w:tcBorders>
            <w:shd w:val="clear" w:color="auto" w:fill="D2D2D2"/>
          </w:tcPr>
          <w:p>
            <w:pPr/>
          </w:p>
        </w:tc>
        <w:tc>
          <w:tcPr>
            <w:tcW w:w="1916" w:type="dxa"/>
            <w:vMerge/>
            <w:tcBorders>
              <w:left w:val="single" w:sz="6" w:space="0" w:color="000000"/>
              <w:bottom w:val="single" w:sz="6" w:space="0" w:color="000000"/>
              <w:right w:val="single" w:sz="6" w:space="0" w:color="000000"/>
            </w:tcBorders>
            <w:shd w:val="clear" w:color="auto" w:fill="D2D2D2"/>
          </w:tcPr>
          <w:p>
            <w:pPr/>
          </w:p>
        </w:tc>
        <w:tc>
          <w:tcPr>
            <w:tcW w:w="1916" w:type="dxa"/>
            <w:vMerge/>
            <w:tcBorders>
              <w:left w:val="single" w:sz="6" w:space="0" w:color="000000"/>
              <w:bottom w:val="single" w:sz="6" w:space="0" w:color="000000"/>
              <w:right w:val="single" w:sz="12" w:space="0" w:color="000000"/>
            </w:tcBorders>
            <w:shd w:val="clear" w:color="auto" w:fill="D2D2D2"/>
          </w:tcPr>
          <w:p>
            <w:pPr/>
          </w:p>
        </w:tc>
      </w:tr>
      <w:tr>
        <w:trPr>
          <w:trHeight w:val="468" w:hRule="exact"/>
        </w:trPr>
        <w:tc>
          <w:tcPr>
            <w:tcW w:w="19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9" w:space="0" w:color="000000"/>
              <w:left w:val="single" w:sz="9" w:space="0" w:color="D2D2D2"/>
              <w:bottom w:val="single" w:sz="6" w:space="0" w:color="000000"/>
              <w:right w:val="single" w:sz="6" w:space="0" w:color="000000"/>
            </w:tcBorders>
          </w:tcPr>
          <w:p>
            <w:pPr>
              <w:pStyle w:val="TableParagraph"/>
              <w:spacing w:line="240" w:lineRule="auto" w:before="162"/>
              <w:ind w:right="17"/>
              <w:jc w:val="right"/>
              <w:rPr>
                <w:rFonts w:ascii="Times New Roman" w:hAnsi="Times New Roman" w:cs="Times New Roman" w:eastAsia="Times New Roman" w:hint="default"/>
                <w:sz w:val="18"/>
                <w:szCs w:val="18"/>
              </w:rPr>
            </w:pPr>
            <w:r>
              <w:rPr>
                <w:rFonts w:ascii="Times New Roman"/>
                <w:spacing w:val="-1"/>
                <w:sz w:val="18"/>
              </w:rPr>
              <w:t>49,681,689.23</w:t>
            </w:r>
          </w:p>
        </w:tc>
        <w:tc>
          <w:tcPr>
            <w:tcW w:w="1913"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162"/>
              <w:ind w:right="14"/>
              <w:jc w:val="right"/>
              <w:rPr>
                <w:rFonts w:ascii="Times New Roman" w:hAnsi="Times New Roman" w:cs="Times New Roman" w:eastAsia="Times New Roman" w:hint="default"/>
                <w:sz w:val="18"/>
                <w:szCs w:val="18"/>
              </w:rPr>
            </w:pPr>
            <w:r>
              <w:rPr>
                <w:rFonts w:ascii="Times New Roman"/>
                <w:sz w:val="18"/>
              </w:rPr>
              <w:t>99.62%</w:t>
            </w:r>
          </w:p>
        </w:tc>
        <w:tc>
          <w:tcPr>
            <w:tcW w:w="1916"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162"/>
              <w:ind w:right="19"/>
              <w:jc w:val="right"/>
              <w:rPr>
                <w:rFonts w:ascii="Times New Roman" w:hAnsi="Times New Roman" w:cs="Times New Roman" w:eastAsia="Times New Roman" w:hint="default"/>
                <w:sz w:val="18"/>
                <w:szCs w:val="18"/>
              </w:rPr>
            </w:pPr>
            <w:r>
              <w:rPr>
                <w:rFonts w:ascii="Times New Roman"/>
                <w:spacing w:val="-1"/>
                <w:sz w:val="18"/>
              </w:rPr>
              <w:t>70,112,672.13</w:t>
            </w:r>
          </w:p>
        </w:tc>
        <w:tc>
          <w:tcPr>
            <w:tcW w:w="1916" w:type="dxa"/>
            <w:tcBorders>
              <w:top w:val="single" w:sz="9" w:space="0" w:color="000000"/>
              <w:left w:val="single" w:sz="6" w:space="0" w:color="000000"/>
              <w:bottom w:val="single" w:sz="6" w:space="0" w:color="000000"/>
              <w:right w:val="single" w:sz="12" w:space="0" w:color="000000"/>
            </w:tcBorders>
          </w:tcPr>
          <w:p>
            <w:pPr>
              <w:pStyle w:val="TableParagraph"/>
              <w:spacing w:line="240" w:lineRule="auto" w:before="162"/>
              <w:ind w:left="1236" w:right="0"/>
              <w:jc w:val="left"/>
              <w:rPr>
                <w:rFonts w:ascii="Times New Roman" w:hAnsi="Times New Roman" w:cs="Times New Roman" w:eastAsia="Times New Roman" w:hint="default"/>
                <w:sz w:val="18"/>
                <w:szCs w:val="18"/>
              </w:rPr>
            </w:pPr>
            <w:r>
              <w:rPr>
                <w:rFonts w:ascii="Times New Roman"/>
                <w:sz w:val="18"/>
              </w:rPr>
              <w:t>100.00%</w:t>
            </w:r>
          </w:p>
        </w:tc>
      </w:tr>
      <w:tr>
        <w:trPr>
          <w:trHeight w:val="470" w:hRule="exact"/>
        </w:trPr>
        <w:tc>
          <w:tcPr>
            <w:tcW w:w="19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185,626.14</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0.37%</w:t>
            </w:r>
          </w:p>
        </w:tc>
        <w:tc>
          <w:tcPr>
            <w:tcW w:w="1916"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12" w:space="0" w:color="000000"/>
            </w:tcBorders>
          </w:tcPr>
          <w:p>
            <w:pPr/>
          </w:p>
        </w:tc>
      </w:tr>
      <w:tr>
        <w:trPr>
          <w:trHeight w:val="469" w:hRule="exact"/>
        </w:trPr>
        <w:tc>
          <w:tcPr>
            <w:tcW w:w="19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4,900.00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0.01%</w:t>
            </w:r>
          </w:p>
        </w:tc>
        <w:tc>
          <w:tcPr>
            <w:tcW w:w="1916"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19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85.85</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12" w:space="0" w:color="000000"/>
            </w:tcBorders>
          </w:tcPr>
          <w:p>
            <w:pPr/>
          </w:p>
        </w:tc>
      </w:tr>
      <w:tr>
        <w:trPr>
          <w:trHeight w:val="475" w:hRule="exact"/>
        </w:trPr>
        <w:tc>
          <w:tcPr>
            <w:tcW w:w="190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49,872,301.22</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70,112,672.13</w:t>
            </w:r>
          </w:p>
        </w:tc>
        <w:tc>
          <w:tcPr>
            <w:tcW w:w="19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1"/>
        <w:rPr>
          <w:rFonts w:ascii="宋体" w:hAnsi="宋体" w:cs="宋体" w:eastAsia="宋体" w:hint="default"/>
          <w:b/>
          <w:bCs/>
          <w:sz w:val="29"/>
          <w:szCs w:val="29"/>
        </w:rPr>
      </w:pPr>
    </w:p>
    <w:p>
      <w:pPr>
        <w:pStyle w:val="BodyText"/>
        <w:spacing w:line="408" w:lineRule="auto"/>
        <w:ind w:right="140"/>
        <w:jc w:val="left"/>
      </w:pPr>
      <w:r>
        <w:rPr>
          <w:spacing w:val="-2"/>
        </w:rPr>
        <w:t>本年按预付对象归集的年末余额前五名预付款项汇总金额</w:t>
      </w:r>
      <w:r>
        <w:rPr>
          <w:rFonts w:ascii="宋体" w:hAnsi="宋体" w:cs="宋体" w:eastAsia="宋体" w:hint="default"/>
          <w:spacing w:val="-2"/>
        </w:rPr>
        <w:t>45,337,881.19</w:t>
      </w:r>
      <w:r>
        <w:rPr>
          <w:spacing w:val="-2"/>
        </w:rPr>
        <w:t>元，占预付款项年末余额合计数</w:t>
      </w:r>
      <w:r>
        <w:rPr>
          <w:spacing w:val="-10"/>
        </w:rPr>
        <w:t> </w:t>
      </w:r>
      <w:r>
        <w:rPr>
          <w:spacing w:val="-10"/>
        </w:rPr>
      </w:r>
      <w:r>
        <w:rPr/>
        <w:t>的比例</w:t>
      </w:r>
      <w:r>
        <w:rPr>
          <w:rFonts w:ascii="宋体" w:hAnsi="宋体" w:cs="宋体" w:eastAsia="宋体" w:hint="default"/>
        </w:rPr>
        <w:t>90.91%</w:t>
      </w:r>
      <w:r>
        <w:rPr/>
        <w:t>。</w:t>
      </w:r>
    </w:p>
    <w:p>
      <w:pPr>
        <w:spacing w:line="240" w:lineRule="auto" w:before="11"/>
        <w:rPr>
          <w:rFonts w:ascii="宋体" w:hAnsi="宋体" w:cs="宋体" w:eastAsia="宋体" w:hint="default"/>
          <w:sz w:val="24"/>
          <w:szCs w:val="24"/>
        </w:rPr>
      </w:pPr>
    </w:p>
    <w:p>
      <w:pPr>
        <w:pStyle w:val="Heading4"/>
        <w:spacing w:line="240" w:lineRule="auto"/>
        <w:ind w:right="14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9"/>
        <w:rPr>
          <w:rFonts w:ascii="宋体" w:hAnsi="宋体" w:cs="宋体" w:eastAsia="宋体" w:hint="default"/>
          <w:b/>
          <w:bCs/>
          <w:sz w:val="30"/>
          <w:szCs w:val="30"/>
        </w:rPr>
      </w:pPr>
    </w:p>
    <w:p>
      <w:pPr>
        <w:spacing w:before="0"/>
        <w:ind w:left="0" w:right="2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173"/>
        <w:gridCol w:w="3200"/>
        <w:gridCol w:w="3191"/>
      </w:tblGrid>
      <w:tr>
        <w:trPr>
          <w:trHeight w:val="460" w:hRule="exact"/>
        </w:trPr>
        <w:tc>
          <w:tcPr>
            <w:tcW w:w="317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5"/>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5"/>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68"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0" w:type="dxa"/>
            <w:tcBorders>
              <w:top w:val="single" w:sz="9" w:space="0" w:color="000000"/>
              <w:left w:val="single" w:sz="9" w:space="0" w:color="D2D2D2"/>
              <w:bottom w:val="single" w:sz="6" w:space="0" w:color="000000"/>
              <w:right w:val="single" w:sz="6" w:space="0" w:color="000000"/>
            </w:tcBorders>
          </w:tcPr>
          <w:p>
            <w:pPr>
              <w:pStyle w:val="TableParagraph"/>
              <w:spacing w:line="240" w:lineRule="auto" w:before="162"/>
              <w:ind w:right="16"/>
              <w:jc w:val="right"/>
              <w:rPr>
                <w:rFonts w:ascii="Times New Roman" w:hAnsi="Times New Roman" w:cs="Times New Roman" w:eastAsia="Times New Roman" w:hint="default"/>
                <w:sz w:val="18"/>
                <w:szCs w:val="18"/>
              </w:rPr>
            </w:pPr>
            <w:r>
              <w:rPr>
                <w:rFonts w:ascii="Times New Roman"/>
                <w:spacing w:val="-1"/>
                <w:sz w:val="18"/>
              </w:rPr>
              <w:t>143,437.50</w:t>
            </w:r>
          </w:p>
        </w:tc>
        <w:tc>
          <w:tcPr>
            <w:tcW w:w="3191" w:type="dxa"/>
            <w:tcBorders>
              <w:top w:val="single" w:sz="9" w:space="0" w:color="000000"/>
              <w:left w:val="single" w:sz="6" w:space="0" w:color="000000"/>
              <w:bottom w:val="single" w:sz="6" w:space="0" w:color="000000"/>
              <w:right w:val="single" w:sz="12" w:space="0" w:color="000000"/>
            </w:tcBorders>
          </w:tcPr>
          <w:p>
            <w:pPr/>
          </w:p>
        </w:tc>
      </w:tr>
      <w:tr>
        <w:trPr>
          <w:trHeight w:val="468"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200" w:type="dxa"/>
            <w:tcBorders>
              <w:top w:val="single" w:sz="6" w:space="0" w:color="000000"/>
              <w:left w:val="single" w:sz="9"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71"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7" w:right="0"/>
              <w:jc w:val="left"/>
              <w:rPr>
                <w:rFonts w:ascii="宋体" w:hAnsi="宋体" w:cs="宋体" w:eastAsia="宋体" w:hint="default"/>
                <w:sz w:val="18"/>
                <w:szCs w:val="18"/>
              </w:rPr>
            </w:pPr>
            <w:r>
              <w:rPr>
                <w:rFonts w:ascii="宋体" w:hAnsi="宋体" w:cs="宋体" w:eastAsia="宋体" w:hint="default"/>
                <w:sz w:val="18"/>
                <w:szCs w:val="18"/>
              </w:rPr>
              <w:t>债券投资</w:t>
            </w:r>
          </w:p>
        </w:tc>
        <w:tc>
          <w:tcPr>
            <w:tcW w:w="3200" w:type="dxa"/>
            <w:tcBorders>
              <w:top w:val="single" w:sz="6" w:space="0" w:color="000000"/>
              <w:left w:val="single" w:sz="9"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75" w:hRule="exact"/>
        </w:trPr>
        <w:tc>
          <w:tcPr>
            <w:tcW w:w="317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143,437.50</w:t>
            </w:r>
          </w:p>
        </w:tc>
        <w:tc>
          <w:tcPr>
            <w:tcW w:w="3191"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1227" w:top="1100" w:bottom="1420" w:left="980" w:right="980"/>
        </w:sectPr>
      </w:pPr>
    </w:p>
    <w:p>
      <w:pPr>
        <w:spacing w:line="240" w:lineRule="auto" w:before="3"/>
        <w:rPr>
          <w:rFonts w:ascii="宋体" w:hAnsi="宋体" w:cs="宋体" w:eastAsia="宋体" w:hint="default"/>
          <w:sz w:val="28"/>
          <w:szCs w:val="28"/>
        </w:rPr>
      </w:pPr>
    </w:p>
    <w:p>
      <w:pPr>
        <w:pStyle w:val="Heading4"/>
        <w:spacing w:line="240" w:lineRule="auto"/>
        <w:ind w:left="160" w:right="-6"/>
        <w:jc w:val="left"/>
        <w:rPr>
          <w:b w:val="0"/>
          <w:bCs w:val="0"/>
        </w:rPr>
      </w:pPr>
      <w:r>
        <w:rPr/>
        <w:pict>
          <v:group style="position:absolute;margin-left:70.559998pt;margin-top:-3.216318pt;width:700.9pt;height:.1pt;mso-position-horizontal-relative:page;mso-position-vertical-relative:paragraph;z-index:1696" coordorigin="1411,-64" coordsize="14018,2">
            <v:shape style="position:absolute;left:1411;top:-64;width:14018;height:2" coordorigin="1411,-64" coordsize="14018,0" path="m1411,-64l15429,-64e" filled="false" stroked="true" strokeweight=".72pt" strokecolor="#000000">
              <v:path arrowok="t"/>
            </v:shape>
            <w10:wrap type="none"/>
          </v:group>
        </w:pict>
      </w:r>
      <w:r>
        <w:rPr>
          <w:rFonts w:ascii="Times New Roman" w:hAnsi="Times New Roman" w:cs="Times New Roman" w:eastAsia="Times New Roman" w:hint="default"/>
        </w:rPr>
        <w:t>6</w:t>
      </w:r>
      <w:r>
        <w:rPr/>
        <w:t>、其他应收款</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left="160" w:right="-6"/>
        <w:jc w:val="left"/>
        <w:rPr>
          <w:b w:val="0"/>
          <w:bCs w:val="0"/>
        </w:rPr>
      </w:pPr>
      <w:r>
        <w:rPr>
          <w:spacing w:val="-1"/>
        </w:rPr>
        <w:t>（</w:t>
      </w:r>
      <w:r>
        <w:rPr>
          <w:rFonts w:ascii="Times New Roman" w:hAnsi="Times New Roman" w:cs="Times New Roman" w:eastAsia="Times New Roman" w:hint="default"/>
          <w:spacing w:val="-1"/>
        </w:rPr>
        <w:t>1</w:t>
      </w:r>
      <w:r>
        <w:rPr>
          <w:spacing w:val="-1"/>
        </w:rPr>
        <w:t>）其他应收款分类披露</w:t>
      </w:r>
      <w:r>
        <w:rPr>
          <w:b w:val="0"/>
          <w:bCs w:val="0"/>
          <w:spacing w:val="-1"/>
        </w:rPr>
      </w:r>
    </w:p>
    <w:p>
      <w:pPr>
        <w:spacing w:before="15"/>
        <w:ind w:left="16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53"/>
          <w:footerReference w:type="default" r:id="rId54"/>
          <w:pgSz w:w="16840" w:h="11910" w:orient="landscape"/>
          <w:pgMar w:header="0" w:footer="0" w:top="800" w:bottom="280" w:left="1280" w:right="1280"/>
          <w:cols w:num="2" w:equalWidth="0">
            <w:col w:w="2587" w:space="7141"/>
            <w:col w:w="4552"/>
          </w:cols>
        </w:sectPr>
      </w:pPr>
    </w:p>
    <w:p>
      <w:pPr>
        <w:spacing w:line="240" w:lineRule="auto" w:before="4"/>
        <w:rPr>
          <w:rFonts w:ascii="宋体" w:hAnsi="宋体" w:cs="宋体" w:eastAsia="宋体" w:hint="default"/>
          <w:sz w:val="27"/>
          <w:szCs w:val="27"/>
        </w:rPr>
      </w:pPr>
    </w:p>
    <w:p>
      <w:pPr>
        <w:spacing w:before="44"/>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354"/>
        <w:gridCol w:w="1192"/>
        <w:gridCol w:w="1083"/>
        <w:gridCol w:w="1092"/>
        <w:gridCol w:w="1078"/>
        <w:gridCol w:w="1128"/>
        <w:gridCol w:w="1181"/>
        <w:gridCol w:w="1082"/>
        <w:gridCol w:w="1160"/>
        <w:gridCol w:w="1334"/>
        <w:gridCol w:w="1334"/>
      </w:tblGrid>
      <w:tr>
        <w:trPr>
          <w:trHeight w:val="463" w:hRule="exact"/>
        </w:trPr>
        <w:tc>
          <w:tcPr>
            <w:tcW w:w="2354" w:type="dxa"/>
            <w:tcBorders>
              <w:top w:val="single" w:sz="12" w:space="0" w:color="000000"/>
              <w:left w:val="single" w:sz="12" w:space="0" w:color="000000"/>
              <w:bottom w:val="nil" w:sz="6" w:space="0" w:color="auto"/>
              <w:right w:val="single" w:sz="6" w:space="0" w:color="000000"/>
            </w:tcBorders>
            <w:shd w:val="clear" w:color="auto" w:fill="D2D2D2"/>
          </w:tcPr>
          <w:p>
            <w:pPr/>
          </w:p>
        </w:tc>
        <w:tc>
          <w:tcPr>
            <w:tcW w:w="5573" w:type="dxa"/>
            <w:gridSpan w:val="5"/>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92" w:type="dxa"/>
            <w:gridSpan w:val="5"/>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2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60" w:hRule="exact"/>
        </w:trPr>
        <w:tc>
          <w:tcPr>
            <w:tcW w:w="2354"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141"/>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75"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34"/>
              <w:ind w:left="7"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7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34"/>
              <w:ind w:left="7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28" w:type="dxa"/>
            <w:tcBorders>
              <w:top w:val="single" w:sz="6" w:space="0" w:color="000000"/>
              <w:left w:val="single" w:sz="6" w:space="0" w:color="000000"/>
              <w:bottom w:val="nil" w:sz="6" w:space="0" w:color="auto"/>
              <w:right w:val="single" w:sz="6" w:space="0" w:color="000000"/>
            </w:tcBorders>
            <w:shd w:val="clear" w:color="auto" w:fill="D2D2D2"/>
          </w:tcPr>
          <w:p>
            <w:pPr/>
          </w:p>
        </w:tc>
        <w:tc>
          <w:tcPr>
            <w:tcW w:w="226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94"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34"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208" w:hRule="exact"/>
        </w:trPr>
        <w:tc>
          <w:tcPr>
            <w:tcW w:w="2354" w:type="dxa"/>
            <w:vMerge/>
            <w:tcBorders>
              <w:left w:val="single" w:sz="12" w:space="0" w:color="000000"/>
              <w:bottom w:val="nil" w:sz="6" w:space="0" w:color="auto"/>
              <w:right w:val="single" w:sz="6" w:space="0" w:color="000000"/>
            </w:tcBorders>
            <w:shd w:val="clear" w:color="auto" w:fill="D2D2D2"/>
          </w:tcPr>
          <w:p>
            <w:pPr/>
          </w:p>
        </w:tc>
        <w:tc>
          <w:tcPr>
            <w:tcW w:w="2275" w:type="dxa"/>
            <w:gridSpan w:val="2"/>
            <w:vMerge/>
            <w:tcBorders>
              <w:left w:val="single" w:sz="6" w:space="0" w:color="000000"/>
              <w:bottom w:val="single" w:sz="6" w:space="0" w:color="000000"/>
              <w:right w:val="single" w:sz="6" w:space="0" w:color="000000"/>
            </w:tcBorders>
            <w:shd w:val="clear" w:color="auto" w:fill="D2D2D2"/>
          </w:tcPr>
          <w:p>
            <w:pPr/>
          </w:p>
        </w:tc>
        <w:tc>
          <w:tcPr>
            <w:tcW w:w="2170" w:type="dxa"/>
            <w:gridSpan w:val="2"/>
            <w:vMerge/>
            <w:tcBorders>
              <w:left w:val="single" w:sz="6" w:space="0" w:color="000000"/>
              <w:bottom w:val="single" w:sz="6" w:space="0" w:color="000000"/>
              <w:right w:val="single" w:sz="6" w:space="0" w:color="000000"/>
            </w:tcBorders>
            <w:shd w:val="clear" w:color="auto" w:fill="D2D2D2"/>
          </w:tcPr>
          <w:p>
            <w:pPr/>
          </w:p>
        </w:tc>
        <w:tc>
          <w:tcPr>
            <w:tcW w:w="112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16"/>
              <w:ind w:left="19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63" w:type="dxa"/>
            <w:gridSpan w:val="2"/>
            <w:vMerge/>
            <w:tcBorders>
              <w:left w:val="single" w:sz="6" w:space="0" w:color="000000"/>
              <w:bottom w:val="single" w:sz="6" w:space="0" w:color="000000"/>
              <w:right w:val="single" w:sz="6" w:space="0" w:color="000000"/>
            </w:tcBorders>
            <w:shd w:val="clear" w:color="auto" w:fill="D2D2D2"/>
          </w:tcPr>
          <w:p>
            <w:pPr/>
          </w:p>
        </w:tc>
        <w:tc>
          <w:tcPr>
            <w:tcW w:w="2494" w:type="dxa"/>
            <w:gridSpan w:val="2"/>
            <w:vMerge/>
            <w:tcBorders>
              <w:left w:val="single" w:sz="6" w:space="0" w:color="000000"/>
              <w:bottom w:val="single" w:sz="6" w:space="0" w:color="000000"/>
              <w:right w:val="single" w:sz="6" w:space="0" w:color="000000"/>
            </w:tcBorders>
            <w:shd w:val="clear" w:color="auto" w:fill="D2D2D2"/>
          </w:tcPr>
          <w:p>
            <w:pPr/>
          </w:p>
        </w:tc>
        <w:tc>
          <w:tcPr>
            <w:tcW w:w="1334"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116"/>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32" w:hRule="exact"/>
        </w:trPr>
        <w:tc>
          <w:tcPr>
            <w:tcW w:w="2354" w:type="dxa"/>
            <w:vMerge w:val="restart"/>
            <w:tcBorders>
              <w:top w:val="nil" w:sz="6" w:space="0" w:color="auto"/>
              <w:left w:val="single" w:sz="12" w:space="0" w:color="000000"/>
              <w:right w:val="single" w:sz="6" w:space="0" w:color="000000"/>
            </w:tcBorders>
            <w:shd w:val="clear" w:color="auto" w:fill="D2D2D2"/>
          </w:tcPr>
          <w:p>
            <w:pPr/>
          </w:p>
        </w:tc>
        <w:tc>
          <w:tcPr>
            <w:tcW w:w="11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34"/>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34"/>
              <w:ind w:left="35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34"/>
              <w:ind w:left="35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7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34"/>
              <w:ind w:left="17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28" w:type="dxa"/>
            <w:vMerge/>
            <w:tcBorders>
              <w:left w:val="single" w:sz="6" w:space="0" w:color="000000"/>
              <w:bottom w:val="nil" w:sz="6" w:space="0" w:color="auto"/>
              <w:right w:val="single" w:sz="6" w:space="0" w:color="000000"/>
            </w:tcBorders>
            <w:shd w:val="clear" w:color="auto" w:fill="D2D2D2"/>
          </w:tcPr>
          <w:p>
            <w:pPr/>
          </w:p>
        </w:tc>
        <w:tc>
          <w:tcPr>
            <w:tcW w:w="118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34"/>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34"/>
              <w:ind w:left="35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6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3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34"/>
              <w:ind w:left="3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34" w:type="dxa"/>
            <w:vMerge/>
            <w:tcBorders>
              <w:left w:val="single" w:sz="6" w:space="0" w:color="000000"/>
              <w:bottom w:val="nil" w:sz="6" w:space="0" w:color="auto"/>
              <w:right w:val="single" w:sz="12" w:space="0" w:color="000000"/>
            </w:tcBorders>
            <w:shd w:val="clear" w:color="auto" w:fill="D2D2D2"/>
          </w:tcPr>
          <w:p>
            <w:pPr/>
          </w:p>
        </w:tc>
      </w:tr>
      <w:tr>
        <w:trPr>
          <w:trHeight w:val="250" w:hRule="exact"/>
        </w:trPr>
        <w:tc>
          <w:tcPr>
            <w:tcW w:w="2354" w:type="dxa"/>
            <w:vMerge/>
            <w:tcBorders>
              <w:left w:val="single" w:sz="12" w:space="0" w:color="000000"/>
              <w:bottom w:val="single" w:sz="6" w:space="0" w:color="000000"/>
              <w:right w:val="single" w:sz="6" w:space="0" w:color="000000"/>
            </w:tcBorders>
            <w:shd w:val="clear" w:color="auto" w:fill="D2D2D2"/>
          </w:tcPr>
          <w:p>
            <w:pPr/>
          </w:p>
        </w:tc>
        <w:tc>
          <w:tcPr>
            <w:tcW w:w="1192" w:type="dxa"/>
            <w:vMerge/>
            <w:tcBorders>
              <w:left w:val="single" w:sz="6" w:space="0" w:color="000000"/>
              <w:bottom w:val="single" w:sz="6" w:space="0" w:color="000000"/>
              <w:right w:val="single" w:sz="6" w:space="0" w:color="000000"/>
            </w:tcBorders>
            <w:shd w:val="clear" w:color="auto" w:fill="D2D2D2"/>
          </w:tcPr>
          <w:p>
            <w:pPr/>
          </w:p>
        </w:tc>
        <w:tc>
          <w:tcPr>
            <w:tcW w:w="1083" w:type="dxa"/>
            <w:vMerge/>
            <w:tcBorders>
              <w:left w:val="single" w:sz="6" w:space="0" w:color="000000"/>
              <w:bottom w:val="single" w:sz="6" w:space="0" w:color="000000"/>
              <w:right w:val="single" w:sz="6" w:space="0" w:color="000000"/>
            </w:tcBorders>
            <w:shd w:val="clear" w:color="auto" w:fill="D2D2D2"/>
          </w:tcPr>
          <w:p>
            <w:pPr/>
          </w:p>
        </w:tc>
        <w:tc>
          <w:tcPr>
            <w:tcW w:w="1092" w:type="dxa"/>
            <w:vMerge/>
            <w:tcBorders>
              <w:left w:val="single" w:sz="6" w:space="0" w:color="000000"/>
              <w:bottom w:val="single" w:sz="6" w:space="0" w:color="000000"/>
              <w:right w:val="single" w:sz="6" w:space="0" w:color="000000"/>
            </w:tcBorders>
            <w:shd w:val="clear" w:color="auto" w:fill="D2D2D2"/>
          </w:tcPr>
          <w:p>
            <w:pPr/>
          </w:p>
        </w:tc>
        <w:tc>
          <w:tcPr>
            <w:tcW w:w="1078" w:type="dxa"/>
            <w:vMerge/>
            <w:tcBorders>
              <w:left w:val="single" w:sz="6" w:space="0" w:color="000000"/>
              <w:bottom w:val="single" w:sz="6" w:space="0" w:color="000000"/>
              <w:right w:val="single" w:sz="6" w:space="0" w:color="000000"/>
            </w:tcBorders>
            <w:shd w:val="clear" w:color="auto" w:fill="D2D2D2"/>
          </w:tcPr>
          <w:p>
            <w:pPr/>
          </w:p>
        </w:tc>
        <w:tc>
          <w:tcPr>
            <w:tcW w:w="1128" w:type="dxa"/>
            <w:tcBorders>
              <w:top w:val="nil" w:sz="6" w:space="0" w:color="auto"/>
              <w:left w:val="single" w:sz="6" w:space="0" w:color="000000"/>
              <w:bottom w:val="single" w:sz="6" w:space="0" w:color="000000"/>
              <w:right w:val="single" w:sz="6" w:space="0" w:color="000000"/>
            </w:tcBorders>
            <w:shd w:val="clear" w:color="auto" w:fill="D2D2D2"/>
          </w:tcPr>
          <w:p>
            <w:pPr/>
          </w:p>
        </w:tc>
        <w:tc>
          <w:tcPr>
            <w:tcW w:w="1181" w:type="dxa"/>
            <w:vMerge/>
            <w:tcBorders>
              <w:left w:val="single" w:sz="6" w:space="0" w:color="000000"/>
              <w:bottom w:val="single" w:sz="6" w:space="0" w:color="000000"/>
              <w:right w:val="single" w:sz="6" w:space="0" w:color="000000"/>
            </w:tcBorders>
            <w:shd w:val="clear" w:color="auto" w:fill="D2D2D2"/>
          </w:tcPr>
          <w:p>
            <w:pPr/>
          </w:p>
        </w:tc>
        <w:tc>
          <w:tcPr>
            <w:tcW w:w="1082" w:type="dxa"/>
            <w:vMerge/>
            <w:tcBorders>
              <w:left w:val="single" w:sz="6" w:space="0" w:color="000000"/>
              <w:bottom w:val="single" w:sz="6" w:space="0" w:color="000000"/>
              <w:right w:val="single" w:sz="6" w:space="0" w:color="000000"/>
            </w:tcBorders>
            <w:shd w:val="clear" w:color="auto" w:fill="D2D2D2"/>
          </w:tcPr>
          <w:p>
            <w:pPr/>
          </w:p>
        </w:tc>
        <w:tc>
          <w:tcPr>
            <w:tcW w:w="1160" w:type="dxa"/>
            <w:vMerge/>
            <w:tcBorders>
              <w:left w:val="single" w:sz="6" w:space="0" w:color="000000"/>
              <w:bottom w:val="single" w:sz="6" w:space="0" w:color="000000"/>
              <w:right w:val="single" w:sz="6" w:space="0" w:color="000000"/>
            </w:tcBorders>
            <w:shd w:val="clear" w:color="auto" w:fill="D2D2D2"/>
          </w:tcPr>
          <w:p>
            <w:pPr/>
          </w:p>
        </w:tc>
        <w:tc>
          <w:tcPr>
            <w:tcW w:w="1334" w:type="dxa"/>
            <w:vMerge/>
            <w:tcBorders>
              <w:left w:val="single" w:sz="6" w:space="0" w:color="000000"/>
              <w:bottom w:val="single" w:sz="6" w:space="0" w:color="000000"/>
              <w:right w:val="single" w:sz="6" w:space="0" w:color="000000"/>
            </w:tcBorders>
            <w:shd w:val="clear" w:color="auto" w:fill="D2D2D2"/>
          </w:tcPr>
          <w:p>
            <w:pPr/>
          </w:p>
        </w:tc>
        <w:tc>
          <w:tcPr>
            <w:tcW w:w="1334"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814" w:hRule="exact"/>
        </w:trPr>
        <w:tc>
          <w:tcPr>
            <w:tcW w:w="235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7" w:lineRule="auto" w:before="116"/>
              <w:ind w:left="14" w:right="155"/>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账准备的其他应收款</w:t>
            </w:r>
          </w:p>
        </w:tc>
        <w:tc>
          <w:tcPr>
            <w:tcW w:w="1192" w:type="dxa"/>
            <w:tcBorders>
              <w:top w:val="single" w:sz="9" w:space="0" w:color="000000"/>
              <w:left w:val="single" w:sz="9" w:space="0" w:color="D2D2D2"/>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69,681,758.00</w:t>
            </w:r>
          </w:p>
        </w:tc>
        <w:tc>
          <w:tcPr>
            <w:tcW w:w="1083"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44.67%</w:t>
            </w:r>
          </w:p>
        </w:tc>
        <w:tc>
          <w:tcPr>
            <w:tcW w:w="1092"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69,681,758.00</w:t>
            </w:r>
          </w:p>
        </w:tc>
        <w:tc>
          <w:tcPr>
            <w:tcW w:w="1078"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30,804,760.00</w:t>
            </w:r>
          </w:p>
        </w:tc>
        <w:tc>
          <w:tcPr>
            <w:tcW w:w="1082"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24.71%</w:t>
            </w:r>
          </w:p>
        </w:tc>
        <w:tc>
          <w:tcPr>
            <w:tcW w:w="1160"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30,804,760.00</w:t>
            </w:r>
          </w:p>
        </w:tc>
        <w:tc>
          <w:tcPr>
            <w:tcW w:w="1334"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816" w:hRule="exact"/>
        </w:trPr>
        <w:tc>
          <w:tcPr>
            <w:tcW w:w="235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7" w:lineRule="auto" w:before="116"/>
              <w:ind w:left="14" w:right="155"/>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19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79,033,982.28</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50.67%</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79,033,420.28</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86,577,907.22</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69.45%</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562.00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86,577,345.22</w:t>
            </w:r>
          </w:p>
        </w:tc>
      </w:tr>
      <w:tr>
        <w:trPr>
          <w:trHeight w:val="814" w:hRule="exact"/>
        </w:trPr>
        <w:tc>
          <w:tcPr>
            <w:tcW w:w="235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7" w:lineRule="auto" w:before="116"/>
              <w:ind w:left="14" w:right="155"/>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坏账准备的其他应收款</w:t>
            </w:r>
          </w:p>
        </w:tc>
        <w:tc>
          <w:tcPr>
            <w:tcW w:w="119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7,275,499.29</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7,275,499.29</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7,275,499.29</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5.84%</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7,275,499.29</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75" w:hRule="exact"/>
        </w:trPr>
        <w:tc>
          <w:tcPr>
            <w:tcW w:w="235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2"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155,991,239.57</w:t>
            </w:r>
          </w:p>
        </w:tc>
        <w:tc>
          <w:tcPr>
            <w:tcW w:w="10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76,957,819.29</w:t>
            </w:r>
          </w:p>
        </w:tc>
        <w:tc>
          <w:tcPr>
            <w:tcW w:w="1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49.33%</w:t>
            </w:r>
          </w:p>
        </w:tc>
        <w:tc>
          <w:tcPr>
            <w:tcW w:w="11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79,033,420.28</w:t>
            </w:r>
          </w:p>
        </w:tc>
        <w:tc>
          <w:tcPr>
            <w:tcW w:w="11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124,658,166.51</w:t>
            </w:r>
          </w:p>
        </w:tc>
        <w:tc>
          <w:tcPr>
            <w:tcW w:w="10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38,080,821.29</w:t>
            </w:r>
          </w:p>
        </w:tc>
        <w:tc>
          <w:tcPr>
            <w:tcW w:w="13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30.55%</w:t>
            </w:r>
          </w:p>
        </w:tc>
        <w:tc>
          <w:tcPr>
            <w:tcW w:w="133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86,577,345.22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before="76"/>
        <w:ind w:left="4821" w:right="4819" w:firstLine="0"/>
        <w:jc w:val="center"/>
        <w:rPr>
          <w:rFonts w:ascii="Times New Roman" w:hAnsi="Times New Roman" w:cs="Times New Roman" w:eastAsia="Times New Roman" w:hint="default"/>
          <w:sz w:val="18"/>
          <w:szCs w:val="18"/>
        </w:rPr>
      </w:pPr>
      <w:r>
        <w:rPr>
          <w:rFonts w:ascii="Times New Roman"/>
          <w:sz w:val="18"/>
        </w:rPr>
        <w:t>147</w:t>
      </w:r>
    </w:p>
    <w:p>
      <w:pPr>
        <w:spacing w:after="0"/>
        <w:jc w:val="center"/>
        <w:rPr>
          <w:rFonts w:ascii="Times New Roman" w:hAnsi="Times New Roman" w:cs="Times New Roman" w:eastAsia="Times New Roman" w:hint="default"/>
          <w:sz w:val="18"/>
          <w:szCs w:val="18"/>
        </w:rPr>
        <w:sectPr>
          <w:type w:val="continuous"/>
          <w:pgSz w:w="16840" w:h="11910" w:orient="landscape"/>
          <w:pgMar w:top="1060" w:bottom="1420" w:left="1280" w:right="12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6"/>
        <w:ind w:right="140"/>
        <w:jc w:val="left"/>
      </w:pPr>
      <w:r>
        <w:rPr/>
        <w:t>期末单项金额重大并单项计提坏账准备的其他应收款：</w:t>
      </w:r>
    </w:p>
    <w:p>
      <w:pPr>
        <w:spacing w:line="240" w:lineRule="auto" w:before="10"/>
        <w:rPr>
          <w:rFonts w:ascii="宋体" w:hAnsi="宋体" w:cs="宋体" w:eastAsia="宋体" w:hint="default"/>
          <w:sz w:val="14"/>
          <w:szCs w:val="14"/>
        </w:rPr>
      </w:pPr>
    </w:p>
    <w:p>
      <w:pPr>
        <w:pStyle w:val="BodyText"/>
        <w:spacing w:line="240" w:lineRule="auto"/>
        <w:ind w:right="140"/>
        <w:jc w:val="left"/>
      </w:pPr>
      <w:r>
        <w:rPr/>
        <w:t>√ 适用 □ 不适用</w:t>
      </w:r>
    </w:p>
    <w:p>
      <w:pPr>
        <w:spacing w:line="240" w:lineRule="auto" w:before="4"/>
        <w:rPr>
          <w:rFonts w:ascii="宋体" w:hAnsi="宋体" w:cs="宋体" w:eastAsia="宋体" w:hint="default"/>
          <w:sz w:val="15"/>
          <w:szCs w:val="15"/>
        </w:rPr>
      </w:pPr>
    </w:p>
    <w:p>
      <w:pPr>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1912"/>
        <w:gridCol w:w="1916"/>
        <w:gridCol w:w="1913"/>
        <w:gridCol w:w="1916"/>
        <w:gridCol w:w="1916"/>
      </w:tblGrid>
      <w:tr>
        <w:trPr>
          <w:trHeight w:val="462" w:hRule="exact"/>
        </w:trPr>
        <w:tc>
          <w:tcPr>
            <w:tcW w:w="1912"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60" w:type="dxa"/>
            <w:gridSpan w:val="4"/>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7"/>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56" w:hRule="exact"/>
        </w:trPr>
        <w:tc>
          <w:tcPr>
            <w:tcW w:w="1912" w:type="dxa"/>
            <w:vMerge/>
            <w:tcBorders>
              <w:left w:val="single" w:sz="12" w:space="0" w:color="000000"/>
              <w:bottom w:val="single" w:sz="6" w:space="0" w:color="000000"/>
              <w:right w:val="single" w:sz="6" w:space="0" w:color="000000"/>
            </w:tcBorders>
            <w:shd w:val="clear" w:color="auto" w:fill="D9D9D9"/>
          </w:tcPr>
          <w:p>
            <w:pPr/>
          </w:p>
        </w:tc>
        <w:tc>
          <w:tcPr>
            <w:tcW w:w="1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6"/>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6"/>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6"/>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6"/>
              <w:ind w:left="6"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54" w:hRule="exact"/>
        </w:trPr>
        <w:tc>
          <w:tcPr>
            <w:tcW w:w="19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安力博发集团有限公司</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38,876,998.00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38,876,998.00</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6"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816" w:hRule="exact"/>
        </w:trPr>
        <w:tc>
          <w:tcPr>
            <w:tcW w:w="19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4" w:lineRule="auto" w:before="118"/>
              <w:ind w:left="13" w:right="74"/>
              <w:jc w:val="left"/>
              <w:rPr>
                <w:rFonts w:ascii="宋体" w:hAnsi="宋体" w:cs="宋体" w:eastAsia="宋体" w:hint="default"/>
                <w:sz w:val="18"/>
                <w:szCs w:val="18"/>
              </w:rPr>
            </w:pPr>
            <w:r>
              <w:rPr>
                <w:rFonts w:ascii="宋体" w:hAnsi="宋体" w:cs="宋体" w:eastAsia="宋体" w:hint="default"/>
                <w:sz w:val="18"/>
                <w:szCs w:val="18"/>
              </w:rPr>
              <w:t>北京新美房地产开发有 限公司</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19,984,760.00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19,984,760.00</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814" w:hRule="exact"/>
        </w:trPr>
        <w:tc>
          <w:tcPr>
            <w:tcW w:w="19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6"/>
              <w:ind w:left="13" w:right="74"/>
              <w:jc w:val="left"/>
              <w:rPr>
                <w:rFonts w:ascii="宋体" w:hAnsi="宋体" w:cs="宋体" w:eastAsia="宋体" w:hint="default"/>
                <w:sz w:val="18"/>
                <w:szCs w:val="18"/>
              </w:rPr>
            </w:pPr>
            <w:r>
              <w:rPr>
                <w:rFonts w:ascii="宋体" w:hAnsi="宋体" w:cs="宋体" w:eastAsia="宋体" w:hint="default"/>
                <w:sz w:val="18"/>
                <w:szCs w:val="18"/>
              </w:rPr>
              <w:t>昆山东华机电实业有限 公司</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5,800,000.00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5,800,000.00</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56" w:hRule="exact"/>
        </w:trPr>
        <w:tc>
          <w:tcPr>
            <w:tcW w:w="191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北京金冠投资有限公司</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5,020,000.00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5,020,000.00</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8"/>
              <w:ind w:left="6"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61" w:hRule="exact"/>
        </w:trPr>
        <w:tc>
          <w:tcPr>
            <w:tcW w:w="1912"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69,681,758.00</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69,681,758.00</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left="6"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6"/>
        <w:ind w:right="140"/>
        <w:jc w:val="left"/>
      </w:pPr>
      <w:r>
        <w:rPr/>
        <w:t>组合中，按账龄分析法计提坏账准备的其他应收款：</w:t>
      </w:r>
    </w:p>
    <w:p>
      <w:pPr>
        <w:spacing w:line="240" w:lineRule="auto" w:before="10"/>
        <w:rPr>
          <w:rFonts w:ascii="宋体" w:hAnsi="宋体" w:cs="宋体" w:eastAsia="宋体" w:hint="default"/>
          <w:sz w:val="14"/>
          <w:szCs w:val="14"/>
        </w:rPr>
      </w:pPr>
    </w:p>
    <w:p>
      <w:pPr>
        <w:pStyle w:val="BodyText"/>
        <w:spacing w:line="408" w:lineRule="auto"/>
        <w:ind w:right="4524"/>
        <w:jc w:val="left"/>
      </w:pPr>
      <w:r>
        <w:rPr/>
        <w:t>□ 适用 √</w:t>
      </w:r>
      <w:r>
        <w:rPr>
          <w:spacing w:val="-2"/>
        </w:rPr>
        <w:t> </w:t>
      </w:r>
      <w:r>
        <w:rPr/>
        <w:t>不适用</w:t>
      </w:r>
      <w:r>
        <w:rPr>
          <w:spacing w:val="-103"/>
        </w:rPr>
        <w:t> </w:t>
      </w:r>
      <w:r>
        <w:rPr>
          <w:spacing w:val="-103"/>
        </w:rPr>
      </w:r>
      <w:r>
        <w:rPr>
          <w:spacing w:val="-2"/>
        </w:rPr>
        <w:t>组合中，采用余额百分比法计提坏账准备的其他应收款：</w:t>
      </w:r>
    </w:p>
    <w:p>
      <w:pPr>
        <w:pStyle w:val="BodyText"/>
        <w:spacing w:line="408" w:lineRule="auto" w:before="46"/>
        <w:ind w:right="4524"/>
        <w:jc w:val="left"/>
      </w:pPr>
      <w:r>
        <w:rPr/>
        <w:t>□ 适用 √</w:t>
      </w:r>
      <w:r>
        <w:rPr>
          <w:spacing w:val="-2"/>
        </w:rPr>
        <w:t> </w:t>
      </w:r>
      <w:r>
        <w:rPr/>
        <w:t>不适用</w:t>
      </w:r>
      <w:r>
        <w:rPr>
          <w:spacing w:val="-103"/>
        </w:rPr>
        <w:t> </w:t>
      </w:r>
      <w:r>
        <w:rPr>
          <w:spacing w:val="-103"/>
        </w:rPr>
      </w:r>
      <w:r>
        <w:rPr>
          <w:spacing w:val="-2"/>
        </w:rPr>
        <w:t>组合中，采用其他方法计提坏账准备的其他应收款：</w:t>
      </w:r>
    </w:p>
    <w:p>
      <w:pPr>
        <w:pStyle w:val="BodyText"/>
        <w:spacing w:line="240" w:lineRule="auto" w:before="46"/>
        <w:ind w:right="140"/>
        <w:jc w:val="left"/>
      </w:pPr>
      <w:r>
        <w:rPr/>
        <w:t>√ 适用 □ 不适用</w:t>
      </w:r>
    </w:p>
    <w:p>
      <w:pPr>
        <w:spacing w:line="240" w:lineRule="auto" w:before="12"/>
        <w:rPr>
          <w:rFonts w:ascii="宋体" w:hAnsi="宋体" w:cs="宋体" w:eastAsia="宋体" w:hint="default"/>
          <w:sz w:val="9"/>
          <w:szCs w:val="9"/>
        </w:rPr>
      </w:pPr>
    </w:p>
    <w:tbl>
      <w:tblPr>
        <w:tblW w:w="0" w:type="auto"/>
        <w:jc w:val="left"/>
        <w:tblInd w:w="124" w:type="dxa"/>
        <w:tblLayout w:type="fixed"/>
        <w:tblCellMar>
          <w:top w:w="0" w:type="dxa"/>
          <w:left w:w="0" w:type="dxa"/>
          <w:bottom w:w="0" w:type="dxa"/>
          <w:right w:w="0" w:type="dxa"/>
        </w:tblCellMar>
        <w:tblLook w:val="01E0"/>
      </w:tblPr>
      <w:tblGrid>
        <w:gridCol w:w="2283"/>
        <w:gridCol w:w="2059"/>
        <w:gridCol w:w="1692"/>
        <w:gridCol w:w="2110"/>
        <w:gridCol w:w="1448"/>
      </w:tblGrid>
      <w:tr>
        <w:trPr>
          <w:trHeight w:val="476" w:hRule="exact"/>
        </w:trPr>
        <w:tc>
          <w:tcPr>
            <w:tcW w:w="2283" w:type="dxa"/>
            <w:vMerge w:val="restart"/>
            <w:tcBorders>
              <w:top w:val="single" w:sz="12" w:space="0" w:color="000000"/>
              <w:left w:val="single" w:sz="12"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类别</w:t>
            </w:r>
          </w:p>
        </w:tc>
        <w:tc>
          <w:tcPr>
            <w:tcW w:w="7309" w:type="dxa"/>
            <w:gridSpan w:val="4"/>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63"/>
              <w:ind w:left="9"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31 </w:t>
            </w:r>
            <w:r>
              <w:rPr>
                <w:rFonts w:ascii="宋体" w:hAnsi="宋体" w:cs="宋体" w:eastAsia="宋体" w:hint="default"/>
                <w:sz w:val="20"/>
                <w:szCs w:val="20"/>
              </w:rPr>
              <w:t>日</w:t>
            </w:r>
          </w:p>
        </w:tc>
      </w:tr>
      <w:tr>
        <w:trPr>
          <w:trHeight w:val="468" w:hRule="exact"/>
        </w:trPr>
        <w:tc>
          <w:tcPr>
            <w:tcW w:w="2283" w:type="dxa"/>
            <w:vMerge/>
            <w:tcBorders>
              <w:left w:val="single" w:sz="12" w:space="0" w:color="000000"/>
              <w:right w:val="single" w:sz="6" w:space="0" w:color="000000"/>
            </w:tcBorders>
            <w:shd w:val="clear" w:color="auto" w:fill="BEBEBE"/>
          </w:tcPr>
          <w:p>
            <w:pPr/>
          </w:p>
        </w:tc>
        <w:tc>
          <w:tcPr>
            <w:tcW w:w="3752"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4"/>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3558" w:type="dxa"/>
            <w:gridSpan w:val="2"/>
            <w:tcBorders>
              <w:top w:val="single" w:sz="6"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64"/>
              <w:ind w:left="7" w:right="0"/>
              <w:jc w:val="center"/>
              <w:rPr>
                <w:rFonts w:ascii="宋体" w:hAnsi="宋体" w:cs="宋体" w:eastAsia="宋体" w:hint="default"/>
                <w:sz w:val="20"/>
                <w:szCs w:val="20"/>
              </w:rPr>
            </w:pPr>
            <w:r>
              <w:rPr>
                <w:rFonts w:ascii="宋体" w:hAnsi="宋体" w:cs="宋体" w:eastAsia="宋体" w:hint="default"/>
                <w:sz w:val="20"/>
                <w:szCs w:val="20"/>
              </w:rPr>
              <w:t>坏账准备</w:t>
            </w:r>
          </w:p>
        </w:tc>
      </w:tr>
      <w:tr>
        <w:trPr>
          <w:trHeight w:val="470" w:hRule="exact"/>
        </w:trPr>
        <w:tc>
          <w:tcPr>
            <w:tcW w:w="2283" w:type="dxa"/>
            <w:vMerge/>
            <w:tcBorders>
              <w:left w:val="single" w:sz="12" w:space="0" w:color="000000"/>
              <w:bottom w:val="single" w:sz="6" w:space="0" w:color="000000"/>
              <w:right w:val="single" w:sz="6" w:space="0" w:color="000000"/>
            </w:tcBorders>
            <w:shd w:val="clear" w:color="auto" w:fill="BEBEBE"/>
          </w:tcPr>
          <w:p>
            <w:pPr/>
          </w:p>
        </w:tc>
        <w:tc>
          <w:tcPr>
            <w:tcW w:w="20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4"/>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69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4"/>
              <w:ind w:left="389"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sz w:val="20"/>
                <w:szCs w:val="20"/>
              </w:rPr>
              <w:t>%</w:t>
            </w:r>
            <w:r>
              <w:rPr>
                <w:rFonts w:ascii="宋体" w:hAnsi="宋体" w:cs="宋体" w:eastAsia="宋体" w:hint="default"/>
                <w:sz w:val="20"/>
                <w:szCs w:val="20"/>
              </w:rPr>
              <w:t>）</w:t>
            </w:r>
          </w:p>
        </w:tc>
        <w:tc>
          <w:tcPr>
            <w:tcW w:w="21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4"/>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448" w:type="dxa"/>
            <w:tcBorders>
              <w:top w:val="single" w:sz="6"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64"/>
              <w:ind w:left="268"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sz w:val="20"/>
                <w:szCs w:val="20"/>
              </w:rPr>
              <w:t>%</w:t>
            </w:r>
            <w:r>
              <w:rPr>
                <w:rFonts w:ascii="宋体" w:hAnsi="宋体" w:cs="宋体" w:eastAsia="宋体" w:hint="default"/>
                <w:sz w:val="20"/>
                <w:szCs w:val="20"/>
              </w:rPr>
              <w:t>）</w:t>
            </w:r>
          </w:p>
        </w:tc>
      </w:tr>
      <w:tr>
        <w:trPr>
          <w:trHeight w:val="638" w:hRule="exact"/>
        </w:trPr>
        <w:tc>
          <w:tcPr>
            <w:tcW w:w="2283"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85" w:lineRule="auto"/>
              <w:ind w:left="93" w:right="103"/>
              <w:jc w:val="left"/>
              <w:rPr>
                <w:rFonts w:ascii="宋体" w:hAnsi="宋体" w:cs="宋体" w:eastAsia="宋体" w:hint="default"/>
                <w:sz w:val="20"/>
                <w:szCs w:val="20"/>
              </w:rPr>
            </w:pPr>
            <w:r>
              <w:rPr>
                <w:rFonts w:ascii="宋体" w:hAnsi="宋体" w:cs="宋体" w:eastAsia="宋体" w:hint="default"/>
                <w:spacing w:val="6"/>
                <w:sz w:val="20"/>
                <w:szCs w:val="20"/>
              </w:rPr>
              <w:t>按款项性质组合计提坏</w:t>
            </w:r>
            <w:r>
              <w:rPr>
                <w:rFonts w:ascii="宋体" w:hAnsi="宋体" w:cs="宋体" w:eastAsia="宋体" w:hint="default"/>
                <w:w w:val="99"/>
                <w:sz w:val="20"/>
                <w:szCs w:val="20"/>
              </w:rPr>
              <w:t> </w:t>
            </w:r>
            <w:r>
              <w:rPr>
                <w:rFonts w:ascii="宋体" w:hAnsi="宋体" w:cs="宋体" w:eastAsia="宋体" w:hint="default"/>
                <w:sz w:val="20"/>
                <w:szCs w:val="20"/>
              </w:rPr>
              <w:t>账准备的其他应收款</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0"/>
                <w:szCs w:val="20"/>
              </w:rPr>
            </w:pPr>
            <w:r>
              <w:rPr>
                <w:rFonts w:ascii="Times New Roman"/>
                <w:w w:val="95"/>
                <w:sz w:val="20"/>
              </w:rPr>
              <w:t>79,010,982.28</w:t>
            </w:r>
            <w:r>
              <w:rPr>
                <w:rFonts w:ascii="Times New Roman"/>
                <w:sz w:val="20"/>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0"/>
                <w:szCs w:val="20"/>
              </w:rPr>
            </w:pPr>
            <w:r>
              <w:rPr>
                <w:rFonts w:ascii="Times New Roman"/>
                <w:sz w:val="20"/>
              </w:rPr>
              <w:t>99.97%</w:t>
            </w:r>
          </w:p>
        </w:tc>
        <w:tc>
          <w:tcPr>
            <w:tcW w:w="2110"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283"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64"/>
              <w:ind w:left="93" w:right="0"/>
              <w:jc w:val="left"/>
              <w:rPr>
                <w:rFonts w:ascii="宋体" w:hAnsi="宋体" w:cs="宋体" w:eastAsia="宋体" w:hint="default"/>
                <w:sz w:val="20"/>
                <w:szCs w:val="20"/>
              </w:rPr>
            </w:pPr>
            <w:r>
              <w:rPr>
                <w:rFonts w:ascii="宋体" w:hAnsi="宋体" w:cs="宋体" w:eastAsia="宋体" w:hint="default"/>
                <w:sz w:val="20"/>
                <w:szCs w:val="20"/>
              </w:rPr>
              <w:t>账龄分析法</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6"/>
              <w:jc w:val="right"/>
              <w:rPr>
                <w:rFonts w:ascii="Times New Roman" w:hAnsi="Times New Roman" w:cs="Times New Roman" w:eastAsia="Times New Roman" w:hint="default"/>
                <w:sz w:val="20"/>
                <w:szCs w:val="20"/>
              </w:rPr>
            </w:pPr>
            <w:r>
              <w:rPr>
                <w:rFonts w:ascii="Times New Roman"/>
                <w:w w:val="95"/>
                <w:sz w:val="20"/>
              </w:rPr>
              <w:t>23,000.00</w:t>
            </w:r>
            <w:r>
              <w:rPr>
                <w:rFonts w:ascii="Times New Roman"/>
                <w:sz w:val="20"/>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6"/>
              <w:jc w:val="right"/>
              <w:rPr>
                <w:rFonts w:ascii="Times New Roman" w:hAnsi="Times New Roman" w:cs="Times New Roman" w:eastAsia="Times New Roman" w:hint="default"/>
                <w:sz w:val="20"/>
                <w:szCs w:val="20"/>
              </w:rPr>
            </w:pPr>
            <w:r>
              <w:rPr>
                <w:rFonts w:ascii="Times New Roman"/>
                <w:sz w:val="20"/>
              </w:rPr>
              <w:t>0.03%</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5"/>
              <w:jc w:val="right"/>
              <w:rPr>
                <w:rFonts w:ascii="Times New Roman" w:hAnsi="Times New Roman" w:cs="Times New Roman" w:eastAsia="Times New Roman" w:hint="default"/>
                <w:sz w:val="20"/>
                <w:szCs w:val="20"/>
              </w:rPr>
            </w:pPr>
            <w:r>
              <w:rPr>
                <w:rFonts w:ascii="Times New Roman"/>
                <w:sz w:val="20"/>
              </w:rPr>
              <w:t>562</w:t>
            </w:r>
          </w:p>
        </w:tc>
        <w:tc>
          <w:tcPr>
            <w:tcW w:w="14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1"/>
              <w:ind w:right="87"/>
              <w:jc w:val="right"/>
              <w:rPr>
                <w:rFonts w:ascii="Times New Roman" w:hAnsi="Times New Roman" w:cs="Times New Roman" w:eastAsia="Times New Roman" w:hint="default"/>
                <w:sz w:val="20"/>
                <w:szCs w:val="20"/>
              </w:rPr>
            </w:pPr>
            <w:r>
              <w:rPr>
                <w:rFonts w:ascii="Times New Roman"/>
                <w:sz w:val="20"/>
              </w:rPr>
              <w:t>2.44%</w:t>
            </w:r>
          </w:p>
        </w:tc>
      </w:tr>
      <w:tr>
        <w:trPr>
          <w:trHeight w:val="476" w:hRule="exact"/>
        </w:trPr>
        <w:tc>
          <w:tcPr>
            <w:tcW w:w="2283" w:type="dxa"/>
            <w:tcBorders>
              <w:top w:val="single" w:sz="6"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64"/>
              <w:ind w:left="9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0"/>
                <w:szCs w:val="20"/>
              </w:rPr>
            </w:pPr>
            <w:r>
              <w:rPr>
                <w:rFonts w:ascii="Times New Roman"/>
                <w:b/>
                <w:w w:val="95"/>
                <w:sz w:val="20"/>
              </w:rPr>
              <w:t>79,033,982.28</w:t>
            </w:r>
            <w:r>
              <w:rPr>
                <w:rFonts w:ascii="Times New Roman"/>
                <w:sz w:val="20"/>
              </w:rPr>
            </w: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b/>
                <w:sz w:val="20"/>
              </w:rPr>
              <w:t>100%</w:t>
            </w:r>
            <w:r>
              <w:rPr>
                <w:rFonts w:ascii="Times New Roman"/>
                <w:sz w:val="20"/>
              </w:rPr>
            </w:r>
          </w:p>
        </w:tc>
        <w:tc>
          <w:tcPr>
            <w:tcW w:w="21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b/>
                <w:sz w:val="20"/>
              </w:rPr>
              <w:t>562</w:t>
            </w:r>
            <w:r>
              <w:rPr>
                <w:rFonts w:ascii="Times New Roman"/>
                <w:sz w:val="20"/>
              </w:rPr>
            </w:r>
          </w:p>
        </w:tc>
        <w:tc>
          <w:tcPr>
            <w:tcW w:w="144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87"/>
              <w:jc w:val="right"/>
              <w:rPr>
                <w:rFonts w:ascii="Times New Roman" w:hAnsi="Times New Roman" w:cs="Times New Roman" w:eastAsia="Times New Roman" w:hint="default"/>
                <w:sz w:val="20"/>
                <w:szCs w:val="20"/>
              </w:rPr>
            </w:pPr>
            <w:r>
              <w:rPr>
                <w:rFonts w:ascii="Times New Roman"/>
                <w:b/>
                <w:sz w:val="20"/>
              </w:rPr>
              <w:t>2.44%</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footerReference w:type="default" r:id="rId55"/>
          <w:pgSz w:w="11910" w:h="16840"/>
          <w:pgMar w:footer="1227" w:header="0" w:top="1100" w:bottom="1420" w:left="980" w:right="980"/>
          <w:pgNumType w:start="148"/>
        </w:sectPr>
      </w:pPr>
    </w:p>
    <w:p>
      <w:pPr>
        <w:spacing w:line="240" w:lineRule="auto" w:before="1"/>
        <w:rPr>
          <w:rFonts w:ascii="宋体" w:hAnsi="宋体" w:cs="宋体" w:eastAsia="宋体" w:hint="default"/>
          <w:sz w:val="25"/>
          <w:szCs w:val="25"/>
        </w:rPr>
      </w:pPr>
    </w:p>
    <w:p>
      <w:pPr>
        <w:spacing w:line="564" w:lineRule="auto" w:before="36"/>
        <w:ind w:left="153" w:right="452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）本期计提、收回或转回的坏账准备情况</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本期计提坏账准备金额</w:t>
      </w:r>
      <w:r>
        <w:rPr>
          <w:rFonts w:ascii="宋体" w:hAnsi="宋体" w:cs="宋体" w:eastAsia="宋体" w:hint="default"/>
          <w:sz w:val="21"/>
          <w:szCs w:val="21"/>
        </w:rPr>
        <w:t>38,876,998.00</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2"/>
        <w:ind w:right="14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7"/>
          <w:szCs w:val="27"/>
        </w:rPr>
      </w:pPr>
    </w:p>
    <w:p>
      <w:pPr>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171"/>
        <w:gridCol w:w="3202"/>
        <w:gridCol w:w="3191"/>
      </w:tblGrid>
      <w:tr>
        <w:trPr>
          <w:trHeight w:val="457"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9"/>
              <w:ind w:right="3"/>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202" w:type="dxa"/>
            <w:tcBorders>
              <w:top w:val="single" w:sz="12" w:space="0" w:color="000000"/>
              <w:left w:val="single" w:sz="8" w:space="0" w:color="D9D9D9"/>
              <w:bottom w:val="single" w:sz="6" w:space="0" w:color="000000"/>
              <w:right w:val="single" w:sz="6" w:space="0" w:color="000000"/>
            </w:tcBorders>
            <w:shd w:val="clear" w:color="auto" w:fill="D2D2D2"/>
          </w:tcPr>
          <w:p>
            <w:pPr>
              <w:pStyle w:val="TableParagraph"/>
              <w:spacing w:line="240" w:lineRule="auto" w:before="119"/>
              <w:ind w:left="105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9"/>
              <w:ind w:left="104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85" w:hRule="exact"/>
        </w:trPr>
        <w:tc>
          <w:tcPr>
            <w:tcW w:w="317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37"/>
              <w:ind w:left="7"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202" w:type="dxa"/>
            <w:tcBorders>
              <w:top w:val="single" w:sz="9" w:space="0" w:color="000000"/>
              <w:left w:val="single" w:sz="8" w:space="0" w:color="D9D9D9"/>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70,172,224.07</w:t>
            </w:r>
          </w:p>
        </w:tc>
        <w:tc>
          <w:tcPr>
            <w:tcW w:w="3191" w:type="dxa"/>
            <w:tcBorders>
              <w:top w:val="single" w:sz="9"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79,577,673.49</w:t>
            </w:r>
          </w:p>
        </w:tc>
      </w:tr>
      <w:tr>
        <w:trPr>
          <w:trHeight w:val="468" w:hRule="exact"/>
        </w:trPr>
        <w:tc>
          <w:tcPr>
            <w:tcW w:w="317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待结诉讼款项</w:t>
            </w:r>
            <w:r>
              <w:rPr>
                <w:rFonts w:ascii="Times New Roman" w:hAnsi="Times New Roman" w:cs="Times New Roman" w:eastAsia="Times New Roman" w:hint="default"/>
                <w:sz w:val="18"/>
                <w:szCs w:val="18"/>
              </w:rPr>
              <w:t>*1</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38,876,998.00</w:t>
            </w: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317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34,019,224.54</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34,019,224.54</w:t>
            </w:r>
          </w:p>
        </w:tc>
      </w:tr>
      <w:tr>
        <w:trPr>
          <w:trHeight w:val="468" w:hRule="exact"/>
        </w:trPr>
        <w:tc>
          <w:tcPr>
            <w:tcW w:w="317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待收股份转让款</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4,690,726.05</w:t>
            </w: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317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3,257,378.60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6,662,312.45</w:t>
            </w:r>
          </w:p>
        </w:tc>
      </w:tr>
      <w:tr>
        <w:trPr>
          <w:trHeight w:val="470" w:hRule="exact"/>
        </w:trPr>
        <w:tc>
          <w:tcPr>
            <w:tcW w:w="317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5"/>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4,974,688.31</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4,398,956.03</w:t>
            </w:r>
          </w:p>
        </w:tc>
      </w:tr>
      <w:tr>
        <w:trPr>
          <w:trHeight w:val="47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9D9D9"/>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155,991,239.57</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124,658,166.51</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4"/>
        <w:rPr>
          <w:rFonts w:ascii="宋体" w:hAnsi="宋体" w:cs="宋体" w:eastAsia="宋体" w:hint="default"/>
          <w:b/>
          <w:bCs/>
          <w:sz w:val="27"/>
          <w:szCs w:val="27"/>
        </w:rPr>
      </w:pPr>
    </w:p>
    <w:p>
      <w:pPr>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9"/>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823" w:hRule="exact"/>
        </w:trPr>
        <w:tc>
          <w:tcPr>
            <w:tcW w:w="159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67" w:lineRule="auto" w:before="118"/>
              <w:ind w:left="69" w:right="68"/>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63"/>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816" w:hRule="exact"/>
        </w:trPr>
        <w:tc>
          <w:tcPr>
            <w:tcW w:w="159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6"/>
              <w:ind w:left="14" w:right="115"/>
              <w:jc w:val="left"/>
              <w:rPr>
                <w:rFonts w:ascii="宋体" w:hAnsi="宋体" w:cs="宋体" w:eastAsia="宋体" w:hint="default"/>
                <w:sz w:val="18"/>
                <w:szCs w:val="18"/>
              </w:rPr>
            </w:pPr>
            <w:r>
              <w:rPr>
                <w:rFonts w:ascii="宋体" w:hAnsi="宋体" w:cs="宋体" w:eastAsia="宋体" w:hint="default"/>
                <w:sz w:val="18"/>
                <w:szCs w:val="18"/>
              </w:rPr>
              <w:t>安力博发集团有限 公司</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待结诉讼款项</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38,876,998.00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24.92%</w:t>
            </w:r>
          </w:p>
        </w:tc>
        <w:tc>
          <w:tcPr>
            <w:tcW w:w="15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38,876,998.00</w:t>
            </w:r>
          </w:p>
        </w:tc>
      </w:tr>
      <w:tr>
        <w:trPr>
          <w:trHeight w:val="814" w:hRule="exact"/>
        </w:trPr>
        <w:tc>
          <w:tcPr>
            <w:tcW w:w="159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6"/>
              <w:ind w:left="14" w:right="115"/>
              <w:jc w:val="left"/>
              <w:rPr>
                <w:rFonts w:ascii="宋体" w:hAnsi="宋体" w:cs="宋体" w:eastAsia="宋体" w:hint="default"/>
                <w:sz w:val="18"/>
                <w:szCs w:val="18"/>
              </w:rPr>
            </w:pPr>
            <w:r>
              <w:rPr>
                <w:rFonts w:ascii="宋体" w:hAnsi="宋体" w:cs="宋体" w:eastAsia="宋体" w:hint="default"/>
                <w:sz w:val="18"/>
                <w:szCs w:val="18"/>
              </w:rPr>
              <w:t>北京新美房地产开 发有限公司</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19,984,760.00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12.81%</w:t>
            </w:r>
          </w:p>
        </w:tc>
        <w:tc>
          <w:tcPr>
            <w:tcW w:w="15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19,984,760.00</w:t>
            </w:r>
          </w:p>
        </w:tc>
      </w:tr>
      <w:tr>
        <w:trPr>
          <w:trHeight w:val="817" w:hRule="exact"/>
        </w:trPr>
        <w:tc>
          <w:tcPr>
            <w:tcW w:w="159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4" w:lineRule="auto" w:before="119"/>
              <w:ind w:left="14" w:right="115"/>
              <w:jc w:val="left"/>
              <w:rPr>
                <w:rFonts w:ascii="宋体" w:hAnsi="宋体" w:cs="宋体" w:eastAsia="宋体" w:hint="default"/>
                <w:sz w:val="18"/>
                <w:szCs w:val="18"/>
              </w:rPr>
            </w:pPr>
            <w:r>
              <w:rPr>
                <w:rFonts w:ascii="宋体" w:hAnsi="宋体" w:cs="宋体" w:eastAsia="宋体" w:hint="default"/>
                <w:sz w:val="18"/>
                <w:szCs w:val="18"/>
              </w:rPr>
              <w:t>永华实业开发有限 公司</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7,088,700.00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4.54%</w:t>
            </w:r>
          </w:p>
        </w:tc>
        <w:tc>
          <w:tcPr>
            <w:tcW w:w="1596" w:type="dxa"/>
            <w:tcBorders>
              <w:top w:val="single" w:sz="6" w:space="0" w:color="000000"/>
              <w:left w:val="single" w:sz="6" w:space="0" w:color="000000"/>
              <w:bottom w:val="single" w:sz="6" w:space="0" w:color="000000"/>
              <w:right w:val="single" w:sz="12" w:space="0" w:color="000000"/>
            </w:tcBorders>
          </w:tcPr>
          <w:p>
            <w:pPr/>
          </w:p>
        </w:tc>
      </w:tr>
      <w:tr>
        <w:trPr>
          <w:trHeight w:val="816" w:hRule="exact"/>
        </w:trPr>
        <w:tc>
          <w:tcPr>
            <w:tcW w:w="159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6"/>
              <w:ind w:left="14" w:right="115"/>
              <w:jc w:val="left"/>
              <w:rPr>
                <w:rFonts w:ascii="宋体" w:hAnsi="宋体" w:cs="宋体" w:eastAsia="宋体" w:hint="default"/>
                <w:sz w:val="18"/>
                <w:szCs w:val="18"/>
              </w:rPr>
            </w:pPr>
            <w:r>
              <w:rPr>
                <w:rFonts w:ascii="宋体" w:hAnsi="宋体" w:cs="宋体" w:eastAsia="宋体" w:hint="default"/>
                <w:sz w:val="18"/>
                <w:szCs w:val="18"/>
              </w:rPr>
              <w:t>昆山东华机电实业 有限公司</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5,800,000.00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3.72%</w:t>
            </w:r>
          </w:p>
        </w:tc>
        <w:tc>
          <w:tcPr>
            <w:tcW w:w="15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5,800,000.00</w:t>
            </w:r>
          </w:p>
        </w:tc>
      </w:tr>
      <w:tr>
        <w:trPr>
          <w:trHeight w:val="814" w:hRule="exact"/>
        </w:trPr>
        <w:tc>
          <w:tcPr>
            <w:tcW w:w="159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4" w:lineRule="auto" w:before="116"/>
              <w:ind w:left="14" w:right="115"/>
              <w:jc w:val="left"/>
              <w:rPr>
                <w:rFonts w:ascii="宋体" w:hAnsi="宋体" w:cs="宋体" w:eastAsia="宋体" w:hint="default"/>
                <w:sz w:val="18"/>
                <w:szCs w:val="18"/>
              </w:rPr>
            </w:pPr>
            <w:r>
              <w:rPr>
                <w:rFonts w:ascii="宋体" w:hAnsi="宋体" w:cs="宋体" w:eastAsia="宋体" w:hint="default"/>
                <w:sz w:val="18"/>
                <w:szCs w:val="18"/>
              </w:rPr>
              <w:t>北京金冠投资有限 公司</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5,020,000.00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3.22%</w:t>
            </w:r>
          </w:p>
        </w:tc>
        <w:tc>
          <w:tcPr>
            <w:tcW w:w="15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5,020,000.00</w:t>
            </w:r>
          </w:p>
        </w:tc>
      </w:tr>
      <w:tr>
        <w:trPr>
          <w:trHeight w:val="475" w:hRule="exact"/>
        </w:trPr>
        <w:tc>
          <w:tcPr>
            <w:tcW w:w="159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76,770,458.00</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6" w:space="0" w:color="000000"/>
              <w:left w:val="single" w:sz="6" w:space="0" w:color="000000"/>
              <w:bottom w:val="single" w:sz="12" w:space="0" w:color="000000"/>
              <w:right w:val="single" w:sz="6" w:space="0" w:color="000000"/>
            </w:tcBorders>
          </w:tcPr>
          <w:p>
            <w:pPr/>
          </w:p>
        </w:tc>
        <w:tc>
          <w:tcPr>
            <w:tcW w:w="159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69,681,758.00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7"/>
          <w:szCs w:val="27"/>
        </w:rPr>
      </w:pPr>
    </w:p>
    <w:p>
      <w:pPr>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531"/>
        <w:gridCol w:w="1349"/>
        <w:gridCol w:w="1260"/>
        <w:gridCol w:w="1352"/>
        <w:gridCol w:w="1441"/>
        <w:gridCol w:w="1272"/>
        <w:gridCol w:w="1368"/>
      </w:tblGrid>
      <w:tr>
        <w:trPr>
          <w:trHeight w:val="253" w:hRule="exact"/>
        </w:trPr>
        <w:tc>
          <w:tcPr>
            <w:tcW w:w="1531"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961" w:type="dxa"/>
            <w:gridSpan w:val="3"/>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1" w:type="dxa"/>
            <w:gridSpan w:val="3"/>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11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18" w:hRule="exact"/>
        </w:trPr>
        <w:tc>
          <w:tcPr>
            <w:tcW w:w="1531"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961" w:type="dxa"/>
            <w:gridSpan w:val="3"/>
            <w:vMerge/>
            <w:tcBorders>
              <w:left w:val="single" w:sz="6" w:space="0" w:color="000000"/>
              <w:bottom w:val="single" w:sz="6" w:space="0" w:color="000000"/>
              <w:right w:val="single" w:sz="6" w:space="0" w:color="000000"/>
            </w:tcBorders>
            <w:shd w:val="clear" w:color="auto" w:fill="D2D2D2"/>
          </w:tcPr>
          <w:p>
            <w:pPr/>
          </w:p>
        </w:tc>
        <w:tc>
          <w:tcPr>
            <w:tcW w:w="4081" w:type="dxa"/>
            <w:gridSpan w:val="3"/>
            <w:vMerge/>
            <w:tcBorders>
              <w:left w:val="single" w:sz="6" w:space="0" w:color="000000"/>
              <w:bottom w:val="single" w:sz="6" w:space="0" w:color="000000"/>
              <w:right w:val="single" w:sz="12" w:space="0" w:color="000000"/>
            </w:tcBorders>
            <w:shd w:val="clear" w:color="auto" w:fill="D2D2D2"/>
          </w:tcPr>
          <w:p>
            <w:pPr/>
          </w:p>
        </w:tc>
      </w:tr>
      <w:tr>
        <w:trPr>
          <w:trHeight w:val="221" w:hRule="exact"/>
        </w:trPr>
        <w:tc>
          <w:tcPr>
            <w:tcW w:w="1531" w:type="dxa"/>
            <w:vMerge/>
            <w:tcBorders>
              <w:left w:val="single" w:sz="12" w:space="0" w:color="000000"/>
              <w:bottom w:val="nil" w:sz="6" w:space="0" w:color="auto"/>
              <w:right w:val="single" w:sz="6" w:space="0" w:color="000000"/>
            </w:tcBorders>
            <w:shd w:val="clear" w:color="auto" w:fill="D2D2D2"/>
          </w:tcPr>
          <w:p>
            <w:pPr/>
          </w:p>
        </w:tc>
        <w:tc>
          <w:tcPr>
            <w:tcW w:w="134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3"/>
              <w:ind w:left="3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3"/>
              <w:ind w:left="26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3"/>
              <w:ind w:left="30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4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3"/>
              <w:ind w:left="35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3"/>
              <w:ind w:left="26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12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50" w:hRule="exact"/>
        </w:trPr>
        <w:tc>
          <w:tcPr>
            <w:tcW w:w="1531" w:type="dxa"/>
            <w:tcBorders>
              <w:top w:val="nil" w:sz="6" w:space="0" w:color="auto"/>
              <w:left w:val="single" w:sz="12" w:space="0" w:color="000000"/>
              <w:bottom w:val="single" w:sz="6" w:space="0" w:color="000000"/>
              <w:right w:val="single" w:sz="6" w:space="0" w:color="000000"/>
            </w:tcBorders>
            <w:shd w:val="clear" w:color="auto" w:fill="D2D2D2"/>
          </w:tcPr>
          <w:p>
            <w:pPr/>
          </w:p>
        </w:tc>
        <w:tc>
          <w:tcPr>
            <w:tcW w:w="1349" w:type="dxa"/>
            <w:vMerge/>
            <w:tcBorders>
              <w:left w:val="single" w:sz="6" w:space="0" w:color="000000"/>
              <w:bottom w:val="single" w:sz="6" w:space="0" w:color="000000"/>
              <w:right w:val="single" w:sz="6" w:space="0" w:color="000000"/>
            </w:tcBorders>
            <w:shd w:val="clear" w:color="auto" w:fill="D2D2D2"/>
          </w:tcPr>
          <w:p>
            <w:pPr/>
          </w:p>
        </w:tc>
        <w:tc>
          <w:tcPr>
            <w:tcW w:w="1260" w:type="dxa"/>
            <w:vMerge/>
            <w:tcBorders>
              <w:left w:val="single" w:sz="6" w:space="0" w:color="000000"/>
              <w:bottom w:val="single" w:sz="6" w:space="0" w:color="000000"/>
              <w:right w:val="single" w:sz="6" w:space="0" w:color="000000"/>
            </w:tcBorders>
            <w:shd w:val="clear" w:color="auto" w:fill="D2D2D2"/>
          </w:tcPr>
          <w:p>
            <w:pPr/>
          </w:p>
        </w:tc>
        <w:tc>
          <w:tcPr>
            <w:tcW w:w="1352" w:type="dxa"/>
            <w:vMerge/>
            <w:tcBorders>
              <w:left w:val="single" w:sz="6" w:space="0" w:color="000000"/>
              <w:bottom w:val="single" w:sz="6" w:space="0" w:color="000000"/>
              <w:right w:val="single" w:sz="6" w:space="0" w:color="000000"/>
            </w:tcBorders>
            <w:shd w:val="clear" w:color="auto" w:fill="D2D2D2"/>
          </w:tcPr>
          <w:p>
            <w:pPr/>
          </w:p>
        </w:tc>
        <w:tc>
          <w:tcPr>
            <w:tcW w:w="1441" w:type="dxa"/>
            <w:vMerge/>
            <w:tcBorders>
              <w:left w:val="single" w:sz="6" w:space="0" w:color="000000"/>
              <w:bottom w:val="single" w:sz="6" w:space="0" w:color="000000"/>
              <w:right w:val="single" w:sz="6" w:space="0" w:color="000000"/>
            </w:tcBorders>
            <w:shd w:val="clear" w:color="auto" w:fill="D2D2D2"/>
          </w:tcPr>
          <w:p>
            <w:pPr/>
          </w:p>
        </w:tc>
        <w:tc>
          <w:tcPr>
            <w:tcW w:w="1272" w:type="dxa"/>
            <w:vMerge/>
            <w:tcBorders>
              <w:left w:val="single" w:sz="6" w:space="0" w:color="000000"/>
              <w:bottom w:val="single" w:sz="6" w:space="0" w:color="000000"/>
              <w:right w:val="single" w:sz="6" w:space="0" w:color="000000"/>
            </w:tcBorders>
            <w:shd w:val="clear" w:color="auto" w:fill="D2D2D2"/>
          </w:tcPr>
          <w:p>
            <w:pPr/>
          </w:p>
        </w:tc>
        <w:tc>
          <w:tcPr>
            <w:tcW w:w="1368" w:type="dxa"/>
            <w:vMerge/>
            <w:tcBorders>
              <w:left w:val="single" w:sz="6" w:space="0" w:color="000000"/>
              <w:bottom w:val="single" w:sz="6" w:space="0" w:color="000000"/>
              <w:right w:val="single" w:sz="12" w:space="0" w:color="000000"/>
            </w:tcBorders>
            <w:shd w:val="clear" w:color="auto" w:fill="D2D2D2"/>
          </w:tcPr>
          <w:p>
            <w:pPr/>
          </w:p>
        </w:tc>
      </w:tr>
      <w:tr>
        <w:trPr>
          <w:trHeight w:val="468" w:hRule="exact"/>
        </w:trPr>
        <w:tc>
          <w:tcPr>
            <w:tcW w:w="15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49" w:type="dxa"/>
            <w:tcBorders>
              <w:top w:val="single" w:sz="9" w:space="0" w:color="000000"/>
              <w:left w:val="single" w:sz="14" w:space="0" w:color="D2D2D2"/>
              <w:bottom w:val="single" w:sz="6" w:space="0" w:color="000000"/>
              <w:right w:val="single" w:sz="6" w:space="0" w:color="000000"/>
            </w:tcBorders>
          </w:tcPr>
          <w:p>
            <w:pPr/>
          </w:p>
        </w:tc>
        <w:tc>
          <w:tcPr>
            <w:tcW w:w="1260" w:type="dxa"/>
            <w:tcBorders>
              <w:top w:val="single" w:sz="9" w:space="0" w:color="000000"/>
              <w:left w:val="single" w:sz="6" w:space="0" w:color="000000"/>
              <w:bottom w:val="single" w:sz="6" w:space="0" w:color="000000"/>
              <w:right w:val="single" w:sz="6" w:space="0" w:color="000000"/>
            </w:tcBorders>
          </w:tcPr>
          <w:p>
            <w:pPr/>
          </w:p>
        </w:tc>
        <w:tc>
          <w:tcPr>
            <w:tcW w:w="1352" w:type="dxa"/>
            <w:tcBorders>
              <w:top w:val="single" w:sz="9" w:space="0" w:color="000000"/>
              <w:left w:val="single" w:sz="6" w:space="0" w:color="000000"/>
              <w:bottom w:val="single" w:sz="6" w:space="0" w:color="000000"/>
              <w:right w:val="single" w:sz="6" w:space="0" w:color="000000"/>
            </w:tcBorders>
          </w:tcPr>
          <w:p>
            <w:pPr/>
          </w:p>
        </w:tc>
        <w:tc>
          <w:tcPr>
            <w:tcW w:w="1441" w:type="dxa"/>
            <w:tcBorders>
              <w:top w:val="single" w:sz="9" w:space="0" w:color="000000"/>
              <w:left w:val="single" w:sz="6" w:space="0" w:color="000000"/>
              <w:bottom w:val="single" w:sz="6" w:space="0" w:color="000000"/>
              <w:right w:val="single" w:sz="6" w:space="0" w:color="000000"/>
            </w:tcBorders>
          </w:tcPr>
          <w:p>
            <w:pPr/>
          </w:p>
        </w:tc>
        <w:tc>
          <w:tcPr>
            <w:tcW w:w="1272" w:type="dxa"/>
            <w:tcBorders>
              <w:top w:val="single" w:sz="9" w:space="0" w:color="000000"/>
              <w:left w:val="single" w:sz="6" w:space="0" w:color="000000"/>
              <w:bottom w:val="single" w:sz="6" w:space="0" w:color="000000"/>
              <w:right w:val="single" w:sz="6" w:space="0" w:color="000000"/>
            </w:tcBorders>
          </w:tcPr>
          <w:p>
            <w:pPr/>
          </w:p>
        </w:tc>
        <w:tc>
          <w:tcPr>
            <w:tcW w:w="1368" w:type="dxa"/>
            <w:tcBorders>
              <w:top w:val="single" w:sz="9" w:space="0" w:color="000000"/>
              <w:left w:val="single" w:sz="6" w:space="0" w:color="000000"/>
              <w:bottom w:val="single" w:sz="6" w:space="0" w:color="000000"/>
              <w:right w:val="single" w:sz="12" w:space="0" w:color="000000"/>
            </w:tcBorders>
          </w:tcPr>
          <w:p>
            <w:pPr/>
          </w:p>
        </w:tc>
      </w:tr>
      <w:tr>
        <w:trPr>
          <w:trHeight w:val="470" w:hRule="exact"/>
        </w:trPr>
        <w:tc>
          <w:tcPr>
            <w:tcW w:w="15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383,260,428.25</w:t>
            </w:r>
          </w:p>
        </w:tc>
        <w:tc>
          <w:tcPr>
            <w:tcW w:w="126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383,260,428.25</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342,828,228.74</w:t>
            </w:r>
          </w:p>
        </w:tc>
        <w:tc>
          <w:tcPr>
            <w:tcW w:w="1272"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342,828,228.74</w:t>
            </w:r>
          </w:p>
        </w:tc>
      </w:tr>
      <w:tr>
        <w:trPr>
          <w:trHeight w:val="469" w:hRule="exact"/>
        </w:trPr>
        <w:tc>
          <w:tcPr>
            <w:tcW w:w="15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194,783,279.65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21,098,279.73</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173,684,999.92</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236,382,523.52</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38,565,201.35</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197,817,322.17</w:t>
            </w:r>
          </w:p>
        </w:tc>
      </w:tr>
      <w:tr>
        <w:trPr>
          <w:trHeight w:val="468" w:hRule="exact"/>
        </w:trPr>
        <w:tc>
          <w:tcPr>
            <w:tcW w:w="15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49" w:type="dxa"/>
            <w:tcBorders>
              <w:top w:val="single" w:sz="6" w:space="0" w:color="000000"/>
              <w:left w:val="single" w:sz="14" w:space="0" w:color="D2D2D2"/>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15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49" w:type="dxa"/>
            <w:tcBorders>
              <w:top w:val="single" w:sz="6" w:space="0" w:color="000000"/>
              <w:left w:val="single" w:sz="14" w:space="0" w:color="D2D2D2"/>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
        </w:tc>
      </w:tr>
      <w:tr>
        <w:trPr>
          <w:trHeight w:val="814" w:hRule="exact"/>
        </w:trPr>
        <w:tc>
          <w:tcPr>
            <w:tcW w:w="1531" w:type="dxa"/>
            <w:tcBorders>
              <w:top w:val="single" w:sz="9"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2"/>
              <w:ind w:left="14" w:right="53"/>
              <w:jc w:val="left"/>
              <w:rPr>
                <w:rFonts w:ascii="宋体" w:hAnsi="宋体" w:cs="宋体" w:eastAsia="宋体" w:hint="default"/>
                <w:sz w:val="18"/>
                <w:szCs w:val="18"/>
              </w:rPr>
            </w:pPr>
            <w:r>
              <w:rPr>
                <w:rFonts w:ascii="宋体" w:hAnsi="宋体" w:cs="宋体" w:eastAsia="宋体" w:hint="default"/>
                <w:sz w:val="18"/>
                <w:szCs w:val="18"/>
              </w:rPr>
              <w:t>建造合同形成的已 完工未结算资产</w:t>
            </w:r>
          </w:p>
        </w:tc>
        <w:tc>
          <w:tcPr>
            <w:tcW w:w="134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15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54,914,050.38</w:t>
            </w:r>
          </w:p>
        </w:tc>
        <w:tc>
          <w:tcPr>
            <w:tcW w:w="126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54,914,050.38</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172,711,874.21</w:t>
            </w:r>
          </w:p>
        </w:tc>
        <w:tc>
          <w:tcPr>
            <w:tcW w:w="1272"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172,711,874.21</w:t>
            </w:r>
          </w:p>
        </w:tc>
      </w:tr>
      <w:tr>
        <w:trPr>
          <w:trHeight w:val="475" w:hRule="exact"/>
        </w:trPr>
        <w:tc>
          <w:tcPr>
            <w:tcW w:w="1531" w:type="dxa"/>
            <w:tcBorders>
              <w:top w:val="single" w:sz="9"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632,957,758.28</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21,098,279.73</w:t>
            </w:r>
          </w:p>
        </w:tc>
        <w:tc>
          <w:tcPr>
            <w:tcW w:w="13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611,859,478.55</w:t>
            </w:r>
          </w:p>
        </w:tc>
        <w:tc>
          <w:tcPr>
            <w:tcW w:w="14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751,922,626.47</w:t>
            </w:r>
          </w:p>
        </w:tc>
        <w:tc>
          <w:tcPr>
            <w:tcW w:w="12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38,565,201.35</w:t>
            </w:r>
          </w:p>
        </w:tc>
        <w:tc>
          <w:tcPr>
            <w:tcW w:w="13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713,357,425.12</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7"/>
          <w:szCs w:val="27"/>
        </w:rPr>
      </w:pPr>
    </w:p>
    <w:p>
      <w:pPr>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685"/>
        <w:gridCol w:w="1570"/>
        <w:gridCol w:w="1416"/>
        <w:gridCol w:w="994"/>
        <w:gridCol w:w="1417"/>
        <w:gridCol w:w="1116"/>
        <w:gridCol w:w="1368"/>
      </w:tblGrid>
      <w:tr>
        <w:trPr>
          <w:trHeight w:val="254" w:hRule="exact"/>
        </w:trPr>
        <w:tc>
          <w:tcPr>
            <w:tcW w:w="1685"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570" w:type="dxa"/>
            <w:tcBorders>
              <w:top w:val="single" w:sz="12" w:space="0" w:color="000000"/>
              <w:left w:val="single" w:sz="6" w:space="0" w:color="000000"/>
              <w:bottom w:val="nil" w:sz="6" w:space="0" w:color="auto"/>
              <w:right w:val="single" w:sz="6" w:space="0" w:color="000000"/>
            </w:tcBorders>
            <w:shd w:val="clear" w:color="auto" w:fill="D2D2D2"/>
          </w:tcPr>
          <w:p>
            <w:pPr/>
          </w:p>
        </w:tc>
        <w:tc>
          <w:tcPr>
            <w:tcW w:w="2410"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121"/>
              <w:ind w:left="65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533"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121"/>
              <w:ind w:left="72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15" w:hRule="exact"/>
        </w:trPr>
        <w:tc>
          <w:tcPr>
            <w:tcW w:w="1685"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57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16"/>
              <w:ind w:left="4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10" w:type="dxa"/>
            <w:gridSpan w:val="2"/>
            <w:vMerge/>
            <w:tcBorders>
              <w:left w:val="single" w:sz="6" w:space="0" w:color="000000"/>
              <w:bottom w:val="single" w:sz="6" w:space="0" w:color="000000"/>
              <w:right w:val="single" w:sz="6" w:space="0" w:color="000000"/>
            </w:tcBorders>
            <w:shd w:val="clear" w:color="auto" w:fill="D2D2D2"/>
          </w:tcPr>
          <w:p>
            <w:pPr/>
          </w:p>
        </w:tc>
        <w:tc>
          <w:tcPr>
            <w:tcW w:w="2533" w:type="dxa"/>
            <w:gridSpan w:val="2"/>
            <w:vMerge/>
            <w:tcBorders>
              <w:left w:val="single" w:sz="6" w:space="0" w:color="000000"/>
              <w:bottom w:val="single" w:sz="6" w:space="0" w:color="000000"/>
              <w:right w:val="single" w:sz="6" w:space="0" w:color="000000"/>
            </w:tcBorders>
            <w:shd w:val="clear" w:color="auto" w:fill="D2D2D2"/>
          </w:tcPr>
          <w:p>
            <w:pPr/>
          </w:p>
        </w:tc>
        <w:tc>
          <w:tcPr>
            <w:tcW w:w="1368" w:type="dxa"/>
            <w:vMerge/>
            <w:tcBorders>
              <w:left w:val="single" w:sz="6" w:space="0" w:color="000000"/>
              <w:right w:val="single" w:sz="12" w:space="0" w:color="000000"/>
            </w:tcBorders>
            <w:shd w:val="clear" w:color="auto" w:fill="D2D2D2"/>
          </w:tcPr>
          <w:p>
            <w:pPr/>
          </w:p>
        </w:tc>
      </w:tr>
      <w:tr>
        <w:trPr>
          <w:trHeight w:val="224" w:hRule="exact"/>
        </w:trPr>
        <w:tc>
          <w:tcPr>
            <w:tcW w:w="1685" w:type="dxa"/>
            <w:vMerge/>
            <w:tcBorders>
              <w:left w:val="single" w:sz="12" w:space="0" w:color="000000"/>
              <w:bottom w:val="nil" w:sz="6" w:space="0" w:color="auto"/>
              <w:right w:val="single" w:sz="6" w:space="0" w:color="000000"/>
            </w:tcBorders>
            <w:shd w:val="clear" w:color="auto" w:fill="D2D2D2"/>
          </w:tcPr>
          <w:p>
            <w:pPr/>
          </w:p>
        </w:tc>
        <w:tc>
          <w:tcPr>
            <w:tcW w:w="1570" w:type="dxa"/>
            <w:vMerge/>
            <w:tcBorders>
              <w:left w:val="single" w:sz="6" w:space="0" w:color="000000"/>
              <w:bottom w:val="nil" w:sz="6" w:space="0" w:color="auto"/>
              <w:right w:val="single" w:sz="6" w:space="0" w:color="000000"/>
            </w:tcBorders>
            <w:shd w:val="clear" w:color="auto" w:fill="D2D2D2"/>
          </w:tcPr>
          <w:p>
            <w:pPr/>
          </w:p>
        </w:tc>
        <w:tc>
          <w:tcPr>
            <w:tcW w:w="141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9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7"/>
              <w:ind w:left="30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7"/>
              <w:ind w:left="252"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11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7"/>
              <w:ind w:left="37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6" w:space="0" w:color="000000"/>
              <w:right w:val="single" w:sz="12" w:space="0" w:color="000000"/>
            </w:tcBorders>
            <w:shd w:val="clear" w:color="auto" w:fill="D2D2D2"/>
          </w:tcPr>
          <w:p>
            <w:pPr/>
          </w:p>
        </w:tc>
      </w:tr>
      <w:tr>
        <w:trPr>
          <w:trHeight w:val="245" w:hRule="exact"/>
        </w:trPr>
        <w:tc>
          <w:tcPr>
            <w:tcW w:w="1685" w:type="dxa"/>
            <w:tcBorders>
              <w:top w:val="nil" w:sz="6" w:space="0" w:color="auto"/>
              <w:left w:val="single" w:sz="12" w:space="0" w:color="000000"/>
              <w:bottom w:val="single" w:sz="6" w:space="0" w:color="000000"/>
              <w:right w:val="single" w:sz="6" w:space="0" w:color="000000"/>
            </w:tcBorders>
            <w:shd w:val="clear" w:color="auto" w:fill="D2D2D2"/>
          </w:tcPr>
          <w:p>
            <w:pPr/>
          </w:p>
        </w:tc>
        <w:tc>
          <w:tcPr>
            <w:tcW w:w="1570"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6" w:type="dxa"/>
            <w:vMerge/>
            <w:tcBorders>
              <w:left w:val="single" w:sz="6" w:space="0" w:color="000000"/>
              <w:bottom w:val="single" w:sz="6" w:space="0" w:color="000000"/>
              <w:right w:val="single" w:sz="6" w:space="0" w:color="000000"/>
            </w:tcBorders>
            <w:shd w:val="clear" w:color="auto" w:fill="D2D2D2"/>
          </w:tcPr>
          <w:p>
            <w:pPr/>
          </w:p>
        </w:tc>
        <w:tc>
          <w:tcPr>
            <w:tcW w:w="994" w:type="dxa"/>
            <w:vMerge/>
            <w:tcBorders>
              <w:left w:val="single" w:sz="6" w:space="0" w:color="000000"/>
              <w:bottom w:val="single" w:sz="6" w:space="0" w:color="000000"/>
              <w:right w:val="single" w:sz="6" w:space="0" w:color="000000"/>
            </w:tcBorders>
            <w:shd w:val="clear" w:color="auto" w:fill="D2D2D2"/>
          </w:tcPr>
          <w:p>
            <w:pPr/>
          </w:p>
        </w:tc>
        <w:tc>
          <w:tcPr>
            <w:tcW w:w="1417" w:type="dxa"/>
            <w:vMerge/>
            <w:tcBorders>
              <w:left w:val="single" w:sz="6" w:space="0" w:color="000000"/>
              <w:bottom w:val="single" w:sz="6" w:space="0" w:color="000000"/>
              <w:right w:val="single" w:sz="6" w:space="0" w:color="000000"/>
            </w:tcBorders>
            <w:shd w:val="clear" w:color="auto" w:fill="D2D2D2"/>
          </w:tcPr>
          <w:p>
            <w:pPr/>
          </w:p>
        </w:tc>
        <w:tc>
          <w:tcPr>
            <w:tcW w:w="1116" w:type="dxa"/>
            <w:vMerge/>
            <w:tcBorders>
              <w:left w:val="single" w:sz="6" w:space="0" w:color="000000"/>
              <w:bottom w:val="single" w:sz="6" w:space="0" w:color="000000"/>
              <w:right w:val="single" w:sz="6" w:space="0" w:color="000000"/>
            </w:tcBorders>
            <w:shd w:val="clear" w:color="auto" w:fill="D2D2D2"/>
          </w:tcPr>
          <w:p>
            <w:pPr/>
          </w:p>
        </w:tc>
        <w:tc>
          <w:tcPr>
            <w:tcW w:w="1368" w:type="dxa"/>
            <w:vMerge/>
            <w:tcBorders>
              <w:left w:val="single" w:sz="6" w:space="0" w:color="000000"/>
              <w:bottom w:val="single" w:sz="6" w:space="0" w:color="000000"/>
              <w:right w:val="single" w:sz="12" w:space="0" w:color="000000"/>
            </w:tcBorders>
            <w:shd w:val="clear" w:color="auto" w:fill="D2D2D2"/>
          </w:tcPr>
          <w:p>
            <w:pPr/>
          </w:p>
        </w:tc>
      </w:tr>
      <w:tr>
        <w:trPr>
          <w:trHeight w:val="473" w:hRule="exact"/>
        </w:trPr>
        <w:tc>
          <w:tcPr>
            <w:tcW w:w="16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8"/>
              <w:ind w:left="7"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70" w:type="dxa"/>
            <w:tcBorders>
              <w:top w:val="single" w:sz="6" w:space="0" w:color="000000"/>
              <w:left w:val="single" w:sz="8" w:space="0" w:color="D2D2D2"/>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16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70" w:type="dxa"/>
            <w:tcBorders>
              <w:top w:val="single" w:sz="6" w:space="0" w:color="000000"/>
              <w:left w:val="single" w:sz="8" w:space="0" w:color="D2D2D2"/>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16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70"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38,565,201.35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10,244,389.84</w:t>
            </w:r>
          </w:p>
        </w:tc>
        <w:tc>
          <w:tcPr>
            <w:tcW w:w="99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27,711,311.46</w:t>
            </w:r>
          </w:p>
        </w:tc>
        <w:tc>
          <w:tcPr>
            <w:tcW w:w="111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21,098,279.73</w:t>
            </w:r>
          </w:p>
        </w:tc>
      </w:tr>
      <w:tr>
        <w:trPr>
          <w:trHeight w:val="469" w:hRule="exact"/>
        </w:trPr>
        <w:tc>
          <w:tcPr>
            <w:tcW w:w="16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7"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570" w:type="dxa"/>
            <w:tcBorders>
              <w:top w:val="single" w:sz="6" w:space="0" w:color="000000"/>
              <w:left w:val="single" w:sz="8" w:space="0" w:color="D2D2D2"/>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16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570" w:type="dxa"/>
            <w:tcBorders>
              <w:top w:val="single" w:sz="6" w:space="0" w:color="000000"/>
              <w:left w:val="single" w:sz="8" w:space="0" w:color="D2D2D2"/>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
        </w:tc>
      </w:tr>
      <w:tr>
        <w:trPr>
          <w:trHeight w:val="814" w:hRule="exact"/>
        </w:trPr>
        <w:tc>
          <w:tcPr>
            <w:tcW w:w="16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4" w:lineRule="auto" w:before="116"/>
              <w:ind w:left="7" w:right="33"/>
              <w:jc w:val="left"/>
              <w:rPr>
                <w:rFonts w:ascii="宋体" w:hAnsi="宋体" w:cs="宋体" w:eastAsia="宋体" w:hint="default"/>
                <w:sz w:val="18"/>
                <w:szCs w:val="18"/>
              </w:rPr>
            </w:pPr>
            <w:r>
              <w:rPr>
                <w:rFonts w:ascii="宋体" w:hAnsi="宋体" w:cs="宋体" w:eastAsia="宋体" w:hint="default"/>
                <w:sz w:val="18"/>
                <w:szCs w:val="18"/>
              </w:rPr>
              <w:t>建造合同形成的已完 工未结算资产</w:t>
            </w:r>
          </w:p>
        </w:tc>
        <w:tc>
          <w:tcPr>
            <w:tcW w:w="1570" w:type="dxa"/>
            <w:tcBorders>
              <w:top w:val="single" w:sz="6" w:space="0" w:color="000000"/>
              <w:left w:val="single" w:sz="8" w:space="0" w:color="D2D2D2"/>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
        </w:tc>
      </w:tr>
      <w:tr>
        <w:trPr>
          <w:trHeight w:val="475" w:hRule="exact"/>
        </w:trPr>
        <w:tc>
          <w:tcPr>
            <w:tcW w:w="168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0"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38,565,201.35</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10,244,389.84</w:t>
            </w:r>
          </w:p>
        </w:tc>
        <w:tc>
          <w:tcPr>
            <w:tcW w:w="994"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27,711,311.46</w:t>
            </w:r>
          </w:p>
        </w:tc>
        <w:tc>
          <w:tcPr>
            <w:tcW w:w="1116" w:type="dxa"/>
            <w:tcBorders>
              <w:top w:val="single" w:sz="6" w:space="0" w:color="000000"/>
              <w:left w:val="single" w:sz="6" w:space="0" w:color="000000"/>
              <w:bottom w:val="single" w:sz="12" w:space="0" w:color="000000"/>
              <w:right w:val="single" w:sz="6" w:space="0" w:color="000000"/>
            </w:tcBorders>
          </w:tcPr>
          <w:p>
            <w:pPr/>
          </w:p>
        </w:tc>
        <w:tc>
          <w:tcPr>
            <w:tcW w:w="13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21,098,279.73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1"/>
        <w:rPr>
          <w:rFonts w:ascii="宋体" w:hAnsi="宋体" w:cs="宋体" w:eastAsia="宋体" w:hint="default"/>
          <w:sz w:val="25"/>
          <w:szCs w:val="25"/>
        </w:rPr>
      </w:pPr>
    </w:p>
    <w:p>
      <w:pPr>
        <w:pStyle w:val="Heading4"/>
        <w:spacing w:line="240" w:lineRule="auto" w:before="36"/>
        <w:ind w:right="5"/>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5"/>
        <w:rPr>
          <w:rFonts w:ascii="宋体" w:hAnsi="宋体" w:cs="宋体" w:eastAsia="宋体" w:hint="default"/>
          <w:b/>
          <w:bCs/>
          <w:sz w:val="27"/>
          <w:szCs w:val="27"/>
        </w:rPr>
      </w:pPr>
    </w:p>
    <w:p>
      <w:pPr>
        <w:spacing w:before="44"/>
        <w:ind w:left="0" w:right="4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171"/>
        <w:gridCol w:w="3202"/>
        <w:gridCol w:w="3191"/>
      </w:tblGrid>
      <w:tr>
        <w:trPr>
          <w:trHeight w:val="457"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9"/>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8" w:space="0" w:color="D9D9D9"/>
              <w:bottom w:val="single" w:sz="6" w:space="0" w:color="000000"/>
              <w:right w:val="single" w:sz="6" w:space="0" w:color="000000"/>
            </w:tcBorders>
            <w:shd w:val="clear" w:color="auto" w:fill="D2D2D2"/>
          </w:tcPr>
          <w:p>
            <w:pPr>
              <w:pStyle w:val="TableParagraph"/>
              <w:spacing w:line="240" w:lineRule="auto" w:before="119"/>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5" w:hRule="exact"/>
        </w:trPr>
        <w:tc>
          <w:tcPr>
            <w:tcW w:w="317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37"/>
              <w:ind w:left="7" w:right="0"/>
              <w:jc w:val="left"/>
              <w:rPr>
                <w:rFonts w:ascii="宋体" w:hAnsi="宋体" w:cs="宋体" w:eastAsia="宋体" w:hint="default"/>
                <w:sz w:val="18"/>
                <w:szCs w:val="18"/>
              </w:rPr>
            </w:pPr>
            <w:r>
              <w:rPr>
                <w:rFonts w:ascii="宋体" w:hAnsi="宋体" w:cs="宋体" w:eastAsia="宋体" w:hint="default"/>
                <w:sz w:val="18"/>
                <w:szCs w:val="18"/>
              </w:rPr>
              <w:t>待摊费用</w:t>
            </w:r>
            <w:r>
              <w:rPr>
                <w:rFonts w:ascii="Times New Roman" w:hAnsi="Times New Roman" w:cs="Times New Roman" w:eastAsia="Times New Roman" w:hint="default"/>
                <w:sz w:val="18"/>
                <w:szCs w:val="18"/>
              </w:rPr>
              <w:t>-</w:t>
            </w:r>
            <w:r>
              <w:rPr>
                <w:rFonts w:ascii="宋体" w:hAnsi="宋体" w:cs="宋体" w:eastAsia="宋体" w:hint="default"/>
                <w:sz w:val="18"/>
                <w:szCs w:val="18"/>
              </w:rPr>
              <w:t>利息</w:t>
            </w:r>
          </w:p>
        </w:tc>
        <w:tc>
          <w:tcPr>
            <w:tcW w:w="3202" w:type="dxa"/>
            <w:tcBorders>
              <w:top w:val="single" w:sz="9" w:space="0" w:color="000000"/>
              <w:left w:val="single" w:sz="8" w:space="0" w:color="D9D9D9"/>
              <w:bottom w:val="single" w:sz="6" w:space="0" w:color="000000"/>
              <w:right w:val="single" w:sz="6" w:space="0" w:color="000000"/>
            </w:tcBorders>
          </w:tcPr>
          <w:p>
            <w:pPr/>
          </w:p>
        </w:tc>
        <w:tc>
          <w:tcPr>
            <w:tcW w:w="3191" w:type="dxa"/>
            <w:tcBorders>
              <w:top w:val="single" w:sz="9"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984,276.33</w:t>
            </w:r>
          </w:p>
        </w:tc>
      </w:tr>
      <w:tr>
        <w:trPr>
          <w:trHeight w:val="468" w:hRule="exact"/>
        </w:trPr>
        <w:tc>
          <w:tcPr>
            <w:tcW w:w="317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待摊费用</w:t>
            </w:r>
            <w:r>
              <w:rPr>
                <w:rFonts w:ascii="Times New Roman" w:hAnsi="Times New Roman" w:cs="Times New Roman" w:eastAsia="Times New Roman" w:hint="default"/>
                <w:sz w:val="18"/>
                <w:szCs w:val="18"/>
              </w:rPr>
              <w:t>-</w:t>
            </w:r>
            <w:r>
              <w:rPr>
                <w:rFonts w:ascii="宋体" w:hAnsi="宋体" w:cs="宋体" w:eastAsia="宋体" w:hint="default"/>
                <w:sz w:val="18"/>
                <w:szCs w:val="18"/>
              </w:rPr>
              <w:t>房租</w:t>
            </w:r>
          </w:p>
        </w:tc>
        <w:tc>
          <w:tcPr>
            <w:tcW w:w="3202" w:type="dxa"/>
            <w:tcBorders>
              <w:top w:val="single" w:sz="6" w:space="0" w:color="000000"/>
              <w:left w:val="single" w:sz="8" w:space="0" w:color="D9D9D9"/>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570,234.10</w:t>
            </w:r>
          </w:p>
        </w:tc>
      </w:tr>
      <w:tr>
        <w:trPr>
          <w:trHeight w:val="470" w:hRule="exact"/>
        </w:trPr>
        <w:tc>
          <w:tcPr>
            <w:tcW w:w="317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待摊费用</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202" w:type="dxa"/>
            <w:tcBorders>
              <w:top w:val="single" w:sz="6" w:space="0" w:color="000000"/>
              <w:left w:val="single" w:sz="8" w:space="0" w:color="D9D9D9"/>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207,070.53</w:t>
            </w:r>
          </w:p>
        </w:tc>
      </w:tr>
      <w:tr>
        <w:trPr>
          <w:trHeight w:val="468" w:hRule="exact"/>
        </w:trPr>
        <w:tc>
          <w:tcPr>
            <w:tcW w:w="317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76"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9D9D9"/>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1,761,580.96</w:t>
            </w:r>
          </w:p>
        </w:tc>
      </w:tr>
    </w:tbl>
    <w:p>
      <w:pPr>
        <w:pStyle w:val="BodyText"/>
        <w:spacing w:line="273" w:lineRule="auto"/>
        <w:ind w:right="5"/>
        <w:jc w:val="left"/>
      </w:pPr>
      <w:r>
        <w:rPr>
          <w:spacing w:val="-2"/>
        </w:rPr>
        <w:t>银行理财产品期末余额系本公司购买广发银行“广赢安薪”理财产品，该产品系保本浮动收益型理财产品，</w:t>
      </w:r>
      <w:r>
        <w:rPr>
          <w:spacing w:val="-43"/>
        </w:rPr>
        <w:t> </w:t>
      </w:r>
      <w:r>
        <w:rPr>
          <w:spacing w:val="-43"/>
        </w:rPr>
      </w:r>
      <w:r>
        <w:rPr/>
        <w:t>理财起始日</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30</w:t>
      </w:r>
      <w:r>
        <w:rPr/>
        <w:t>日，理财到期日</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26</w:t>
      </w:r>
      <w:r>
        <w:rPr/>
        <w:t>日。</w:t>
      </w:r>
    </w:p>
    <w:p>
      <w:pPr>
        <w:spacing w:line="240" w:lineRule="auto" w:before="10"/>
        <w:rPr>
          <w:rFonts w:ascii="宋体" w:hAnsi="宋体" w:cs="宋体" w:eastAsia="宋体" w:hint="default"/>
          <w:sz w:val="27"/>
          <w:szCs w:val="27"/>
        </w:rPr>
      </w:pPr>
    </w:p>
    <w:p>
      <w:pPr>
        <w:pStyle w:val="Heading4"/>
        <w:spacing w:line="240" w:lineRule="auto"/>
        <w:ind w:right="5"/>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5"/>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9"/>
        <w:rPr>
          <w:rFonts w:ascii="宋体" w:hAnsi="宋体" w:cs="宋体" w:eastAsia="宋体" w:hint="default"/>
          <w:b/>
          <w:bCs/>
          <w:sz w:val="30"/>
          <w:szCs w:val="30"/>
        </w:rPr>
      </w:pPr>
    </w:p>
    <w:p>
      <w:pPr>
        <w:spacing w:before="0"/>
        <w:ind w:left="0" w:right="4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982"/>
        <w:gridCol w:w="1205"/>
        <w:gridCol w:w="1198"/>
        <w:gridCol w:w="1195"/>
        <w:gridCol w:w="1249"/>
        <w:gridCol w:w="1368"/>
        <w:gridCol w:w="1366"/>
      </w:tblGrid>
      <w:tr>
        <w:trPr>
          <w:trHeight w:val="253" w:hRule="exact"/>
        </w:trPr>
        <w:tc>
          <w:tcPr>
            <w:tcW w:w="198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599" w:type="dxa"/>
            <w:gridSpan w:val="3"/>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11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3" w:type="dxa"/>
            <w:gridSpan w:val="3"/>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11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18" w:hRule="exact"/>
        </w:trPr>
        <w:tc>
          <w:tcPr>
            <w:tcW w:w="1982"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6" w:space="0" w:color="000000"/>
              <w:bottom w:val="single" w:sz="6" w:space="0" w:color="000000"/>
              <w:right w:val="single" w:sz="6" w:space="0" w:color="000000"/>
            </w:tcBorders>
            <w:shd w:val="clear" w:color="auto" w:fill="D2D2D2"/>
          </w:tcPr>
          <w:p>
            <w:pPr/>
          </w:p>
        </w:tc>
        <w:tc>
          <w:tcPr>
            <w:tcW w:w="3983" w:type="dxa"/>
            <w:gridSpan w:val="3"/>
            <w:vMerge/>
            <w:tcBorders>
              <w:left w:val="single" w:sz="6" w:space="0" w:color="000000"/>
              <w:bottom w:val="single" w:sz="6" w:space="0" w:color="000000"/>
              <w:right w:val="single" w:sz="12" w:space="0" w:color="000000"/>
            </w:tcBorders>
            <w:shd w:val="clear" w:color="auto" w:fill="D2D2D2"/>
          </w:tcPr>
          <w:p>
            <w:pPr/>
          </w:p>
        </w:tc>
      </w:tr>
      <w:tr>
        <w:trPr>
          <w:trHeight w:val="221" w:hRule="exact"/>
        </w:trPr>
        <w:tc>
          <w:tcPr>
            <w:tcW w:w="1982" w:type="dxa"/>
            <w:vMerge/>
            <w:tcBorders>
              <w:left w:val="single" w:sz="12" w:space="0" w:color="000000"/>
              <w:bottom w:val="nil" w:sz="6" w:space="0" w:color="auto"/>
              <w:right w:val="single" w:sz="6" w:space="0" w:color="000000"/>
            </w:tcBorders>
            <w:shd w:val="clear" w:color="auto" w:fill="D2D2D2"/>
          </w:tcPr>
          <w:p>
            <w:pPr/>
          </w:p>
        </w:tc>
        <w:tc>
          <w:tcPr>
            <w:tcW w:w="120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3"/>
              <w:ind w:left="2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3"/>
              <w:ind w:left="2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3"/>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3"/>
              <w:ind w:left="2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12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54" w:hRule="exact"/>
        </w:trPr>
        <w:tc>
          <w:tcPr>
            <w:tcW w:w="1982" w:type="dxa"/>
            <w:tcBorders>
              <w:top w:val="nil" w:sz="6" w:space="0" w:color="auto"/>
              <w:left w:val="single" w:sz="12" w:space="0" w:color="000000"/>
              <w:bottom w:val="single" w:sz="6" w:space="0" w:color="000000"/>
              <w:right w:val="single" w:sz="6" w:space="0" w:color="000000"/>
            </w:tcBorders>
            <w:shd w:val="clear" w:color="auto" w:fill="D2D2D2"/>
          </w:tcPr>
          <w:p>
            <w:pPr/>
          </w:p>
        </w:tc>
        <w:tc>
          <w:tcPr>
            <w:tcW w:w="1205" w:type="dxa"/>
            <w:vMerge/>
            <w:tcBorders>
              <w:left w:val="single" w:sz="6" w:space="0" w:color="000000"/>
              <w:bottom w:val="single" w:sz="6" w:space="0" w:color="000000"/>
              <w:right w:val="single" w:sz="6" w:space="0" w:color="000000"/>
            </w:tcBorders>
            <w:shd w:val="clear" w:color="auto" w:fill="D2D2D2"/>
          </w:tcPr>
          <w:p>
            <w:pPr/>
          </w:p>
        </w:tc>
        <w:tc>
          <w:tcPr>
            <w:tcW w:w="1198" w:type="dxa"/>
            <w:vMerge/>
            <w:tcBorders>
              <w:left w:val="single" w:sz="6" w:space="0" w:color="000000"/>
              <w:bottom w:val="single" w:sz="6" w:space="0" w:color="000000"/>
              <w:right w:val="single" w:sz="6" w:space="0" w:color="000000"/>
            </w:tcBorders>
            <w:shd w:val="clear" w:color="auto" w:fill="D2D2D2"/>
          </w:tcPr>
          <w:p>
            <w:pPr/>
          </w:p>
        </w:tc>
        <w:tc>
          <w:tcPr>
            <w:tcW w:w="1195" w:type="dxa"/>
            <w:vMerge/>
            <w:tcBorders>
              <w:left w:val="single" w:sz="6" w:space="0" w:color="000000"/>
              <w:bottom w:val="single" w:sz="6" w:space="0" w:color="000000"/>
              <w:right w:val="single" w:sz="6" w:space="0" w:color="000000"/>
            </w:tcBorders>
            <w:shd w:val="clear" w:color="auto" w:fill="D2D2D2"/>
          </w:tcPr>
          <w:p>
            <w:pPr/>
          </w:p>
        </w:tc>
        <w:tc>
          <w:tcPr>
            <w:tcW w:w="1249" w:type="dxa"/>
            <w:vMerge/>
            <w:tcBorders>
              <w:left w:val="single" w:sz="6" w:space="0" w:color="000000"/>
              <w:bottom w:val="single" w:sz="6" w:space="0" w:color="000000"/>
              <w:right w:val="single" w:sz="6" w:space="0" w:color="000000"/>
            </w:tcBorders>
            <w:shd w:val="clear" w:color="auto" w:fill="D2D2D2"/>
          </w:tcPr>
          <w:p>
            <w:pPr/>
          </w:p>
        </w:tc>
        <w:tc>
          <w:tcPr>
            <w:tcW w:w="1368"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12" w:space="0" w:color="000000"/>
            </w:tcBorders>
            <w:shd w:val="clear" w:color="auto" w:fill="D2D2D2"/>
          </w:tcPr>
          <w:p>
            <w:pPr/>
          </w:p>
        </w:tc>
      </w:tr>
      <w:tr>
        <w:trPr>
          <w:trHeight w:val="464" w:hRule="exact"/>
        </w:trPr>
        <w:tc>
          <w:tcPr>
            <w:tcW w:w="198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left="7"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5" w:type="dxa"/>
            <w:tcBorders>
              <w:top w:val="single" w:sz="6" w:space="0" w:color="000000"/>
              <w:left w:val="single" w:sz="9" w:space="0" w:color="D2D2D2"/>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198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25,020,000.00</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25,020,000.00</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85,375,372.56</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85,375,372.56</w:t>
            </w:r>
          </w:p>
        </w:tc>
      </w:tr>
      <w:tr>
        <w:trPr>
          <w:trHeight w:val="470" w:hRule="exact"/>
        </w:trPr>
        <w:tc>
          <w:tcPr>
            <w:tcW w:w="198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367"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5" w:type="dxa"/>
            <w:tcBorders>
              <w:top w:val="single" w:sz="6" w:space="0" w:color="000000"/>
              <w:left w:val="single" w:sz="9" w:space="0" w:color="D2D2D2"/>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77,678,886.61</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77,678,886.61</w:t>
            </w:r>
          </w:p>
        </w:tc>
      </w:tr>
      <w:tr>
        <w:trPr>
          <w:trHeight w:val="468" w:hRule="exact"/>
        </w:trPr>
        <w:tc>
          <w:tcPr>
            <w:tcW w:w="198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25,020,000.00</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25,020,000.00</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7,696,485.95</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7,696,485.95</w:t>
            </w:r>
          </w:p>
        </w:tc>
      </w:tr>
      <w:tr>
        <w:trPr>
          <w:trHeight w:val="475" w:hRule="exact"/>
        </w:trPr>
        <w:tc>
          <w:tcPr>
            <w:tcW w:w="198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5"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25,020,000.00</w:t>
            </w:r>
          </w:p>
        </w:tc>
        <w:tc>
          <w:tcPr>
            <w:tcW w:w="1198" w:type="dxa"/>
            <w:tcBorders>
              <w:top w:val="single" w:sz="6" w:space="0" w:color="000000"/>
              <w:left w:val="single" w:sz="6" w:space="0" w:color="000000"/>
              <w:bottom w:val="single" w:sz="12" w:space="0" w:color="000000"/>
              <w:right w:val="single" w:sz="6" w:space="0" w:color="000000"/>
            </w:tcBorders>
          </w:tcPr>
          <w:p>
            <w:pPr/>
          </w:p>
        </w:tc>
        <w:tc>
          <w:tcPr>
            <w:tcW w:w="11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25,020,000.00</w:t>
            </w:r>
          </w:p>
        </w:tc>
        <w:tc>
          <w:tcPr>
            <w:tcW w:w="12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85,375,372.56</w:t>
            </w:r>
          </w:p>
        </w:tc>
        <w:tc>
          <w:tcPr>
            <w:tcW w:w="1368"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85,375,372.56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800"/>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5"/>
        <w:rPr>
          <w:rFonts w:ascii="宋体" w:hAnsi="宋体" w:cs="宋体" w:eastAsia="宋体" w:hint="default"/>
          <w:b/>
          <w:bCs/>
          <w:sz w:val="27"/>
          <w:szCs w:val="27"/>
        </w:rPr>
      </w:pPr>
    </w:p>
    <w:p>
      <w:pPr>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992"/>
        <w:gridCol w:w="1203"/>
        <w:gridCol w:w="1207"/>
        <w:gridCol w:w="1205"/>
        <w:gridCol w:w="1205"/>
        <w:gridCol w:w="566"/>
        <w:gridCol w:w="466"/>
        <w:gridCol w:w="526"/>
        <w:gridCol w:w="454"/>
        <w:gridCol w:w="869"/>
        <w:gridCol w:w="872"/>
      </w:tblGrid>
      <w:tr>
        <w:trPr>
          <w:trHeight w:val="463" w:hRule="exact"/>
        </w:trPr>
        <w:tc>
          <w:tcPr>
            <w:tcW w:w="992"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820" w:type="dxa"/>
            <w:gridSpan w:val="4"/>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12" w:type="dxa"/>
            <w:gridSpan w:val="4"/>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6"/>
              <w:ind w:left="63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67" w:lineRule="auto"/>
              <w:ind w:left="67" w:right="65"/>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2"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367" w:lineRule="auto"/>
              <w:ind w:left="247" w:right="60" w:hanging="181"/>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814" w:hRule="exact"/>
        </w:trPr>
        <w:tc>
          <w:tcPr>
            <w:tcW w:w="992" w:type="dxa"/>
            <w:vMerge/>
            <w:tcBorders>
              <w:left w:val="single" w:sz="12" w:space="0" w:color="000000"/>
              <w:bottom w:val="single" w:sz="6" w:space="0" w:color="000000"/>
              <w:right w:val="single" w:sz="6" w:space="0" w:color="000000"/>
            </w:tcBorders>
            <w:shd w:val="clear" w:color="auto" w:fill="D9D9D9"/>
          </w:tcPr>
          <w:p>
            <w:pPr/>
          </w:p>
        </w:tc>
        <w:tc>
          <w:tcPr>
            <w:tcW w:w="12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5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4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64" w:lineRule="auto" w:before="116"/>
              <w:ind w:left="45" w:right="44"/>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64" w:lineRule="auto" w:before="116"/>
              <w:ind w:left="76" w:right="72"/>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6" w:space="0" w:color="000000"/>
              <w:bottom w:val="single" w:sz="6" w:space="0" w:color="000000"/>
              <w:right w:val="single" w:sz="6" w:space="0" w:color="000000"/>
            </w:tcBorders>
            <w:shd w:val="clear" w:color="auto" w:fill="D2D2D2"/>
          </w:tcPr>
          <w:p>
            <w:pPr/>
          </w:p>
        </w:tc>
        <w:tc>
          <w:tcPr>
            <w:tcW w:w="872" w:type="dxa"/>
            <w:vMerge/>
            <w:tcBorders>
              <w:left w:val="single" w:sz="6" w:space="0" w:color="000000"/>
              <w:bottom w:val="single" w:sz="6" w:space="0" w:color="000000"/>
              <w:right w:val="single" w:sz="12" w:space="0" w:color="000000"/>
            </w:tcBorders>
            <w:shd w:val="clear" w:color="auto" w:fill="D2D2D2"/>
          </w:tcPr>
          <w:p>
            <w:pPr/>
          </w:p>
        </w:tc>
      </w:tr>
      <w:tr>
        <w:trPr>
          <w:trHeight w:val="1176" w:hRule="exact"/>
        </w:trPr>
        <w:tc>
          <w:tcPr>
            <w:tcW w:w="99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6"/>
              <w:ind w:left="13" w:right="55"/>
              <w:jc w:val="both"/>
              <w:rPr>
                <w:rFonts w:ascii="宋体" w:hAnsi="宋体" w:cs="宋体" w:eastAsia="宋体" w:hint="default"/>
                <w:sz w:val="18"/>
                <w:szCs w:val="18"/>
              </w:rPr>
            </w:pPr>
            <w:r>
              <w:rPr>
                <w:rFonts w:ascii="宋体" w:hAnsi="宋体" w:cs="宋体" w:eastAsia="宋体" w:hint="default"/>
                <w:sz w:val="18"/>
                <w:szCs w:val="18"/>
              </w:rPr>
              <w:t>北京神州数 码国锋软件 有限公司</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7,696,485.95</w:t>
            </w:r>
          </w:p>
        </w:tc>
        <w:tc>
          <w:tcPr>
            <w:tcW w:w="120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7,696,485.95</w:t>
            </w:r>
          </w:p>
        </w:tc>
        <w:tc>
          <w:tcPr>
            <w:tcW w:w="120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12" w:space="0" w:color="000000"/>
            </w:tcBorders>
          </w:tcPr>
          <w:p>
            <w:pPr/>
          </w:p>
        </w:tc>
      </w:tr>
      <w:tr>
        <w:trPr>
          <w:trHeight w:val="1174" w:hRule="exact"/>
        </w:trPr>
        <w:tc>
          <w:tcPr>
            <w:tcW w:w="99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6"/>
              <w:ind w:left="13" w:right="55"/>
              <w:jc w:val="both"/>
              <w:rPr>
                <w:rFonts w:ascii="宋体" w:hAnsi="宋体" w:cs="宋体" w:eastAsia="宋体" w:hint="default"/>
                <w:sz w:val="18"/>
                <w:szCs w:val="18"/>
              </w:rPr>
            </w:pPr>
            <w:r>
              <w:rPr>
                <w:rFonts w:ascii="宋体" w:hAnsi="宋体" w:cs="宋体" w:eastAsia="宋体" w:hint="default"/>
                <w:sz w:val="18"/>
                <w:szCs w:val="18"/>
              </w:rPr>
              <w:t>吉林省农民 专业合作社 联合会</w:t>
            </w:r>
          </w:p>
        </w:tc>
        <w:tc>
          <w:tcPr>
            <w:tcW w:w="1203"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20,000.00</w:t>
            </w:r>
          </w:p>
        </w:tc>
        <w:tc>
          <w:tcPr>
            <w:tcW w:w="1205"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20,000.00</w:t>
            </w:r>
          </w:p>
        </w:tc>
        <w:tc>
          <w:tcPr>
            <w:tcW w:w="566"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25%</w:t>
            </w:r>
          </w:p>
        </w:tc>
        <w:tc>
          <w:tcPr>
            <w:tcW w:w="872" w:type="dxa"/>
            <w:tcBorders>
              <w:top w:val="single" w:sz="6" w:space="0" w:color="000000"/>
              <w:left w:val="single" w:sz="6" w:space="0" w:color="000000"/>
              <w:bottom w:val="single" w:sz="6" w:space="0" w:color="000000"/>
              <w:right w:val="single" w:sz="12" w:space="0" w:color="000000"/>
            </w:tcBorders>
          </w:tcPr>
          <w:p>
            <w:pPr/>
          </w:p>
        </w:tc>
      </w:tr>
      <w:tr>
        <w:trPr>
          <w:trHeight w:val="1176" w:hRule="exact"/>
        </w:trPr>
        <w:tc>
          <w:tcPr>
            <w:tcW w:w="99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4" w:lineRule="auto" w:before="118"/>
              <w:ind w:left="13" w:right="55"/>
              <w:jc w:val="both"/>
              <w:rPr>
                <w:rFonts w:ascii="宋体" w:hAnsi="宋体" w:cs="宋体" w:eastAsia="宋体" w:hint="default"/>
                <w:sz w:val="18"/>
                <w:szCs w:val="18"/>
              </w:rPr>
            </w:pPr>
            <w:r>
              <w:rPr>
                <w:rFonts w:ascii="宋体" w:hAnsi="宋体" w:cs="宋体" w:eastAsia="宋体" w:hint="default"/>
                <w:sz w:val="18"/>
                <w:szCs w:val="18"/>
              </w:rPr>
              <w:t>北京柘益投 资中心（有 限合伙）</w:t>
            </w:r>
          </w:p>
        </w:tc>
        <w:tc>
          <w:tcPr>
            <w:tcW w:w="1203"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25,000,000.00</w:t>
            </w:r>
          </w:p>
        </w:tc>
        <w:tc>
          <w:tcPr>
            <w:tcW w:w="1205"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25,000,000.00</w:t>
            </w:r>
          </w:p>
        </w:tc>
        <w:tc>
          <w:tcPr>
            <w:tcW w:w="566"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18.52%</w:t>
            </w:r>
          </w:p>
        </w:tc>
        <w:tc>
          <w:tcPr>
            <w:tcW w:w="872"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99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7,696,485.95</w:t>
            </w:r>
          </w:p>
        </w:tc>
        <w:tc>
          <w:tcPr>
            <w:tcW w:w="12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25,020,000.00</w:t>
            </w:r>
          </w:p>
        </w:tc>
        <w:tc>
          <w:tcPr>
            <w:tcW w:w="12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left="225" w:right="0"/>
              <w:jc w:val="left"/>
              <w:rPr>
                <w:rFonts w:ascii="Times New Roman" w:hAnsi="Times New Roman" w:cs="Times New Roman" w:eastAsia="Times New Roman" w:hint="default"/>
                <w:sz w:val="18"/>
                <w:szCs w:val="18"/>
              </w:rPr>
            </w:pPr>
            <w:r>
              <w:rPr>
                <w:rFonts w:ascii="Times New Roman"/>
                <w:sz w:val="18"/>
              </w:rPr>
              <w:t>7,696,485.95</w:t>
            </w:r>
          </w:p>
        </w:tc>
        <w:tc>
          <w:tcPr>
            <w:tcW w:w="12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25,020,000.00</w:t>
            </w:r>
          </w:p>
        </w:tc>
        <w:tc>
          <w:tcPr>
            <w:tcW w:w="566" w:type="dxa"/>
            <w:tcBorders>
              <w:top w:val="single" w:sz="6" w:space="0" w:color="000000"/>
              <w:left w:val="single" w:sz="6" w:space="0" w:color="000000"/>
              <w:bottom w:val="single" w:sz="12" w:space="0" w:color="000000"/>
              <w:right w:val="single" w:sz="6" w:space="0" w:color="000000"/>
            </w:tcBorders>
          </w:tcPr>
          <w:p>
            <w:pPr/>
          </w:p>
        </w:tc>
        <w:tc>
          <w:tcPr>
            <w:tcW w:w="466" w:type="dxa"/>
            <w:tcBorders>
              <w:top w:val="single" w:sz="6" w:space="0" w:color="000000"/>
              <w:left w:val="single" w:sz="6" w:space="0" w:color="000000"/>
              <w:bottom w:val="single" w:sz="12" w:space="0" w:color="000000"/>
              <w:right w:val="single" w:sz="6" w:space="0" w:color="000000"/>
            </w:tcBorders>
          </w:tcPr>
          <w:p>
            <w:pPr/>
          </w:p>
        </w:tc>
        <w:tc>
          <w:tcPr>
            <w:tcW w:w="526" w:type="dxa"/>
            <w:tcBorders>
              <w:top w:val="single" w:sz="6" w:space="0" w:color="000000"/>
              <w:left w:val="single" w:sz="6" w:space="0" w:color="000000"/>
              <w:bottom w:val="single" w:sz="12" w:space="0" w:color="000000"/>
              <w:right w:val="single" w:sz="6" w:space="0" w:color="000000"/>
            </w:tcBorders>
          </w:tcPr>
          <w:p>
            <w:pPr/>
          </w:p>
        </w:tc>
        <w:tc>
          <w:tcPr>
            <w:tcW w:w="454" w:type="dxa"/>
            <w:tcBorders>
              <w:top w:val="single" w:sz="6" w:space="0" w:color="000000"/>
              <w:left w:val="single" w:sz="6" w:space="0" w:color="000000"/>
              <w:bottom w:val="single" w:sz="12" w:space="0" w:color="000000"/>
              <w:right w:val="single" w:sz="6" w:space="0" w:color="000000"/>
            </w:tcBorders>
          </w:tcPr>
          <w:p>
            <w:pPr/>
          </w:p>
        </w:tc>
        <w:tc>
          <w:tcPr>
            <w:tcW w:w="8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5"/>
        <w:rPr>
          <w:rFonts w:ascii="宋体" w:hAnsi="宋体" w:cs="宋体" w:eastAsia="宋体" w:hint="default"/>
          <w:b/>
          <w:bCs/>
          <w:sz w:val="27"/>
          <w:szCs w:val="27"/>
        </w:rPr>
      </w:pPr>
    </w:p>
    <w:p>
      <w:pPr>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1585"/>
        <w:gridCol w:w="1336"/>
        <w:gridCol w:w="1330"/>
        <w:gridCol w:w="1328"/>
        <w:gridCol w:w="1328"/>
        <w:gridCol w:w="1327"/>
        <w:gridCol w:w="1330"/>
      </w:tblGrid>
      <w:tr>
        <w:trPr>
          <w:trHeight w:val="193" w:hRule="exact"/>
        </w:trPr>
        <w:tc>
          <w:tcPr>
            <w:tcW w:w="1585" w:type="dxa"/>
            <w:vMerge w:val="restart"/>
            <w:tcBorders>
              <w:top w:val="single" w:sz="12" w:space="0" w:color="000000"/>
              <w:left w:val="single" w:sz="12" w:space="0" w:color="000000"/>
              <w:right w:val="single" w:sz="6" w:space="0" w:color="000000"/>
            </w:tcBorders>
            <w:shd w:val="clear" w:color="auto" w:fill="D2D2D2"/>
          </w:tcPr>
          <w:p>
            <w:pPr>
              <w:pStyle w:val="TableParagraph"/>
              <w:spacing w:line="367" w:lineRule="auto" w:before="115"/>
              <w:ind w:left="600" w:right="61" w:hanging="540"/>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36" w:type="dxa"/>
            <w:vMerge w:val="restart"/>
            <w:tcBorders>
              <w:top w:val="single" w:sz="12" w:space="0" w:color="000000"/>
              <w:left w:val="single" w:sz="6" w:space="0" w:color="000000"/>
              <w:right w:val="single" w:sz="6" w:space="0" w:color="000000"/>
            </w:tcBorders>
            <w:shd w:val="clear" w:color="auto" w:fill="D2D2D2"/>
          </w:tcPr>
          <w:p>
            <w:pPr>
              <w:pStyle w:val="TableParagraph"/>
              <w:spacing w:line="367" w:lineRule="auto" w:before="115"/>
              <w:ind w:left="488" w:right="22" w:hanging="452"/>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30" w:type="dxa"/>
            <w:tcBorders>
              <w:top w:val="single" w:sz="12" w:space="0" w:color="000000"/>
              <w:left w:val="single" w:sz="6" w:space="0" w:color="000000"/>
              <w:bottom w:val="nil" w:sz="6" w:space="0" w:color="auto"/>
              <w:right w:val="single" w:sz="6" w:space="0" w:color="000000"/>
            </w:tcBorders>
            <w:shd w:val="clear" w:color="auto" w:fill="D2D2D2"/>
          </w:tcPr>
          <w:p>
            <w:pPr/>
          </w:p>
        </w:tc>
        <w:tc>
          <w:tcPr>
            <w:tcW w:w="1328" w:type="dxa"/>
            <w:vMerge w:val="restart"/>
            <w:tcBorders>
              <w:top w:val="single" w:sz="12" w:space="0" w:color="000000"/>
              <w:left w:val="single" w:sz="6" w:space="0" w:color="000000"/>
              <w:right w:val="single" w:sz="6" w:space="0" w:color="000000"/>
            </w:tcBorders>
            <w:shd w:val="clear" w:color="auto" w:fill="D2D2D2"/>
          </w:tcPr>
          <w:p>
            <w:pPr>
              <w:pStyle w:val="TableParagraph"/>
              <w:spacing w:line="367" w:lineRule="auto" w:before="115"/>
              <w:ind w:left="206" w:right="24" w:hanging="181"/>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8" w:type="dxa"/>
            <w:tcBorders>
              <w:top w:val="single" w:sz="12" w:space="0" w:color="000000"/>
              <w:left w:val="single" w:sz="6" w:space="0" w:color="000000"/>
              <w:bottom w:val="nil" w:sz="6" w:space="0" w:color="auto"/>
              <w:right w:val="single" w:sz="6" w:space="0" w:color="000000"/>
            </w:tcBorders>
            <w:shd w:val="clear" w:color="auto" w:fill="D2D2D2"/>
          </w:tcPr>
          <w:p>
            <w:pPr/>
          </w:p>
        </w:tc>
        <w:tc>
          <w:tcPr>
            <w:tcW w:w="1327" w:type="dxa"/>
            <w:vMerge w:val="restart"/>
            <w:tcBorders>
              <w:top w:val="single" w:sz="12" w:space="0" w:color="000000"/>
              <w:left w:val="single" w:sz="6" w:space="0" w:color="000000"/>
              <w:right w:val="single" w:sz="6" w:space="0" w:color="000000"/>
            </w:tcBorders>
            <w:shd w:val="clear" w:color="auto" w:fill="D2D2D2"/>
          </w:tcPr>
          <w:p>
            <w:pPr>
              <w:pStyle w:val="TableParagraph"/>
              <w:spacing w:line="367" w:lineRule="auto" w:before="115"/>
              <w:ind w:left="117" w:right="24" w:hanging="92"/>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30" w:type="dxa"/>
            <w:vMerge w:val="restart"/>
            <w:tcBorders>
              <w:top w:val="single" w:sz="12" w:space="0" w:color="000000"/>
              <w:left w:val="single" w:sz="6" w:space="0" w:color="000000"/>
              <w:right w:val="single" w:sz="12" w:space="0" w:color="000000"/>
            </w:tcBorders>
            <w:shd w:val="clear" w:color="auto" w:fill="D2D2D2"/>
          </w:tcPr>
          <w:p>
            <w:pPr>
              <w:pStyle w:val="TableParagraph"/>
              <w:spacing w:line="367" w:lineRule="auto" w:before="115"/>
              <w:ind w:left="480" w:right="17" w:hanging="452"/>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r>
        <w:trPr>
          <w:trHeight w:val="439" w:hRule="exact"/>
        </w:trPr>
        <w:tc>
          <w:tcPr>
            <w:tcW w:w="1585" w:type="dxa"/>
            <w:vMerge/>
            <w:tcBorders>
              <w:left w:val="single" w:sz="12" w:space="0" w:color="000000"/>
              <w:right w:val="single" w:sz="6" w:space="0" w:color="000000"/>
            </w:tcBorders>
            <w:shd w:val="clear" w:color="auto" w:fill="D2D2D2"/>
          </w:tcPr>
          <w:p>
            <w:pPr/>
          </w:p>
        </w:tc>
        <w:tc>
          <w:tcPr>
            <w:tcW w:w="1336" w:type="dxa"/>
            <w:vMerge/>
            <w:tcBorders>
              <w:left w:val="single" w:sz="6" w:space="0" w:color="000000"/>
              <w:right w:val="single" w:sz="6" w:space="0" w:color="000000"/>
            </w:tcBorders>
            <w:shd w:val="clear" w:color="auto" w:fill="D2D2D2"/>
          </w:tcPr>
          <w:p>
            <w:pPr/>
          </w:p>
        </w:tc>
        <w:tc>
          <w:tcPr>
            <w:tcW w:w="133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16"/>
              <w:ind w:left="30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8" w:type="dxa"/>
            <w:vMerge/>
            <w:tcBorders>
              <w:left w:val="single" w:sz="6" w:space="0" w:color="000000"/>
              <w:right w:val="single" w:sz="6" w:space="0" w:color="000000"/>
            </w:tcBorders>
            <w:shd w:val="clear" w:color="auto" w:fill="D2D2D2"/>
          </w:tcPr>
          <w:p>
            <w:pPr/>
          </w:p>
        </w:tc>
        <w:tc>
          <w:tcPr>
            <w:tcW w:w="132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16"/>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vMerge/>
            <w:tcBorders>
              <w:left w:val="single" w:sz="6" w:space="0" w:color="000000"/>
              <w:right w:val="single" w:sz="6" w:space="0" w:color="000000"/>
            </w:tcBorders>
            <w:shd w:val="clear" w:color="auto" w:fill="D2D2D2"/>
          </w:tcPr>
          <w:p>
            <w:pPr/>
          </w:p>
        </w:tc>
        <w:tc>
          <w:tcPr>
            <w:tcW w:w="1330" w:type="dxa"/>
            <w:vMerge/>
            <w:tcBorders>
              <w:left w:val="single" w:sz="6" w:space="0" w:color="000000"/>
              <w:right w:val="single" w:sz="12" w:space="0" w:color="000000"/>
            </w:tcBorders>
            <w:shd w:val="clear" w:color="auto" w:fill="D2D2D2"/>
          </w:tcPr>
          <w:p>
            <w:pPr/>
          </w:p>
        </w:tc>
      </w:tr>
      <w:tr>
        <w:trPr>
          <w:trHeight w:val="187" w:hRule="exact"/>
        </w:trPr>
        <w:tc>
          <w:tcPr>
            <w:tcW w:w="1585" w:type="dxa"/>
            <w:vMerge/>
            <w:tcBorders>
              <w:left w:val="single" w:sz="12" w:space="0" w:color="000000"/>
              <w:bottom w:val="single" w:sz="6" w:space="0" w:color="000000"/>
              <w:right w:val="single" w:sz="6" w:space="0" w:color="000000"/>
            </w:tcBorders>
            <w:shd w:val="clear" w:color="auto" w:fill="D2D2D2"/>
          </w:tcPr>
          <w:p>
            <w:pPr/>
          </w:p>
        </w:tc>
        <w:tc>
          <w:tcPr>
            <w:tcW w:w="1336" w:type="dxa"/>
            <w:vMerge/>
            <w:tcBorders>
              <w:left w:val="single" w:sz="6" w:space="0" w:color="000000"/>
              <w:bottom w:val="single" w:sz="6" w:space="0" w:color="000000"/>
              <w:right w:val="single" w:sz="6" w:space="0" w:color="000000"/>
            </w:tcBorders>
            <w:shd w:val="clear" w:color="auto" w:fill="D2D2D2"/>
          </w:tcPr>
          <w:p>
            <w:pPr/>
          </w:p>
        </w:tc>
        <w:tc>
          <w:tcPr>
            <w:tcW w:w="1330" w:type="dxa"/>
            <w:tcBorders>
              <w:top w:val="nil" w:sz="6" w:space="0" w:color="auto"/>
              <w:left w:val="single" w:sz="6" w:space="0" w:color="000000"/>
              <w:bottom w:val="single" w:sz="6" w:space="0" w:color="000000"/>
              <w:right w:val="single" w:sz="6" w:space="0" w:color="000000"/>
            </w:tcBorders>
            <w:shd w:val="clear" w:color="auto" w:fill="D2D2D2"/>
          </w:tcPr>
          <w:p>
            <w:pPr/>
          </w:p>
        </w:tc>
        <w:tc>
          <w:tcPr>
            <w:tcW w:w="1328" w:type="dxa"/>
            <w:vMerge/>
            <w:tcBorders>
              <w:left w:val="single" w:sz="6" w:space="0" w:color="000000"/>
              <w:bottom w:val="single" w:sz="6" w:space="0" w:color="000000"/>
              <w:right w:val="single" w:sz="6" w:space="0" w:color="000000"/>
            </w:tcBorders>
            <w:shd w:val="clear" w:color="auto" w:fill="D2D2D2"/>
          </w:tcPr>
          <w:p>
            <w:pPr/>
          </w:p>
        </w:tc>
        <w:tc>
          <w:tcPr>
            <w:tcW w:w="1328" w:type="dxa"/>
            <w:tcBorders>
              <w:top w:val="nil" w:sz="6" w:space="0" w:color="auto"/>
              <w:left w:val="single" w:sz="6" w:space="0" w:color="000000"/>
              <w:bottom w:val="single" w:sz="6" w:space="0" w:color="000000"/>
              <w:right w:val="single" w:sz="6" w:space="0" w:color="000000"/>
            </w:tcBorders>
            <w:shd w:val="clear" w:color="auto" w:fill="D2D2D2"/>
          </w:tcPr>
          <w:p>
            <w:pPr/>
          </w:p>
        </w:tc>
        <w:tc>
          <w:tcPr>
            <w:tcW w:w="1327" w:type="dxa"/>
            <w:vMerge/>
            <w:tcBorders>
              <w:left w:val="single" w:sz="6" w:space="0" w:color="000000"/>
              <w:bottom w:val="single" w:sz="6" w:space="0" w:color="000000"/>
              <w:right w:val="single" w:sz="6" w:space="0" w:color="000000"/>
            </w:tcBorders>
            <w:shd w:val="clear" w:color="auto" w:fill="D2D2D2"/>
          </w:tcPr>
          <w:p>
            <w:pPr/>
          </w:p>
        </w:tc>
        <w:tc>
          <w:tcPr>
            <w:tcW w:w="1330" w:type="dxa"/>
            <w:vMerge/>
            <w:tcBorders>
              <w:left w:val="single" w:sz="6" w:space="0" w:color="000000"/>
              <w:bottom w:val="single" w:sz="6" w:space="0" w:color="000000"/>
              <w:right w:val="single" w:sz="12" w:space="0" w:color="000000"/>
            </w:tcBorders>
            <w:shd w:val="clear" w:color="auto" w:fill="D2D2D2"/>
          </w:tcPr>
          <w:p>
            <w:pPr/>
          </w:p>
        </w:tc>
      </w:tr>
      <w:tr>
        <w:trPr>
          <w:trHeight w:val="470" w:hRule="exact"/>
        </w:trPr>
        <w:tc>
          <w:tcPr>
            <w:tcW w:w="15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7"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36" w:type="dxa"/>
            <w:tcBorders>
              <w:top w:val="single" w:sz="6" w:space="0" w:color="000000"/>
              <w:left w:val="single" w:sz="9" w:space="0" w:color="D2D2D2"/>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37,493,875.86</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37,213,262.49</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37,493,875.86</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15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336" w:type="dxa"/>
            <w:tcBorders>
              <w:top w:val="single" w:sz="6" w:space="0" w:color="000000"/>
              <w:left w:val="single" w:sz="9" w:space="0" w:color="D2D2D2"/>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12" w:space="0" w:color="000000"/>
            </w:tcBorders>
          </w:tcPr>
          <w:p>
            <w:pPr/>
          </w:p>
        </w:tc>
      </w:tr>
      <w:tr>
        <w:trPr>
          <w:trHeight w:val="475" w:hRule="exact"/>
        </w:trPr>
        <w:tc>
          <w:tcPr>
            <w:tcW w:w="158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6" w:space="0" w:color="000000"/>
              <w:left w:val="single" w:sz="9" w:space="0" w:color="D2D2D2"/>
              <w:bottom w:val="single" w:sz="12" w:space="0" w:color="000000"/>
              <w:right w:val="single" w:sz="6" w:space="0" w:color="000000"/>
            </w:tcBorders>
          </w:tcPr>
          <w:p>
            <w:pP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37,493,875.86</w:t>
            </w:r>
          </w:p>
        </w:tc>
        <w:tc>
          <w:tcPr>
            <w:tcW w:w="13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37,213,262.49</w:t>
            </w:r>
          </w:p>
        </w:tc>
        <w:tc>
          <w:tcPr>
            <w:tcW w:w="13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37,493,875.86</w:t>
            </w:r>
          </w:p>
        </w:tc>
        <w:tc>
          <w:tcPr>
            <w:tcW w:w="1327" w:type="dxa"/>
            <w:tcBorders>
              <w:top w:val="single" w:sz="6" w:space="0" w:color="000000"/>
              <w:left w:val="single" w:sz="6" w:space="0" w:color="000000"/>
              <w:bottom w:val="single" w:sz="12" w:space="0" w:color="000000"/>
              <w:right w:val="single" w:sz="6" w:space="0" w:color="000000"/>
            </w:tcBorders>
          </w:tcPr>
          <w:p>
            <w:pPr/>
          </w:p>
        </w:tc>
        <w:tc>
          <w:tcPr>
            <w:tcW w:w="1330"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0" w:footer="1227" w:top="1100" w:bottom="1420" w:left="980" w:right="980"/>
        </w:sectPr>
      </w:pPr>
    </w:p>
    <w:p>
      <w:pPr>
        <w:spacing w:line="240" w:lineRule="auto" w:before="3"/>
        <w:rPr>
          <w:rFonts w:ascii="宋体" w:hAnsi="宋体" w:cs="宋体" w:eastAsia="宋体" w:hint="default"/>
          <w:sz w:val="28"/>
          <w:szCs w:val="28"/>
        </w:rPr>
      </w:pPr>
    </w:p>
    <w:p>
      <w:pPr>
        <w:pStyle w:val="Heading4"/>
        <w:spacing w:line="240" w:lineRule="auto"/>
        <w:ind w:left="160" w:right="-10"/>
        <w:jc w:val="left"/>
        <w:rPr>
          <w:b w:val="0"/>
          <w:bCs w:val="0"/>
        </w:rPr>
      </w:pPr>
      <w:r>
        <w:rPr/>
        <w:pict>
          <v:group style="position:absolute;margin-left:70.559998pt;margin-top:-3.216318pt;width:700.9pt;height:.1pt;mso-position-horizontal-relative:page;mso-position-vertical-relative:paragraph;z-index:1720" coordorigin="1411,-64" coordsize="14018,2">
            <v:shape style="position:absolute;left:1411;top:-64;width:14018;height:2" coordorigin="1411,-64" coordsize="14018,0" path="m1411,-64l15429,-64e" filled="false" stroked="true" strokeweight=".72pt" strokecolor="#000000">
              <v:path arrowok="t"/>
            </v:shape>
            <w10:wrap type="none"/>
          </v:group>
        </w:pict>
      </w:r>
      <w:r>
        <w:rPr>
          <w:rFonts w:ascii="Times New Roman" w:hAnsi="Times New Roman" w:cs="Times New Roman" w:eastAsia="Times New Roman" w:hint="default"/>
          <w:spacing w:val="-1"/>
        </w:rPr>
        <w:t>10</w:t>
      </w:r>
      <w:r>
        <w:rPr>
          <w:spacing w:val="-1"/>
        </w:rPr>
        <w:t>、长期股权投资</w:t>
      </w:r>
      <w:r>
        <w:rPr>
          <w:b w:val="0"/>
          <w:bCs w:val="0"/>
          <w:spacing w:val="-1"/>
        </w:rPr>
      </w:r>
    </w:p>
    <w:p>
      <w:pPr>
        <w:spacing w:before="15"/>
        <w:ind w:left="16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56"/>
          <w:footerReference w:type="default" r:id="rId57"/>
          <w:pgSz w:w="16840" w:h="11910" w:orient="landscape"/>
          <w:pgMar w:header="0" w:footer="0" w:top="800" w:bottom="280" w:left="1280" w:right="1220"/>
          <w:cols w:num="2" w:equalWidth="0">
            <w:col w:w="1848" w:space="7881"/>
            <w:col w:w="4611"/>
          </w:cols>
        </w:sectPr>
      </w:pPr>
    </w:p>
    <w:p>
      <w:pPr>
        <w:spacing w:line="240" w:lineRule="auto" w:before="4"/>
        <w:rPr>
          <w:rFonts w:ascii="宋体" w:hAnsi="宋体" w:cs="宋体" w:eastAsia="宋体" w:hint="default"/>
          <w:sz w:val="27"/>
          <w:szCs w:val="27"/>
        </w:rPr>
      </w:pPr>
    </w:p>
    <w:p>
      <w:pPr>
        <w:spacing w:before="44"/>
        <w:ind w:left="0" w:right="31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462"/>
        <w:gridCol w:w="1271"/>
        <w:gridCol w:w="807"/>
        <w:gridCol w:w="1261"/>
        <w:gridCol w:w="1529"/>
        <w:gridCol w:w="1168"/>
        <w:gridCol w:w="1443"/>
        <w:gridCol w:w="1349"/>
        <w:gridCol w:w="988"/>
        <w:gridCol w:w="712"/>
        <w:gridCol w:w="1272"/>
        <w:gridCol w:w="809"/>
      </w:tblGrid>
      <w:tr>
        <w:trPr>
          <w:trHeight w:val="245" w:hRule="exact"/>
        </w:trPr>
        <w:tc>
          <w:tcPr>
            <w:tcW w:w="1462" w:type="dxa"/>
            <w:vMerge w:val="restart"/>
            <w:tcBorders>
              <w:top w:val="single" w:sz="12" w:space="0" w:color="000000"/>
              <w:left w:val="single" w:sz="12" w:space="0" w:color="000000"/>
              <w:right w:val="single" w:sz="6" w:space="0" w:color="000000"/>
            </w:tcBorders>
            <w:shd w:val="clear" w:color="auto" w:fill="D2D2D2"/>
          </w:tcPr>
          <w:p>
            <w:pPr/>
          </w:p>
        </w:tc>
        <w:tc>
          <w:tcPr>
            <w:tcW w:w="1271" w:type="dxa"/>
            <w:vMerge w:val="restart"/>
            <w:tcBorders>
              <w:top w:val="single" w:sz="12" w:space="0" w:color="000000"/>
              <w:left w:val="single" w:sz="6" w:space="0" w:color="000000"/>
              <w:right w:val="single" w:sz="6" w:space="0" w:color="000000"/>
            </w:tcBorders>
            <w:shd w:val="clear" w:color="auto" w:fill="D2D2D2"/>
          </w:tcPr>
          <w:p>
            <w:pPr/>
          </w:p>
        </w:tc>
        <w:tc>
          <w:tcPr>
            <w:tcW w:w="9257" w:type="dxa"/>
            <w:gridSpan w:val="8"/>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121"/>
              <w:ind w:right="3"/>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72" w:type="dxa"/>
            <w:vMerge w:val="restart"/>
            <w:tcBorders>
              <w:top w:val="single" w:sz="12" w:space="0" w:color="000000"/>
              <w:left w:val="single" w:sz="6" w:space="0" w:color="000000"/>
              <w:right w:val="single" w:sz="6" w:space="0" w:color="000000"/>
            </w:tcBorders>
            <w:shd w:val="clear" w:color="auto" w:fill="D2D2D2"/>
          </w:tcPr>
          <w:p>
            <w:pPr/>
          </w:p>
        </w:tc>
        <w:tc>
          <w:tcPr>
            <w:tcW w:w="809"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224" w:hRule="exact"/>
        </w:trPr>
        <w:tc>
          <w:tcPr>
            <w:tcW w:w="1462" w:type="dxa"/>
            <w:vMerge/>
            <w:tcBorders>
              <w:left w:val="single" w:sz="12" w:space="0" w:color="000000"/>
              <w:bottom w:val="nil" w:sz="6" w:space="0" w:color="auto"/>
              <w:right w:val="single" w:sz="6" w:space="0" w:color="000000"/>
            </w:tcBorders>
            <w:shd w:val="clear" w:color="auto" w:fill="D2D2D2"/>
          </w:tcPr>
          <w:p>
            <w:pPr/>
          </w:p>
        </w:tc>
        <w:tc>
          <w:tcPr>
            <w:tcW w:w="1271" w:type="dxa"/>
            <w:vMerge/>
            <w:tcBorders>
              <w:left w:val="single" w:sz="6" w:space="0" w:color="000000"/>
              <w:bottom w:val="nil" w:sz="6" w:space="0" w:color="auto"/>
              <w:right w:val="single" w:sz="6" w:space="0" w:color="000000"/>
            </w:tcBorders>
            <w:shd w:val="clear" w:color="auto" w:fill="D2D2D2"/>
          </w:tcPr>
          <w:p>
            <w:pPr/>
          </w:p>
        </w:tc>
        <w:tc>
          <w:tcPr>
            <w:tcW w:w="9257" w:type="dxa"/>
            <w:gridSpan w:val="8"/>
            <w:vMerge/>
            <w:tcBorders>
              <w:left w:val="single" w:sz="6" w:space="0" w:color="000000"/>
              <w:bottom w:val="single" w:sz="6" w:space="0" w:color="000000"/>
              <w:right w:val="single" w:sz="6" w:space="0" w:color="000000"/>
            </w:tcBorders>
            <w:shd w:val="clear" w:color="auto" w:fill="D2D2D2"/>
          </w:tcPr>
          <w:p>
            <w:pPr/>
          </w:p>
        </w:tc>
        <w:tc>
          <w:tcPr>
            <w:tcW w:w="1272" w:type="dxa"/>
            <w:vMerge/>
            <w:tcBorders>
              <w:left w:val="single" w:sz="6" w:space="0" w:color="000000"/>
              <w:bottom w:val="nil" w:sz="6" w:space="0" w:color="auto"/>
              <w:right w:val="single" w:sz="6" w:space="0" w:color="000000"/>
            </w:tcBorders>
            <w:shd w:val="clear" w:color="auto" w:fill="D2D2D2"/>
          </w:tcPr>
          <w:p>
            <w:pPr/>
          </w:p>
        </w:tc>
        <w:tc>
          <w:tcPr>
            <w:tcW w:w="809" w:type="dxa"/>
            <w:vMerge w:val="restart"/>
            <w:tcBorders>
              <w:top w:val="nil" w:sz="6" w:space="0" w:color="auto"/>
              <w:left w:val="single" w:sz="6" w:space="0" w:color="000000"/>
              <w:right w:val="single" w:sz="12" w:space="0" w:color="000000"/>
            </w:tcBorders>
            <w:shd w:val="clear" w:color="auto" w:fill="D2D2D2"/>
          </w:tcPr>
          <w:p>
            <w:pPr>
              <w:pStyle w:val="TableParagraph"/>
              <w:spacing w:line="408" w:lineRule="auto" w:before="116"/>
              <w:ind w:left="36" w:right="29"/>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210" w:hRule="exact"/>
        </w:trPr>
        <w:tc>
          <w:tcPr>
            <w:tcW w:w="1462"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93"/>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93"/>
              <w:ind w:left="2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7" w:type="dxa"/>
            <w:vMerge w:val="restart"/>
            <w:tcBorders>
              <w:top w:val="single" w:sz="6" w:space="0" w:color="000000"/>
              <w:left w:val="single" w:sz="6" w:space="0" w:color="000000"/>
              <w:right w:val="single" w:sz="6" w:space="0" w:color="000000"/>
            </w:tcBorders>
            <w:shd w:val="clear" w:color="auto" w:fill="D2D2D2"/>
          </w:tcPr>
          <w:p>
            <w:pPr>
              <w:pStyle w:val="TableParagraph"/>
              <w:spacing w:line="405" w:lineRule="auto" w:before="119"/>
              <w:ind w:left="214" w:right="217"/>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1261" w:type="dxa"/>
            <w:vMerge w:val="restart"/>
            <w:tcBorders>
              <w:top w:val="single" w:sz="6" w:space="0" w:color="000000"/>
              <w:left w:val="single" w:sz="6" w:space="0" w:color="000000"/>
              <w:right w:val="single" w:sz="6" w:space="0" w:color="000000"/>
            </w:tcBorders>
            <w:shd w:val="clear" w:color="auto" w:fill="D2D2D2"/>
          </w:tcPr>
          <w:p>
            <w:pPr>
              <w:pStyle w:val="TableParagraph"/>
              <w:spacing w:line="405" w:lineRule="auto" w:before="119"/>
              <w:ind w:left="442" w:right="441"/>
              <w:jc w:val="center"/>
              <w:rPr>
                <w:rFonts w:ascii="宋体" w:hAnsi="宋体" w:cs="宋体" w:eastAsia="宋体" w:hint="default"/>
                <w:sz w:val="18"/>
                <w:szCs w:val="18"/>
              </w:rPr>
            </w:pPr>
            <w:r>
              <w:rPr>
                <w:rFonts w:ascii="宋体" w:hAnsi="宋体" w:cs="宋体" w:eastAsia="宋体" w:hint="default"/>
                <w:sz w:val="18"/>
                <w:szCs w:val="18"/>
              </w:rPr>
              <w:t>减少 投资</w:t>
            </w:r>
          </w:p>
        </w:tc>
        <w:tc>
          <w:tcPr>
            <w:tcW w:w="1529" w:type="dxa"/>
            <w:vMerge w:val="restart"/>
            <w:tcBorders>
              <w:top w:val="single" w:sz="6" w:space="0" w:color="000000"/>
              <w:left w:val="single" w:sz="6" w:space="0" w:color="000000"/>
              <w:right w:val="single" w:sz="6" w:space="0" w:color="000000"/>
            </w:tcBorders>
            <w:shd w:val="clear" w:color="auto" w:fill="D2D2D2"/>
          </w:tcPr>
          <w:p>
            <w:pPr>
              <w:pStyle w:val="TableParagraph"/>
              <w:spacing w:line="405" w:lineRule="auto" w:before="119"/>
              <w:ind w:left="396" w:right="127" w:hanging="272"/>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1168" w:type="dxa"/>
            <w:vMerge w:val="restart"/>
            <w:tcBorders>
              <w:top w:val="single" w:sz="6" w:space="0" w:color="000000"/>
              <w:left w:val="single" w:sz="6" w:space="0" w:color="000000"/>
              <w:right w:val="single" w:sz="6" w:space="0" w:color="000000"/>
            </w:tcBorders>
            <w:shd w:val="clear" w:color="auto" w:fill="D2D2D2"/>
          </w:tcPr>
          <w:p>
            <w:pPr>
              <w:pStyle w:val="TableParagraph"/>
              <w:spacing w:line="405" w:lineRule="auto" w:before="119"/>
              <w:ind w:left="218" w:right="21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1443" w:type="dxa"/>
            <w:tcBorders>
              <w:top w:val="single" w:sz="6" w:space="0" w:color="000000"/>
              <w:left w:val="single" w:sz="6" w:space="0" w:color="000000"/>
              <w:bottom w:val="nil" w:sz="6" w:space="0" w:color="auto"/>
              <w:right w:val="single" w:sz="6" w:space="0" w:color="000000"/>
            </w:tcBorders>
            <w:shd w:val="clear" w:color="auto" w:fill="D2D2D2"/>
          </w:tcPr>
          <w:p>
            <w:pPr/>
          </w:p>
        </w:tc>
        <w:tc>
          <w:tcPr>
            <w:tcW w:w="1349" w:type="dxa"/>
            <w:vMerge w:val="restart"/>
            <w:tcBorders>
              <w:top w:val="single" w:sz="6" w:space="0" w:color="000000"/>
              <w:left w:val="single" w:sz="6" w:space="0" w:color="000000"/>
              <w:right w:val="single" w:sz="6" w:space="0" w:color="000000"/>
            </w:tcBorders>
            <w:shd w:val="clear" w:color="auto" w:fill="D2D2D2"/>
          </w:tcPr>
          <w:p>
            <w:pPr>
              <w:pStyle w:val="TableParagraph"/>
              <w:spacing w:line="405" w:lineRule="auto" w:before="119"/>
              <w:ind w:left="216" w:right="127" w:hanging="92"/>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988" w:type="dxa"/>
            <w:vMerge w:val="restart"/>
            <w:tcBorders>
              <w:top w:val="single" w:sz="6" w:space="0" w:color="000000"/>
              <w:left w:val="single" w:sz="6" w:space="0" w:color="000000"/>
              <w:right w:val="single" w:sz="6" w:space="0" w:color="000000"/>
            </w:tcBorders>
            <w:shd w:val="clear" w:color="auto" w:fill="D2D2D2"/>
          </w:tcPr>
          <w:p>
            <w:pPr>
              <w:pStyle w:val="TableParagraph"/>
              <w:spacing w:line="405" w:lineRule="auto" w:before="119"/>
              <w:ind w:left="307" w:right="124"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12"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93"/>
              <w:ind w:left="2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9" w:type="dxa"/>
            <w:vMerge/>
            <w:tcBorders>
              <w:left w:val="single" w:sz="6" w:space="0" w:color="000000"/>
              <w:right w:val="single" w:sz="12" w:space="0" w:color="000000"/>
            </w:tcBorders>
            <w:shd w:val="clear" w:color="auto" w:fill="D2D2D2"/>
          </w:tcPr>
          <w:p>
            <w:pPr/>
          </w:p>
        </w:tc>
      </w:tr>
      <w:tr>
        <w:trPr>
          <w:trHeight w:val="206" w:hRule="exact"/>
        </w:trPr>
        <w:tc>
          <w:tcPr>
            <w:tcW w:w="1462" w:type="dxa"/>
            <w:vMerge/>
            <w:tcBorders>
              <w:left w:val="single" w:sz="12" w:space="0" w:color="000000"/>
              <w:bottom w:val="nil" w:sz="6" w:space="0" w:color="auto"/>
              <w:right w:val="single" w:sz="6" w:space="0" w:color="000000"/>
            </w:tcBorders>
            <w:shd w:val="clear" w:color="auto" w:fill="D2D2D2"/>
          </w:tcPr>
          <w:p>
            <w:pPr/>
          </w:p>
        </w:tc>
        <w:tc>
          <w:tcPr>
            <w:tcW w:w="1271" w:type="dxa"/>
            <w:vMerge/>
            <w:tcBorders>
              <w:left w:val="single" w:sz="6" w:space="0" w:color="000000"/>
              <w:bottom w:val="nil" w:sz="6" w:space="0" w:color="auto"/>
              <w:right w:val="single" w:sz="6" w:space="0" w:color="000000"/>
            </w:tcBorders>
            <w:shd w:val="clear" w:color="auto" w:fill="D2D2D2"/>
          </w:tcPr>
          <w:p>
            <w:pPr/>
          </w:p>
        </w:tc>
        <w:tc>
          <w:tcPr>
            <w:tcW w:w="807" w:type="dxa"/>
            <w:vMerge/>
            <w:tcBorders>
              <w:left w:val="single" w:sz="6" w:space="0" w:color="000000"/>
              <w:right w:val="single" w:sz="6" w:space="0" w:color="000000"/>
            </w:tcBorders>
            <w:shd w:val="clear" w:color="auto" w:fill="D2D2D2"/>
          </w:tcPr>
          <w:p>
            <w:pPr/>
          </w:p>
        </w:tc>
        <w:tc>
          <w:tcPr>
            <w:tcW w:w="1261" w:type="dxa"/>
            <w:vMerge/>
            <w:tcBorders>
              <w:left w:val="single" w:sz="6" w:space="0" w:color="000000"/>
              <w:right w:val="single" w:sz="6" w:space="0" w:color="000000"/>
            </w:tcBorders>
            <w:shd w:val="clear" w:color="auto" w:fill="D2D2D2"/>
          </w:tcPr>
          <w:p>
            <w:pPr/>
          </w:p>
        </w:tc>
        <w:tc>
          <w:tcPr>
            <w:tcW w:w="1529" w:type="dxa"/>
            <w:vMerge/>
            <w:tcBorders>
              <w:left w:val="single" w:sz="6" w:space="0" w:color="000000"/>
              <w:right w:val="single" w:sz="6" w:space="0" w:color="000000"/>
            </w:tcBorders>
            <w:shd w:val="clear" w:color="auto" w:fill="D2D2D2"/>
          </w:tcPr>
          <w:p>
            <w:pPr/>
          </w:p>
        </w:tc>
        <w:tc>
          <w:tcPr>
            <w:tcW w:w="1168" w:type="dxa"/>
            <w:vMerge/>
            <w:tcBorders>
              <w:left w:val="single" w:sz="6" w:space="0" w:color="000000"/>
              <w:right w:val="single" w:sz="6" w:space="0" w:color="000000"/>
            </w:tcBorders>
            <w:shd w:val="clear" w:color="auto" w:fill="D2D2D2"/>
          </w:tcPr>
          <w:p>
            <w:pPr/>
          </w:p>
        </w:tc>
        <w:tc>
          <w:tcPr>
            <w:tcW w:w="1443"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16"/>
              <w:ind w:left="173"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1349" w:type="dxa"/>
            <w:vMerge/>
            <w:tcBorders>
              <w:left w:val="single" w:sz="6" w:space="0" w:color="000000"/>
              <w:right w:val="single" w:sz="6" w:space="0" w:color="000000"/>
            </w:tcBorders>
            <w:shd w:val="clear" w:color="auto" w:fill="D2D2D2"/>
          </w:tcPr>
          <w:p>
            <w:pPr/>
          </w:p>
        </w:tc>
        <w:tc>
          <w:tcPr>
            <w:tcW w:w="988" w:type="dxa"/>
            <w:vMerge/>
            <w:tcBorders>
              <w:left w:val="single" w:sz="6" w:space="0" w:color="000000"/>
              <w:right w:val="single" w:sz="6" w:space="0" w:color="000000"/>
            </w:tcBorders>
            <w:shd w:val="clear" w:color="auto" w:fill="D2D2D2"/>
          </w:tcPr>
          <w:p>
            <w:pPr/>
          </w:p>
        </w:tc>
        <w:tc>
          <w:tcPr>
            <w:tcW w:w="71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16"/>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2" w:type="dxa"/>
            <w:vMerge/>
            <w:tcBorders>
              <w:left w:val="single" w:sz="6" w:space="0" w:color="000000"/>
              <w:bottom w:val="nil" w:sz="6" w:space="0" w:color="auto"/>
              <w:right w:val="single" w:sz="6" w:space="0" w:color="000000"/>
            </w:tcBorders>
            <w:shd w:val="clear" w:color="auto" w:fill="D2D2D2"/>
          </w:tcPr>
          <w:p>
            <w:pPr/>
          </w:p>
        </w:tc>
        <w:tc>
          <w:tcPr>
            <w:tcW w:w="809" w:type="dxa"/>
            <w:vMerge/>
            <w:tcBorders>
              <w:left w:val="single" w:sz="6" w:space="0" w:color="000000"/>
              <w:right w:val="single" w:sz="12" w:space="0" w:color="000000"/>
            </w:tcBorders>
            <w:shd w:val="clear" w:color="auto" w:fill="D2D2D2"/>
          </w:tcPr>
          <w:p>
            <w:pPr/>
          </w:p>
        </w:tc>
      </w:tr>
      <w:tr>
        <w:trPr>
          <w:trHeight w:val="236" w:hRule="exact"/>
        </w:trPr>
        <w:tc>
          <w:tcPr>
            <w:tcW w:w="1462" w:type="dxa"/>
            <w:vMerge w:val="restart"/>
            <w:tcBorders>
              <w:top w:val="nil" w:sz="6" w:space="0" w:color="auto"/>
              <w:left w:val="single" w:sz="12" w:space="0" w:color="000000"/>
              <w:right w:val="single" w:sz="6" w:space="0" w:color="000000"/>
            </w:tcBorders>
            <w:shd w:val="clear" w:color="auto" w:fill="D2D2D2"/>
          </w:tcPr>
          <w:p>
            <w:pPr/>
          </w:p>
        </w:tc>
        <w:tc>
          <w:tcPr>
            <w:tcW w:w="1271" w:type="dxa"/>
            <w:vMerge w:val="restart"/>
            <w:tcBorders>
              <w:top w:val="nil" w:sz="6" w:space="0" w:color="auto"/>
              <w:left w:val="single" w:sz="6" w:space="0" w:color="000000"/>
              <w:right w:val="single" w:sz="6" w:space="0" w:color="000000"/>
            </w:tcBorders>
            <w:shd w:val="clear" w:color="auto" w:fill="D2D2D2"/>
          </w:tcPr>
          <w:p>
            <w:pPr/>
          </w:p>
        </w:tc>
        <w:tc>
          <w:tcPr>
            <w:tcW w:w="807" w:type="dxa"/>
            <w:vMerge/>
            <w:tcBorders>
              <w:left w:val="single" w:sz="6" w:space="0" w:color="000000"/>
              <w:right w:val="single" w:sz="6" w:space="0" w:color="000000"/>
            </w:tcBorders>
            <w:shd w:val="clear" w:color="auto" w:fill="D2D2D2"/>
          </w:tcPr>
          <w:p>
            <w:pPr/>
          </w:p>
        </w:tc>
        <w:tc>
          <w:tcPr>
            <w:tcW w:w="1261" w:type="dxa"/>
            <w:vMerge/>
            <w:tcBorders>
              <w:left w:val="single" w:sz="6" w:space="0" w:color="000000"/>
              <w:right w:val="single" w:sz="6" w:space="0" w:color="000000"/>
            </w:tcBorders>
            <w:shd w:val="clear" w:color="auto" w:fill="D2D2D2"/>
          </w:tcPr>
          <w:p>
            <w:pPr/>
          </w:p>
        </w:tc>
        <w:tc>
          <w:tcPr>
            <w:tcW w:w="1529" w:type="dxa"/>
            <w:vMerge/>
            <w:tcBorders>
              <w:left w:val="single" w:sz="6" w:space="0" w:color="000000"/>
              <w:right w:val="single" w:sz="6" w:space="0" w:color="000000"/>
            </w:tcBorders>
            <w:shd w:val="clear" w:color="auto" w:fill="D2D2D2"/>
          </w:tcPr>
          <w:p>
            <w:pPr/>
          </w:p>
        </w:tc>
        <w:tc>
          <w:tcPr>
            <w:tcW w:w="1168" w:type="dxa"/>
            <w:vMerge/>
            <w:tcBorders>
              <w:left w:val="single" w:sz="6" w:space="0" w:color="000000"/>
              <w:right w:val="single" w:sz="6" w:space="0" w:color="000000"/>
            </w:tcBorders>
            <w:shd w:val="clear" w:color="auto" w:fill="D2D2D2"/>
          </w:tcPr>
          <w:p>
            <w:pPr/>
          </w:p>
        </w:tc>
        <w:tc>
          <w:tcPr>
            <w:tcW w:w="1443" w:type="dxa"/>
            <w:vMerge/>
            <w:tcBorders>
              <w:left w:val="single" w:sz="6" w:space="0" w:color="000000"/>
              <w:bottom w:val="nil" w:sz="6" w:space="0" w:color="auto"/>
              <w:right w:val="single" w:sz="6" w:space="0" w:color="000000"/>
            </w:tcBorders>
            <w:shd w:val="clear" w:color="auto" w:fill="D2D2D2"/>
          </w:tcPr>
          <w:p>
            <w:pPr/>
          </w:p>
        </w:tc>
        <w:tc>
          <w:tcPr>
            <w:tcW w:w="1349" w:type="dxa"/>
            <w:vMerge/>
            <w:tcBorders>
              <w:left w:val="single" w:sz="6" w:space="0" w:color="000000"/>
              <w:right w:val="single" w:sz="6" w:space="0" w:color="000000"/>
            </w:tcBorders>
            <w:shd w:val="clear" w:color="auto" w:fill="D2D2D2"/>
          </w:tcPr>
          <w:p>
            <w:pPr/>
          </w:p>
        </w:tc>
        <w:tc>
          <w:tcPr>
            <w:tcW w:w="988" w:type="dxa"/>
            <w:vMerge/>
            <w:tcBorders>
              <w:left w:val="single" w:sz="6" w:space="0" w:color="000000"/>
              <w:right w:val="single" w:sz="6" w:space="0" w:color="000000"/>
            </w:tcBorders>
            <w:shd w:val="clear" w:color="auto" w:fill="D2D2D2"/>
          </w:tcPr>
          <w:p>
            <w:pPr/>
          </w:p>
        </w:tc>
        <w:tc>
          <w:tcPr>
            <w:tcW w:w="712" w:type="dxa"/>
            <w:vMerge/>
            <w:tcBorders>
              <w:left w:val="single" w:sz="6" w:space="0" w:color="000000"/>
              <w:bottom w:val="nil" w:sz="6" w:space="0" w:color="auto"/>
              <w:right w:val="single" w:sz="6" w:space="0" w:color="000000"/>
            </w:tcBorders>
            <w:shd w:val="clear" w:color="auto" w:fill="D2D2D2"/>
          </w:tcPr>
          <w:p>
            <w:pPr/>
          </w:p>
        </w:tc>
        <w:tc>
          <w:tcPr>
            <w:tcW w:w="1272" w:type="dxa"/>
            <w:vMerge w:val="restart"/>
            <w:tcBorders>
              <w:top w:val="nil" w:sz="6" w:space="0" w:color="auto"/>
              <w:left w:val="single" w:sz="6" w:space="0" w:color="000000"/>
              <w:right w:val="single" w:sz="6" w:space="0" w:color="000000"/>
            </w:tcBorders>
            <w:shd w:val="clear" w:color="auto" w:fill="D2D2D2"/>
          </w:tcPr>
          <w:p>
            <w:pPr/>
          </w:p>
        </w:tc>
        <w:tc>
          <w:tcPr>
            <w:tcW w:w="809" w:type="dxa"/>
            <w:vMerge/>
            <w:tcBorders>
              <w:left w:val="single" w:sz="6" w:space="0" w:color="000000"/>
              <w:bottom w:val="nil" w:sz="6" w:space="0" w:color="auto"/>
              <w:right w:val="single" w:sz="12" w:space="0" w:color="000000"/>
            </w:tcBorders>
            <w:shd w:val="clear" w:color="auto" w:fill="D2D2D2"/>
          </w:tcPr>
          <w:p>
            <w:pPr/>
          </w:p>
        </w:tc>
      </w:tr>
      <w:tr>
        <w:trPr>
          <w:trHeight w:val="228" w:hRule="exact"/>
        </w:trPr>
        <w:tc>
          <w:tcPr>
            <w:tcW w:w="1462" w:type="dxa"/>
            <w:vMerge/>
            <w:tcBorders>
              <w:left w:val="single" w:sz="12" w:space="0" w:color="000000"/>
              <w:bottom w:val="single" w:sz="6" w:space="0" w:color="000000"/>
              <w:right w:val="single" w:sz="6" w:space="0" w:color="000000"/>
            </w:tcBorders>
            <w:shd w:val="clear" w:color="auto" w:fill="D2D2D2"/>
          </w:tcPr>
          <w:p>
            <w:pPr/>
          </w:p>
        </w:tc>
        <w:tc>
          <w:tcPr>
            <w:tcW w:w="1271" w:type="dxa"/>
            <w:vMerge/>
            <w:tcBorders>
              <w:left w:val="single" w:sz="6" w:space="0" w:color="000000"/>
              <w:bottom w:val="single" w:sz="6" w:space="0" w:color="000000"/>
              <w:right w:val="single" w:sz="6" w:space="0" w:color="000000"/>
            </w:tcBorders>
            <w:shd w:val="clear" w:color="auto" w:fill="D2D2D2"/>
          </w:tcPr>
          <w:p>
            <w:pPr/>
          </w:p>
        </w:tc>
        <w:tc>
          <w:tcPr>
            <w:tcW w:w="807" w:type="dxa"/>
            <w:vMerge/>
            <w:tcBorders>
              <w:left w:val="single" w:sz="6" w:space="0" w:color="000000"/>
              <w:bottom w:val="single" w:sz="6" w:space="0" w:color="000000"/>
              <w:right w:val="single" w:sz="6" w:space="0" w:color="000000"/>
            </w:tcBorders>
            <w:shd w:val="clear" w:color="auto" w:fill="D2D2D2"/>
          </w:tcPr>
          <w:p>
            <w:pPr/>
          </w:p>
        </w:tc>
        <w:tc>
          <w:tcPr>
            <w:tcW w:w="1261" w:type="dxa"/>
            <w:vMerge/>
            <w:tcBorders>
              <w:left w:val="single" w:sz="6" w:space="0" w:color="000000"/>
              <w:bottom w:val="single" w:sz="6" w:space="0" w:color="000000"/>
              <w:right w:val="single" w:sz="6" w:space="0" w:color="000000"/>
            </w:tcBorders>
            <w:shd w:val="clear" w:color="auto" w:fill="D2D2D2"/>
          </w:tcPr>
          <w:p>
            <w:pPr/>
          </w:p>
        </w:tc>
        <w:tc>
          <w:tcPr>
            <w:tcW w:w="1529" w:type="dxa"/>
            <w:vMerge/>
            <w:tcBorders>
              <w:left w:val="single" w:sz="6" w:space="0" w:color="000000"/>
              <w:bottom w:val="single" w:sz="6" w:space="0" w:color="000000"/>
              <w:right w:val="single" w:sz="6" w:space="0" w:color="000000"/>
            </w:tcBorders>
            <w:shd w:val="clear" w:color="auto" w:fill="D2D2D2"/>
          </w:tcPr>
          <w:p>
            <w:pPr/>
          </w:p>
        </w:tc>
        <w:tc>
          <w:tcPr>
            <w:tcW w:w="1168" w:type="dxa"/>
            <w:vMerge/>
            <w:tcBorders>
              <w:left w:val="single" w:sz="6" w:space="0" w:color="000000"/>
              <w:bottom w:val="single" w:sz="6" w:space="0" w:color="000000"/>
              <w:right w:val="single" w:sz="6" w:space="0" w:color="000000"/>
            </w:tcBorders>
            <w:shd w:val="clear" w:color="auto" w:fill="D2D2D2"/>
          </w:tcPr>
          <w:p>
            <w:pPr/>
          </w:p>
        </w:tc>
        <w:tc>
          <w:tcPr>
            <w:tcW w:w="1443" w:type="dxa"/>
            <w:tcBorders>
              <w:top w:val="nil" w:sz="6" w:space="0" w:color="auto"/>
              <w:left w:val="single" w:sz="6" w:space="0" w:color="000000"/>
              <w:bottom w:val="single" w:sz="6" w:space="0" w:color="000000"/>
              <w:right w:val="single" w:sz="6" w:space="0" w:color="000000"/>
            </w:tcBorders>
            <w:shd w:val="clear" w:color="auto" w:fill="D2D2D2"/>
          </w:tcPr>
          <w:p>
            <w:pPr/>
          </w:p>
        </w:tc>
        <w:tc>
          <w:tcPr>
            <w:tcW w:w="1349" w:type="dxa"/>
            <w:vMerge/>
            <w:tcBorders>
              <w:left w:val="single" w:sz="6" w:space="0" w:color="000000"/>
              <w:bottom w:val="single" w:sz="6" w:space="0" w:color="000000"/>
              <w:right w:val="single" w:sz="6" w:space="0" w:color="000000"/>
            </w:tcBorders>
            <w:shd w:val="clear" w:color="auto" w:fill="D2D2D2"/>
          </w:tcPr>
          <w:p>
            <w:pPr/>
          </w:p>
        </w:tc>
        <w:tc>
          <w:tcPr>
            <w:tcW w:w="988" w:type="dxa"/>
            <w:vMerge/>
            <w:tcBorders>
              <w:left w:val="single" w:sz="6" w:space="0" w:color="000000"/>
              <w:bottom w:val="single" w:sz="6" w:space="0" w:color="000000"/>
              <w:right w:val="single" w:sz="6" w:space="0" w:color="000000"/>
            </w:tcBorders>
            <w:shd w:val="clear" w:color="auto" w:fill="D2D2D2"/>
          </w:tcPr>
          <w:p>
            <w:pPr/>
          </w:p>
        </w:tc>
        <w:tc>
          <w:tcPr>
            <w:tcW w:w="712"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2" w:type="dxa"/>
            <w:vMerge/>
            <w:tcBorders>
              <w:left w:val="single" w:sz="6" w:space="0" w:color="000000"/>
              <w:bottom w:val="single" w:sz="6" w:space="0" w:color="000000"/>
              <w:right w:val="single" w:sz="6" w:space="0" w:color="000000"/>
            </w:tcBorders>
            <w:shd w:val="clear" w:color="auto" w:fill="D2D2D2"/>
          </w:tcPr>
          <w:p>
            <w:pPr/>
          </w:p>
        </w:tc>
        <w:tc>
          <w:tcPr>
            <w:tcW w:w="809"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62" w:hRule="exact"/>
        </w:trPr>
        <w:tc>
          <w:tcPr>
            <w:tcW w:w="14071"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76" w:hRule="exact"/>
        </w:trPr>
        <w:tc>
          <w:tcPr>
            <w:tcW w:w="1462" w:type="dxa"/>
            <w:tcBorders>
              <w:top w:val="single" w:sz="6" w:space="0" w:color="000000"/>
              <w:left w:val="single" w:sz="12" w:space="0" w:color="000000"/>
              <w:bottom w:val="single" w:sz="9" w:space="0" w:color="000000"/>
              <w:right w:val="single" w:sz="6" w:space="0" w:color="000000"/>
            </w:tcBorders>
            <w:shd w:val="clear" w:color="auto" w:fill="D2D2D2"/>
          </w:tcPr>
          <w:p>
            <w:pPr>
              <w:pStyle w:val="TableParagraph"/>
              <w:spacing w:line="240" w:lineRule="auto" w:before="128"/>
              <w:ind w:left="1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1" w:type="dxa"/>
            <w:tcBorders>
              <w:top w:val="single" w:sz="8" w:space="0" w:color="000000"/>
              <w:left w:val="single" w:sz="9" w:space="0" w:color="D2D2D2"/>
              <w:bottom w:val="single" w:sz="9" w:space="0" w:color="000000"/>
              <w:right w:val="single" w:sz="6" w:space="0" w:color="000000"/>
            </w:tcBorders>
          </w:tcPr>
          <w:p>
            <w:pPr/>
          </w:p>
        </w:tc>
        <w:tc>
          <w:tcPr>
            <w:tcW w:w="807" w:type="dxa"/>
            <w:tcBorders>
              <w:top w:val="single" w:sz="8" w:space="0" w:color="000000"/>
              <w:left w:val="single" w:sz="6" w:space="0" w:color="000000"/>
              <w:bottom w:val="single" w:sz="9" w:space="0" w:color="000000"/>
              <w:right w:val="single" w:sz="6" w:space="0" w:color="000000"/>
            </w:tcBorders>
          </w:tcPr>
          <w:p>
            <w:pPr/>
          </w:p>
        </w:tc>
        <w:tc>
          <w:tcPr>
            <w:tcW w:w="1261" w:type="dxa"/>
            <w:tcBorders>
              <w:top w:val="single" w:sz="8" w:space="0" w:color="000000"/>
              <w:left w:val="single" w:sz="6" w:space="0" w:color="000000"/>
              <w:bottom w:val="single" w:sz="9" w:space="0" w:color="000000"/>
              <w:right w:val="single" w:sz="6" w:space="0" w:color="000000"/>
            </w:tcBorders>
          </w:tcPr>
          <w:p>
            <w:pPr/>
          </w:p>
        </w:tc>
        <w:tc>
          <w:tcPr>
            <w:tcW w:w="1529" w:type="dxa"/>
            <w:tcBorders>
              <w:top w:val="single" w:sz="8" w:space="0" w:color="000000"/>
              <w:left w:val="single" w:sz="6" w:space="0" w:color="000000"/>
              <w:bottom w:val="single" w:sz="9" w:space="0" w:color="000000"/>
              <w:right w:val="single" w:sz="6" w:space="0" w:color="000000"/>
            </w:tcBorders>
          </w:tcPr>
          <w:p>
            <w:pPr/>
          </w:p>
        </w:tc>
        <w:tc>
          <w:tcPr>
            <w:tcW w:w="1168" w:type="dxa"/>
            <w:tcBorders>
              <w:top w:val="single" w:sz="8" w:space="0" w:color="000000"/>
              <w:left w:val="single" w:sz="6" w:space="0" w:color="000000"/>
              <w:bottom w:val="single" w:sz="9" w:space="0" w:color="000000"/>
              <w:right w:val="single" w:sz="6" w:space="0" w:color="000000"/>
            </w:tcBorders>
          </w:tcPr>
          <w:p>
            <w:pPr/>
          </w:p>
        </w:tc>
        <w:tc>
          <w:tcPr>
            <w:tcW w:w="1443" w:type="dxa"/>
            <w:tcBorders>
              <w:top w:val="single" w:sz="8" w:space="0" w:color="000000"/>
              <w:left w:val="single" w:sz="6" w:space="0" w:color="000000"/>
              <w:bottom w:val="single" w:sz="9" w:space="0" w:color="000000"/>
              <w:right w:val="single" w:sz="6" w:space="0" w:color="000000"/>
            </w:tcBorders>
          </w:tcPr>
          <w:p>
            <w:pPr/>
          </w:p>
        </w:tc>
        <w:tc>
          <w:tcPr>
            <w:tcW w:w="1349" w:type="dxa"/>
            <w:tcBorders>
              <w:top w:val="single" w:sz="8" w:space="0" w:color="000000"/>
              <w:left w:val="single" w:sz="6" w:space="0" w:color="000000"/>
              <w:bottom w:val="single" w:sz="9" w:space="0" w:color="000000"/>
              <w:right w:val="single" w:sz="6" w:space="0" w:color="000000"/>
            </w:tcBorders>
          </w:tcPr>
          <w:p>
            <w:pPr/>
          </w:p>
        </w:tc>
        <w:tc>
          <w:tcPr>
            <w:tcW w:w="988" w:type="dxa"/>
            <w:tcBorders>
              <w:top w:val="single" w:sz="8" w:space="0" w:color="000000"/>
              <w:left w:val="single" w:sz="6" w:space="0" w:color="000000"/>
              <w:bottom w:val="single" w:sz="9" w:space="0" w:color="000000"/>
              <w:right w:val="single" w:sz="6" w:space="0" w:color="000000"/>
            </w:tcBorders>
          </w:tcPr>
          <w:p>
            <w:pPr/>
          </w:p>
        </w:tc>
        <w:tc>
          <w:tcPr>
            <w:tcW w:w="712" w:type="dxa"/>
            <w:tcBorders>
              <w:top w:val="single" w:sz="8" w:space="0" w:color="000000"/>
              <w:left w:val="single" w:sz="6" w:space="0" w:color="000000"/>
              <w:bottom w:val="single" w:sz="9" w:space="0" w:color="000000"/>
              <w:right w:val="single" w:sz="6" w:space="0" w:color="000000"/>
            </w:tcBorders>
          </w:tcPr>
          <w:p>
            <w:pPr/>
          </w:p>
        </w:tc>
        <w:tc>
          <w:tcPr>
            <w:tcW w:w="1272" w:type="dxa"/>
            <w:tcBorders>
              <w:top w:val="single" w:sz="8" w:space="0" w:color="000000"/>
              <w:left w:val="single" w:sz="6" w:space="0" w:color="000000"/>
              <w:bottom w:val="single" w:sz="9" w:space="0" w:color="000000"/>
              <w:right w:val="single" w:sz="6" w:space="0" w:color="000000"/>
            </w:tcBorders>
          </w:tcPr>
          <w:p>
            <w:pPr/>
          </w:p>
        </w:tc>
        <w:tc>
          <w:tcPr>
            <w:tcW w:w="809" w:type="dxa"/>
            <w:tcBorders>
              <w:top w:val="single" w:sz="8" w:space="0" w:color="000000"/>
              <w:left w:val="single" w:sz="6" w:space="0" w:color="000000"/>
              <w:bottom w:val="single" w:sz="9" w:space="0" w:color="000000"/>
              <w:right w:val="single" w:sz="12" w:space="0" w:color="000000"/>
            </w:tcBorders>
          </w:tcPr>
          <w:p>
            <w:pPr/>
          </w:p>
        </w:tc>
      </w:tr>
      <w:tr>
        <w:trPr>
          <w:trHeight w:val="461" w:hRule="exact"/>
        </w:trPr>
        <w:tc>
          <w:tcPr>
            <w:tcW w:w="14071" w:type="dxa"/>
            <w:gridSpan w:val="12"/>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820" w:hRule="exact"/>
        </w:trPr>
        <w:tc>
          <w:tcPr>
            <w:tcW w:w="146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4" w:lineRule="auto" w:before="122"/>
              <w:ind w:left="14" w:right="165"/>
              <w:jc w:val="left"/>
              <w:rPr>
                <w:rFonts w:ascii="宋体" w:hAnsi="宋体" w:cs="宋体" w:eastAsia="宋体" w:hint="default"/>
                <w:sz w:val="18"/>
                <w:szCs w:val="18"/>
              </w:rPr>
            </w:pPr>
            <w:r>
              <w:rPr>
                <w:rFonts w:ascii="宋体" w:hAnsi="宋体" w:cs="宋体" w:eastAsia="宋体" w:hint="default"/>
                <w:sz w:val="18"/>
                <w:szCs w:val="18"/>
              </w:rPr>
              <w:t>苏州神州数码捷 通科技有限公司</w:t>
            </w:r>
          </w:p>
        </w:tc>
        <w:tc>
          <w:tcPr>
            <w:tcW w:w="1271" w:type="dxa"/>
            <w:tcBorders>
              <w:top w:val="single" w:sz="9" w:space="0" w:color="000000"/>
              <w:left w:val="single" w:sz="9" w:space="0" w:color="D9D9D9"/>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5,807,334.53</w:t>
            </w:r>
          </w:p>
        </w:tc>
        <w:tc>
          <w:tcPr>
            <w:tcW w:w="807" w:type="dxa"/>
            <w:tcBorders>
              <w:top w:val="single" w:sz="9" w:space="0" w:color="000000"/>
              <w:left w:val="single" w:sz="6" w:space="0" w:color="000000"/>
              <w:bottom w:val="single" w:sz="6" w:space="0" w:color="000000"/>
              <w:right w:val="single" w:sz="6" w:space="0" w:color="000000"/>
            </w:tcBorders>
          </w:tcPr>
          <w:p>
            <w:pPr/>
          </w:p>
        </w:tc>
        <w:tc>
          <w:tcPr>
            <w:tcW w:w="1261" w:type="dxa"/>
            <w:tcBorders>
              <w:top w:val="single" w:sz="9" w:space="0" w:color="000000"/>
              <w:left w:val="single" w:sz="6" w:space="0" w:color="000000"/>
              <w:bottom w:val="single" w:sz="6" w:space="0" w:color="000000"/>
              <w:right w:val="single" w:sz="6" w:space="0" w:color="000000"/>
            </w:tcBorders>
          </w:tcPr>
          <w:p>
            <w:pPr/>
          </w:p>
        </w:tc>
        <w:tc>
          <w:tcPr>
            <w:tcW w:w="1529"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3,762,056.82</w:t>
            </w:r>
          </w:p>
        </w:tc>
        <w:tc>
          <w:tcPr>
            <w:tcW w:w="1168" w:type="dxa"/>
            <w:tcBorders>
              <w:top w:val="single" w:sz="9" w:space="0" w:color="000000"/>
              <w:left w:val="single" w:sz="6" w:space="0" w:color="000000"/>
              <w:bottom w:val="single" w:sz="6" w:space="0" w:color="000000"/>
              <w:right w:val="single" w:sz="6" w:space="0" w:color="000000"/>
            </w:tcBorders>
          </w:tcPr>
          <w:p>
            <w:pPr/>
          </w:p>
        </w:tc>
        <w:tc>
          <w:tcPr>
            <w:tcW w:w="1443" w:type="dxa"/>
            <w:tcBorders>
              <w:top w:val="single" w:sz="9" w:space="0" w:color="000000"/>
              <w:left w:val="single" w:sz="6" w:space="0" w:color="000000"/>
              <w:bottom w:val="single" w:sz="6" w:space="0" w:color="000000"/>
              <w:right w:val="single" w:sz="6" w:space="0" w:color="000000"/>
            </w:tcBorders>
          </w:tcPr>
          <w:p>
            <w:pPr/>
          </w:p>
        </w:tc>
        <w:tc>
          <w:tcPr>
            <w:tcW w:w="1349"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-4,900,000.00</w:t>
            </w:r>
          </w:p>
        </w:tc>
        <w:tc>
          <w:tcPr>
            <w:tcW w:w="988" w:type="dxa"/>
            <w:tcBorders>
              <w:top w:val="single" w:sz="9" w:space="0" w:color="000000"/>
              <w:left w:val="single" w:sz="6" w:space="0" w:color="000000"/>
              <w:bottom w:val="single" w:sz="6" w:space="0" w:color="000000"/>
              <w:right w:val="single" w:sz="6" w:space="0" w:color="000000"/>
            </w:tcBorders>
          </w:tcPr>
          <w:p>
            <w:pPr/>
          </w:p>
        </w:tc>
        <w:tc>
          <w:tcPr>
            <w:tcW w:w="712" w:type="dxa"/>
            <w:tcBorders>
              <w:top w:val="single" w:sz="9" w:space="0" w:color="000000"/>
              <w:left w:val="single" w:sz="6" w:space="0" w:color="000000"/>
              <w:bottom w:val="single" w:sz="6" w:space="0" w:color="000000"/>
              <w:right w:val="single" w:sz="6" w:space="0" w:color="000000"/>
            </w:tcBorders>
          </w:tcPr>
          <w:p>
            <w:pPr/>
          </w:p>
        </w:tc>
        <w:tc>
          <w:tcPr>
            <w:tcW w:w="1272"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4,669,391.35</w:t>
            </w:r>
          </w:p>
        </w:tc>
        <w:tc>
          <w:tcPr>
            <w:tcW w:w="809" w:type="dxa"/>
            <w:tcBorders>
              <w:top w:val="single" w:sz="9" w:space="0" w:color="000000"/>
              <w:left w:val="single" w:sz="6" w:space="0" w:color="000000"/>
              <w:bottom w:val="single" w:sz="6" w:space="0" w:color="000000"/>
              <w:right w:val="single" w:sz="12" w:space="0" w:color="000000"/>
            </w:tcBorders>
          </w:tcPr>
          <w:p>
            <w:pPr/>
          </w:p>
        </w:tc>
      </w:tr>
      <w:tr>
        <w:trPr>
          <w:trHeight w:val="814" w:hRule="exact"/>
        </w:trPr>
        <w:tc>
          <w:tcPr>
            <w:tcW w:w="146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6"/>
              <w:ind w:left="14" w:right="165"/>
              <w:jc w:val="left"/>
              <w:rPr>
                <w:rFonts w:ascii="宋体" w:hAnsi="宋体" w:cs="宋体" w:eastAsia="宋体" w:hint="default"/>
                <w:sz w:val="18"/>
                <w:szCs w:val="18"/>
              </w:rPr>
            </w:pPr>
            <w:r>
              <w:rPr>
                <w:rFonts w:ascii="宋体" w:hAnsi="宋体" w:cs="宋体" w:eastAsia="宋体" w:hint="default"/>
                <w:sz w:val="18"/>
                <w:szCs w:val="18"/>
              </w:rPr>
              <w:t>平湖神州数码博 海科技有限公司</w:t>
            </w:r>
          </w:p>
        </w:tc>
        <w:tc>
          <w:tcPr>
            <w:tcW w:w="1271"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1,964,194.43</w:t>
            </w:r>
          </w:p>
        </w:tc>
        <w:tc>
          <w:tcPr>
            <w:tcW w:w="807"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255,050.77</w:t>
            </w:r>
          </w:p>
        </w:tc>
        <w:tc>
          <w:tcPr>
            <w:tcW w:w="1168" w:type="dxa"/>
            <w:tcBorders>
              <w:top w:val="single" w:sz="6" w:space="0" w:color="000000"/>
              <w:left w:val="single" w:sz="6" w:space="0" w:color="000000"/>
              <w:bottom w:val="single" w:sz="6" w:space="0" w:color="000000"/>
              <w:right w:val="single" w:sz="6" w:space="0" w:color="000000"/>
            </w:tcBorders>
          </w:tcPr>
          <w:p>
            <w:pPr/>
          </w:p>
        </w:tc>
        <w:tc>
          <w:tcPr>
            <w:tcW w:w="1443"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c>
          <w:tcPr>
            <w:tcW w:w="988"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2,219,245.20</w:t>
            </w:r>
          </w:p>
        </w:tc>
        <w:tc>
          <w:tcPr>
            <w:tcW w:w="809" w:type="dxa"/>
            <w:tcBorders>
              <w:top w:val="single" w:sz="6" w:space="0" w:color="000000"/>
              <w:left w:val="single" w:sz="6" w:space="0" w:color="000000"/>
              <w:bottom w:val="single" w:sz="6" w:space="0" w:color="000000"/>
              <w:right w:val="single" w:sz="12" w:space="0" w:color="000000"/>
            </w:tcBorders>
          </w:tcPr>
          <w:p>
            <w:pPr/>
          </w:p>
        </w:tc>
      </w:tr>
      <w:tr>
        <w:trPr>
          <w:trHeight w:val="1177" w:hRule="exact"/>
        </w:trPr>
        <w:tc>
          <w:tcPr>
            <w:tcW w:w="146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4" w:lineRule="auto" w:before="118"/>
              <w:ind w:left="14" w:right="165"/>
              <w:jc w:val="both"/>
              <w:rPr>
                <w:rFonts w:ascii="宋体" w:hAnsi="宋体" w:cs="宋体" w:eastAsia="宋体" w:hint="default"/>
                <w:sz w:val="18"/>
                <w:szCs w:val="18"/>
              </w:rPr>
            </w:pPr>
            <w:r>
              <w:rPr>
                <w:rFonts w:ascii="宋体" w:hAnsi="宋体" w:cs="宋体" w:eastAsia="宋体" w:hint="default"/>
                <w:sz w:val="18"/>
                <w:szCs w:val="18"/>
              </w:rPr>
              <w:t>宁波神州数码宏 博信息技术有限 公司</w:t>
            </w:r>
          </w:p>
        </w:tc>
        <w:tc>
          <w:tcPr>
            <w:tcW w:w="1271"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600,038.77</w:t>
            </w:r>
          </w:p>
        </w:tc>
        <w:tc>
          <w:tcPr>
            <w:tcW w:w="807"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-492,689.54</w:t>
            </w:r>
          </w:p>
        </w:tc>
        <w:tc>
          <w:tcPr>
            <w:tcW w:w="1168" w:type="dxa"/>
            <w:tcBorders>
              <w:top w:val="single" w:sz="6" w:space="0" w:color="000000"/>
              <w:left w:val="single" w:sz="6" w:space="0" w:color="000000"/>
              <w:bottom w:val="single" w:sz="6" w:space="0" w:color="000000"/>
              <w:right w:val="single" w:sz="6" w:space="0" w:color="000000"/>
            </w:tcBorders>
          </w:tcPr>
          <w:p>
            <w:pPr/>
          </w:p>
        </w:tc>
        <w:tc>
          <w:tcPr>
            <w:tcW w:w="1443"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c>
          <w:tcPr>
            <w:tcW w:w="988"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107,349.23</w:t>
            </w:r>
          </w:p>
        </w:tc>
        <w:tc>
          <w:tcPr>
            <w:tcW w:w="809" w:type="dxa"/>
            <w:tcBorders>
              <w:top w:val="single" w:sz="6" w:space="0" w:color="000000"/>
              <w:left w:val="single" w:sz="6" w:space="0" w:color="000000"/>
              <w:bottom w:val="single" w:sz="6" w:space="0" w:color="000000"/>
              <w:right w:val="single" w:sz="12" w:space="0" w:color="000000"/>
            </w:tcBorders>
          </w:tcPr>
          <w:p>
            <w:pPr/>
          </w:p>
        </w:tc>
      </w:tr>
      <w:tr>
        <w:trPr>
          <w:trHeight w:val="816" w:hRule="exact"/>
        </w:trPr>
        <w:tc>
          <w:tcPr>
            <w:tcW w:w="1462" w:type="dxa"/>
            <w:tcBorders>
              <w:top w:val="single" w:sz="6" w:space="0" w:color="000000"/>
              <w:left w:val="single" w:sz="12" w:space="0" w:color="000000"/>
              <w:bottom w:val="single" w:sz="9" w:space="0" w:color="000000"/>
              <w:right w:val="single" w:sz="6" w:space="0" w:color="000000"/>
            </w:tcBorders>
            <w:shd w:val="clear" w:color="auto" w:fill="D9D9D9"/>
          </w:tcPr>
          <w:p>
            <w:pPr>
              <w:pStyle w:val="TableParagraph"/>
              <w:spacing w:line="367" w:lineRule="auto" w:before="116"/>
              <w:ind w:left="14" w:right="165"/>
              <w:jc w:val="left"/>
              <w:rPr>
                <w:rFonts w:ascii="宋体" w:hAnsi="宋体" w:cs="宋体" w:eastAsia="宋体" w:hint="default"/>
                <w:sz w:val="18"/>
                <w:szCs w:val="18"/>
              </w:rPr>
            </w:pPr>
            <w:r>
              <w:rPr>
                <w:rFonts w:ascii="宋体" w:hAnsi="宋体" w:cs="宋体" w:eastAsia="宋体" w:hint="default"/>
                <w:sz w:val="18"/>
                <w:szCs w:val="18"/>
              </w:rPr>
              <w:t>鼎捷软件股份有 限公司</w:t>
            </w:r>
          </w:p>
        </w:tc>
        <w:tc>
          <w:tcPr>
            <w:tcW w:w="1271"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345,089,561.31</w:t>
            </w:r>
          </w:p>
        </w:tc>
        <w:tc>
          <w:tcPr>
            <w:tcW w:w="807"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-4,659,930.94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10,638,288.46</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-3,351,419.48</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10,123,641.34</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-6,380,651.70</w:t>
            </w:r>
          </w:p>
        </w:tc>
        <w:tc>
          <w:tcPr>
            <w:tcW w:w="988"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351,459,488.99</w:t>
            </w:r>
          </w:p>
        </w:tc>
        <w:tc>
          <w:tcPr>
            <w:tcW w:w="809"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146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353,461,129.04</w:t>
            </w:r>
          </w:p>
        </w:tc>
        <w:tc>
          <w:tcPr>
            <w:tcW w:w="807"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-4,659,930.94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14,162,706.51</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-3,351,419.48</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10,123,641.34</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-11,280,651.70</w:t>
            </w:r>
          </w:p>
        </w:tc>
        <w:tc>
          <w:tcPr>
            <w:tcW w:w="988"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358,455,474.77</w:t>
            </w:r>
          </w:p>
        </w:tc>
        <w:tc>
          <w:tcPr>
            <w:tcW w:w="809" w:type="dxa"/>
            <w:tcBorders>
              <w:top w:val="single" w:sz="6" w:space="0" w:color="000000"/>
              <w:left w:val="single" w:sz="6" w:space="0" w:color="000000"/>
              <w:bottom w:val="single" w:sz="6" w:space="0" w:color="000000"/>
              <w:right w:val="single" w:sz="12" w:space="0" w:color="000000"/>
            </w:tcBorders>
          </w:tcPr>
          <w:p>
            <w:pPr/>
          </w:p>
        </w:tc>
      </w:tr>
      <w:tr>
        <w:trPr>
          <w:trHeight w:val="475" w:hRule="exact"/>
        </w:trPr>
        <w:tc>
          <w:tcPr>
            <w:tcW w:w="146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353,461,129.04</w:t>
            </w:r>
          </w:p>
        </w:tc>
        <w:tc>
          <w:tcPr>
            <w:tcW w:w="807" w:type="dxa"/>
            <w:tcBorders>
              <w:top w:val="single" w:sz="6" w:space="0" w:color="000000"/>
              <w:left w:val="single" w:sz="6" w:space="0" w:color="000000"/>
              <w:bottom w:val="single" w:sz="12" w:space="0" w:color="000000"/>
              <w:right w:val="single" w:sz="6" w:space="0" w:color="000000"/>
            </w:tcBorders>
          </w:tcPr>
          <w:p>
            <w:pPr/>
          </w:p>
        </w:tc>
        <w:tc>
          <w:tcPr>
            <w:tcW w:w="1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-4,659,930.94</w:t>
            </w:r>
          </w:p>
        </w:tc>
        <w:tc>
          <w:tcPr>
            <w:tcW w:w="15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14,162,706.51</w:t>
            </w:r>
          </w:p>
        </w:tc>
        <w:tc>
          <w:tcPr>
            <w:tcW w:w="11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-3,351,419.48</w:t>
            </w:r>
          </w:p>
        </w:tc>
        <w:tc>
          <w:tcPr>
            <w:tcW w:w="14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10,123,641.34</w:t>
            </w:r>
          </w:p>
        </w:tc>
        <w:tc>
          <w:tcPr>
            <w:tcW w:w="13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-11,280,651.70</w:t>
            </w:r>
          </w:p>
        </w:tc>
        <w:tc>
          <w:tcPr>
            <w:tcW w:w="988" w:type="dxa"/>
            <w:tcBorders>
              <w:top w:val="single" w:sz="6" w:space="0" w:color="000000"/>
              <w:left w:val="single" w:sz="6" w:space="0" w:color="000000"/>
              <w:bottom w:val="single" w:sz="12" w:space="0" w:color="000000"/>
              <w:right w:val="single" w:sz="6" w:space="0" w:color="000000"/>
            </w:tcBorders>
          </w:tcPr>
          <w:p>
            <w:pPr/>
          </w:p>
        </w:tc>
        <w:tc>
          <w:tcPr>
            <w:tcW w:w="712" w:type="dxa"/>
            <w:tcBorders>
              <w:top w:val="single" w:sz="6" w:space="0" w:color="000000"/>
              <w:left w:val="single" w:sz="6" w:space="0" w:color="000000"/>
              <w:bottom w:val="single" w:sz="12" w:space="0" w:color="000000"/>
              <w:right w:val="single" w:sz="6" w:space="0" w:color="000000"/>
            </w:tcBorders>
          </w:tcPr>
          <w:p>
            <w:pPr/>
          </w:p>
        </w:tc>
        <w:tc>
          <w:tcPr>
            <w:tcW w:w="12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358,455,474.77</w:t>
            </w:r>
          </w:p>
        </w:tc>
        <w:tc>
          <w:tcPr>
            <w:tcW w:w="809"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76"/>
        <w:ind w:left="6985" w:right="7042" w:firstLine="0"/>
        <w:jc w:val="center"/>
        <w:rPr>
          <w:rFonts w:ascii="Times New Roman" w:hAnsi="Times New Roman" w:cs="Times New Roman" w:eastAsia="Times New Roman" w:hint="default"/>
          <w:sz w:val="18"/>
          <w:szCs w:val="18"/>
        </w:rPr>
      </w:pPr>
      <w:r>
        <w:rPr>
          <w:rFonts w:ascii="Times New Roman"/>
          <w:sz w:val="18"/>
        </w:rPr>
        <w:t>153</w:t>
      </w:r>
    </w:p>
    <w:p>
      <w:pPr>
        <w:spacing w:after="0"/>
        <w:jc w:val="center"/>
        <w:rPr>
          <w:rFonts w:ascii="Times New Roman" w:hAnsi="Times New Roman" w:cs="Times New Roman" w:eastAsia="Times New Roman" w:hint="default"/>
          <w:sz w:val="18"/>
          <w:szCs w:val="18"/>
        </w:rPr>
        <w:sectPr>
          <w:type w:val="continuous"/>
          <w:pgSz w:w="16840" w:h="11910" w:orient="landscape"/>
          <w:pgMar w:top="1060" w:bottom="1420" w:left="1280" w:right="1220"/>
        </w:sectPr>
      </w:pPr>
    </w:p>
    <w:p>
      <w:pPr>
        <w:spacing w:line="240" w:lineRule="auto" w:before="6"/>
        <w:rPr>
          <w:rFonts w:ascii="Times New Roman" w:hAnsi="Times New Roman" w:cs="Times New Roman" w:eastAsia="Times New Roman" w:hint="default"/>
          <w:sz w:val="28"/>
          <w:szCs w:val="28"/>
        </w:rPr>
      </w:pPr>
    </w:p>
    <w:p>
      <w:pPr>
        <w:pStyle w:val="Heading4"/>
        <w:spacing w:line="240" w:lineRule="auto" w:before="36"/>
        <w:ind w:right="140"/>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131"/>
        <w:gridCol w:w="1198"/>
        <w:gridCol w:w="1196"/>
        <w:gridCol w:w="1195"/>
        <w:gridCol w:w="1196"/>
        <w:gridCol w:w="1286"/>
        <w:gridCol w:w="1368"/>
      </w:tblGrid>
      <w:tr>
        <w:trPr>
          <w:trHeight w:val="472" w:hRule="exact"/>
        </w:trPr>
        <w:tc>
          <w:tcPr>
            <w:tcW w:w="213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right="48"/>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left="2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left="23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9"/>
              <w:ind w:left="6"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0" w:hRule="exact"/>
        </w:trPr>
        <w:tc>
          <w:tcPr>
            <w:tcW w:w="21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8" w:type="dxa"/>
            <w:tcBorders>
              <w:top w:val="single" w:sz="9" w:space="0" w:color="000000"/>
              <w:left w:val="single" w:sz="9" w:space="0" w:color="D2D2D2"/>
              <w:bottom w:val="single" w:sz="6" w:space="0" w:color="000000"/>
              <w:right w:val="single" w:sz="6" w:space="0" w:color="000000"/>
            </w:tcBorders>
          </w:tcPr>
          <w:p>
            <w:pPr/>
          </w:p>
        </w:tc>
        <w:tc>
          <w:tcPr>
            <w:tcW w:w="1196" w:type="dxa"/>
            <w:tcBorders>
              <w:top w:val="single" w:sz="9" w:space="0" w:color="000000"/>
              <w:left w:val="single" w:sz="6" w:space="0" w:color="000000"/>
              <w:bottom w:val="single" w:sz="6" w:space="0" w:color="000000"/>
              <w:right w:val="single" w:sz="6" w:space="0" w:color="000000"/>
            </w:tcBorders>
          </w:tcPr>
          <w:p>
            <w:pPr/>
          </w:p>
        </w:tc>
        <w:tc>
          <w:tcPr>
            <w:tcW w:w="1195" w:type="dxa"/>
            <w:tcBorders>
              <w:top w:val="single" w:sz="9" w:space="0" w:color="000000"/>
              <w:left w:val="single" w:sz="6" w:space="0" w:color="000000"/>
              <w:bottom w:val="single" w:sz="6" w:space="0" w:color="000000"/>
              <w:right w:val="single" w:sz="6" w:space="0" w:color="000000"/>
            </w:tcBorders>
          </w:tcPr>
          <w:p>
            <w:pPr/>
          </w:p>
        </w:tc>
        <w:tc>
          <w:tcPr>
            <w:tcW w:w="1196" w:type="dxa"/>
            <w:tcBorders>
              <w:top w:val="single" w:sz="9" w:space="0" w:color="000000"/>
              <w:left w:val="single" w:sz="6" w:space="0" w:color="000000"/>
              <w:bottom w:val="single" w:sz="6" w:space="0" w:color="000000"/>
              <w:right w:val="single" w:sz="6" w:space="0" w:color="000000"/>
            </w:tcBorders>
          </w:tcPr>
          <w:p>
            <w:pPr/>
          </w:p>
        </w:tc>
        <w:tc>
          <w:tcPr>
            <w:tcW w:w="1286" w:type="dxa"/>
            <w:tcBorders>
              <w:top w:val="single" w:sz="9" w:space="0" w:color="000000"/>
              <w:left w:val="single" w:sz="6" w:space="0" w:color="000000"/>
              <w:bottom w:val="single" w:sz="6" w:space="0" w:color="000000"/>
              <w:right w:val="single" w:sz="6" w:space="0" w:color="000000"/>
            </w:tcBorders>
          </w:tcPr>
          <w:p>
            <w:pPr/>
          </w:p>
        </w:tc>
        <w:tc>
          <w:tcPr>
            <w:tcW w:w="1368" w:type="dxa"/>
            <w:tcBorders>
              <w:top w:val="single" w:sz="9" w:space="0" w:color="000000"/>
              <w:left w:val="single" w:sz="6" w:space="0" w:color="000000"/>
              <w:bottom w:val="single" w:sz="6" w:space="0" w:color="000000"/>
              <w:right w:val="single" w:sz="12" w:space="0" w:color="000000"/>
            </w:tcBorders>
          </w:tcPr>
          <w:p>
            <w:pPr/>
          </w:p>
        </w:tc>
      </w:tr>
      <w:tr>
        <w:trPr>
          <w:trHeight w:val="468" w:hRule="exact"/>
        </w:trPr>
        <w:tc>
          <w:tcPr>
            <w:tcW w:w="21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45,256,243.50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262,055,187.95</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124,824,842.67</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3,557,711.70</w:t>
            </w: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435,693,985.82</w:t>
            </w:r>
          </w:p>
        </w:tc>
      </w:tr>
      <w:tr>
        <w:trPr>
          <w:trHeight w:val="470" w:hRule="exact"/>
        </w:trPr>
        <w:tc>
          <w:tcPr>
            <w:tcW w:w="21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6" w:space="0" w:color="000000"/>
              <w:left w:val="single" w:sz="9" w:space="0" w:color="D2D2D2"/>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7,514,660.90</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17,680,713.35</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1,585,753.45</w:t>
            </w: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26,781,127.70</w:t>
            </w:r>
          </w:p>
        </w:tc>
      </w:tr>
      <w:tr>
        <w:trPr>
          <w:trHeight w:val="469" w:hRule="exact"/>
        </w:trPr>
        <w:tc>
          <w:tcPr>
            <w:tcW w:w="2131" w:type="dxa"/>
            <w:tcBorders>
              <w:top w:val="single" w:sz="6" w:space="0" w:color="000000"/>
              <w:left w:val="single" w:sz="12" w:space="0" w:color="000000"/>
              <w:bottom w:val="single" w:sz="9" w:space="0" w:color="000000"/>
              <w:right w:val="single" w:sz="6" w:space="0" w:color="000000"/>
            </w:tcBorders>
            <w:shd w:val="clear" w:color="auto" w:fill="D2D2D2"/>
          </w:tcPr>
          <w:p>
            <w:pPr>
              <w:pStyle w:val="TableParagraph"/>
              <w:spacing w:line="240" w:lineRule="auto" w:before="124"/>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8" w:type="dxa"/>
            <w:tcBorders>
              <w:top w:val="single" w:sz="6" w:space="0" w:color="000000"/>
              <w:left w:val="single" w:sz="9" w:space="0" w:color="D2D2D2"/>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3,937,080.94</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16,661,717.79</w:t>
            </w:r>
          </w:p>
        </w:tc>
        <w:tc>
          <w:tcPr>
            <w:tcW w:w="119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20,598,798.73</w:t>
            </w:r>
          </w:p>
        </w:tc>
      </w:tr>
      <w:tr>
        <w:trPr>
          <w:trHeight w:val="468" w:hRule="exact"/>
        </w:trPr>
        <w:tc>
          <w:tcPr>
            <w:tcW w:w="21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right="2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3,577,579.96</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3,577,579.96</w:t>
            </w:r>
          </w:p>
        </w:tc>
      </w:tr>
      <w:tr>
        <w:trPr>
          <w:trHeight w:val="470" w:hRule="exact"/>
        </w:trPr>
        <w:tc>
          <w:tcPr>
            <w:tcW w:w="21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5"/>
              <w:ind w:right="2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1,018,422.52</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1,585,753.45</w:t>
            </w: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2,604,175.97</w:t>
            </w:r>
          </w:p>
        </w:tc>
      </w:tr>
      <w:tr>
        <w:trPr>
          <w:trHeight w:val="468" w:hRule="exact"/>
        </w:trPr>
        <w:tc>
          <w:tcPr>
            <w:tcW w:w="2131" w:type="dxa"/>
            <w:tcBorders>
              <w:top w:val="single" w:sz="6" w:space="0" w:color="000000"/>
              <w:left w:val="single" w:sz="12" w:space="0" w:color="000000"/>
              <w:bottom w:val="single" w:sz="9" w:space="0" w:color="000000"/>
              <w:right w:val="single" w:sz="6" w:space="0" w:color="000000"/>
            </w:tcBorders>
            <w:shd w:val="clear" w:color="auto" w:fill="D9D9D9"/>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573.04</w:t>
            </w:r>
          </w:p>
        </w:tc>
        <w:tc>
          <w:tcPr>
            <w:tcW w:w="119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573.04</w:t>
            </w:r>
          </w:p>
        </w:tc>
      </w:tr>
      <w:tr>
        <w:trPr>
          <w:trHeight w:val="470" w:hRule="exact"/>
        </w:trPr>
        <w:tc>
          <w:tcPr>
            <w:tcW w:w="21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4,446,232.17</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4,417,625.82</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369,787.53</w:t>
            </w: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9,233,645.52</w:t>
            </w:r>
          </w:p>
        </w:tc>
      </w:tr>
      <w:tr>
        <w:trPr>
          <w:trHeight w:val="468" w:hRule="exact"/>
        </w:trPr>
        <w:tc>
          <w:tcPr>
            <w:tcW w:w="21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4,446,232.17</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4,417,625.82</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369,787.53</w:t>
            </w: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9,233,645.52</w:t>
            </w:r>
          </w:p>
        </w:tc>
      </w:tr>
      <w:tr>
        <w:trPr>
          <w:trHeight w:val="468" w:hRule="exact"/>
        </w:trPr>
        <w:tc>
          <w:tcPr>
            <w:tcW w:w="21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45,256,243.50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265,123,616.68</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138,087,930.20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4,773,677.62</w:t>
            </w: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453,241,468.00</w:t>
            </w:r>
          </w:p>
        </w:tc>
      </w:tr>
      <w:tr>
        <w:trPr>
          <w:trHeight w:val="471" w:hRule="exact"/>
        </w:trPr>
        <w:tc>
          <w:tcPr>
            <w:tcW w:w="21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31" w:type="dxa"/>
            <w:tcBorders>
              <w:top w:val="single" w:sz="6" w:space="0" w:color="000000"/>
              <w:left w:val="single" w:sz="12" w:space="0" w:color="000000"/>
              <w:bottom w:val="single" w:sz="9" w:space="0" w:color="000000"/>
              <w:right w:val="single" w:sz="6" w:space="0" w:color="000000"/>
            </w:tcBorders>
            <w:shd w:val="clear" w:color="auto" w:fill="D2D2D2"/>
          </w:tcPr>
          <w:p>
            <w:pPr>
              <w:pStyle w:val="TableParagraph"/>
              <w:spacing w:line="240" w:lineRule="auto" w:before="123"/>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763,699.11</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167,538,640.85</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76,319,259.90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2,515,341.39</w:t>
            </w: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247,136,941.25</w:t>
            </w:r>
          </w:p>
        </w:tc>
      </w:tr>
      <w:tr>
        <w:trPr>
          <w:trHeight w:val="470" w:hRule="exact"/>
        </w:trPr>
        <w:tc>
          <w:tcPr>
            <w:tcW w:w="2131" w:type="dxa"/>
            <w:tcBorders>
              <w:top w:val="single" w:sz="9"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1,018,265.49</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29,257,663.16</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15,495,373.70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823,206.44</w:t>
            </w: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46,594,508.79</w:t>
            </w:r>
          </w:p>
        </w:tc>
      </w:tr>
      <w:tr>
        <w:trPr>
          <w:trHeight w:val="468" w:hRule="exact"/>
        </w:trPr>
        <w:tc>
          <w:tcPr>
            <w:tcW w:w="21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1,018,265.49</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29,257,663.16</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15,229,034.66</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398,953.72</w:t>
            </w: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45,903,917.03</w:t>
            </w:r>
          </w:p>
        </w:tc>
      </w:tr>
      <w:tr>
        <w:trPr>
          <w:trHeight w:val="470" w:hRule="exact"/>
        </w:trPr>
        <w:tc>
          <w:tcPr>
            <w:tcW w:w="21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265,982.35</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424,252.72</w:t>
            </w: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690,235.07</w:t>
            </w:r>
          </w:p>
        </w:tc>
      </w:tr>
      <w:tr>
        <w:trPr>
          <w:trHeight w:val="468" w:hRule="exact"/>
        </w:trPr>
        <w:tc>
          <w:tcPr>
            <w:tcW w:w="2131" w:type="dxa"/>
            <w:tcBorders>
              <w:top w:val="single" w:sz="6" w:space="0" w:color="000000"/>
              <w:left w:val="single" w:sz="12" w:space="0" w:color="000000"/>
              <w:bottom w:val="single" w:sz="9" w:space="0" w:color="000000"/>
              <w:right w:val="single" w:sz="6" w:space="0" w:color="000000"/>
            </w:tcBorders>
            <w:shd w:val="clear" w:color="auto" w:fill="D9D9D9"/>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356.69</w:t>
            </w:r>
          </w:p>
        </w:tc>
        <w:tc>
          <w:tcPr>
            <w:tcW w:w="119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356.69</w:t>
            </w:r>
          </w:p>
        </w:tc>
      </w:tr>
      <w:tr>
        <w:trPr>
          <w:trHeight w:val="468" w:hRule="exact"/>
        </w:trPr>
        <w:tc>
          <w:tcPr>
            <w:tcW w:w="21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6" w:space="0" w:color="000000"/>
              <w:left w:val="single" w:sz="9" w:space="0" w:color="D2D2D2"/>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4,223,920.13</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3,576,793.51</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332,808.78</w:t>
            </w: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8,133,522.42</w:t>
            </w:r>
          </w:p>
        </w:tc>
      </w:tr>
      <w:tr>
        <w:trPr>
          <w:trHeight w:val="470" w:hRule="exact"/>
        </w:trPr>
        <w:tc>
          <w:tcPr>
            <w:tcW w:w="21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6" w:space="0" w:color="000000"/>
              <w:left w:val="single" w:sz="9" w:space="0" w:color="D2D2D2"/>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4,223,920.13</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3,576,793.51</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332,808.78</w:t>
            </w: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8,133,522.42</w:t>
            </w:r>
          </w:p>
        </w:tc>
      </w:tr>
      <w:tr>
        <w:trPr>
          <w:trHeight w:val="469" w:hRule="exact"/>
        </w:trPr>
        <w:tc>
          <w:tcPr>
            <w:tcW w:w="21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1,781,964.60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192,572,383.88</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88,237,840.09</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3,005,739.05</w:t>
            </w: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285,597,927.62</w:t>
            </w:r>
          </w:p>
        </w:tc>
      </w:tr>
      <w:tr>
        <w:trPr>
          <w:trHeight w:val="470" w:hRule="exact"/>
        </w:trPr>
        <w:tc>
          <w:tcPr>
            <w:tcW w:w="21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6" w:space="0" w:color="000000"/>
              <w:left w:val="single" w:sz="9" w:space="0" w:color="D2D2D2"/>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6" w:space="0" w:color="000000"/>
              <w:left w:val="single" w:sz="9" w:space="0" w:color="D2D2D2"/>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6" w:space="0" w:color="000000"/>
              <w:left w:val="single" w:sz="9" w:space="0" w:color="D2D2D2"/>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21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6" w:space="0" w:color="000000"/>
              <w:left w:val="single" w:sz="9" w:space="0" w:color="D2D2D2"/>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
        </w:tc>
      </w:tr>
      <w:tr>
        <w:trPr>
          <w:trHeight w:val="475" w:hRule="exact"/>
        </w:trPr>
        <w:tc>
          <w:tcPr>
            <w:tcW w:w="213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6" w:space="0" w:color="000000"/>
              <w:left w:val="single" w:sz="9" w:space="0" w:color="D2D2D2"/>
              <w:bottom w:val="single" w:sz="12" w:space="0" w:color="000000"/>
              <w:right w:val="single" w:sz="6" w:space="0" w:color="000000"/>
            </w:tcBorders>
          </w:tcPr>
          <w:p>
            <w:pPr/>
          </w:p>
        </w:tc>
        <w:tc>
          <w:tcPr>
            <w:tcW w:w="1196" w:type="dxa"/>
            <w:tcBorders>
              <w:top w:val="single" w:sz="6" w:space="0" w:color="000000"/>
              <w:left w:val="single" w:sz="6" w:space="0" w:color="000000"/>
              <w:bottom w:val="single" w:sz="12" w:space="0" w:color="000000"/>
              <w:right w:val="single" w:sz="6" w:space="0" w:color="000000"/>
            </w:tcBorders>
          </w:tcPr>
          <w:p>
            <w:pPr/>
          </w:p>
        </w:tc>
        <w:tc>
          <w:tcPr>
            <w:tcW w:w="1195" w:type="dxa"/>
            <w:tcBorders>
              <w:top w:val="single" w:sz="6" w:space="0" w:color="000000"/>
              <w:left w:val="single" w:sz="6" w:space="0" w:color="000000"/>
              <w:bottom w:val="single" w:sz="12" w:space="0" w:color="000000"/>
              <w:right w:val="single" w:sz="6" w:space="0" w:color="000000"/>
            </w:tcBorders>
          </w:tcPr>
          <w:p>
            <w:pPr/>
          </w:p>
        </w:tc>
        <w:tc>
          <w:tcPr>
            <w:tcW w:w="1196" w:type="dxa"/>
            <w:tcBorders>
              <w:top w:val="single" w:sz="6" w:space="0" w:color="000000"/>
              <w:left w:val="single" w:sz="6" w:space="0" w:color="000000"/>
              <w:bottom w:val="single" w:sz="12" w:space="0" w:color="000000"/>
              <w:right w:val="single" w:sz="6" w:space="0" w:color="000000"/>
            </w:tcBorders>
          </w:tcPr>
          <w:p>
            <w:pPr/>
          </w:p>
        </w:tc>
        <w:tc>
          <w:tcPr>
            <w:tcW w:w="1286" w:type="dxa"/>
            <w:tcBorders>
              <w:top w:val="single" w:sz="6" w:space="0" w:color="000000"/>
              <w:left w:val="single" w:sz="6" w:space="0" w:color="000000"/>
              <w:bottom w:val="single" w:sz="12" w:space="0" w:color="000000"/>
              <w:right w:val="single" w:sz="6" w:space="0" w:color="000000"/>
            </w:tcBorders>
          </w:tcPr>
          <w:p>
            <w:pPr/>
          </w:p>
        </w:tc>
        <w:tc>
          <w:tcPr>
            <w:tcW w:w="1368" w:type="dxa"/>
            <w:tcBorders>
              <w:top w:val="single" w:sz="6" w:space="0" w:color="000000"/>
              <w:left w:val="single" w:sz="6" w:space="0" w:color="000000"/>
              <w:bottom w:val="single" w:sz="12" w:space="0" w:color="000000"/>
              <w:right w:val="single" w:sz="12" w:space="0" w:color="000000"/>
            </w:tcBorders>
          </w:tcPr>
          <w:p>
            <w:pPr/>
          </w:p>
        </w:tc>
      </w:tr>
    </w:tbl>
    <w:p>
      <w:pPr>
        <w:spacing w:after="0"/>
        <w:sectPr>
          <w:footerReference w:type="default" r:id="rId58"/>
          <w:pgSz w:w="11910" w:h="16840"/>
          <w:pgMar w:footer="1227" w:header="0" w:top="1100" w:bottom="1420" w:left="980" w:right="980"/>
          <w:pgNumType w:start="154"/>
        </w:sectPr>
      </w:pPr>
    </w:p>
    <w:p>
      <w:pPr>
        <w:spacing w:line="240" w:lineRule="auto" w:before="8"/>
        <w:rPr>
          <w:rFonts w:ascii="宋体" w:hAnsi="宋体" w:cs="宋体" w:eastAsia="宋体" w:hint="default"/>
          <w:sz w:val="24"/>
          <w:szCs w:val="24"/>
        </w:rPr>
      </w:pPr>
    </w:p>
    <w:tbl>
      <w:tblPr>
        <w:tblW w:w="0" w:type="auto"/>
        <w:jc w:val="left"/>
        <w:tblInd w:w="140" w:type="dxa"/>
        <w:tblLayout w:type="fixed"/>
        <w:tblCellMar>
          <w:top w:w="0" w:type="dxa"/>
          <w:left w:w="0" w:type="dxa"/>
          <w:bottom w:w="0" w:type="dxa"/>
          <w:right w:w="0" w:type="dxa"/>
        </w:tblCellMar>
        <w:tblLook w:val="01E0"/>
      </w:tblPr>
      <w:tblGrid>
        <w:gridCol w:w="2130"/>
        <w:gridCol w:w="1198"/>
        <w:gridCol w:w="1196"/>
        <w:gridCol w:w="1195"/>
        <w:gridCol w:w="1196"/>
        <w:gridCol w:w="1286"/>
        <w:gridCol w:w="1368"/>
      </w:tblGrid>
      <w:tr>
        <w:trPr>
          <w:trHeight w:val="478" w:hRule="exact"/>
        </w:trPr>
        <w:tc>
          <w:tcPr>
            <w:tcW w:w="213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5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12" w:space="0" w:color="000000"/>
              <w:left w:val="single" w:sz="6" w:space="0" w:color="000000"/>
              <w:bottom w:val="single" w:sz="6" w:space="0" w:color="000000"/>
              <w:right w:val="single" w:sz="6" w:space="0" w:color="000000"/>
            </w:tcBorders>
          </w:tcPr>
          <w:p>
            <w:pPr/>
          </w:p>
        </w:tc>
        <w:tc>
          <w:tcPr>
            <w:tcW w:w="1196" w:type="dxa"/>
            <w:tcBorders>
              <w:top w:val="single" w:sz="12" w:space="0" w:color="000000"/>
              <w:left w:val="single" w:sz="6" w:space="0" w:color="000000"/>
              <w:bottom w:val="single" w:sz="6" w:space="0" w:color="000000"/>
              <w:right w:val="single" w:sz="6" w:space="0" w:color="000000"/>
            </w:tcBorders>
          </w:tcPr>
          <w:p>
            <w:pPr/>
          </w:p>
        </w:tc>
        <w:tc>
          <w:tcPr>
            <w:tcW w:w="1195" w:type="dxa"/>
            <w:tcBorders>
              <w:top w:val="single" w:sz="12" w:space="0" w:color="000000"/>
              <w:left w:val="single" w:sz="6" w:space="0" w:color="000000"/>
              <w:bottom w:val="single" w:sz="6" w:space="0" w:color="000000"/>
              <w:right w:val="single" w:sz="6" w:space="0" w:color="000000"/>
            </w:tcBorders>
          </w:tcPr>
          <w:p>
            <w:pPr/>
          </w:p>
        </w:tc>
        <w:tc>
          <w:tcPr>
            <w:tcW w:w="1196" w:type="dxa"/>
            <w:tcBorders>
              <w:top w:val="single" w:sz="12" w:space="0" w:color="000000"/>
              <w:left w:val="single" w:sz="6" w:space="0" w:color="000000"/>
              <w:bottom w:val="single" w:sz="6" w:space="0" w:color="000000"/>
              <w:right w:val="single" w:sz="6" w:space="0" w:color="000000"/>
            </w:tcBorders>
          </w:tcPr>
          <w:p>
            <w:pPr/>
          </w:p>
        </w:tc>
        <w:tc>
          <w:tcPr>
            <w:tcW w:w="1286" w:type="dxa"/>
            <w:tcBorders>
              <w:top w:val="single" w:sz="12" w:space="0" w:color="000000"/>
              <w:left w:val="single" w:sz="6" w:space="0" w:color="000000"/>
              <w:bottom w:val="single" w:sz="6" w:space="0" w:color="000000"/>
              <w:right w:val="single" w:sz="6" w:space="0" w:color="000000"/>
            </w:tcBorders>
          </w:tcPr>
          <w:p>
            <w:pPr/>
          </w:p>
        </w:tc>
        <w:tc>
          <w:tcPr>
            <w:tcW w:w="1368" w:type="dxa"/>
            <w:tcBorders>
              <w:top w:val="single" w:sz="12" w:space="0" w:color="000000"/>
              <w:left w:val="single" w:sz="6" w:space="0" w:color="000000"/>
              <w:bottom w:val="single" w:sz="6" w:space="0" w:color="000000"/>
              <w:right w:val="single" w:sz="12" w:space="0" w:color="000000"/>
            </w:tcBorders>
          </w:tcPr>
          <w:p>
            <w:pPr/>
          </w:p>
        </w:tc>
      </w:tr>
      <w:tr>
        <w:trPr>
          <w:trHeight w:val="468" w:hRule="exact"/>
        </w:trPr>
        <w:tc>
          <w:tcPr>
            <w:tcW w:w="21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21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43,474,278.90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72,551,232.80</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49,850,090.11</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1,767,938.57</w:t>
            </w:r>
          </w:p>
        </w:tc>
        <w:tc>
          <w:tcPr>
            <w:tcW w:w="12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167,643,540.38</w:t>
            </w:r>
          </w:p>
        </w:tc>
      </w:tr>
      <w:tr>
        <w:trPr>
          <w:trHeight w:val="475" w:hRule="exact"/>
        </w:trPr>
        <w:tc>
          <w:tcPr>
            <w:tcW w:w="213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44,492,544.39</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94,516,547.10</w:t>
            </w:r>
          </w:p>
        </w:tc>
        <w:tc>
          <w:tcPr>
            <w:tcW w:w="11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48,505,582.77</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1,042,370.31</w:t>
            </w:r>
          </w:p>
        </w:tc>
        <w:tc>
          <w:tcPr>
            <w:tcW w:w="1286" w:type="dxa"/>
            <w:tcBorders>
              <w:top w:val="single" w:sz="6" w:space="0" w:color="000000"/>
              <w:left w:val="single" w:sz="6" w:space="0" w:color="000000"/>
              <w:bottom w:val="single" w:sz="12" w:space="0" w:color="000000"/>
              <w:right w:val="single" w:sz="6" w:space="0" w:color="000000"/>
            </w:tcBorders>
          </w:tcPr>
          <w:p>
            <w:pPr/>
          </w:p>
        </w:tc>
        <w:tc>
          <w:tcPr>
            <w:tcW w:w="13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188,557,044.57</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5"/>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55" w:hRule="exact"/>
        </w:trPr>
        <w:tc>
          <w:tcPr>
            <w:tcW w:w="1367"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6"/>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6"/>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67" w:hRule="exact"/>
        </w:trPr>
        <w:tc>
          <w:tcPr>
            <w:tcW w:w="1367" w:type="dxa"/>
            <w:vMerge/>
            <w:tcBorders>
              <w:left w:val="single" w:sz="12" w:space="0" w:color="000000"/>
              <w:bottom w:val="single" w:sz="6" w:space="0" w:color="000000"/>
              <w:right w:val="single" w:sz="6" w:space="0" w:color="000000"/>
            </w:tcBorders>
            <w:shd w:val="clear" w:color="auto" w:fill="D9D9D9"/>
          </w:tcPr>
          <w:p>
            <w:pPr/>
          </w:p>
        </w:tc>
        <w:tc>
          <w:tcPr>
            <w:tcW w:w="13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27"/>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5" w:hRule="exact"/>
        </w:trPr>
        <w:tc>
          <w:tcPr>
            <w:tcW w:w="136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30"/>
              <w:ind w:left="1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机安装</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255,404.17</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255,404.17</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1,662,109.44</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1,662,109.44</w:t>
            </w:r>
          </w:p>
        </w:tc>
      </w:tr>
      <w:tr>
        <w:trPr>
          <w:trHeight w:val="475" w:hRule="exact"/>
        </w:trPr>
        <w:tc>
          <w:tcPr>
            <w:tcW w:w="136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2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255,404.17</w:t>
            </w:r>
          </w:p>
        </w:tc>
        <w:tc>
          <w:tcPr>
            <w:tcW w:w="1368"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255,404.17</w:t>
            </w: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1,662,109.44</w:t>
            </w:r>
          </w:p>
        </w:tc>
        <w:tc>
          <w:tcPr>
            <w:tcW w:w="1366" w:type="dxa"/>
            <w:tcBorders>
              <w:top w:val="single" w:sz="6" w:space="0" w:color="000000"/>
              <w:left w:val="single" w:sz="6" w:space="0" w:color="000000"/>
              <w:bottom w:val="single" w:sz="12" w:space="0" w:color="000000"/>
              <w:right w:val="single" w:sz="6" w:space="0" w:color="000000"/>
            </w:tcBorders>
          </w:tcPr>
          <w:p>
            <w:pPr/>
          </w:p>
        </w:tc>
        <w:tc>
          <w:tcPr>
            <w:tcW w:w="13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1,662,109.44</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446"/>
        <w:gridCol w:w="1327"/>
        <w:gridCol w:w="1448"/>
        <w:gridCol w:w="1383"/>
        <w:gridCol w:w="1380"/>
        <w:gridCol w:w="1580"/>
      </w:tblGrid>
      <w:tr>
        <w:trPr>
          <w:trHeight w:val="472" w:hRule="exact"/>
        </w:trPr>
        <w:tc>
          <w:tcPr>
            <w:tcW w:w="244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3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left="21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4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left="44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9"/>
              <w:ind w:left="6"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0" w:hRule="exact"/>
        </w:trPr>
        <w:tc>
          <w:tcPr>
            <w:tcW w:w="24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27" w:type="dxa"/>
            <w:tcBorders>
              <w:top w:val="single" w:sz="6" w:space="0" w:color="000000"/>
              <w:left w:val="single" w:sz="9" w:space="0" w:color="D2D2D2"/>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4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27" w:type="dxa"/>
            <w:tcBorders>
              <w:top w:val="single" w:sz="6" w:space="0" w:color="000000"/>
              <w:left w:val="single" w:sz="9" w:space="0" w:color="D2D2D2"/>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4,604,002.59</w:t>
            </w: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41,724,209.86</w:t>
            </w:r>
          </w:p>
        </w:tc>
        <w:tc>
          <w:tcPr>
            <w:tcW w:w="15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46,328,212.45</w:t>
            </w:r>
          </w:p>
        </w:tc>
      </w:tr>
      <w:tr>
        <w:trPr>
          <w:trHeight w:val="468" w:hRule="exact"/>
        </w:trPr>
        <w:tc>
          <w:tcPr>
            <w:tcW w:w="24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27" w:type="dxa"/>
            <w:tcBorders>
              <w:top w:val="single" w:sz="6" w:space="0" w:color="000000"/>
              <w:left w:val="single" w:sz="9" w:space="0" w:color="D2D2D2"/>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900,000.00</w:t>
            </w: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32,751,753.31</w:t>
            </w:r>
          </w:p>
        </w:tc>
        <w:tc>
          <w:tcPr>
            <w:tcW w:w="15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33,651,753.31</w:t>
            </w:r>
          </w:p>
        </w:tc>
      </w:tr>
      <w:tr>
        <w:trPr>
          <w:trHeight w:val="470" w:hRule="exact"/>
        </w:trPr>
        <w:tc>
          <w:tcPr>
            <w:tcW w:w="24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27" w:type="dxa"/>
            <w:tcBorders>
              <w:top w:val="single" w:sz="6" w:space="0" w:color="000000"/>
              <w:left w:val="single" w:sz="9" w:space="0" w:color="D2D2D2"/>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5,189,192.14</w:t>
            </w:r>
          </w:p>
        </w:tc>
        <w:tc>
          <w:tcPr>
            <w:tcW w:w="15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5,189,192.14</w:t>
            </w:r>
          </w:p>
        </w:tc>
      </w:tr>
      <w:tr>
        <w:trPr>
          <w:trHeight w:val="469" w:hRule="exact"/>
        </w:trPr>
        <w:tc>
          <w:tcPr>
            <w:tcW w:w="2446" w:type="dxa"/>
            <w:tcBorders>
              <w:top w:val="single" w:sz="6" w:space="0" w:color="000000"/>
              <w:left w:val="single" w:sz="12" w:space="0" w:color="000000"/>
              <w:bottom w:val="single" w:sz="9" w:space="0" w:color="000000"/>
              <w:right w:val="single" w:sz="6" w:space="0" w:color="000000"/>
            </w:tcBorders>
            <w:shd w:val="clear" w:color="auto" w:fill="D2D2D2"/>
          </w:tcPr>
          <w:p>
            <w:pPr>
              <w:pStyle w:val="TableParagraph"/>
              <w:spacing w:line="240" w:lineRule="auto" w:before="124"/>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27" w:type="dxa"/>
            <w:tcBorders>
              <w:top w:val="single" w:sz="6" w:space="0" w:color="000000"/>
              <w:left w:val="single" w:sz="9" w:space="0" w:color="D2D2D2"/>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12,002,823.53</w:t>
            </w:r>
          </w:p>
        </w:tc>
        <w:tc>
          <w:tcPr>
            <w:tcW w:w="15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12,002,823.53</w:t>
            </w:r>
          </w:p>
        </w:tc>
      </w:tr>
      <w:tr>
        <w:trPr>
          <w:trHeight w:val="470" w:hRule="exact"/>
        </w:trPr>
        <w:tc>
          <w:tcPr>
            <w:tcW w:w="2446" w:type="dxa"/>
            <w:tcBorders>
              <w:top w:val="single" w:sz="9"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9"/>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27" w:type="dxa"/>
            <w:tcBorders>
              <w:top w:val="single" w:sz="6" w:space="0" w:color="000000"/>
              <w:left w:val="single" w:sz="9" w:space="0" w:color="D9D9D9"/>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900,000.00</w:t>
            </w: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15,500,000.00</w:t>
            </w:r>
          </w:p>
        </w:tc>
        <w:tc>
          <w:tcPr>
            <w:tcW w:w="15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16,400,000.00</w:t>
            </w:r>
          </w:p>
        </w:tc>
      </w:tr>
      <w:tr>
        <w:trPr>
          <w:trHeight w:val="468" w:hRule="exact"/>
        </w:trPr>
        <w:tc>
          <w:tcPr>
            <w:tcW w:w="244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327" w:type="dxa"/>
            <w:tcBorders>
              <w:top w:val="single" w:sz="6" w:space="0" w:color="000000"/>
              <w:left w:val="single" w:sz="9" w:space="0" w:color="D9D9D9"/>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59,737.64</w:t>
            </w:r>
          </w:p>
        </w:tc>
        <w:tc>
          <w:tcPr>
            <w:tcW w:w="15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59,737.64</w:t>
            </w:r>
          </w:p>
        </w:tc>
      </w:tr>
      <w:tr>
        <w:trPr>
          <w:trHeight w:val="470" w:hRule="exact"/>
        </w:trPr>
        <w:tc>
          <w:tcPr>
            <w:tcW w:w="2446" w:type="dxa"/>
            <w:tcBorders>
              <w:top w:val="single" w:sz="6" w:space="0" w:color="000000"/>
              <w:left w:val="single" w:sz="12" w:space="0" w:color="000000"/>
              <w:bottom w:val="single" w:sz="9" w:space="0" w:color="000000"/>
              <w:right w:val="single" w:sz="6" w:space="0" w:color="000000"/>
            </w:tcBorders>
            <w:shd w:val="clear" w:color="auto" w:fill="D9D9D9"/>
          </w:tcPr>
          <w:p>
            <w:pPr>
              <w:pStyle w:val="TableParagraph"/>
              <w:spacing w:line="240" w:lineRule="auto" w:before="123"/>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27" w:type="dxa"/>
            <w:tcBorders>
              <w:top w:val="single" w:sz="6" w:space="0" w:color="000000"/>
              <w:left w:val="single" w:sz="9" w:space="0" w:color="D9D9D9"/>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446" w:type="dxa"/>
            <w:tcBorders>
              <w:top w:val="single" w:sz="9"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27" w:type="dxa"/>
            <w:tcBorders>
              <w:top w:val="single" w:sz="6" w:space="0" w:color="000000"/>
              <w:left w:val="single" w:sz="9" w:space="0" w:color="D2D2D2"/>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475" w:hRule="exact"/>
        </w:trPr>
        <w:tc>
          <w:tcPr>
            <w:tcW w:w="244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27" w:type="dxa"/>
            <w:tcBorders>
              <w:top w:val="single" w:sz="6" w:space="0" w:color="000000"/>
              <w:left w:val="single" w:sz="9" w:space="0" w:color="D2D2D2"/>
              <w:bottom w:val="single" w:sz="12" w:space="0" w:color="000000"/>
              <w:right w:val="single" w:sz="6" w:space="0" w:color="000000"/>
            </w:tcBorders>
          </w:tcPr>
          <w:p>
            <w:pPr/>
          </w:p>
        </w:tc>
        <w:tc>
          <w:tcPr>
            <w:tcW w:w="14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5,504,002.59</w:t>
            </w:r>
          </w:p>
        </w:tc>
        <w:tc>
          <w:tcPr>
            <w:tcW w:w="1383" w:type="dxa"/>
            <w:tcBorders>
              <w:top w:val="single" w:sz="6" w:space="0" w:color="000000"/>
              <w:left w:val="single" w:sz="6" w:space="0" w:color="000000"/>
              <w:bottom w:val="single" w:sz="12" w:space="0" w:color="000000"/>
              <w:right w:val="single" w:sz="6" w:space="0" w:color="000000"/>
            </w:tcBorders>
          </w:tcPr>
          <w:p>
            <w:pPr/>
          </w:p>
        </w:tc>
        <w:tc>
          <w:tcPr>
            <w:tcW w:w="13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74,475,963.17</w:t>
            </w:r>
          </w:p>
        </w:tc>
        <w:tc>
          <w:tcPr>
            <w:tcW w:w="15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79,979,965.76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2446"/>
        <w:gridCol w:w="1327"/>
        <w:gridCol w:w="1448"/>
        <w:gridCol w:w="1383"/>
        <w:gridCol w:w="1380"/>
        <w:gridCol w:w="1580"/>
      </w:tblGrid>
      <w:tr>
        <w:trPr>
          <w:trHeight w:val="478" w:hRule="exact"/>
        </w:trPr>
        <w:tc>
          <w:tcPr>
            <w:tcW w:w="244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27" w:type="dxa"/>
            <w:tcBorders>
              <w:top w:val="single" w:sz="12" w:space="0" w:color="000000"/>
              <w:left w:val="single" w:sz="9" w:space="0" w:color="D2D2D2"/>
              <w:bottom w:val="single" w:sz="6" w:space="0" w:color="000000"/>
              <w:right w:val="single" w:sz="6" w:space="0" w:color="000000"/>
            </w:tcBorders>
          </w:tcPr>
          <w:p>
            <w:pPr/>
          </w:p>
        </w:tc>
        <w:tc>
          <w:tcPr>
            <w:tcW w:w="1448" w:type="dxa"/>
            <w:tcBorders>
              <w:top w:val="single" w:sz="12" w:space="0" w:color="000000"/>
              <w:left w:val="single" w:sz="6" w:space="0" w:color="000000"/>
              <w:bottom w:val="single" w:sz="6" w:space="0" w:color="000000"/>
              <w:right w:val="single" w:sz="6" w:space="0" w:color="000000"/>
            </w:tcBorders>
          </w:tcPr>
          <w:p>
            <w:pPr/>
          </w:p>
        </w:tc>
        <w:tc>
          <w:tcPr>
            <w:tcW w:w="1383" w:type="dxa"/>
            <w:tcBorders>
              <w:top w:val="single" w:sz="12" w:space="0" w:color="000000"/>
              <w:left w:val="single" w:sz="6" w:space="0" w:color="000000"/>
              <w:bottom w:val="single" w:sz="6" w:space="0" w:color="000000"/>
              <w:right w:val="single" w:sz="6" w:space="0" w:color="000000"/>
            </w:tcBorders>
          </w:tcPr>
          <w:p>
            <w:pPr/>
          </w:p>
        </w:tc>
        <w:tc>
          <w:tcPr>
            <w:tcW w:w="1380" w:type="dxa"/>
            <w:tcBorders>
              <w:top w:val="single" w:sz="12" w:space="0" w:color="000000"/>
              <w:left w:val="single" w:sz="6" w:space="0" w:color="000000"/>
              <w:bottom w:val="single" w:sz="6" w:space="0" w:color="000000"/>
              <w:right w:val="single" w:sz="6" w:space="0" w:color="000000"/>
            </w:tcBorders>
          </w:tcPr>
          <w:p>
            <w:pPr/>
          </w:p>
        </w:tc>
        <w:tc>
          <w:tcPr>
            <w:tcW w:w="1580" w:type="dxa"/>
            <w:tcBorders>
              <w:top w:val="single" w:sz="12" w:space="0" w:color="000000"/>
              <w:left w:val="single" w:sz="6" w:space="0" w:color="000000"/>
              <w:bottom w:val="single" w:sz="6" w:space="0" w:color="000000"/>
              <w:right w:val="single" w:sz="12" w:space="0" w:color="000000"/>
            </w:tcBorders>
          </w:tcPr>
          <w:p>
            <w:pPr/>
          </w:p>
        </w:tc>
      </w:tr>
      <w:tr>
        <w:trPr>
          <w:trHeight w:val="468" w:hRule="exact"/>
        </w:trPr>
        <w:tc>
          <w:tcPr>
            <w:tcW w:w="24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27" w:type="dxa"/>
            <w:tcBorders>
              <w:top w:val="single" w:sz="6" w:space="0" w:color="000000"/>
              <w:left w:val="single" w:sz="9" w:space="0" w:color="D2D2D2"/>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2,283,854.21</w:t>
            </w: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37,299,037.34</w:t>
            </w:r>
          </w:p>
        </w:tc>
        <w:tc>
          <w:tcPr>
            <w:tcW w:w="15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39,582,891.55</w:t>
            </w:r>
          </w:p>
        </w:tc>
      </w:tr>
      <w:tr>
        <w:trPr>
          <w:trHeight w:val="468" w:hRule="exact"/>
        </w:trPr>
        <w:tc>
          <w:tcPr>
            <w:tcW w:w="2446" w:type="dxa"/>
            <w:tcBorders>
              <w:top w:val="single" w:sz="6" w:space="0" w:color="000000"/>
              <w:left w:val="single" w:sz="12" w:space="0" w:color="000000"/>
              <w:bottom w:val="single" w:sz="10" w:space="0" w:color="000000"/>
              <w:right w:val="single" w:sz="6" w:space="0" w:color="000000"/>
            </w:tcBorders>
            <w:shd w:val="clear" w:color="auto" w:fill="D2D2D2"/>
          </w:tcPr>
          <w:p>
            <w:pPr>
              <w:pStyle w:val="TableParagraph"/>
              <w:spacing w:line="240" w:lineRule="auto" w:before="123"/>
              <w:ind w:right="83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27" w:type="dxa"/>
            <w:tcBorders>
              <w:top w:val="single" w:sz="6" w:space="0" w:color="000000"/>
              <w:left w:val="single" w:sz="9" w:space="0" w:color="D2D2D2"/>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1,786,240.88</w:t>
            </w: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3,012,045.77</w:t>
            </w:r>
          </w:p>
        </w:tc>
        <w:tc>
          <w:tcPr>
            <w:tcW w:w="15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4,798,286.65</w:t>
            </w:r>
          </w:p>
        </w:tc>
      </w:tr>
      <w:tr>
        <w:trPr>
          <w:trHeight w:val="470" w:hRule="exact"/>
        </w:trPr>
        <w:tc>
          <w:tcPr>
            <w:tcW w:w="2446" w:type="dxa"/>
            <w:tcBorders>
              <w:top w:val="single" w:sz="8"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27" w:type="dxa"/>
            <w:tcBorders>
              <w:top w:val="single" w:sz="6" w:space="0" w:color="000000"/>
              <w:left w:val="single" w:sz="9" w:space="0" w:color="D9D9D9"/>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886,240.88</w:t>
            </w: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2,968,891.00</w:t>
            </w:r>
          </w:p>
        </w:tc>
        <w:tc>
          <w:tcPr>
            <w:tcW w:w="15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3,855,131.88</w:t>
            </w:r>
          </w:p>
        </w:tc>
      </w:tr>
      <w:tr>
        <w:trPr>
          <w:trHeight w:val="468" w:hRule="exact"/>
        </w:trPr>
        <w:tc>
          <w:tcPr>
            <w:tcW w:w="244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327" w:type="dxa"/>
            <w:tcBorders>
              <w:top w:val="single" w:sz="6" w:space="0" w:color="000000"/>
              <w:left w:val="single" w:sz="9" w:space="0" w:color="D9D9D9"/>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900,000.00</w:t>
            </w: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470" w:hRule="exact"/>
        </w:trPr>
        <w:tc>
          <w:tcPr>
            <w:tcW w:w="2446" w:type="dxa"/>
            <w:tcBorders>
              <w:top w:val="single" w:sz="6" w:space="0" w:color="000000"/>
              <w:left w:val="single" w:sz="12" w:space="0" w:color="000000"/>
              <w:bottom w:val="single" w:sz="9" w:space="0" w:color="000000"/>
              <w:right w:val="single" w:sz="6" w:space="0" w:color="000000"/>
            </w:tcBorders>
            <w:shd w:val="clear" w:color="auto" w:fill="D9D9D9"/>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327" w:type="dxa"/>
            <w:tcBorders>
              <w:top w:val="single" w:sz="6" w:space="0" w:color="000000"/>
              <w:left w:val="single" w:sz="9" w:space="0" w:color="D9D9D9"/>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43,154.77</w:t>
            </w:r>
          </w:p>
        </w:tc>
        <w:tc>
          <w:tcPr>
            <w:tcW w:w="15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43,154.77</w:t>
            </w:r>
          </w:p>
        </w:tc>
      </w:tr>
      <w:tr>
        <w:trPr>
          <w:trHeight w:val="468" w:hRule="exact"/>
        </w:trPr>
        <w:tc>
          <w:tcPr>
            <w:tcW w:w="24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right="838"/>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27" w:type="dxa"/>
            <w:tcBorders>
              <w:top w:val="single" w:sz="6" w:space="0" w:color="000000"/>
              <w:left w:val="single" w:sz="9" w:space="0" w:color="D2D2D2"/>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24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27" w:type="dxa"/>
            <w:tcBorders>
              <w:top w:val="single" w:sz="6" w:space="0" w:color="000000"/>
              <w:left w:val="single" w:sz="9" w:space="0" w:color="D2D2D2"/>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469" w:hRule="exact"/>
        </w:trPr>
        <w:tc>
          <w:tcPr>
            <w:tcW w:w="24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4"/>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27" w:type="dxa"/>
            <w:tcBorders>
              <w:top w:val="single" w:sz="6" w:space="0" w:color="000000"/>
              <w:left w:val="single" w:sz="9" w:space="0" w:color="D2D2D2"/>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4,070,095.09</w:t>
            </w: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40,311,083.11</w:t>
            </w:r>
          </w:p>
        </w:tc>
        <w:tc>
          <w:tcPr>
            <w:tcW w:w="15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44,381,178.20</w:t>
            </w:r>
          </w:p>
        </w:tc>
      </w:tr>
      <w:tr>
        <w:trPr>
          <w:trHeight w:val="468" w:hRule="exact"/>
        </w:trPr>
        <w:tc>
          <w:tcPr>
            <w:tcW w:w="24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27" w:type="dxa"/>
            <w:tcBorders>
              <w:top w:val="single" w:sz="6" w:space="0" w:color="000000"/>
              <w:left w:val="single" w:sz="9" w:space="0" w:color="D2D2D2"/>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24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5"/>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27" w:type="dxa"/>
            <w:tcBorders>
              <w:top w:val="single" w:sz="6" w:space="0" w:color="000000"/>
              <w:left w:val="single" w:sz="9" w:space="0" w:color="D2D2D2"/>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4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right="83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27" w:type="dxa"/>
            <w:tcBorders>
              <w:top w:val="single" w:sz="6" w:space="0" w:color="000000"/>
              <w:left w:val="single" w:sz="9" w:space="0" w:color="D2D2D2"/>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24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27" w:type="dxa"/>
            <w:tcBorders>
              <w:top w:val="single" w:sz="6" w:space="0" w:color="000000"/>
              <w:left w:val="single" w:sz="9" w:space="0" w:color="D2D2D2"/>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4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right="838"/>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27" w:type="dxa"/>
            <w:tcBorders>
              <w:top w:val="single" w:sz="6" w:space="0" w:color="000000"/>
              <w:left w:val="single" w:sz="9" w:space="0" w:color="D2D2D2"/>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4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27" w:type="dxa"/>
            <w:tcBorders>
              <w:top w:val="single" w:sz="6" w:space="0" w:color="000000"/>
              <w:left w:val="single" w:sz="9" w:space="0" w:color="D2D2D2"/>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471" w:hRule="exact"/>
        </w:trPr>
        <w:tc>
          <w:tcPr>
            <w:tcW w:w="24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6"/>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27" w:type="dxa"/>
            <w:tcBorders>
              <w:top w:val="single" w:sz="6" w:space="0" w:color="000000"/>
              <w:left w:val="single" w:sz="9" w:space="0" w:color="D2D2D2"/>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4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27" w:type="dxa"/>
            <w:tcBorders>
              <w:top w:val="single" w:sz="6" w:space="0" w:color="000000"/>
              <w:left w:val="single" w:sz="9" w:space="0" w:color="D2D2D2"/>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24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right="83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27" w:type="dxa"/>
            <w:tcBorders>
              <w:top w:val="single" w:sz="6" w:space="0" w:color="000000"/>
              <w:left w:val="single" w:sz="9" w:space="0" w:color="D2D2D2"/>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1,433,907.50</w:t>
            </w:r>
          </w:p>
        </w:tc>
        <w:tc>
          <w:tcPr>
            <w:tcW w:w="138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34,164,880.06</w:t>
            </w:r>
          </w:p>
        </w:tc>
        <w:tc>
          <w:tcPr>
            <w:tcW w:w="15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35,598,787.56</w:t>
            </w:r>
          </w:p>
        </w:tc>
      </w:tr>
      <w:tr>
        <w:trPr>
          <w:trHeight w:val="475" w:hRule="exact"/>
        </w:trPr>
        <w:tc>
          <w:tcPr>
            <w:tcW w:w="244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right="83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27" w:type="dxa"/>
            <w:tcBorders>
              <w:top w:val="single" w:sz="6" w:space="0" w:color="000000"/>
              <w:left w:val="single" w:sz="9" w:space="0" w:color="D2D2D2"/>
              <w:bottom w:val="single" w:sz="12" w:space="0" w:color="000000"/>
              <w:right w:val="single" w:sz="6" w:space="0" w:color="000000"/>
            </w:tcBorders>
          </w:tcPr>
          <w:p>
            <w:pPr/>
          </w:p>
        </w:tc>
        <w:tc>
          <w:tcPr>
            <w:tcW w:w="14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2,320,148.38</w:t>
            </w:r>
          </w:p>
        </w:tc>
        <w:tc>
          <w:tcPr>
            <w:tcW w:w="1383" w:type="dxa"/>
            <w:tcBorders>
              <w:top w:val="single" w:sz="6" w:space="0" w:color="000000"/>
              <w:left w:val="single" w:sz="6" w:space="0" w:color="000000"/>
              <w:bottom w:val="single" w:sz="12" w:space="0" w:color="000000"/>
              <w:right w:val="single" w:sz="6" w:space="0" w:color="000000"/>
            </w:tcBorders>
          </w:tcPr>
          <w:p>
            <w:pPr/>
          </w:p>
        </w:tc>
        <w:tc>
          <w:tcPr>
            <w:tcW w:w="13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4,425,172.52</w:t>
            </w:r>
          </w:p>
        </w:tc>
        <w:tc>
          <w:tcPr>
            <w:tcW w:w="15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6,745,320.90</w:t>
            </w:r>
          </w:p>
        </w:tc>
      </w:tr>
    </w:tbl>
    <w:p>
      <w:pPr>
        <w:pStyle w:val="BodyText"/>
        <w:spacing w:line="240" w:lineRule="auto" w:before="66"/>
        <w:ind w:right="140"/>
        <w:jc w:val="left"/>
      </w:pPr>
      <w:r>
        <w:rPr/>
        <w:t>本期末通过公司内部研发形成的无形资产占无形资产余额的比例</w:t>
      </w:r>
      <w:r>
        <w:rPr>
          <w:rFonts w:ascii="宋体" w:hAnsi="宋体" w:cs="宋体" w:eastAsia="宋体" w:hint="default"/>
        </w:rPr>
        <w:t>15.01%</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4"/>
        <w:ind w:right="140"/>
        <w:jc w:val="left"/>
        <w:rPr>
          <w:b w:val="0"/>
          <w:bCs w:val="0"/>
        </w:rPr>
      </w:pPr>
      <w:r>
        <w:rPr>
          <w:rFonts w:ascii="Times New Roman" w:hAnsi="Times New Roman" w:cs="Times New Roman" w:eastAsia="Times New Roman" w:hint="default"/>
        </w:rPr>
        <w:t>14</w:t>
      </w:r>
      <w:r>
        <w:rPr/>
        <w:t>、开发支出</w:t>
      </w:r>
      <w:r>
        <w:rPr>
          <w:b w:val="0"/>
          <w:bCs w:val="0"/>
        </w:rPr>
      </w:r>
    </w:p>
    <w:p>
      <w:pPr>
        <w:spacing w:line="240" w:lineRule="auto" w:before="5"/>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410"/>
        <w:gridCol w:w="994"/>
        <w:gridCol w:w="1275"/>
        <w:gridCol w:w="710"/>
        <w:gridCol w:w="1417"/>
        <w:gridCol w:w="1277"/>
        <w:gridCol w:w="708"/>
        <w:gridCol w:w="780"/>
      </w:tblGrid>
      <w:tr>
        <w:trPr>
          <w:trHeight w:val="460" w:hRule="exact"/>
        </w:trPr>
        <w:tc>
          <w:tcPr>
            <w:tcW w:w="2410"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994"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5"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1"/>
              <w:ind w:left="44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402" w:type="dxa"/>
            <w:gridSpan w:val="3"/>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780"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68" w:hRule="exact"/>
        </w:trPr>
        <w:tc>
          <w:tcPr>
            <w:tcW w:w="2410" w:type="dxa"/>
            <w:vMerge/>
            <w:tcBorders>
              <w:left w:val="single" w:sz="12" w:space="0" w:color="000000"/>
              <w:bottom w:val="single" w:sz="10" w:space="0" w:color="000000"/>
              <w:right w:val="single" w:sz="6" w:space="0" w:color="000000"/>
            </w:tcBorders>
            <w:shd w:val="clear" w:color="auto" w:fill="D2D2D2"/>
          </w:tcPr>
          <w:p>
            <w:pPr/>
          </w:p>
        </w:tc>
        <w:tc>
          <w:tcPr>
            <w:tcW w:w="994" w:type="dxa"/>
            <w:vMerge/>
            <w:tcBorders>
              <w:left w:val="single" w:sz="6" w:space="0" w:color="000000"/>
              <w:bottom w:val="single" w:sz="6" w:space="0" w:color="000000"/>
              <w:right w:val="single" w:sz="6" w:space="0" w:color="000000"/>
            </w:tcBorders>
            <w:shd w:val="clear" w:color="auto" w:fill="D2D2D2"/>
          </w:tcPr>
          <w:p>
            <w:pPr/>
          </w:p>
        </w:tc>
        <w:tc>
          <w:tcPr>
            <w:tcW w:w="1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left="91"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right="68"/>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left="91"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7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0" w:type="dxa"/>
            <w:vMerge/>
            <w:tcBorders>
              <w:left w:val="single" w:sz="6" w:space="0" w:color="000000"/>
              <w:bottom w:val="single" w:sz="6" w:space="0" w:color="000000"/>
              <w:right w:val="single" w:sz="12" w:space="0" w:color="000000"/>
            </w:tcBorders>
            <w:shd w:val="clear" w:color="auto" w:fill="D2D2D2"/>
          </w:tcPr>
          <w:p>
            <w:pPr/>
          </w:p>
        </w:tc>
      </w:tr>
      <w:tr>
        <w:trPr>
          <w:trHeight w:val="474" w:hRule="exact"/>
        </w:trPr>
        <w:tc>
          <w:tcPr>
            <w:tcW w:w="241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9"/>
              <w:ind w:left="14" w:right="0"/>
              <w:jc w:val="left"/>
              <w:rPr>
                <w:rFonts w:ascii="宋体" w:hAnsi="宋体" w:cs="宋体" w:eastAsia="宋体" w:hint="default"/>
                <w:sz w:val="18"/>
                <w:szCs w:val="18"/>
              </w:rPr>
            </w:pPr>
            <w:r>
              <w:rPr>
                <w:rFonts w:ascii="宋体" w:hAnsi="宋体" w:cs="宋体" w:eastAsia="宋体" w:hint="default"/>
                <w:sz w:val="18"/>
                <w:szCs w:val="18"/>
              </w:rPr>
              <w:t>小微综合贷款系统软件</w:t>
            </w:r>
          </w:p>
        </w:tc>
        <w:tc>
          <w:tcPr>
            <w:tcW w:w="994" w:type="dxa"/>
            <w:tcBorders>
              <w:top w:val="single" w:sz="6" w:space="0" w:color="000000"/>
              <w:left w:val="single" w:sz="9" w:space="0" w:color="D9D9D9"/>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5,140,970.04</w:t>
            </w:r>
          </w:p>
        </w:tc>
        <w:tc>
          <w:tcPr>
            <w:tcW w:w="710" w:type="dxa"/>
            <w:tcBorders>
              <w:top w:val="single" w:sz="9" w:space="0" w:color="000000"/>
              <w:left w:val="single" w:sz="6" w:space="0" w:color="000000"/>
              <w:bottom w:val="single" w:sz="6" w:space="0" w:color="000000"/>
              <w:right w:val="single" w:sz="6" w:space="0" w:color="000000"/>
            </w:tcBorders>
          </w:tcPr>
          <w:p>
            <w:pPr/>
          </w:p>
        </w:tc>
        <w:tc>
          <w:tcPr>
            <w:tcW w:w="1417"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5,140,970.04</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41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智能综合前端应用系统软件</w:t>
            </w:r>
          </w:p>
        </w:tc>
        <w:tc>
          <w:tcPr>
            <w:tcW w:w="994" w:type="dxa"/>
            <w:tcBorders>
              <w:top w:val="single" w:sz="6" w:space="0" w:color="000000"/>
              <w:left w:val="single" w:sz="9" w:space="0" w:color="D9D9D9"/>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2,219,073.91</w:t>
            </w:r>
          </w:p>
        </w:tc>
        <w:tc>
          <w:tcPr>
            <w:tcW w:w="71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2,219,073.91</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78" w:hRule="exact"/>
        </w:trPr>
        <w:tc>
          <w:tcPr>
            <w:tcW w:w="241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全生命周期智能排队软件</w:t>
            </w:r>
          </w:p>
        </w:tc>
        <w:tc>
          <w:tcPr>
            <w:tcW w:w="994" w:type="dxa"/>
            <w:tcBorders>
              <w:top w:val="single" w:sz="6" w:space="0" w:color="000000"/>
              <w:left w:val="single" w:sz="9" w:space="0" w:color="D9D9D9"/>
              <w:bottom w:val="single" w:sz="12" w:space="0" w:color="000000"/>
              <w:right w:val="single" w:sz="6" w:space="0" w:color="000000"/>
            </w:tcBorders>
          </w:tcPr>
          <w:p>
            <w:pP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2,109,906.87</w:t>
            </w:r>
          </w:p>
        </w:tc>
        <w:tc>
          <w:tcPr>
            <w:tcW w:w="710"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2,109,906.87</w:t>
            </w:r>
          </w:p>
        </w:tc>
        <w:tc>
          <w:tcPr>
            <w:tcW w:w="1277" w:type="dxa"/>
            <w:tcBorders>
              <w:top w:val="single" w:sz="6" w:space="0" w:color="000000"/>
              <w:left w:val="single" w:sz="6" w:space="0" w:color="000000"/>
              <w:bottom w:val="single" w:sz="12" w:space="0" w:color="000000"/>
              <w:right w:val="single" w:sz="6" w:space="0" w:color="000000"/>
            </w:tcBorders>
          </w:tcPr>
          <w:p>
            <w:pPr/>
          </w:p>
        </w:tc>
        <w:tc>
          <w:tcPr>
            <w:tcW w:w="708" w:type="dxa"/>
            <w:tcBorders>
              <w:top w:val="single" w:sz="6" w:space="0" w:color="000000"/>
              <w:left w:val="single" w:sz="6" w:space="0" w:color="000000"/>
              <w:bottom w:val="single" w:sz="12" w:space="0" w:color="000000"/>
              <w:right w:val="single" w:sz="6" w:space="0" w:color="000000"/>
            </w:tcBorders>
          </w:tcPr>
          <w:p>
            <w:pPr/>
          </w:p>
        </w:tc>
        <w:tc>
          <w:tcPr>
            <w:tcW w:w="780"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0"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0" w:type="dxa"/>
        <w:tblLayout w:type="fixed"/>
        <w:tblCellMar>
          <w:top w:w="0" w:type="dxa"/>
          <w:left w:w="0" w:type="dxa"/>
          <w:bottom w:w="0" w:type="dxa"/>
          <w:right w:w="0" w:type="dxa"/>
        </w:tblCellMar>
        <w:tblLook w:val="01E0"/>
      </w:tblPr>
      <w:tblGrid>
        <w:gridCol w:w="2399"/>
        <w:gridCol w:w="1003"/>
        <w:gridCol w:w="1275"/>
        <w:gridCol w:w="710"/>
        <w:gridCol w:w="1417"/>
        <w:gridCol w:w="1277"/>
        <w:gridCol w:w="708"/>
        <w:gridCol w:w="780"/>
      </w:tblGrid>
      <w:tr>
        <w:trPr>
          <w:trHeight w:val="478" w:hRule="exact"/>
        </w:trPr>
        <w:tc>
          <w:tcPr>
            <w:tcW w:w="23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31"/>
              <w:ind w:left="13" w:right="0"/>
              <w:jc w:val="left"/>
              <w:rPr>
                <w:rFonts w:ascii="宋体" w:hAnsi="宋体" w:cs="宋体" w:eastAsia="宋体" w:hint="default"/>
                <w:sz w:val="18"/>
                <w:szCs w:val="18"/>
              </w:rPr>
            </w:pPr>
            <w:r>
              <w:rPr>
                <w:rFonts w:ascii="宋体" w:hAnsi="宋体" w:cs="宋体" w:eastAsia="宋体" w:hint="default"/>
                <w:sz w:val="18"/>
                <w:szCs w:val="18"/>
              </w:rPr>
              <w:t>社区金融服务平台软件</w:t>
            </w:r>
          </w:p>
        </w:tc>
        <w:tc>
          <w:tcPr>
            <w:tcW w:w="1003" w:type="dxa"/>
            <w:tcBorders>
              <w:top w:val="single" w:sz="12" w:space="0" w:color="000000"/>
              <w:left w:val="single" w:sz="9" w:space="0" w:color="D9D9D9"/>
              <w:bottom w:val="single" w:sz="6" w:space="0" w:color="000000"/>
              <w:right w:val="single" w:sz="6" w:space="0" w:color="000000"/>
            </w:tcBorders>
          </w:tcPr>
          <w:p>
            <w:pPr/>
          </w:p>
        </w:tc>
        <w:tc>
          <w:tcPr>
            <w:tcW w:w="12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1,290,433.40</w:t>
            </w:r>
          </w:p>
        </w:tc>
        <w:tc>
          <w:tcPr>
            <w:tcW w:w="710" w:type="dxa"/>
            <w:tcBorders>
              <w:top w:val="single" w:sz="12" w:space="0" w:color="000000"/>
              <w:left w:val="single" w:sz="6" w:space="0" w:color="000000"/>
              <w:bottom w:val="single" w:sz="6" w:space="0" w:color="000000"/>
              <w:right w:val="single" w:sz="6" w:space="0" w:color="000000"/>
            </w:tcBorders>
          </w:tcPr>
          <w:p>
            <w:pPr/>
          </w:p>
        </w:tc>
        <w:tc>
          <w:tcPr>
            <w:tcW w:w="14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1,290,433.40</w:t>
            </w:r>
          </w:p>
        </w:tc>
        <w:tc>
          <w:tcPr>
            <w:tcW w:w="1277" w:type="dxa"/>
            <w:tcBorders>
              <w:top w:val="single" w:sz="12" w:space="0" w:color="000000"/>
              <w:left w:val="single" w:sz="6" w:space="0" w:color="000000"/>
              <w:bottom w:val="single" w:sz="6" w:space="0" w:color="000000"/>
              <w:right w:val="single" w:sz="6" w:space="0" w:color="000000"/>
            </w:tcBorders>
          </w:tcPr>
          <w:p>
            <w:pPr/>
          </w:p>
        </w:tc>
        <w:tc>
          <w:tcPr>
            <w:tcW w:w="708" w:type="dxa"/>
            <w:tcBorders>
              <w:top w:val="single" w:sz="12" w:space="0" w:color="000000"/>
              <w:left w:val="single" w:sz="6" w:space="0" w:color="000000"/>
              <w:bottom w:val="single" w:sz="6" w:space="0" w:color="000000"/>
              <w:right w:val="single" w:sz="6" w:space="0" w:color="000000"/>
            </w:tcBorders>
          </w:tcPr>
          <w:p>
            <w:pPr/>
          </w:p>
        </w:tc>
        <w:tc>
          <w:tcPr>
            <w:tcW w:w="780" w:type="dxa"/>
            <w:tcBorders>
              <w:top w:val="single" w:sz="12" w:space="0" w:color="000000"/>
              <w:left w:val="single" w:sz="6" w:space="0" w:color="000000"/>
              <w:bottom w:val="single" w:sz="6" w:space="0" w:color="000000"/>
              <w:right w:val="single" w:sz="12" w:space="0" w:color="000000"/>
            </w:tcBorders>
          </w:tcPr>
          <w:p>
            <w:pPr/>
          </w:p>
        </w:tc>
      </w:tr>
      <w:tr>
        <w:trPr>
          <w:trHeight w:val="468" w:hRule="exact"/>
        </w:trPr>
        <w:tc>
          <w:tcPr>
            <w:tcW w:w="239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13" w:right="0"/>
              <w:jc w:val="left"/>
              <w:rPr>
                <w:rFonts w:ascii="宋体" w:hAnsi="宋体" w:cs="宋体" w:eastAsia="宋体" w:hint="default"/>
                <w:sz w:val="18"/>
                <w:szCs w:val="18"/>
              </w:rPr>
            </w:pPr>
            <w:r>
              <w:rPr>
                <w:rFonts w:ascii="宋体" w:hAnsi="宋体" w:cs="宋体" w:eastAsia="宋体" w:hint="default"/>
                <w:sz w:val="18"/>
                <w:szCs w:val="18"/>
              </w:rPr>
              <w:t>业务集中处理平台软件</w:t>
            </w:r>
          </w:p>
        </w:tc>
        <w:tc>
          <w:tcPr>
            <w:tcW w:w="1003" w:type="dxa"/>
            <w:tcBorders>
              <w:top w:val="single" w:sz="6" w:space="0" w:color="000000"/>
              <w:left w:val="single" w:sz="9" w:space="0" w:color="D9D9D9"/>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623,502.96</w:t>
            </w:r>
          </w:p>
        </w:tc>
        <w:tc>
          <w:tcPr>
            <w:tcW w:w="71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623,502.96</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399" w:type="dxa"/>
            <w:tcBorders>
              <w:top w:val="single" w:sz="6" w:space="0" w:color="000000"/>
              <w:left w:val="single" w:sz="12" w:space="0" w:color="000000"/>
              <w:bottom w:val="single" w:sz="10" w:space="0" w:color="000000"/>
              <w:right w:val="single" w:sz="6" w:space="0" w:color="000000"/>
            </w:tcBorders>
            <w:shd w:val="clear" w:color="auto" w:fill="D9D9D9"/>
          </w:tcPr>
          <w:p>
            <w:pPr>
              <w:pStyle w:val="TableParagraph"/>
              <w:spacing w:line="240" w:lineRule="auto" w:before="123"/>
              <w:ind w:left="13" w:right="0"/>
              <w:jc w:val="left"/>
              <w:rPr>
                <w:rFonts w:ascii="宋体" w:hAnsi="宋体" w:cs="宋体" w:eastAsia="宋体" w:hint="default"/>
                <w:sz w:val="18"/>
                <w:szCs w:val="18"/>
              </w:rPr>
            </w:pPr>
            <w:r>
              <w:rPr>
                <w:rFonts w:ascii="宋体" w:hAnsi="宋体" w:cs="宋体" w:eastAsia="宋体" w:hint="default"/>
                <w:sz w:val="18"/>
                <w:szCs w:val="18"/>
              </w:rPr>
              <w:t>企业融合服务平台软件</w:t>
            </w:r>
          </w:p>
        </w:tc>
        <w:tc>
          <w:tcPr>
            <w:tcW w:w="1003" w:type="dxa"/>
            <w:tcBorders>
              <w:top w:val="single" w:sz="6" w:space="0" w:color="000000"/>
              <w:left w:val="single" w:sz="9" w:space="0" w:color="D9D9D9"/>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618,936.35</w:t>
            </w:r>
          </w:p>
        </w:tc>
        <w:tc>
          <w:tcPr>
            <w:tcW w:w="71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618,936.35</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75" w:hRule="exact"/>
        </w:trPr>
        <w:tc>
          <w:tcPr>
            <w:tcW w:w="2399" w:type="dxa"/>
            <w:tcBorders>
              <w:top w:val="single" w:sz="8"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3" w:type="dxa"/>
            <w:tcBorders>
              <w:top w:val="single" w:sz="6" w:space="0" w:color="000000"/>
              <w:left w:val="single" w:sz="9" w:space="0" w:color="D2D2D2"/>
              <w:bottom w:val="single" w:sz="12" w:space="0" w:color="000000"/>
              <w:right w:val="single" w:sz="6" w:space="0" w:color="000000"/>
            </w:tcBorders>
          </w:tcPr>
          <w:p>
            <w:pP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12,002,823.53</w:t>
            </w:r>
          </w:p>
        </w:tc>
        <w:tc>
          <w:tcPr>
            <w:tcW w:w="710"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12,002,823.53</w:t>
            </w:r>
          </w:p>
        </w:tc>
        <w:tc>
          <w:tcPr>
            <w:tcW w:w="1277" w:type="dxa"/>
            <w:tcBorders>
              <w:top w:val="single" w:sz="6" w:space="0" w:color="000000"/>
              <w:left w:val="single" w:sz="6" w:space="0" w:color="000000"/>
              <w:bottom w:val="single" w:sz="12" w:space="0" w:color="000000"/>
              <w:right w:val="single" w:sz="6" w:space="0" w:color="000000"/>
            </w:tcBorders>
          </w:tcPr>
          <w:p>
            <w:pPr/>
          </w:p>
        </w:tc>
        <w:tc>
          <w:tcPr>
            <w:tcW w:w="708" w:type="dxa"/>
            <w:tcBorders>
              <w:top w:val="single" w:sz="6" w:space="0" w:color="000000"/>
              <w:left w:val="single" w:sz="6" w:space="0" w:color="000000"/>
              <w:bottom w:val="single" w:sz="12" w:space="0" w:color="000000"/>
              <w:right w:val="single" w:sz="6" w:space="0" w:color="000000"/>
            </w:tcBorders>
          </w:tcPr>
          <w:p>
            <w:pPr/>
          </w:p>
        </w:tc>
        <w:tc>
          <w:tcPr>
            <w:tcW w:w="780"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15</w:t>
      </w:r>
      <w:r>
        <w:rPr/>
        <w:t>、商誉</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5"/>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3119"/>
        <w:gridCol w:w="1700"/>
        <w:gridCol w:w="1418"/>
        <w:gridCol w:w="709"/>
        <w:gridCol w:w="710"/>
        <w:gridCol w:w="708"/>
        <w:gridCol w:w="1208"/>
      </w:tblGrid>
      <w:tr>
        <w:trPr>
          <w:trHeight w:val="473" w:hRule="exact"/>
        </w:trPr>
        <w:tc>
          <w:tcPr>
            <w:tcW w:w="3119"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93"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700"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4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7"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2"/>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8"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2"/>
              <w:ind w:left="3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08"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2" w:hRule="exact"/>
        </w:trPr>
        <w:tc>
          <w:tcPr>
            <w:tcW w:w="3119" w:type="dxa"/>
            <w:vMerge/>
            <w:tcBorders>
              <w:left w:val="single" w:sz="12" w:space="0" w:color="000000"/>
              <w:bottom w:val="single" w:sz="6" w:space="0" w:color="000000"/>
              <w:right w:val="single" w:sz="6" w:space="0" w:color="000000"/>
            </w:tcBorders>
            <w:shd w:val="clear" w:color="auto" w:fill="D9D9D9"/>
          </w:tcPr>
          <w:p>
            <w:pPr/>
          </w:p>
        </w:tc>
        <w:tc>
          <w:tcPr>
            <w:tcW w:w="1700" w:type="dxa"/>
            <w:vMerge/>
            <w:tcBorders>
              <w:left w:val="single" w:sz="6" w:space="0" w:color="000000"/>
              <w:bottom w:val="single" w:sz="6" w:space="0" w:color="000000"/>
              <w:right w:val="single" w:sz="6" w:space="0" w:color="000000"/>
            </w:tcBorders>
            <w:shd w:val="clear" w:color="auto" w:fill="D2D2D2"/>
          </w:tcPr>
          <w:p>
            <w:pPr/>
          </w:p>
        </w:tc>
        <w:tc>
          <w:tcPr>
            <w:tcW w:w="1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right="6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7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left="167"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7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8" w:type="dxa"/>
            <w:vMerge/>
            <w:tcBorders>
              <w:left w:val="single" w:sz="6" w:space="0" w:color="000000"/>
              <w:bottom w:val="single" w:sz="6" w:space="0" w:color="000000"/>
              <w:right w:val="single" w:sz="12" w:space="0" w:color="000000"/>
            </w:tcBorders>
            <w:shd w:val="clear" w:color="auto" w:fill="D2D2D2"/>
          </w:tcPr>
          <w:p>
            <w:pPr/>
          </w:p>
        </w:tc>
      </w:tr>
      <w:tr>
        <w:trPr>
          <w:trHeight w:val="470" w:hRule="exact"/>
        </w:trPr>
        <w:tc>
          <w:tcPr>
            <w:tcW w:w="31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13" w:right="0"/>
              <w:jc w:val="left"/>
              <w:rPr>
                <w:rFonts w:ascii="宋体" w:hAnsi="宋体" w:cs="宋体" w:eastAsia="宋体" w:hint="default"/>
                <w:sz w:val="18"/>
                <w:szCs w:val="18"/>
              </w:rPr>
            </w:pPr>
            <w:r>
              <w:rPr>
                <w:rFonts w:ascii="宋体" w:hAnsi="宋体" w:cs="宋体" w:eastAsia="宋体" w:hint="default"/>
                <w:sz w:val="18"/>
                <w:szCs w:val="18"/>
              </w:rPr>
              <w:t>神州数码金信科技股份有限公司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193,671,128.85</w:t>
            </w:r>
          </w:p>
        </w:tc>
        <w:tc>
          <w:tcPr>
            <w:tcW w:w="141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9" w:space="0" w:color="000000"/>
              <w:left w:val="single" w:sz="6" w:space="0" w:color="000000"/>
              <w:bottom w:val="single" w:sz="6" w:space="0" w:color="000000"/>
              <w:right w:val="single" w:sz="6" w:space="0" w:color="000000"/>
            </w:tcBorders>
          </w:tcPr>
          <w:p>
            <w:pPr/>
          </w:p>
        </w:tc>
        <w:tc>
          <w:tcPr>
            <w:tcW w:w="710" w:type="dxa"/>
            <w:tcBorders>
              <w:top w:val="single" w:sz="9"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193,671,128.85</w:t>
            </w:r>
          </w:p>
        </w:tc>
      </w:tr>
      <w:tr>
        <w:trPr>
          <w:trHeight w:val="468" w:hRule="exact"/>
        </w:trPr>
        <w:tc>
          <w:tcPr>
            <w:tcW w:w="31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13" w:right="0"/>
              <w:jc w:val="left"/>
              <w:rPr>
                <w:rFonts w:ascii="宋体" w:hAnsi="宋体" w:cs="宋体" w:eastAsia="宋体" w:hint="default"/>
                <w:sz w:val="18"/>
                <w:szCs w:val="18"/>
              </w:rPr>
            </w:pPr>
            <w:r>
              <w:rPr>
                <w:rFonts w:ascii="宋体" w:hAnsi="宋体" w:cs="宋体" w:eastAsia="宋体" w:hint="default"/>
                <w:sz w:val="18"/>
                <w:szCs w:val="18"/>
              </w:rPr>
              <w:t>北京中农信达信息技术有限公司</w:t>
            </w:r>
          </w:p>
        </w:tc>
        <w:tc>
          <w:tcPr>
            <w:tcW w:w="170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646,012,991.72</w:t>
            </w:r>
          </w:p>
        </w:tc>
        <w:tc>
          <w:tcPr>
            <w:tcW w:w="70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646,012,991.72</w:t>
            </w:r>
          </w:p>
        </w:tc>
      </w:tr>
      <w:tr>
        <w:trPr>
          <w:trHeight w:val="475" w:hRule="exact"/>
        </w:trPr>
        <w:tc>
          <w:tcPr>
            <w:tcW w:w="3119"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2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193,671,128.85</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646,012,991.72</w:t>
            </w:r>
          </w:p>
        </w:tc>
        <w:tc>
          <w:tcPr>
            <w:tcW w:w="709" w:type="dxa"/>
            <w:tcBorders>
              <w:top w:val="single" w:sz="6" w:space="0" w:color="000000"/>
              <w:left w:val="single" w:sz="6" w:space="0" w:color="000000"/>
              <w:bottom w:val="single" w:sz="12" w:space="0" w:color="000000"/>
              <w:right w:val="single" w:sz="6" w:space="0" w:color="000000"/>
            </w:tcBorders>
          </w:tcPr>
          <w:p>
            <w:pPr/>
          </w:p>
        </w:tc>
        <w:tc>
          <w:tcPr>
            <w:tcW w:w="710" w:type="dxa"/>
            <w:tcBorders>
              <w:top w:val="single" w:sz="6" w:space="0" w:color="000000"/>
              <w:left w:val="single" w:sz="6" w:space="0" w:color="000000"/>
              <w:bottom w:val="single" w:sz="12" w:space="0" w:color="000000"/>
              <w:right w:val="single" w:sz="6" w:space="0" w:color="000000"/>
            </w:tcBorders>
          </w:tcPr>
          <w:p>
            <w:pPr/>
          </w:p>
        </w:tc>
        <w:tc>
          <w:tcPr>
            <w:tcW w:w="708" w:type="dxa"/>
            <w:tcBorders>
              <w:top w:val="single" w:sz="6" w:space="0" w:color="000000"/>
              <w:left w:val="single" w:sz="6" w:space="0" w:color="000000"/>
              <w:bottom w:val="single" w:sz="12" w:space="0" w:color="000000"/>
              <w:right w:val="single" w:sz="6" w:space="0" w:color="000000"/>
            </w:tcBorders>
          </w:tcPr>
          <w:p>
            <w:pPr/>
          </w:p>
        </w:tc>
        <w:tc>
          <w:tcPr>
            <w:tcW w:w="120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839,684,120.57</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5"/>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1592"/>
        <w:gridCol w:w="1597"/>
        <w:gridCol w:w="1594"/>
        <w:gridCol w:w="1596"/>
        <w:gridCol w:w="1594"/>
        <w:gridCol w:w="1594"/>
      </w:tblGrid>
      <w:tr>
        <w:trPr>
          <w:trHeight w:val="457" w:hRule="exact"/>
        </w:trPr>
        <w:tc>
          <w:tcPr>
            <w:tcW w:w="1592" w:type="dxa"/>
            <w:tcBorders>
              <w:top w:val="single" w:sz="12" w:space="0" w:color="000000"/>
              <w:left w:val="single" w:sz="12" w:space="0" w:color="000000"/>
              <w:bottom w:val="single" w:sz="6" w:space="0" w:color="000000"/>
              <w:right w:val="single" w:sz="14" w:space="0" w:color="D2D2D2"/>
            </w:tcBorders>
            <w:shd w:val="clear" w:color="auto" w:fill="D9D9D9"/>
          </w:tcPr>
          <w:p>
            <w:pPr>
              <w:pStyle w:val="TableParagraph"/>
              <w:spacing w:line="240" w:lineRule="auto" w:before="11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left="2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left="250"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9"/>
              <w:ind w:left="42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5" w:hRule="exact"/>
        </w:trPr>
        <w:tc>
          <w:tcPr>
            <w:tcW w:w="159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37"/>
              <w:ind w:left="1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4,988,417.44</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723,490.57</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2,426,832.39</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3,285,075.62</w:t>
            </w:r>
          </w:p>
        </w:tc>
      </w:tr>
      <w:tr>
        <w:trPr>
          <w:trHeight w:val="468" w:hRule="exact"/>
        </w:trPr>
        <w:tc>
          <w:tcPr>
            <w:tcW w:w="159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13" w:right="0"/>
              <w:jc w:val="left"/>
              <w:rPr>
                <w:rFonts w:ascii="宋体" w:hAnsi="宋体" w:cs="宋体" w:eastAsia="宋体" w:hint="default"/>
                <w:sz w:val="18"/>
                <w:szCs w:val="18"/>
              </w:rPr>
            </w:pPr>
            <w:r>
              <w:rPr>
                <w:rFonts w:ascii="宋体" w:hAnsi="宋体" w:cs="宋体" w:eastAsia="宋体" w:hint="default"/>
                <w:sz w:val="18"/>
                <w:szCs w:val="18"/>
              </w:rPr>
              <w:t>办公家具及装配</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244,737.88</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34,179.99</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142,608.18</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136,309.69</w:t>
            </w:r>
          </w:p>
        </w:tc>
      </w:tr>
      <w:tr>
        <w:trPr>
          <w:trHeight w:val="468" w:hRule="exact"/>
        </w:trPr>
        <w:tc>
          <w:tcPr>
            <w:tcW w:w="159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13" w:right="0"/>
              <w:jc w:val="left"/>
              <w:rPr>
                <w:rFonts w:ascii="宋体" w:hAnsi="宋体" w:cs="宋体" w:eastAsia="宋体" w:hint="default"/>
                <w:sz w:val="18"/>
                <w:szCs w:val="18"/>
              </w:rPr>
            </w:pPr>
            <w:r>
              <w:rPr>
                <w:rFonts w:ascii="宋体" w:hAnsi="宋体" w:cs="宋体" w:eastAsia="宋体" w:hint="default"/>
                <w:sz w:val="18"/>
                <w:szCs w:val="18"/>
              </w:rPr>
              <w:t>实验室合作支出</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1,100,000.00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33,333.33</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1,066,666.67</w:t>
            </w:r>
          </w:p>
        </w:tc>
      </w:tr>
      <w:tr>
        <w:trPr>
          <w:trHeight w:val="475" w:hRule="exact"/>
        </w:trPr>
        <w:tc>
          <w:tcPr>
            <w:tcW w:w="1592"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25"/>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5,233,155.32</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1,857,670.56</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2,602,773.90</w:t>
            </w:r>
          </w:p>
        </w:tc>
        <w:tc>
          <w:tcPr>
            <w:tcW w:w="1594" w:type="dxa"/>
            <w:tcBorders>
              <w:top w:val="single" w:sz="6" w:space="0" w:color="000000"/>
              <w:left w:val="single" w:sz="6" w:space="0" w:color="000000"/>
              <w:bottom w:val="single" w:sz="12" w:space="0" w:color="000000"/>
              <w:right w:val="single" w:sz="6" w:space="0" w:color="000000"/>
            </w:tcBorders>
          </w:tcPr>
          <w:p>
            <w:pP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4,488,051.98</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0" w:footer="1227" w:top="1100" w:bottom="1420" w:left="980" w:right="980"/>
        </w:sectPr>
      </w:pPr>
    </w:p>
    <w:p>
      <w:pPr>
        <w:pStyle w:val="Heading4"/>
        <w:spacing w:line="240" w:lineRule="auto" w:before="36"/>
        <w:ind w:right="-4"/>
        <w:jc w:val="left"/>
        <w:rPr>
          <w:b w:val="0"/>
          <w:bCs w:val="0"/>
        </w:rPr>
      </w:pPr>
      <w:r>
        <w:rPr>
          <w:spacing w:val="-1"/>
        </w:rPr>
        <w:t>（</w:t>
      </w:r>
      <w:r>
        <w:rPr>
          <w:rFonts w:ascii="Times New Roman" w:hAnsi="Times New Roman" w:cs="Times New Roman" w:eastAsia="Times New Roman" w:hint="default"/>
          <w:spacing w:val="-1"/>
        </w:rPr>
        <w:t>1</w:t>
      </w:r>
      <w:r>
        <w:rPr>
          <w:spacing w:val="-1"/>
        </w:rPr>
        <w:t>）未经抵销的递延所得税资产</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3"/>
        <w:rPr>
          <w:rFonts w:ascii="宋体" w:hAnsi="宋体" w:cs="宋体" w:eastAsia="宋体" w:hint="default"/>
          <w:b/>
          <w:bCs/>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420" w:left="980" w:right="980"/>
          <w:cols w:num="2" w:equalWidth="0">
            <w:col w:w="3212" w:space="5709"/>
            <w:col w:w="1029"/>
          </w:cols>
        </w:sectPr>
      </w:pPr>
    </w:p>
    <w:p>
      <w:pPr>
        <w:spacing w:line="240" w:lineRule="auto" w:before="9"/>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73" w:hRule="exact"/>
        </w:trPr>
        <w:tc>
          <w:tcPr>
            <w:tcW w:w="1913"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65"/>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57" w:hRule="exact"/>
        </w:trPr>
        <w:tc>
          <w:tcPr>
            <w:tcW w:w="1913" w:type="dxa"/>
            <w:vMerge/>
            <w:tcBorders>
              <w:left w:val="single" w:sz="12" w:space="0" w:color="000000"/>
              <w:bottom w:val="single" w:sz="9" w:space="0" w:color="000000"/>
              <w:right w:val="single" w:sz="6" w:space="0" w:color="000000"/>
            </w:tcBorders>
            <w:shd w:val="clear" w:color="auto" w:fill="D2D2D2"/>
          </w:tcPr>
          <w:p>
            <w:pPr/>
          </w:p>
        </w:tc>
        <w:tc>
          <w:tcPr>
            <w:tcW w:w="1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left="319"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9"/>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9"/>
              <w:ind w:left="319"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78" w:hRule="exact"/>
        </w:trPr>
        <w:tc>
          <w:tcPr>
            <w:tcW w:w="191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30"/>
              <w:ind w:left="1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9" w:space="0" w:color="000000"/>
              <w:left w:val="single" w:sz="6" w:space="0" w:color="000000"/>
              <w:bottom w:val="single" w:sz="6" w:space="0" w:color="000000"/>
              <w:right w:val="single" w:sz="6" w:space="0" w:color="000000"/>
            </w:tcBorders>
          </w:tcPr>
          <w:p>
            <w:pPr/>
          </w:p>
        </w:tc>
        <w:tc>
          <w:tcPr>
            <w:tcW w:w="1913" w:type="dxa"/>
            <w:tcBorders>
              <w:top w:val="single" w:sz="9" w:space="0" w:color="000000"/>
              <w:left w:val="single" w:sz="6" w:space="0" w:color="000000"/>
              <w:bottom w:val="single" w:sz="6" w:space="0" w:color="000000"/>
              <w:right w:val="single" w:sz="6" w:space="0" w:color="000000"/>
            </w:tcBorders>
          </w:tcPr>
          <w:p>
            <w:pPr/>
          </w:p>
        </w:tc>
        <w:tc>
          <w:tcPr>
            <w:tcW w:w="1916" w:type="dxa"/>
            <w:tcBorders>
              <w:top w:val="single" w:sz="9" w:space="0" w:color="000000"/>
              <w:left w:val="single" w:sz="6" w:space="0" w:color="000000"/>
              <w:bottom w:val="single" w:sz="6" w:space="0" w:color="000000"/>
              <w:right w:val="single" w:sz="12" w:space="0" w:color="000000"/>
            </w:tcBorders>
          </w:tcPr>
          <w:p>
            <w:pPr/>
          </w:p>
        </w:tc>
      </w:tr>
      <w:tr>
        <w:trPr>
          <w:trHeight w:val="478" w:hRule="exact"/>
        </w:trPr>
        <w:tc>
          <w:tcPr>
            <w:tcW w:w="191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326,143.82</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59" w:right="0"/>
              <w:jc w:val="left"/>
              <w:rPr>
                <w:rFonts w:ascii="Times New Roman" w:hAnsi="Times New Roman" w:cs="Times New Roman" w:eastAsia="Times New Roman" w:hint="default"/>
                <w:sz w:val="18"/>
                <w:szCs w:val="18"/>
              </w:rPr>
            </w:pPr>
            <w:r>
              <w:rPr>
                <w:rFonts w:ascii="Times New Roman"/>
                <w:sz w:val="18"/>
              </w:rPr>
              <w:t>54,810.30</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68" w:right="0"/>
              <w:jc w:val="left"/>
              <w:rPr>
                <w:rFonts w:ascii="Times New Roman" w:hAnsi="Times New Roman" w:cs="Times New Roman" w:eastAsia="Times New Roman" w:hint="default"/>
                <w:sz w:val="18"/>
                <w:szCs w:val="18"/>
              </w:rPr>
            </w:pPr>
            <w:r>
              <w:rPr>
                <w:rFonts w:ascii="Times New Roman"/>
                <w:sz w:val="18"/>
              </w:rPr>
              <w:t>392,624.60</w:t>
            </w:r>
          </w:p>
        </w:tc>
        <w:tc>
          <w:tcPr>
            <w:tcW w:w="19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59" w:right="0"/>
              <w:jc w:val="left"/>
              <w:rPr>
                <w:rFonts w:ascii="Times New Roman" w:hAnsi="Times New Roman" w:cs="Times New Roman" w:eastAsia="Times New Roman" w:hint="default"/>
                <w:sz w:val="18"/>
                <w:szCs w:val="18"/>
              </w:rPr>
            </w:pPr>
            <w:r>
              <w:rPr>
                <w:rFonts w:ascii="Times New Roman"/>
                <w:sz w:val="18"/>
              </w:rPr>
              <w:t>59,004.57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420" w:left="980" w:right="98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1895"/>
        <w:gridCol w:w="1927"/>
        <w:gridCol w:w="1916"/>
        <w:gridCol w:w="1913"/>
        <w:gridCol w:w="1916"/>
      </w:tblGrid>
      <w:tr>
        <w:trPr>
          <w:trHeight w:val="478" w:hRule="exact"/>
        </w:trPr>
        <w:tc>
          <w:tcPr>
            <w:tcW w:w="189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31"/>
              <w:ind w:left="7"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7" w:type="dxa"/>
            <w:tcBorders>
              <w:top w:val="single" w:sz="12" w:space="0" w:color="000000"/>
              <w:left w:val="single" w:sz="9" w:space="0" w:color="D9D9D9"/>
              <w:bottom w:val="single" w:sz="6" w:space="0" w:color="000000"/>
              <w:right w:val="single" w:sz="6" w:space="0" w:color="000000"/>
            </w:tcBorders>
          </w:tcPr>
          <w:p>
            <w:pPr/>
          </w:p>
        </w:tc>
        <w:tc>
          <w:tcPr>
            <w:tcW w:w="1916" w:type="dxa"/>
            <w:tcBorders>
              <w:top w:val="single" w:sz="12" w:space="0" w:color="000000"/>
              <w:left w:val="single" w:sz="6" w:space="0" w:color="000000"/>
              <w:bottom w:val="single" w:sz="6" w:space="0" w:color="000000"/>
              <w:right w:val="single" w:sz="6" w:space="0" w:color="000000"/>
            </w:tcBorders>
          </w:tcPr>
          <w:p>
            <w:pPr/>
          </w:p>
        </w:tc>
        <w:tc>
          <w:tcPr>
            <w:tcW w:w="1913" w:type="dxa"/>
            <w:tcBorders>
              <w:top w:val="single" w:sz="12" w:space="0" w:color="000000"/>
              <w:left w:val="single" w:sz="6" w:space="0" w:color="000000"/>
              <w:bottom w:val="single" w:sz="6" w:space="0" w:color="000000"/>
              <w:right w:val="single" w:sz="6" w:space="0" w:color="000000"/>
            </w:tcBorders>
          </w:tcPr>
          <w:p>
            <w:pPr/>
          </w:p>
        </w:tc>
        <w:tc>
          <w:tcPr>
            <w:tcW w:w="1916" w:type="dxa"/>
            <w:tcBorders>
              <w:top w:val="single" w:sz="12" w:space="0" w:color="000000"/>
              <w:left w:val="single" w:sz="6" w:space="0" w:color="000000"/>
              <w:bottom w:val="single" w:sz="6" w:space="0" w:color="000000"/>
              <w:right w:val="single" w:sz="12" w:space="0" w:color="000000"/>
            </w:tcBorders>
          </w:tcPr>
          <w:p>
            <w:pPr/>
          </w:p>
        </w:tc>
      </w:tr>
      <w:tr>
        <w:trPr>
          <w:trHeight w:val="468" w:hRule="exact"/>
        </w:trPr>
        <w:tc>
          <w:tcPr>
            <w:tcW w:w="189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1927"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206,809,530.04</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39,044,060.82</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270,130,626.43</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40,078,078.44</w:t>
            </w:r>
          </w:p>
        </w:tc>
      </w:tr>
      <w:tr>
        <w:trPr>
          <w:trHeight w:val="468" w:hRule="exact"/>
        </w:trPr>
        <w:tc>
          <w:tcPr>
            <w:tcW w:w="189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927"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38,876,998.00</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9,719,249.50</w:t>
            </w:r>
          </w:p>
        </w:tc>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189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5"/>
              <w:ind w:left="7"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27"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20,661,521.93</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3,966,924.15</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37,451,186.40</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5,836,018.95</w:t>
            </w:r>
          </w:p>
        </w:tc>
      </w:tr>
      <w:tr>
        <w:trPr>
          <w:trHeight w:val="468" w:hRule="exact"/>
        </w:trPr>
        <w:tc>
          <w:tcPr>
            <w:tcW w:w="189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长期资产折旧或摊销</w:t>
            </w:r>
          </w:p>
        </w:tc>
        <w:tc>
          <w:tcPr>
            <w:tcW w:w="1927"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100,023.53</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15,003.53</w:t>
            </w:r>
          </w:p>
        </w:tc>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12" w:space="0" w:color="000000"/>
            </w:tcBorders>
          </w:tcPr>
          <w:p>
            <w:pPr/>
          </w:p>
        </w:tc>
      </w:tr>
      <w:tr>
        <w:trPr>
          <w:trHeight w:val="475" w:hRule="exact"/>
        </w:trPr>
        <w:tc>
          <w:tcPr>
            <w:tcW w:w="189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6" w:space="0" w:color="000000"/>
              <w:left w:val="single" w:sz="9" w:space="0" w:color="D9D9D9"/>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266,774,217.32</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52,800,048.30</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307,974,437.43</w:t>
            </w:r>
          </w:p>
        </w:tc>
        <w:tc>
          <w:tcPr>
            <w:tcW w:w="19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45,973,101.96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pStyle w:val="Heading4"/>
        <w:spacing w:line="240" w:lineRule="auto" w:before="45"/>
        <w:ind w:right="-4"/>
        <w:jc w:val="left"/>
        <w:rPr>
          <w:b w:val="0"/>
          <w:bCs w:val="0"/>
        </w:rPr>
      </w:pPr>
      <w:r>
        <w:rPr>
          <w:spacing w:val="-1"/>
        </w:rPr>
        <w:t>（</w:t>
      </w:r>
      <w:r>
        <w:rPr>
          <w:rFonts w:ascii="Times New Roman" w:hAnsi="Times New Roman" w:cs="Times New Roman" w:eastAsia="Times New Roman" w:hint="default"/>
          <w:spacing w:val="-1"/>
        </w:rPr>
        <w:t>2</w:t>
      </w:r>
      <w:r>
        <w:rPr>
          <w:spacing w:val="-1"/>
        </w:rPr>
        <w:t>）未经抵销的递延所得税负债</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420" w:left="980" w:right="980"/>
          <w:cols w:num="2" w:equalWidth="0">
            <w:col w:w="3212" w:space="5709"/>
            <w:col w:w="1029"/>
          </w:cols>
        </w:sectPr>
      </w:pPr>
    </w:p>
    <w:p>
      <w:pPr>
        <w:spacing w:line="240" w:lineRule="auto" w:before="5"/>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386"/>
        <w:gridCol w:w="1710"/>
        <w:gridCol w:w="1561"/>
        <w:gridCol w:w="1560"/>
        <w:gridCol w:w="1349"/>
      </w:tblGrid>
      <w:tr>
        <w:trPr>
          <w:trHeight w:val="274" w:hRule="exact"/>
        </w:trPr>
        <w:tc>
          <w:tcPr>
            <w:tcW w:w="3386"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271"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10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09"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102"/>
              <w:ind w:left="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0" w:hRule="exact"/>
        </w:trPr>
        <w:tc>
          <w:tcPr>
            <w:tcW w:w="3386"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271" w:type="dxa"/>
            <w:gridSpan w:val="2"/>
            <w:vMerge/>
            <w:tcBorders>
              <w:left w:val="single" w:sz="6" w:space="0" w:color="000000"/>
              <w:bottom w:val="single" w:sz="6" w:space="0" w:color="000000"/>
              <w:right w:val="single" w:sz="6" w:space="0" w:color="000000"/>
            </w:tcBorders>
            <w:shd w:val="clear" w:color="auto" w:fill="D2D2D2"/>
          </w:tcPr>
          <w:p>
            <w:pPr/>
          </w:p>
        </w:tc>
        <w:tc>
          <w:tcPr>
            <w:tcW w:w="2909" w:type="dxa"/>
            <w:gridSpan w:val="2"/>
            <w:vMerge/>
            <w:tcBorders>
              <w:left w:val="single" w:sz="6" w:space="0" w:color="000000"/>
              <w:bottom w:val="single" w:sz="6" w:space="0" w:color="000000"/>
              <w:right w:val="single" w:sz="12" w:space="0" w:color="000000"/>
            </w:tcBorders>
            <w:shd w:val="clear" w:color="auto" w:fill="D2D2D2"/>
          </w:tcPr>
          <w:p>
            <w:pPr/>
          </w:p>
        </w:tc>
      </w:tr>
      <w:tr>
        <w:trPr>
          <w:trHeight w:val="200" w:hRule="exact"/>
        </w:trPr>
        <w:tc>
          <w:tcPr>
            <w:tcW w:w="3386" w:type="dxa"/>
            <w:vMerge/>
            <w:tcBorders>
              <w:left w:val="single" w:sz="12" w:space="0" w:color="000000"/>
              <w:bottom w:val="nil" w:sz="6" w:space="0" w:color="auto"/>
              <w:right w:val="single" w:sz="6" w:space="0" w:color="000000"/>
            </w:tcBorders>
            <w:shd w:val="clear" w:color="auto" w:fill="D2D2D2"/>
          </w:tcPr>
          <w:p>
            <w:pPr/>
          </w:p>
        </w:tc>
        <w:tc>
          <w:tcPr>
            <w:tcW w:w="171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43"/>
              <w:ind w:left="1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6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43"/>
              <w:ind w:left="14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6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43"/>
              <w:ind w:left="5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349"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143"/>
              <w:ind w:left="3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92" w:hRule="exact"/>
        </w:trPr>
        <w:tc>
          <w:tcPr>
            <w:tcW w:w="3386" w:type="dxa"/>
            <w:tcBorders>
              <w:top w:val="nil" w:sz="6" w:space="0" w:color="auto"/>
              <w:left w:val="single" w:sz="12" w:space="0" w:color="000000"/>
              <w:bottom w:val="single" w:sz="6" w:space="0" w:color="000000"/>
              <w:right w:val="single" w:sz="6" w:space="0" w:color="000000"/>
            </w:tcBorders>
            <w:shd w:val="clear" w:color="auto" w:fill="D2D2D2"/>
          </w:tcPr>
          <w:p>
            <w:pPr/>
          </w:p>
        </w:tc>
        <w:tc>
          <w:tcPr>
            <w:tcW w:w="1710" w:type="dxa"/>
            <w:vMerge/>
            <w:tcBorders>
              <w:left w:val="single" w:sz="6" w:space="0" w:color="000000"/>
              <w:bottom w:val="single" w:sz="6" w:space="0" w:color="000000"/>
              <w:right w:val="single" w:sz="6" w:space="0" w:color="000000"/>
            </w:tcBorders>
            <w:shd w:val="clear" w:color="auto" w:fill="D2D2D2"/>
          </w:tcPr>
          <w:p>
            <w:pPr/>
          </w:p>
        </w:tc>
        <w:tc>
          <w:tcPr>
            <w:tcW w:w="1561" w:type="dxa"/>
            <w:vMerge/>
            <w:tcBorders>
              <w:left w:val="single" w:sz="6" w:space="0" w:color="000000"/>
              <w:bottom w:val="single" w:sz="6" w:space="0" w:color="000000"/>
              <w:right w:val="single" w:sz="6" w:space="0" w:color="000000"/>
            </w:tcBorders>
            <w:shd w:val="clear" w:color="auto" w:fill="D2D2D2"/>
          </w:tcPr>
          <w:p>
            <w:pPr/>
          </w:p>
        </w:tc>
        <w:tc>
          <w:tcPr>
            <w:tcW w:w="1560" w:type="dxa"/>
            <w:vMerge/>
            <w:tcBorders>
              <w:left w:val="single" w:sz="6" w:space="0" w:color="000000"/>
              <w:bottom w:val="single" w:sz="6" w:space="0" w:color="000000"/>
              <w:right w:val="single" w:sz="6" w:space="0" w:color="000000"/>
            </w:tcBorders>
            <w:shd w:val="clear" w:color="auto" w:fill="D2D2D2"/>
          </w:tcPr>
          <w:p>
            <w:pPr/>
          </w:p>
        </w:tc>
        <w:tc>
          <w:tcPr>
            <w:tcW w:w="1349" w:type="dxa"/>
            <w:vMerge/>
            <w:tcBorders>
              <w:left w:val="single" w:sz="6" w:space="0" w:color="000000"/>
              <w:bottom w:val="single" w:sz="6" w:space="0" w:color="000000"/>
              <w:right w:val="single" w:sz="12" w:space="0" w:color="000000"/>
            </w:tcBorders>
            <w:shd w:val="clear" w:color="auto" w:fill="D2D2D2"/>
          </w:tcPr>
          <w:p>
            <w:pPr/>
          </w:p>
        </w:tc>
      </w:tr>
      <w:tr>
        <w:trPr>
          <w:trHeight w:val="467" w:hRule="exact"/>
        </w:trPr>
        <w:tc>
          <w:tcPr>
            <w:tcW w:w="33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left="7"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71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62"/>
              <w:ind w:right="17"/>
              <w:jc w:val="right"/>
              <w:rPr>
                <w:rFonts w:ascii="Times New Roman" w:hAnsi="Times New Roman" w:cs="Times New Roman" w:eastAsia="Times New Roman" w:hint="default"/>
                <w:sz w:val="18"/>
                <w:szCs w:val="18"/>
              </w:rPr>
            </w:pPr>
            <w:r>
              <w:rPr>
                <w:rFonts w:ascii="Times New Roman"/>
                <w:spacing w:val="-1"/>
                <w:sz w:val="18"/>
              </w:rPr>
              <w:t>15,241,666.67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17"/>
              <w:jc w:val="right"/>
              <w:rPr>
                <w:rFonts w:ascii="Times New Roman" w:hAnsi="Times New Roman" w:cs="Times New Roman" w:eastAsia="Times New Roman" w:hint="default"/>
                <w:sz w:val="18"/>
                <w:szCs w:val="18"/>
              </w:rPr>
            </w:pPr>
            <w:r>
              <w:rPr>
                <w:rFonts w:ascii="Times New Roman"/>
                <w:spacing w:val="-1"/>
                <w:sz w:val="18"/>
              </w:rPr>
              <w:t>2,286,250.00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33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1710" w:type="dxa"/>
            <w:tcBorders>
              <w:top w:val="single" w:sz="6" w:space="0" w:color="000000"/>
              <w:left w:val="single" w:sz="14" w:space="0" w:color="D2D2D2"/>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12" w:space="0" w:color="000000"/>
            </w:tcBorders>
          </w:tcPr>
          <w:p>
            <w:pPr/>
          </w:p>
        </w:tc>
      </w:tr>
      <w:tr>
        <w:trPr>
          <w:trHeight w:val="475" w:hRule="exact"/>
        </w:trPr>
        <w:tc>
          <w:tcPr>
            <w:tcW w:w="338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0"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15,241,666.67</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2,286,250.00</w:t>
            </w:r>
          </w:p>
        </w:tc>
        <w:tc>
          <w:tcPr>
            <w:tcW w:w="1560" w:type="dxa"/>
            <w:tcBorders>
              <w:top w:val="single" w:sz="6" w:space="0" w:color="000000"/>
              <w:left w:val="single" w:sz="6" w:space="0" w:color="000000"/>
              <w:bottom w:val="single" w:sz="12" w:space="0" w:color="000000"/>
              <w:right w:val="single" w:sz="6" w:space="0" w:color="000000"/>
            </w:tcBorders>
          </w:tcPr>
          <w:p>
            <w:pPr/>
          </w:p>
        </w:tc>
        <w:tc>
          <w:tcPr>
            <w:tcW w:w="1349"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060" w:bottom="1420" w:left="980" w:right="980"/>
        </w:sectPr>
      </w:pPr>
    </w:p>
    <w:p>
      <w:pPr>
        <w:pStyle w:val="Heading4"/>
        <w:spacing w:line="240" w:lineRule="auto" w:before="45"/>
        <w:ind w:right="-8"/>
        <w:jc w:val="left"/>
        <w:rPr>
          <w:b w:val="0"/>
          <w:bCs w:val="0"/>
        </w:rPr>
      </w:pPr>
      <w:r>
        <w:rPr>
          <w:rFonts w:ascii="Times New Roman" w:hAnsi="Times New Roman" w:cs="Times New Roman" w:eastAsia="Times New Roman" w:hint="default"/>
        </w:rPr>
        <w:t>18</w:t>
      </w:r>
      <w:r>
        <w:rPr/>
        <w:t>、短期借款</w:t>
      </w:r>
      <w:r>
        <w:rPr>
          <w:b w:val="0"/>
          <w:bCs w:val="0"/>
        </w:rPr>
      </w:r>
    </w:p>
    <w:p>
      <w:pPr>
        <w:pStyle w:val="Heading4"/>
        <w:spacing w:line="240" w:lineRule="auto" w:before="69"/>
        <w:ind w:right="-8"/>
        <w:jc w:val="left"/>
        <w:rPr>
          <w:b w:val="0"/>
          <w:bCs w:val="0"/>
        </w:rPr>
      </w:pPr>
      <w:r>
        <w:rPr>
          <w:spacing w:val="-1"/>
        </w:rPr>
        <w:t>（</w:t>
      </w:r>
      <w:r>
        <w:rPr>
          <w:rFonts w:ascii="Times New Roman" w:hAnsi="Times New Roman" w:cs="Times New Roman" w:eastAsia="Times New Roman" w:hint="default"/>
          <w:spacing w:val="-1"/>
        </w:rPr>
        <w:t>1</w:t>
      </w:r>
      <w:r>
        <w:rPr>
          <w:spacing w:val="-1"/>
        </w:rPr>
        <w:t>）短期借款分类</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420" w:left="980" w:right="980"/>
          <w:cols w:num="2" w:equalWidth="0">
            <w:col w:w="1949" w:space="6971"/>
            <w:col w:w="1030"/>
          </w:cols>
        </w:sectPr>
      </w:pPr>
    </w:p>
    <w:p>
      <w:pPr>
        <w:spacing w:line="240" w:lineRule="auto" w:before="9"/>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171"/>
        <w:gridCol w:w="3202"/>
        <w:gridCol w:w="3191"/>
      </w:tblGrid>
      <w:tr>
        <w:trPr>
          <w:trHeight w:val="462"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7"/>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7"/>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7"/>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54"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2" w:type="dxa"/>
            <w:tcBorders>
              <w:top w:val="single" w:sz="6" w:space="0" w:color="000000"/>
              <w:left w:val="single" w:sz="8"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2" w:type="dxa"/>
            <w:tcBorders>
              <w:top w:val="single" w:sz="6" w:space="0" w:color="000000"/>
              <w:left w:val="single" w:sz="8"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2"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514,521,996.99</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1,082,934,013.08</w:t>
            </w:r>
          </w:p>
        </w:tc>
      </w:tr>
      <w:tr>
        <w:trPr>
          <w:trHeight w:val="454"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2"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248,170,508.12</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141,457,956.39</w:t>
            </w:r>
          </w:p>
        </w:tc>
      </w:tr>
      <w:tr>
        <w:trPr>
          <w:trHeight w:val="461"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762,692,505.11</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1,224,391,969.47</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19</w:t>
      </w:r>
      <w:r>
        <w:rPr/>
        <w:t>、应付票据</w:t>
      </w:r>
      <w:r>
        <w:rPr>
          <w:b w:val="0"/>
          <w:bCs w:val="0"/>
        </w:rPr>
      </w:r>
    </w:p>
    <w:p>
      <w:pPr>
        <w:spacing w:line="240" w:lineRule="auto" w:before="5"/>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171"/>
        <w:gridCol w:w="3202"/>
        <w:gridCol w:w="3191"/>
      </w:tblGrid>
      <w:tr>
        <w:trPr>
          <w:trHeight w:val="462"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5"/>
              <w:ind w:right="3"/>
              <w:jc w:val="center"/>
              <w:rPr>
                <w:rFonts w:ascii="宋体" w:hAnsi="宋体" w:cs="宋体" w:eastAsia="宋体" w:hint="default"/>
                <w:sz w:val="18"/>
                <w:szCs w:val="18"/>
              </w:rPr>
            </w:pPr>
            <w:r>
              <w:rPr>
                <w:rFonts w:ascii="宋体" w:hAnsi="宋体" w:cs="宋体" w:eastAsia="宋体" w:hint="default"/>
                <w:sz w:val="18"/>
                <w:szCs w:val="18"/>
              </w:rPr>
              <w:t>种类</w:t>
            </w:r>
          </w:p>
        </w:tc>
        <w:tc>
          <w:tcPr>
            <w:tcW w:w="32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54"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2"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146,734,872.85</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283,209,381.00</w:t>
            </w:r>
          </w:p>
        </w:tc>
      </w:tr>
      <w:tr>
        <w:trPr>
          <w:trHeight w:val="456"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2"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62,969,116.08</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79,972,865.34</w:t>
            </w:r>
          </w:p>
        </w:tc>
      </w:tr>
      <w:tr>
        <w:trPr>
          <w:trHeight w:val="461"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9D9D9"/>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209,703,988.93</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363,182,246.34</w:t>
            </w:r>
          </w:p>
        </w:tc>
      </w:tr>
    </w:tbl>
    <w:p>
      <w:pPr>
        <w:pStyle w:val="BodyText"/>
        <w:spacing w:line="240" w:lineRule="auto" w:before="66"/>
        <w:ind w:right="140"/>
        <w:jc w:val="left"/>
        <w:rPr>
          <w:rFonts w:ascii="宋体" w:hAnsi="宋体" w:cs="宋体" w:eastAsia="宋体" w:hint="default"/>
        </w:rPr>
      </w:pPr>
      <w:r>
        <w:rPr/>
        <w:t>本期末已到期未支付的应付票据总额为</w:t>
      </w:r>
      <w:r>
        <w:rPr>
          <w:rFonts w:ascii="宋体" w:hAnsi="宋体" w:cs="宋体" w:eastAsia="宋体" w:hint="default"/>
        </w:rPr>
        <w:t>60,090.00</w:t>
      </w:r>
      <w:r>
        <w:rPr/>
        <w:t>元</w:t>
      </w:r>
      <w:r>
        <w:rPr>
          <w:rFonts w:ascii="宋体" w:hAnsi="宋体" w:cs="宋体" w:eastAsia="宋体" w:hint="default"/>
        </w:rPr>
        <w:t>,</w:t>
      </w:r>
      <w:r>
        <w:rPr>
          <w:rFonts w:ascii="宋体" w:hAnsi="宋体" w:cs="宋体" w:eastAsia="宋体" w:hint="default"/>
          <w:spacing w:val="-12"/>
        </w:rPr>
        <w:t> </w:t>
      </w:r>
      <w:r>
        <w:rPr/>
        <w:t>系由于供应商到期未承兑所致，该笔款项已于</w:t>
      </w:r>
      <w:r>
        <w:rPr>
          <w:rFonts w:ascii="宋体" w:hAnsi="宋体" w:cs="宋体" w:eastAsia="宋体" w:hint="default"/>
        </w:rPr>
        <w:t>2015</w:t>
      </w:r>
    </w:p>
    <w:p>
      <w:pPr>
        <w:spacing w:line="240" w:lineRule="auto" w:before="10"/>
        <w:rPr>
          <w:rFonts w:ascii="宋体" w:hAnsi="宋体" w:cs="宋体" w:eastAsia="宋体" w:hint="default"/>
          <w:sz w:val="14"/>
          <w:szCs w:val="14"/>
        </w:rPr>
      </w:pPr>
    </w:p>
    <w:p>
      <w:pPr>
        <w:pStyle w:val="BodyText"/>
        <w:spacing w:line="240" w:lineRule="auto"/>
        <w:ind w:right="140"/>
        <w:jc w:val="left"/>
      </w:pPr>
      <w:r>
        <w:rPr/>
        <w:t>年</w:t>
      </w:r>
      <w:r>
        <w:rPr>
          <w:rFonts w:ascii="宋体" w:hAnsi="宋体" w:cs="宋体" w:eastAsia="宋体" w:hint="default"/>
        </w:rPr>
        <w:t>1</w:t>
      </w:r>
      <w:r>
        <w:rPr/>
        <w:t>月支付。</w:t>
      </w:r>
    </w:p>
    <w:p>
      <w:pPr>
        <w:spacing w:after="0" w:line="240" w:lineRule="auto"/>
        <w:jc w:val="left"/>
        <w:sectPr>
          <w:type w:val="continuous"/>
          <w:pgSz w:w="11910" w:h="16840"/>
          <w:pgMar w:top="1060" w:bottom="1420" w:left="980" w:right="980"/>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rFonts w:ascii="Times New Roman" w:hAnsi="Times New Roman" w:cs="Times New Roman" w:eastAsia="Times New Roman" w:hint="default"/>
        </w:rPr>
        <w:t>20</w:t>
      </w:r>
      <w:r>
        <w:rPr/>
        <w:t>、应付账款</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3177"/>
        <w:gridCol w:w="3202"/>
        <w:gridCol w:w="3191"/>
      </w:tblGrid>
      <w:tr>
        <w:trPr>
          <w:trHeight w:val="449" w:hRule="exact"/>
        </w:trPr>
        <w:tc>
          <w:tcPr>
            <w:tcW w:w="317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8" w:space="0" w:color="D9D9D9"/>
              <w:bottom w:val="single" w:sz="6" w:space="0" w:color="000000"/>
              <w:right w:val="single" w:sz="6" w:space="0" w:color="000000"/>
            </w:tcBorders>
            <w:shd w:val="clear" w:color="auto" w:fill="D2D2D2"/>
          </w:tcPr>
          <w:p>
            <w:pPr>
              <w:pStyle w:val="TableParagraph"/>
              <w:spacing w:line="240" w:lineRule="auto" w:before="101"/>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948,779,678.47</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1,281,426,701.42</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114,246,512.85</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257,739,932.62</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61,121,317.48</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99,716,712.95</w:t>
            </w:r>
          </w:p>
        </w:tc>
      </w:tr>
      <w:tr>
        <w:trPr>
          <w:trHeight w:val="457"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61"/>
              <w:ind w:right="17"/>
              <w:jc w:val="right"/>
              <w:rPr>
                <w:rFonts w:ascii="Times New Roman" w:hAnsi="Times New Roman" w:cs="Times New Roman" w:eastAsia="Times New Roman" w:hint="default"/>
                <w:sz w:val="18"/>
                <w:szCs w:val="18"/>
              </w:rPr>
            </w:pPr>
            <w:r>
              <w:rPr>
                <w:rFonts w:ascii="Times New Roman"/>
                <w:spacing w:val="-1"/>
                <w:sz w:val="18"/>
              </w:rPr>
              <w:t>34,275,486.49</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1"/>
              <w:ind w:right="10"/>
              <w:jc w:val="right"/>
              <w:rPr>
                <w:rFonts w:ascii="Times New Roman" w:hAnsi="Times New Roman" w:cs="Times New Roman" w:eastAsia="Times New Roman" w:hint="default"/>
                <w:sz w:val="18"/>
                <w:szCs w:val="18"/>
              </w:rPr>
            </w:pPr>
            <w:r>
              <w:rPr>
                <w:rFonts w:ascii="Times New Roman"/>
                <w:spacing w:val="-1"/>
                <w:sz w:val="18"/>
              </w:rPr>
              <w:t>41,863,780.24</w:t>
            </w:r>
          </w:p>
        </w:tc>
      </w:tr>
      <w:tr>
        <w:trPr>
          <w:trHeight w:val="461" w:hRule="exact"/>
        </w:trPr>
        <w:tc>
          <w:tcPr>
            <w:tcW w:w="317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9D9D9"/>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1,158,422,995.29</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1,680,747,127.23</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3177"/>
        <w:gridCol w:w="3202"/>
        <w:gridCol w:w="3191"/>
      </w:tblGrid>
      <w:tr>
        <w:trPr>
          <w:trHeight w:val="446" w:hRule="exact"/>
        </w:trPr>
        <w:tc>
          <w:tcPr>
            <w:tcW w:w="317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8" w:space="0" w:color="D9D9D9"/>
              <w:bottom w:val="single" w:sz="6" w:space="0" w:color="000000"/>
              <w:right w:val="single" w:sz="6" w:space="0" w:color="000000"/>
            </w:tcBorders>
            <w:shd w:val="clear" w:color="auto" w:fill="D2D2D2"/>
          </w:tcPr>
          <w:p>
            <w:pPr>
              <w:pStyle w:val="TableParagraph"/>
              <w:spacing w:line="240" w:lineRule="auto" w:before="101"/>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9,958,959.53</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8"/>
              <w:ind w:left="9"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9,879,211.84</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9,711,877.87</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7,209,618.69</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6,924,926.48</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61" w:hRule="exact"/>
        </w:trPr>
        <w:tc>
          <w:tcPr>
            <w:tcW w:w="317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9D9D9"/>
              <w:bottom w:val="single" w:sz="12"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43,684,594.41</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0"/>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21</w:t>
      </w:r>
      <w:r>
        <w:rPr/>
        <w:t>、预收款项</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5"/>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3177"/>
        <w:gridCol w:w="3202"/>
        <w:gridCol w:w="3191"/>
      </w:tblGrid>
      <w:tr>
        <w:trPr>
          <w:trHeight w:val="446" w:hRule="exact"/>
        </w:trPr>
        <w:tc>
          <w:tcPr>
            <w:tcW w:w="317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8" w:space="0" w:color="D9D9D9"/>
              <w:bottom w:val="single" w:sz="6" w:space="0" w:color="000000"/>
              <w:right w:val="single" w:sz="6" w:space="0" w:color="000000"/>
            </w:tcBorders>
            <w:shd w:val="clear" w:color="auto" w:fill="D2D2D2"/>
          </w:tcPr>
          <w:p>
            <w:pPr>
              <w:pStyle w:val="TableParagraph"/>
              <w:spacing w:line="240" w:lineRule="auto" w:before="101"/>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529,258,068.81</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384,619,247.28</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29,531,318.97</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13,647,267.83</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8,169,312.07</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9,220,828.63</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3,338,510.37</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7,339,816.37</w:t>
            </w:r>
          </w:p>
        </w:tc>
      </w:tr>
      <w:tr>
        <w:trPr>
          <w:trHeight w:val="461" w:hRule="exact"/>
        </w:trPr>
        <w:tc>
          <w:tcPr>
            <w:tcW w:w="317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9D9D9"/>
              <w:bottom w:val="single" w:sz="12"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570,297,210.22</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414,827,160.11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13"/>
          <w:szCs w:val="1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14"/>
          <w:szCs w:val="14"/>
        </w:rPr>
      </w:pPr>
    </w:p>
    <w:tbl>
      <w:tblPr>
        <w:tblW w:w="0" w:type="auto"/>
        <w:jc w:val="left"/>
        <w:tblInd w:w="140" w:type="dxa"/>
        <w:tblLayout w:type="fixed"/>
        <w:tblCellMar>
          <w:top w:w="0" w:type="dxa"/>
          <w:left w:w="0" w:type="dxa"/>
          <w:bottom w:w="0" w:type="dxa"/>
          <w:right w:w="0" w:type="dxa"/>
        </w:tblCellMar>
        <w:tblLook w:val="01E0"/>
      </w:tblPr>
      <w:tblGrid>
        <w:gridCol w:w="3177"/>
        <w:gridCol w:w="3202"/>
        <w:gridCol w:w="3191"/>
      </w:tblGrid>
      <w:tr>
        <w:trPr>
          <w:trHeight w:val="446" w:hRule="exact"/>
        </w:trPr>
        <w:tc>
          <w:tcPr>
            <w:tcW w:w="317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8" w:space="0" w:color="D9D9D9"/>
              <w:bottom w:val="single" w:sz="6" w:space="0" w:color="000000"/>
              <w:right w:val="single" w:sz="6" w:space="0" w:color="000000"/>
            </w:tcBorders>
            <w:shd w:val="clear" w:color="auto" w:fill="D2D2D2"/>
          </w:tcPr>
          <w:p>
            <w:pPr>
              <w:pStyle w:val="TableParagraph"/>
              <w:spacing w:line="240" w:lineRule="auto" w:before="101"/>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6,301,036.25</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项目尚未结束</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6,232,713.91</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8"/>
              <w:ind w:left="9" w:right="0"/>
              <w:jc w:val="center"/>
              <w:rPr>
                <w:rFonts w:ascii="宋体" w:hAnsi="宋体" w:cs="宋体" w:eastAsia="宋体" w:hint="default"/>
                <w:sz w:val="18"/>
                <w:szCs w:val="18"/>
              </w:rPr>
            </w:pPr>
            <w:r>
              <w:rPr>
                <w:rFonts w:ascii="宋体" w:hAnsi="宋体" w:cs="宋体" w:eastAsia="宋体" w:hint="default"/>
                <w:sz w:val="18"/>
                <w:szCs w:val="18"/>
              </w:rPr>
              <w:t>项目尚未结束</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1,719,669.72</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项目尚未结束</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1,669,500.00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项目尚未结束</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1,403,295.69</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项目尚未结束</w:t>
            </w:r>
          </w:p>
        </w:tc>
      </w:tr>
      <w:tr>
        <w:trPr>
          <w:trHeight w:val="461" w:hRule="exact"/>
        </w:trPr>
        <w:tc>
          <w:tcPr>
            <w:tcW w:w="317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9D9D9"/>
              <w:bottom w:val="single" w:sz="12" w:space="0" w:color="000000"/>
              <w:right w:val="single" w:sz="6" w:space="0" w:color="000000"/>
            </w:tcBorders>
          </w:tcPr>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17,326,215.57</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9"/>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9"/>
          <w:szCs w:val="9"/>
        </w:rPr>
      </w:pPr>
    </w:p>
    <w:p>
      <w:pPr>
        <w:pStyle w:val="Heading4"/>
        <w:spacing w:line="240" w:lineRule="auto" w:before="36"/>
        <w:ind w:right="140"/>
        <w:jc w:val="left"/>
        <w:rPr>
          <w:b w:val="0"/>
          <w:bCs w:val="0"/>
        </w:rPr>
      </w:pPr>
      <w:r>
        <w:rPr>
          <w:rFonts w:ascii="Times New Roman" w:hAnsi="Times New Roman" w:cs="Times New Roman" w:eastAsia="Times New Roman" w:hint="default"/>
        </w:rPr>
        <w:t>22</w:t>
      </w:r>
      <w:r>
        <w:rPr/>
        <w:t>、应付职工薪酬</w:t>
      </w:r>
      <w:r>
        <w:rPr>
          <w:b w:val="0"/>
          <w:bCs w:val="0"/>
        </w:rPr>
      </w:r>
    </w:p>
    <w:p>
      <w:pPr>
        <w:pStyle w:val="Heading4"/>
        <w:spacing w:line="240" w:lineRule="auto" w:before="189"/>
        <w:ind w:right="14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13"/>
          <w:szCs w:val="1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2414"/>
        <w:gridCol w:w="1900"/>
        <w:gridCol w:w="1712"/>
        <w:gridCol w:w="1709"/>
        <w:gridCol w:w="1832"/>
      </w:tblGrid>
      <w:tr>
        <w:trPr>
          <w:trHeight w:val="462" w:hRule="exact"/>
        </w:trPr>
        <w:tc>
          <w:tcPr>
            <w:tcW w:w="241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5"/>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9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58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1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48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48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3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5"/>
              <w:ind w:left="5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54" w:hRule="exact"/>
        </w:trPr>
        <w:tc>
          <w:tcPr>
            <w:tcW w:w="24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0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227,454,753.94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778,620,500.98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741,113,102.93</w:t>
            </w:r>
          </w:p>
        </w:tc>
        <w:tc>
          <w:tcPr>
            <w:tcW w:w="18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264,962,151.99</w:t>
            </w:r>
          </w:p>
        </w:tc>
      </w:tr>
      <w:tr>
        <w:trPr>
          <w:trHeight w:val="456" w:hRule="exact"/>
        </w:trPr>
        <w:tc>
          <w:tcPr>
            <w:tcW w:w="24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pacing w:val="-2"/>
                <w:sz w:val="18"/>
                <w:szCs w:val="18"/>
              </w:rPr>
              <w:t>二、离职后福利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设定提存计划</w:t>
            </w:r>
          </w:p>
        </w:tc>
        <w:tc>
          <w:tcPr>
            <w:tcW w:w="190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5,055,585.96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78,636,180.62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77,964,837.32</w:t>
            </w:r>
          </w:p>
        </w:tc>
        <w:tc>
          <w:tcPr>
            <w:tcW w:w="18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2"/>
              <w:jc w:val="right"/>
              <w:rPr>
                <w:rFonts w:ascii="Times New Roman" w:hAnsi="Times New Roman" w:cs="Times New Roman" w:eastAsia="Times New Roman" w:hint="default"/>
                <w:sz w:val="18"/>
                <w:szCs w:val="18"/>
              </w:rPr>
            </w:pPr>
            <w:r>
              <w:rPr>
                <w:rFonts w:ascii="Times New Roman"/>
                <w:spacing w:val="-1"/>
                <w:sz w:val="18"/>
              </w:rPr>
              <w:t>5,726,929.26</w:t>
            </w:r>
          </w:p>
        </w:tc>
      </w:tr>
      <w:tr>
        <w:trPr>
          <w:trHeight w:val="454" w:hRule="exact"/>
        </w:trPr>
        <w:tc>
          <w:tcPr>
            <w:tcW w:w="24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0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-22,741.09</w:t>
            </w:r>
          </w:p>
        </w:tc>
        <w:tc>
          <w:tcPr>
            <w:tcW w:w="171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1"/>
              <w:jc w:val="right"/>
              <w:rPr>
                <w:rFonts w:ascii="Times New Roman" w:hAnsi="Times New Roman" w:cs="Times New Roman" w:eastAsia="Times New Roman" w:hint="default"/>
                <w:sz w:val="18"/>
                <w:szCs w:val="18"/>
              </w:rPr>
            </w:pPr>
            <w:r>
              <w:rPr>
                <w:rFonts w:ascii="Times New Roman"/>
                <w:spacing w:val="-1"/>
                <w:sz w:val="18"/>
              </w:rPr>
              <w:t>-22,741.09</w:t>
            </w:r>
          </w:p>
        </w:tc>
      </w:tr>
      <w:tr>
        <w:trPr>
          <w:trHeight w:val="456" w:hRule="exact"/>
        </w:trPr>
        <w:tc>
          <w:tcPr>
            <w:tcW w:w="24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900" w:type="dxa"/>
            <w:tcBorders>
              <w:top w:val="single" w:sz="6" w:space="0" w:color="000000"/>
              <w:left w:val="single" w:sz="9" w:space="0" w:color="D2D2D2"/>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241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232,487,598.81</w:t>
            </w:r>
          </w:p>
        </w:tc>
        <w:tc>
          <w:tcPr>
            <w:tcW w:w="17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857,256,681.60</w:t>
            </w:r>
          </w:p>
        </w:tc>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819,077,940.25</w:t>
            </w:r>
          </w:p>
        </w:tc>
        <w:tc>
          <w:tcPr>
            <w:tcW w:w="18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270,666,340.16</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324"/>
        <w:gridCol w:w="1810"/>
        <w:gridCol w:w="1892"/>
        <w:gridCol w:w="1709"/>
        <w:gridCol w:w="1832"/>
      </w:tblGrid>
      <w:tr>
        <w:trPr>
          <w:trHeight w:val="462" w:hRule="exact"/>
        </w:trPr>
        <w:tc>
          <w:tcPr>
            <w:tcW w:w="232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54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57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48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3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5"/>
              <w:ind w:left="5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54" w:hRule="exact"/>
        </w:trPr>
        <w:tc>
          <w:tcPr>
            <w:tcW w:w="23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210,440,967.65</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646,335,098.38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624,704,855.61</w:t>
            </w:r>
          </w:p>
        </w:tc>
        <w:tc>
          <w:tcPr>
            <w:tcW w:w="18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232,071,210.42</w:t>
            </w:r>
          </w:p>
        </w:tc>
      </w:tr>
      <w:tr>
        <w:trPr>
          <w:trHeight w:val="456" w:hRule="exact"/>
        </w:trPr>
        <w:tc>
          <w:tcPr>
            <w:tcW w:w="23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10" w:type="dxa"/>
            <w:tcBorders>
              <w:top w:val="single" w:sz="6" w:space="0" w:color="000000"/>
              <w:left w:val="single" w:sz="9" w:space="0" w:color="D2D2D2"/>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20,679,734.59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20,679,734.59</w:t>
            </w:r>
          </w:p>
        </w:tc>
        <w:tc>
          <w:tcPr>
            <w:tcW w:w="1832"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3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2,383,894.62</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41,506,883.04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41,149,852.80</w:t>
            </w:r>
          </w:p>
        </w:tc>
        <w:tc>
          <w:tcPr>
            <w:tcW w:w="18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2,740,924.86</w:t>
            </w:r>
          </w:p>
        </w:tc>
      </w:tr>
      <w:tr>
        <w:trPr>
          <w:trHeight w:val="456" w:hRule="exact"/>
        </w:trPr>
        <w:tc>
          <w:tcPr>
            <w:tcW w:w="23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367"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2,132,036.15</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36,388,914.73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36,091,154.05</w:t>
            </w:r>
          </w:p>
        </w:tc>
        <w:tc>
          <w:tcPr>
            <w:tcW w:w="18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2"/>
              <w:jc w:val="right"/>
              <w:rPr>
                <w:rFonts w:ascii="Times New Roman" w:hAnsi="Times New Roman" w:cs="Times New Roman" w:eastAsia="Times New Roman" w:hint="default"/>
                <w:sz w:val="18"/>
                <w:szCs w:val="18"/>
              </w:rPr>
            </w:pPr>
            <w:r>
              <w:rPr>
                <w:rFonts w:ascii="Times New Roman"/>
                <w:spacing w:val="-1"/>
                <w:sz w:val="18"/>
              </w:rPr>
              <w:t>2,429,796.83</w:t>
            </w:r>
          </w:p>
        </w:tc>
      </w:tr>
      <w:tr>
        <w:trPr>
          <w:trHeight w:val="456" w:hRule="exact"/>
        </w:trPr>
        <w:tc>
          <w:tcPr>
            <w:tcW w:w="23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907"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113,321.68</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2,234,655.92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2,207,677.00</w:t>
            </w:r>
          </w:p>
        </w:tc>
        <w:tc>
          <w:tcPr>
            <w:tcW w:w="18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140,300.60</w:t>
            </w:r>
          </w:p>
        </w:tc>
      </w:tr>
      <w:tr>
        <w:trPr>
          <w:trHeight w:val="454" w:hRule="exact"/>
        </w:trPr>
        <w:tc>
          <w:tcPr>
            <w:tcW w:w="23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907"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138,536.79</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2,883,312.39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2,851,021.75</w:t>
            </w:r>
          </w:p>
        </w:tc>
        <w:tc>
          <w:tcPr>
            <w:tcW w:w="18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170,827.43</w:t>
            </w:r>
          </w:p>
        </w:tc>
      </w:tr>
      <w:tr>
        <w:trPr>
          <w:trHeight w:val="461" w:hRule="exact"/>
        </w:trPr>
        <w:tc>
          <w:tcPr>
            <w:tcW w:w="232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1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195,827.01</w:t>
            </w:r>
          </w:p>
        </w:tc>
        <w:tc>
          <w:tcPr>
            <w:tcW w:w="18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46,338,170.08</w:t>
            </w:r>
          </w:p>
        </w:tc>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46,281,832.29</w:t>
            </w:r>
          </w:p>
        </w:tc>
        <w:tc>
          <w:tcPr>
            <w:tcW w:w="18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252,164.80</w:t>
            </w:r>
          </w:p>
        </w:tc>
      </w:tr>
    </w:tbl>
    <w:p>
      <w:pPr>
        <w:spacing w:after="0" w:line="240" w:lineRule="auto"/>
        <w:jc w:val="right"/>
        <w:rPr>
          <w:rFonts w:ascii="Times New Roman" w:hAnsi="Times New Roman" w:cs="Times New Roman" w:eastAsia="Times New Roman" w:hint="default"/>
          <w:sz w:val="18"/>
          <w:szCs w:val="18"/>
        </w:rPr>
        <w:sectPr>
          <w:footerReference w:type="default" r:id="rId59"/>
          <w:pgSz w:w="11910" w:h="16840"/>
          <w:pgMar w:footer="1227" w:header="0" w:top="1100" w:bottom="1420" w:left="980" w:right="980"/>
          <w:pgNumType w:start="160"/>
        </w:sectPr>
      </w:pPr>
    </w:p>
    <w:p>
      <w:pPr>
        <w:spacing w:line="240" w:lineRule="auto" w:before="8"/>
        <w:rPr>
          <w:rFonts w:ascii="宋体" w:hAnsi="宋体" w:cs="宋体" w:eastAsia="宋体" w:hint="default"/>
          <w:sz w:val="24"/>
          <w:szCs w:val="24"/>
        </w:rPr>
      </w:pPr>
    </w:p>
    <w:tbl>
      <w:tblPr>
        <w:tblW w:w="0" w:type="auto"/>
        <w:jc w:val="left"/>
        <w:tblInd w:w="140" w:type="dxa"/>
        <w:tblLayout w:type="fixed"/>
        <w:tblCellMar>
          <w:top w:w="0" w:type="dxa"/>
          <w:left w:w="0" w:type="dxa"/>
          <w:bottom w:w="0" w:type="dxa"/>
          <w:right w:w="0" w:type="dxa"/>
        </w:tblCellMar>
        <w:tblLook w:val="01E0"/>
      </w:tblPr>
      <w:tblGrid>
        <w:gridCol w:w="2330"/>
        <w:gridCol w:w="1810"/>
        <w:gridCol w:w="1892"/>
        <w:gridCol w:w="1709"/>
        <w:gridCol w:w="1832"/>
      </w:tblGrid>
      <w:tr>
        <w:trPr>
          <w:trHeight w:val="464" w:hRule="exact"/>
        </w:trPr>
        <w:tc>
          <w:tcPr>
            <w:tcW w:w="233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10" w:type="dxa"/>
            <w:tcBorders>
              <w:top w:val="single" w:sz="12" w:space="0" w:color="000000"/>
              <w:left w:val="single" w:sz="9" w:space="0" w:color="D2D2D2"/>
              <w:bottom w:val="single" w:sz="6" w:space="0" w:color="000000"/>
              <w:right w:val="single" w:sz="6" w:space="0" w:color="000000"/>
            </w:tcBorders>
          </w:tcPr>
          <w:p>
            <w:pPr>
              <w:pStyle w:val="TableParagraph"/>
              <w:spacing w:line="240" w:lineRule="auto" w:before="161"/>
              <w:ind w:right="17"/>
              <w:jc w:val="right"/>
              <w:rPr>
                <w:rFonts w:ascii="Times New Roman" w:hAnsi="Times New Roman" w:cs="Times New Roman" w:eastAsia="Times New Roman" w:hint="default"/>
                <w:sz w:val="18"/>
                <w:szCs w:val="18"/>
              </w:rPr>
            </w:pPr>
            <w:r>
              <w:rPr>
                <w:rFonts w:ascii="Times New Roman"/>
                <w:spacing w:val="-1"/>
                <w:sz w:val="18"/>
              </w:rPr>
              <w:t>14,434,064.66</w:t>
            </w:r>
          </w:p>
        </w:tc>
        <w:tc>
          <w:tcPr>
            <w:tcW w:w="18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23,760,614.89</w:t>
            </w:r>
          </w:p>
        </w:tc>
        <w:tc>
          <w:tcPr>
            <w:tcW w:w="17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1"/>
              <w:ind w:right="17"/>
              <w:jc w:val="right"/>
              <w:rPr>
                <w:rFonts w:ascii="Times New Roman" w:hAnsi="Times New Roman" w:cs="Times New Roman" w:eastAsia="Times New Roman" w:hint="default"/>
                <w:sz w:val="18"/>
                <w:szCs w:val="18"/>
              </w:rPr>
            </w:pPr>
            <w:r>
              <w:rPr>
                <w:rFonts w:ascii="Times New Roman"/>
                <w:spacing w:val="-1"/>
                <w:sz w:val="18"/>
              </w:rPr>
              <w:t>8,296,827.64</w:t>
            </w:r>
          </w:p>
        </w:tc>
        <w:tc>
          <w:tcPr>
            <w:tcW w:w="183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61"/>
              <w:ind w:right="12"/>
              <w:jc w:val="right"/>
              <w:rPr>
                <w:rFonts w:ascii="Times New Roman" w:hAnsi="Times New Roman" w:cs="Times New Roman" w:eastAsia="Times New Roman" w:hint="default"/>
                <w:sz w:val="18"/>
                <w:szCs w:val="18"/>
              </w:rPr>
            </w:pPr>
            <w:r>
              <w:rPr>
                <w:rFonts w:ascii="Times New Roman"/>
                <w:spacing w:val="-1"/>
                <w:sz w:val="18"/>
              </w:rPr>
              <w:t>29,897,851.91</w:t>
            </w:r>
          </w:p>
        </w:tc>
      </w:tr>
      <w:tr>
        <w:trPr>
          <w:trHeight w:val="454" w:hRule="exact"/>
        </w:trPr>
        <w:tc>
          <w:tcPr>
            <w:tcW w:w="23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810" w:type="dxa"/>
            <w:tcBorders>
              <w:top w:val="single" w:sz="6" w:space="0" w:color="000000"/>
              <w:left w:val="single" w:sz="9" w:space="0" w:color="D2D2D2"/>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3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810" w:type="dxa"/>
            <w:tcBorders>
              <w:top w:val="single" w:sz="6" w:space="0" w:color="000000"/>
              <w:left w:val="single" w:sz="9" w:space="0" w:color="D2D2D2"/>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233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227,454,753.94</w:t>
            </w:r>
          </w:p>
        </w:tc>
        <w:tc>
          <w:tcPr>
            <w:tcW w:w="18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778,620,500.98</w:t>
            </w:r>
          </w:p>
        </w:tc>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741,113,102.93</w:t>
            </w:r>
          </w:p>
        </w:tc>
        <w:tc>
          <w:tcPr>
            <w:tcW w:w="18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264,962,151.99</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2330"/>
        <w:gridCol w:w="1810"/>
        <w:gridCol w:w="1892"/>
        <w:gridCol w:w="1709"/>
        <w:gridCol w:w="1832"/>
      </w:tblGrid>
      <w:tr>
        <w:trPr>
          <w:trHeight w:val="449" w:hRule="exact"/>
        </w:trPr>
        <w:tc>
          <w:tcPr>
            <w:tcW w:w="233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54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57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48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3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1"/>
              <w:ind w:left="5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54" w:hRule="exact"/>
        </w:trPr>
        <w:tc>
          <w:tcPr>
            <w:tcW w:w="233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810"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4,849,626.66</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pacing w:val="-1"/>
                <w:sz w:val="18"/>
              </w:rPr>
              <w:t>73,074,868.31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72,438,928.15</w:t>
            </w:r>
          </w:p>
        </w:tc>
        <w:tc>
          <w:tcPr>
            <w:tcW w:w="18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12"/>
              <w:jc w:val="right"/>
              <w:rPr>
                <w:rFonts w:ascii="Times New Roman" w:hAnsi="Times New Roman" w:cs="Times New Roman" w:eastAsia="Times New Roman" w:hint="default"/>
                <w:sz w:val="18"/>
                <w:szCs w:val="18"/>
              </w:rPr>
            </w:pPr>
            <w:r>
              <w:rPr>
                <w:rFonts w:ascii="Times New Roman"/>
                <w:spacing w:val="-1"/>
                <w:sz w:val="18"/>
              </w:rPr>
              <w:t>5,485,566.82</w:t>
            </w:r>
          </w:p>
        </w:tc>
      </w:tr>
      <w:tr>
        <w:trPr>
          <w:trHeight w:val="456" w:hRule="exact"/>
        </w:trPr>
        <w:tc>
          <w:tcPr>
            <w:tcW w:w="233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810"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205,959.30</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4,597,953.67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4,562,550.53</w:t>
            </w:r>
          </w:p>
        </w:tc>
        <w:tc>
          <w:tcPr>
            <w:tcW w:w="18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241,362.44</w:t>
            </w:r>
          </w:p>
        </w:tc>
      </w:tr>
      <w:tr>
        <w:trPr>
          <w:trHeight w:val="454" w:hRule="exact"/>
        </w:trPr>
        <w:tc>
          <w:tcPr>
            <w:tcW w:w="233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810" w:type="dxa"/>
            <w:tcBorders>
              <w:top w:val="single" w:sz="6" w:space="0" w:color="000000"/>
              <w:left w:val="single" w:sz="9" w:space="0" w:color="D9D9D9"/>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33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补充养老保险</w:t>
            </w:r>
          </w:p>
        </w:tc>
        <w:tc>
          <w:tcPr>
            <w:tcW w:w="1810"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6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963,358.64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6"/>
              <w:jc w:val="right"/>
              <w:rPr>
                <w:rFonts w:ascii="Times New Roman" w:hAnsi="Times New Roman" w:cs="Times New Roman" w:eastAsia="Times New Roman" w:hint="default"/>
                <w:sz w:val="18"/>
                <w:szCs w:val="18"/>
              </w:rPr>
            </w:pPr>
            <w:r>
              <w:rPr>
                <w:rFonts w:ascii="Times New Roman"/>
                <w:spacing w:val="-1"/>
                <w:sz w:val="18"/>
              </w:rPr>
              <w:t>963,358.64</w:t>
            </w:r>
          </w:p>
        </w:tc>
        <w:tc>
          <w:tcPr>
            <w:tcW w:w="18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61" w:hRule="exact"/>
        </w:trPr>
        <w:tc>
          <w:tcPr>
            <w:tcW w:w="2330"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0" w:type="dxa"/>
            <w:tcBorders>
              <w:top w:val="single" w:sz="6" w:space="0" w:color="000000"/>
              <w:left w:val="single" w:sz="9" w:space="0" w:color="D9D9D9"/>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5,055,585.96</w:t>
            </w:r>
          </w:p>
        </w:tc>
        <w:tc>
          <w:tcPr>
            <w:tcW w:w="18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78,636,180.62</w:t>
            </w:r>
          </w:p>
        </w:tc>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77,964,837.32</w:t>
            </w:r>
          </w:p>
        </w:tc>
        <w:tc>
          <w:tcPr>
            <w:tcW w:w="18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5,726,929.26</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23</w:t>
      </w:r>
      <w:r>
        <w:rPr/>
        <w:t>、应交税费</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3177"/>
        <w:gridCol w:w="3202"/>
        <w:gridCol w:w="3191"/>
      </w:tblGrid>
      <w:tr>
        <w:trPr>
          <w:trHeight w:val="462" w:hRule="exact"/>
        </w:trPr>
        <w:tc>
          <w:tcPr>
            <w:tcW w:w="317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71,303,290.98</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65,635,230.02</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2" w:type="dxa"/>
            <w:tcBorders>
              <w:top w:val="single" w:sz="6" w:space="0" w:color="000000"/>
              <w:left w:val="single" w:sz="8"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1,358,221.89</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1,315,681.05</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25,418,006.14</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36,449,819.81</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44,332,290.56</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2,826,236.42</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5,345,687.12</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4,800,083.12</w:t>
            </w:r>
          </w:p>
        </w:tc>
      </w:tr>
      <w:tr>
        <w:trPr>
          <w:trHeight w:val="457"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2,380,783.17</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10"/>
              <w:jc w:val="right"/>
              <w:rPr>
                <w:rFonts w:ascii="Times New Roman" w:hAnsi="Times New Roman" w:cs="Times New Roman" w:eastAsia="Times New Roman" w:hint="default"/>
                <w:sz w:val="18"/>
                <w:szCs w:val="18"/>
              </w:rPr>
            </w:pPr>
            <w:r>
              <w:rPr>
                <w:rFonts w:ascii="Times New Roman"/>
                <w:spacing w:val="-1"/>
                <w:sz w:val="18"/>
              </w:rPr>
              <w:t>2,146,898.50</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1,493,687.30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1,344,287.66</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1,065,979.68</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810,701.23</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70,912.70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103,298.45</w:t>
            </w:r>
          </w:p>
        </w:tc>
      </w:tr>
      <w:tr>
        <w:trPr>
          <w:trHeight w:val="461" w:hRule="exact"/>
        </w:trPr>
        <w:tc>
          <w:tcPr>
            <w:tcW w:w="317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9D9D9"/>
              <w:bottom w:val="single" w:sz="12"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152,768,859.54</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115,432,236.26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rFonts w:ascii="Times New Roman" w:hAnsi="Times New Roman" w:cs="Times New Roman" w:eastAsia="Times New Roman" w:hint="default"/>
        </w:rPr>
        <w:t>24</w:t>
      </w:r>
      <w:r>
        <w:rPr/>
        <w:t>、应付利息</w:t>
      </w:r>
      <w:r>
        <w:rPr>
          <w:b w:val="0"/>
          <w:bCs w:val="0"/>
        </w:rPr>
      </w:r>
    </w:p>
    <w:p>
      <w:pPr>
        <w:spacing w:line="240" w:lineRule="auto" w:before="5"/>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171"/>
        <w:gridCol w:w="3202"/>
        <w:gridCol w:w="3191"/>
      </w:tblGrid>
      <w:tr>
        <w:trPr>
          <w:trHeight w:val="462"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5"/>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54"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2"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w w:val="95"/>
                <w:sz w:val="18"/>
              </w:rPr>
              <w:t>31,711.95</w:t>
            </w: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2" w:type="dxa"/>
            <w:tcBorders>
              <w:top w:val="single" w:sz="6" w:space="0" w:color="000000"/>
              <w:left w:val="single" w:sz="8"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2"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342,248.57</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743,278.48</w:t>
            </w:r>
          </w:p>
        </w:tc>
      </w:tr>
      <w:tr>
        <w:trPr>
          <w:trHeight w:val="456"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划分为金融负债的优先股</w:t>
            </w:r>
            <w:r>
              <w:rPr>
                <w:rFonts w:ascii="Times New Roman" w:hAnsi="Times New Roman" w:cs="Times New Roman" w:eastAsia="Times New Roman" w:hint="default"/>
                <w:sz w:val="18"/>
                <w:szCs w:val="18"/>
              </w:rPr>
              <w:t>\</w:t>
            </w:r>
            <w:r>
              <w:rPr>
                <w:rFonts w:ascii="宋体" w:hAnsi="宋体" w:cs="宋体" w:eastAsia="宋体" w:hint="default"/>
                <w:sz w:val="18"/>
                <w:szCs w:val="18"/>
              </w:rPr>
              <w:t>永续债利息</w:t>
            </w:r>
          </w:p>
        </w:tc>
        <w:tc>
          <w:tcPr>
            <w:tcW w:w="3202" w:type="dxa"/>
            <w:tcBorders>
              <w:top w:val="single" w:sz="6" w:space="0" w:color="000000"/>
              <w:left w:val="single" w:sz="8"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6" w:space="0" w:color="000000"/>
              <w:left w:val="single" w:sz="8"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63"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160"/>
              <w:ind w:right="16"/>
              <w:jc w:val="right"/>
              <w:rPr>
                <w:rFonts w:ascii="Times New Roman" w:hAnsi="Times New Roman" w:cs="Times New Roman" w:eastAsia="Times New Roman" w:hint="default"/>
                <w:sz w:val="18"/>
                <w:szCs w:val="18"/>
              </w:rPr>
            </w:pPr>
            <w:r>
              <w:rPr>
                <w:rFonts w:ascii="Times New Roman"/>
                <w:spacing w:val="-1"/>
                <w:sz w:val="18"/>
              </w:rPr>
              <w:t>373,960.52</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743,278.48</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25</w:t>
      </w:r>
      <w:r>
        <w:rPr/>
        <w:t>、其他应付款</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3177"/>
        <w:gridCol w:w="3202"/>
        <w:gridCol w:w="3191"/>
      </w:tblGrid>
      <w:tr>
        <w:trPr>
          <w:trHeight w:val="446" w:hRule="exact"/>
        </w:trPr>
        <w:tc>
          <w:tcPr>
            <w:tcW w:w="317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待支付的差旅费、报销款等</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17,311,750.57</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18,039,781.91</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待支付的中介机构费用</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9,874,616.16</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2,945,385.36</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2,926,581.54</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1,963,985.00</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待支付的代理费等</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1,847,497.93</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1,137,482.60</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10,669,907.57</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14,095,069.20</w:t>
            </w:r>
          </w:p>
        </w:tc>
      </w:tr>
      <w:tr>
        <w:trPr>
          <w:trHeight w:val="461" w:hRule="exact"/>
        </w:trPr>
        <w:tc>
          <w:tcPr>
            <w:tcW w:w="317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9D9D9"/>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42,630,353.77</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38,181,704.07</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3177"/>
        <w:gridCol w:w="3202"/>
        <w:gridCol w:w="3191"/>
      </w:tblGrid>
      <w:tr>
        <w:trPr>
          <w:trHeight w:val="449" w:hRule="exact"/>
        </w:trPr>
        <w:tc>
          <w:tcPr>
            <w:tcW w:w="317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8" w:space="0" w:color="D9D9D9"/>
              <w:bottom w:val="single" w:sz="6" w:space="0" w:color="000000"/>
              <w:right w:val="single" w:sz="6" w:space="0" w:color="000000"/>
            </w:tcBorders>
            <w:shd w:val="clear" w:color="auto" w:fill="D2D2D2"/>
          </w:tcPr>
          <w:p>
            <w:pPr>
              <w:pStyle w:val="TableParagraph"/>
              <w:spacing w:line="240" w:lineRule="auto" w:before="101"/>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专项资金</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747,625.25</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2" w:right="0"/>
              <w:jc w:val="center"/>
              <w:rPr>
                <w:rFonts w:ascii="宋体" w:hAnsi="宋体" w:cs="宋体" w:eastAsia="宋体" w:hint="default"/>
                <w:sz w:val="18"/>
                <w:szCs w:val="18"/>
              </w:rPr>
            </w:pPr>
            <w:r>
              <w:rPr>
                <w:rFonts w:ascii="宋体" w:hAnsi="宋体" w:cs="宋体" w:eastAsia="宋体" w:hint="default"/>
                <w:sz w:val="18"/>
                <w:szCs w:val="18"/>
              </w:rPr>
              <w:t>待支付</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728,630.00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2" w:right="0"/>
              <w:jc w:val="center"/>
              <w:rPr>
                <w:rFonts w:ascii="宋体" w:hAnsi="宋体" w:cs="宋体" w:eastAsia="宋体" w:hint="default"/>
                <w:sz w:val="18"/>
                <w:szCs w:val="18"/>
              </w:rPr>
            </w:pPr>
            <w:r>
              <w:rPr>
                <w:rFonts w:ascii="宋体" w:hAnsi="宋体" w:cs="宋体" w:eastAsia="宋体" w:hint="default"/>
                <w:sz w:val="18"/>
                <w:szCs w:val="18"/>
              </w:rPr>
              <w:t>保证金尚在合同期内</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60"/>
              <w:ind w:right="16"/>
              <w:jc w:val="right"/>
              <w:rPr>
                <w:rFonts w:ascii="Times New Roman" w:hAnsi="Times New Roman" w:cs="Times New Roman" w:eastAsia="Times New Roman" w:hint="default"/>
                <w:sz w:val="18"/>
                <w:szCs w:val="18"/>
              </w:rPr>
            </w:pPr>
            <w:r>
              <w:rPr>
                <w:rFonts w:ascii="Times New Roman"/>
                <w:spacing w:val="-1"/>
                <w:sz w:val="18"/>
              </w:rPr>
              <w:t>250,000.00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8"/>
              <w:ind w:left="12" w:right="0"/>
              <w:jc w:val="center"/>
              <w:rPr>
                <w:rFonts w:ascii="宋体" w:hAnsi="宋体" w:cs="宋体" w:eastAsia="宋体" w:hint="default"/>
                <w:sz w:val="18"/>
                <w:szCs w:val="18"/>
              </w:rPr>
            </w:pPr>
            <w:r>
              <w:rPr>
                <w:rFonts w:ascii="宋体" w:hAnsi="宋体" w:cs="宋体" w:eastAsia="宋体" w:hint="default"/>
                <w:sz w:val="18"/>
                <w:szCs w:val="18"/>
              </w:rPr>
              <w:t>保证金尚在合同期内</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250,000.00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2" w:right="0"/>
              <w:jc w:val="center"/>
              <w:rPr>
                <w:rFonts w:ascii="宋体" w:hAnsi="宋体" w:cs="宋体" w:eastAsia="宋体" w:hint="default"/>
                <w:sz w:val="18"/>
                <w:szCs w:val="18"/>
              </w:rPr>
            </w:pPr>
            <w:r>
              <w:rPr>
                <w:rFonts w:ascii="宋体" w:hAnsi="宋体" w:cs="宋体" w:eastAsia="宋体" w:hint="default"/>
                <w:sz w:val="18"/>
                <w:szCs w:val="18"/>
              </w:rPr>
              <w:t>保证金尚在合同期内</w:t>
            </w:r>
          </w:p>
        </w:tc>
      </w:tr>
    </w:tbl>
    <w:p>
      <w:pPr>
        <w:spacing w:after="0" w:line="240" w:lineRule="auto"/>
        <w:jc w:val="center"/>
        <w:rPr>
          <w:rFonts w:ascii="宋体" w:hAnsi="宋体" w:cs="宋体" w:eastAsia="宋体" w:hint="default"/>
          <w:sz w:val="18"/>
          <w:szCs w:val="18"/>
        </w:rPr>
        <w:sectPr>
          <w:pgSz w:w="11910" w:h="16840"/>
          <w:pgMar w:header="0"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3185"/>
        <w:gridCol w:w="3202"/>
        <w:gridCol w:w="3191"/>
      </w:tblGrid>
      <w:tr>
        <w:trPr>
          <w:trHeight w:val="461" w:hRule="exact"/>
        </w:trPr>
        <w:tc>
          <w:tcPr>
            <w:tcW w:w="318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9D9D9"/>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4,976,255.25</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26</w:t>
      </w:r>
      <w:r>
        <w:rPr/>
        <w:t>、其他流动负债</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3177"/>
        <w:gridCol w:w="3202"/>
        <w:gridCol w:w="3191"/>
      </w:tblGrid>
      <w:tr>
        <w:trPr>
          <w:trHeight w:val="449" w:hRule="exact"/>
        </w:trPr>
        <w:tc>
          <w:tcPr>
            <w:tcW w:w="317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202" w:type="dxa"/>
            <w:tcBorders>
              <w:top w:val="single" w:sz="6" w:space="0" w:color="000000"/>
              <w:left w:val="single" w:sz="8" w:space="0" w:color="D9D9D9"/>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2,663,252.88</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4,695,474.14</w:t>
            </w:r>
          </w:p>
        </w:tc>
      </w:tr>
      <w:tr>
        <w:trPr>
          <w:trHeight w:val="461" w:hRule="exact"/>
        </w:trPr>
        <w:tc>
          <w:tcPr>
            <w:tcW w:w="317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9D9D9"/>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2,663,252.88</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4,695,474.14</w:t>
            </w:r>
          </w:p>
        </w:tc>
      </w:tr>
    </w:tbl>
    <w:p>
      <w:pPr>
        <w:spacing w:line="240" w:lineRule="auto" w:before="9"/>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27</w:t>
      </w:r>
      <w:r>
        <w:rPr/>
        <w:t>、长期借款</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171"/>
        <w:gridCol w:w="3202"/>
        <w:gridCol w:w="3191"/>
      </w:tblGrid>
      <w:tr>
        <w:trPr>
          <w:trHeight w:val="460"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5"/>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56"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2" w:type="dxa"/>
            <w:tcBorders>
              <w:top w:val="single" w:sz="6" w:space="0" w:color="000000"/>
              <w:left w:val="single" w:sz="8"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2" w:type="dxa"/>
            <w:tcBorders>
              <w:top w:val="single" w:sz="6" w:space="0" w:color="000000"/>
              <w:left w:val="single" w:sz="8"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2"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240,000,000.00</w:t>
            </w: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2" w:type="dxa"/>
            <w:tcBorders>
              <w:top w:val="single" w:sz="6" w:space="0" w:color="000000"/>
              <w:left w:val="single" w:sz="8"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240,000,000.00</w:t>
            </w:r>
          </w:p>
        </w:tc>
        <w:tc>
          <w:tcPr>
            <w:tcW w:w="3191"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40" w:lineRule="auto" w:before="66"/>
        <w:ind w:right="140"/>
        <w:jc w:val="left"/>
      </w:pPr>
      <w:r>
        <w:rPr/>
        <w:t>长期借款年利率</w:t>
      </w:r>
      <w:r>
        <w:rPr>
          <w:rFonts w:ascii="宋体" w:hAnsi="宋体" w:cs="宋体" w:eastAsia="宋体" w:hint="default"/>
        </w:rPr>
        <w:t>HIBOR+2.2%</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4"/>
        <w:spacing w:line="240" w:lineRule="auto"/>
        <w:ind w:right="140"/>
        <w:jc w:val="left"/>
        <w:rPr>
          <w:b w:val="0"/>
          <w:bCs w:val="0"/>
        </w:rPr>
      </w:pPr>
      <w:r>
        <w:rPr>
          <w:rFonts w:ascii="Times New Roman" w:hAnsi="Times New Roman" w:cs="Times New Roman" w:eastAsia="Times New Roman" w:hint="default"/>
        </w:rPr>
        <w:t>28</w:t>
      </w:r>
      <w:r>
        <w:rPr/>
        <w:t>、递延收益</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1586"/>
        <w:gridCol w:w="1597"/>
        <w:gridCol w:w="1594"/>
        <w:gridCol w:w="1596"/>
        <w:gridCol w:w="1594"/>
        <w:gridCol w:w="1594"/>
      </w:tblGrid>
      <w:tr>
        <w:trPr>
          <w:trHeight w:val="463" w:hRule="exact"/>
        </w:trPr>
        <w:tc>
          <w:tcPr>
            <w:tcW w:w="15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8"/>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8"/>
              <w:ind w:left="42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8"/>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8"/>
              <w:ind w:left="43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8"/>
              <w:ind w:left="429"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56" w:hRule="exact"/>
        </w:trPr>
        <w:tc>
          <w:tcPr>
            <w:tcW w:w="15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34,432,732.99</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8,367,400.00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13,457,301.15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29,342,831.84</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21" w:right="0"/>
              <w:jc w:val="left"/>
              <w:rPr>
                <w:rFonts w:ascii="宋体" w:hAnsi="宋体" w:cs="宋体" w:eastAsia="宋体" w:hint="default"/>
                <w:sz w:val="18"/>
                <w:szCs w:val="18"/>
              </w:rPr>
            </w:pPr>
            <w:r>
              <w:rPr>
                <w:rFonts w:ascii="宋体" w:hAnsi="宋体" w:cs="宋体" w:eastAsia="宋体" w:hint="default"/>
                <w:sz w:val="18"/>
                <w:szCs w:val="18"/>
              </w:rPr>
              <w:t>未到期</w:t>
            </w:r>
          </w:p>
        </w:tc>
      </w:tr>
      <w:tr>
        <w:trPr>
          <w:trHeight w:val="461" w:hRule="exact"/>
        </w:trPr>
        <w:tc>
          <w:tcPr>
            <w:tcW w:w="1586"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34,432,732.99</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8,367,400.00</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13,457,301.15</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29,342,831.84</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left="6"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9"/>
        <w:rPr>
          <w:rFonts w:ascii="宋体" w:hAnsi="宋体" w:cs="宋体" w:eastAsia="宋体" w:hint="default"/>
          <w:sz w:val="26"/>
          <w:szCs w:val="26"/>
        </w:rPr>
      </w:pPr>
    </w:p>
    <w:p>
      <w:pPr>
        <w:pStyle w:val="BodyText"/>
        <w:spacing w:line="240" w:lineRule="auto" w:before="36"/>
        <w:ind w:right="140"/>
        <w:jc w:val="left"/>
      </w:pPr>
      <w:r>
        <w:rPr/>
        <w:t>涉及政府补助的项目：</w:t>
      </w:r>
    </w:p>
    <w:p>
      <w:pPr>
        <w:spacing w:line="240" w:lineRule="auto" w:before="5"/>
        <w:rPr>
          <w:rFonts w:ascii="宋体" w:hAnsi="宋体" w:cs="宋体" w:eastAsia="宋体" w:hint="default"/>
          <w:sz w:val="15"/>
          <w:szCs w:val="1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2339"/>
        <w:gridCol w:w="1171"/>
        <w:gridCol w:w="1260"/>
        <w:gridCol w:w="1349"/>
        <w:gridCol w:w="901"/>
        <w:gridCol w:w="1183"/>
        <w:gridCol w:w="1368"/>
      </w:tblGrid>
      <w:tr>
        <w:trPr>
          <w:trHeight w:val="863" w:hRule="exact"/>
        </w:trPr>
        <w:tc>
          <w:tcPr>
            <w:tcW w:w="233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17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98" w:lineRule="exact" w:before="9"/>
              <w:ind w:left="263" w:right="261"/>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3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67" w:lineRule="auto" w:before="136"/>
              <w:ind w:left="307" w:right="35" w:hanging="269"/>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9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8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7"/>
              <w:ind w:left="227"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814" w:hRule="exact"/>
        </w:trPr>
        <w:tc>
          <w:tcPr>
            <w:tcW w:w="233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6"/>
              <w:ind w:left="13" w:right="142"/>
              <w:jc w:val="left"/>
              <w:rPr>
                <w:rFonts w:ascii="宋体" w:hAnsi="宋体" w:cs="宋体" w:eastAsia="宋体" w:hint="default"/>
                <w:sz w:val="18"/>
                <w:szCs w:val="18"/>
              </w:rPr>
            </w:pPr>
            <w:r>
              <w:rPr>
                <w:rFonts w:ascii="宋体" w:hAnsi="宋体" w:cs="宋体" w:eastAsia="宋体" w:hint="default"/>
                <w:sz w:val="18"/>
                <w:szCs w:val="18"/>
              </w:rPr>
              <w:t>面向智慧城市的云计算中心 业务支撑平台研发及产业化</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14,627,698.48</w:t>
            </w:r>
          </w:p>
        </w:tc>
        <w:tc>
          <w:tcPr>
            <w:tcW w:w="126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14" w:space="0" w:color="D2D2D2"/>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3,600,000.00</w:t>
            </w:r>
          </w:p>
        </w:tc>
        <w:tc>
          <w:tcPr>
            <w:tcW w:w="90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11,027,698.48</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6" w:hRule="exact"/>
        </w:trPr>
        <w:tc>
          <w:tcPr>
            <w:tcW w:w="233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4" w:lineRule="auto" w:before="118"/>
              <w:ind w:left="13" w:right="142"/>
              <w:jc w:val="left"/>
              <w:rPr>
                <w:rFonts w:ascii="宋体" w:hAnsi="宋体" w:cs="宋体" w:eastAsia="宋体" w:hint="default"/>
                <w:sz w:val="18"/>
                <w:szCs w:val="18"/>
              </w:rPr>
            </w:pPr>
            <w:r>
              <w:rPr>
                <w:rFonts w:ascii="宋体" w:hAnsi="宋体" w:cs="宋体" w:eastAsia="宋体" w:hint="default"/>
                <w:sz w:val="18"/>
                <w:szCs w:val="18"/>
              </w:rPr>
              <w:t>云计算中间件北京市工程实 验室</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5,104,813.54</w:t>
            </w:r>
          </w:p>
        </w:tc>
        <w:tc>
          <w:tcPr>
            <w:tcW w:w="126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5,104,813.54</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7" w:hRule="exact"/>
        </w:trPr>
        <w:tc>
          <w:tcPr>
            <w:tcW w:w="233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智慧城市安全服务平台</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3,086,494.02</w:t>
            </w:r>
          </w:p>
        </w:tc>
        <w:tc>
          <w:tcPr>
            <w:tcW w:w="126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3,086,494.02</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4" w:hRule="exact"/>
        </w:trPr>
        <w:tc>
          <w:tcPr>
            <w:tcW w:w="233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45" w:lineRule="auto" w:before="116"/>
              <w:ind w:left="13" w:right="111"/>
              <w:jc w:val="left"/>
              <w:rPr>
                <w:rFonts w:ascii="宋体" w:hAnsi="宋体" w:cs="宋体" w:eastAsia="宋体" w:hint="default"/>
                <w:sz w:val="18"/>
                <w:szCs w:val="18"/>
              </w:rPr>
            </w:pPr>
            <w:r>
              <w:rPr>
                <w:rFonts w:ascii="宋体" w:hAnsi="宋体" w:cs="宋体" w:eastAsia="宋体" w:hint="default"/>
                <w:sz w:val="18"/>
                <w:szCs w:val="18"/>
              </w:rPr>
              <w:t>网络空间身份证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EID </w:t>
            </w:r>
            <w:r>
              <w:rPr>
                <w:rFonts w:ascii="宋体" w:hAnsi="宋体" w:cs="宋体" w:eastAsia="宋体" w:hint="default"/>
                <w:sz w:val="18"/>
                <w:szCs w:val="18"/>
              </w:rPr>
              <w:t>管理技 术及系统</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1,110,000.00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490,000.00</w:t>
            </w:r>
          </w:p>
        </w:tc>
        <w:tc>
          <w:tcPr>
            <w:tcW w:w="90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670,000.00</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6" w:hRule="exact"/>
        </w:trPr>
        <w:tc>
          <w:tcPr>
            <w:tcW w:w="233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6"/>
              <w:ind w:left="13" w:right="142"/>
              <w:jc w:val="left"/>
              <w:rPr>
                <w:rFonts w:ascii="宋体" w:hAnsi="宋体" w:cs="宋体" w:eastAsia="宋体" w:hint="default"/>
                <w:sz w:val="18"/>
                <w:szCs w:val="18"/>
              </w:rPr>
            </w:pPr>
            <w:r>
              <w:rPr>
                <w:rFonts w:ascii="宋体" w:hAnsi="宋体" w:cs="宋体" w:eastAsia="宋体" w:hint="default"/>
                <w:sz w:val="18"/>
                <w:szCs w:val="18"/>
              </w:rPr>
              <w:t>以人为中心的智慧城市公共 服务支撑技术与系统</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735,000.00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805,000.00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617,368.42</w:t>
            </w:r>
          </w:p>
        </w:tc>
        <w:tc>
          <w:tcPr>
            <w:tcW w:w="90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922,631.58</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4" w:hRule="exact"/>
        </w:trPr>
        <w:tc>
          <w:tcPr>
            <w:tcW w:w="233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6"/>
              <w:ind w:left="13" w:right="142"/>
              <w:jc w:val="left"/>
              <w:rPr>
                <w:rFonts w:ascii="宋体" w:hAnsi="宋体" w:cs="宋体" w:eastAsia="宋体" w:hint="default"/>
                <w:sz w:val="18"/>
                <w:szCs w:val="18"/>
              </w:rPr>
            </w:pPr>
            <w:r>
              <w:rPr>
                <w:rFonts w:ascii="宋体" w:hAnsi="宋体" w:cs="宋体" w:eastAsia="宋体" w:hint="default"/>
                <w:sz w:val="18"/>
                <w:szCs w:val="18"/>
              </w:rPr>
              <w:t>行业应用支撑平台的云计算 环境适应性改造</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791,000.00</w:t>
            </w:r>
          </w:p>
        </w:tc>
        <w:tc>
          <w:tcPr>
            <w:tcW w:w="126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550,000.00</w:t>
            </w:r>
          </w:p>
        </w:tc>
        <w:tc>
          <w:tcPr>
            <w:tcW w:w="90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241,000.00</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536" w:hRule="exact"/>
        </w:trPr>
        <w:tc>
          <w:tcPr>
            <w:tcW w:w="233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0" w:lineRule="auto" w:before="118"/>
              <w:ind w:left="13" w:right="94"/>
              <w:jc w:val="both"/>
              <w:rPr>
                <w:rFonts w:ascii="宋体" w:hAnsi="宋体" w:cs="宋体" w:eastAsia="宋体" w:hint="default"/>
                <w:sz w:val="18"/>
                <w:szCs w:val="18"/>
              </w:rPr>
            </w:pPr>
            <w:r>
              <w:rPr>
                <w:rFonts w:ascii="宋体" w:hAnsi="宋体" w:cs="宋体" w:eastAsia="宋体" w:hint="default"/>
                <w:sz w:val="18"/>
                <w:szCs w:val="18"/>
              </w:rPr>
              <w:t>中华人民共和国财政部到款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年国家科技支撑计划课题 五个系统软件开发与试点应 用（成都、咸阳）</w:t>
            </w:r>
          </w:p>
        </w:tc>
        <w:tc>
          <w:tcPr>
            <w:tcW w:w="1171"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1,670,000.00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1,670,000.00</w:t>
            </w:r>
          </w:p>
        </w:tc>
        <w:tc>
          <w:tcPr>
            <w:tcW w:w="90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4" w:hRule="exact"/>
        </w:trPr>
        <w:tc>
          <w:tcPr>
            <w:tcW w:w="233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网络化应用支撑工具项目</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26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200,000.00</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6" w:hRule="exact"/>
        </w:trPr>
        <w:tc>
          <w:tcPr>
            <w:tcW w:w="233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4" w:lineRule="auto" w:before="118"/>
              <w:ind w:left="13" w:right="17"/>
              <w:jc w:val="left"/>
              <w:rPr>
                <w:rFonts w:ascii="宋体" w:hAnsi="宋体" w:cs="宋体" w:eastAsia="宋体" w:hint="default"/>
                <w:sz w:val="18"/>
                <w:szCs w:val="18"/>
              </w:rPr>
            </w:pPr>
            <w:r>
              <w:rPr>
                <w:rFonts w:ascii="宋体" w:hAnsi="宋体" w:cs="宋体" w:eastAsia="宋体" w:hint="default"/>
                <w:spacing w:val="-5"/>
                <w:sz w:val="18"/>
                <w:szCs w:val="18"/>
              </w:rPr>
              <w:t>网构化软件生产、构造和复用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技术与工具</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400,000.00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1,905.00</w:t>
            </w:r>
          </w:p>
        </w:tc>
        <w:tc>
          <w:tcPr>
            <w:tcW w:w="90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568,095.00</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6" w:hRule="exact"/>
        </w:trPr>
        <w:tc>
          <w:tcPr>
            <w:tcW w:w="233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智慧城市安全服务</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68,625.09</w:t>
            </w:r>
          </w:p>
        </w:tc>
        <w:tc>
          <w:tcPr>
            <w:tcW w:w="126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68,625.09</w:t>
            </w:r>
          </w:p>
        </w:tc>
        <w:tc>
          <w:tcPr>
            <w:tcW w:w="90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4" w:hRule="exact"/>
        </w:trPr>
        <w:tc>
          <w:tcPr>
            <w:tcW w:w="233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6"/>
              <w:ind w:left="13" w:right="142"/>
              <w:jc w:val="left"/>
              <w:rPr>
                <w:rFonts w:ascii="宋体" w:hAnsi="宋体" w:cs="宋体" w:eastAsia="宋体" w:hint="default"/>
                <w:sz w:val="18"/>
                <w:szCs w:val="18"/>
              </w:rPr>
            </w:pPr>
            <w:r>
              <w:rPr>
                <w:rFonts w:ascii="宋体" w:hAnsi="宋体" w:cs="宋体" w:eastAsia="宋体" w:hint="default"/>
                <w:sz w:val="18"/>
                <w:szCs w:val="18"/>
              </w:rPr>
              <w:t>中国人口与发展研究中心项 目</w:t>
            </w:r>
          </w:p>
        </w:tc>
        <w:tc>
          <w:tcPr>
            <w:tcW w:w="1171"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2,894,000.00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2,894,000.00</w:t>
            </w:r>
          </w:p>
        </w:tc>
        <w:tc>
          <w:tcPr>
            <w:tcW w:w="90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7" w:hRule="exact"/>
        </w:trPr>
        <w:tc>
          <w:tcPr>
            <w:tcW w:w="233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6"/>
              <w:ind w:left="13" w:right="142"/>
              <w:jc w:val="left"/>
              <w:rPr>
                <w:rFonts w:ascii="宋体" w:hAnsi="宋体" w:cs="宋体" w:eastAsia="宋体" w:hint="default"/>
                <w:sz w:val="18"/>
                <w:szCs w:val="18"/>
              </w:rPr>
            </w:pPr>
            <w:r>
              <w:rPr>
                <w:rFonts w:ascii="宋体" w:hAnsi="宋体" w:cs="宋体" w:eastAsia="宋体" w:hint="default"/>
                <w:sz w:val="18"/>
                <w:szCs w:val="18"/>
              </w:rPr>
              <w:t>智慧城市公共技术资源开放 共享与协作服务平台</w:t>
            </w:r>
          </w:p>
        </w:tc>
        <w:tc>
          <w:tcPr>
            <w:tcW w:w="1171"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248,400.00</w:t>
            </w:r>
          </w:p>
        </w:tc>
        <w:tc>
          <w:tcPr>
            <w:tcW w:w="1349"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248,400.00</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4" w:hRule="exact"/>
        </w:trPr>
        <w:tc>
          <w:tcPr>
            <w:tcW w:w="233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海淀区财政局</w:t>
            </w:r>
            <w:r>
              <w:rPr>
                <w:rFonts w:ascii="Times New Roman" w:hAnsi="Times New Roman" w:cs="Times New Roman" w:eastAsia="Times New Roman" w:hint="default"/>
                <w:sz w:val="18"/>
                <w:szCs w:val="18"/>
              </w:rPr>
              <w:t>-</w:t>
            </w:r>
            <w:r>
              <w:rPr>
                <w:rFonts w:ascii="宋体" w:hAnsi="宋体" w:cs="宋体" w:eastAsia="宋体" w:hint="default"/>
                <w:sz w:val="18"/>
                <w:szCs w:val="18"/>
              </w:rPr>
              <w:t>金融云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SAAS</w:t>
            </w:r>
          </w:p>
          <w:p>
            <w:pPr>
              <w:pStyle w:val="TableParagraph"/>
              <w:spacing w:line="240" w:lineRule="auto" w:before="111"/>
              <w:ind w:left="13"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6,599,046.46</w:t>
            </w:r>
          </w:p>
        </w:tc>
        <w:tc>
          <w:tcPr>
            <w:tcW w:w="126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2,025,209.71</w:t>
            </w:r>
          </w:p>
        </w:tc>
        <w:tc>
          <w:tcPr>
            <w:tcW w:w="90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4,573,836.75</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6" w:hRule="exact"/>
        </w:trPr>
        <w:tc>
          <w:tcPr>
            <w:tcW w:w="233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45" w:lineRule="auto" w:before="118"/>
              <w:ind w:left="1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年度江苏省工业和信息 产业转型升级专项引导资金</w:t>
            </w:r>
          </w:p>
        </w:tc>
        <w:tc>
          <w:tcPr>
            <w:tcW w:w="1171"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800,000.00</w:t>
            </w:r>
          </w:p>
        </w:tc>
        <w:tc>
          <w:tcPr>
            <w:tcW w:w="1349"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800,000.00</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6" w:hRule="exact"/>
        </w:trPr>
        <w:tc>
          <w:tcPr>
            <w:tcW w:w="233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6"/>
              <w:ind w:left="13" w:right="142"/>
              <w:jc w:val="left"/>
              <w:rPr>
                <w:rFonts w:ascii="宋体" w:hAnsi="宋体" w:cs="宋体" w:eastAsia="宋体" w:hint="default"/>
                <w:sz w:val="18"/>
                <w:szCs w:val="18"/>
              </w:rPr>
            </w:pPr>
            <w:r>
              <w:rPr>
                <w:rFonts w:ascii="宋体" w:hAnsi="宋体" w:cs="宋体" w:eastAsia="宋体" w:hint="default"/>
                <w:sz w:val="18"/>
                <w:szCs w:val="18"/>
              </w:rPr>
              <w:t>无锡市滨湖区商务局第七届 南京软件会补贴</w:t>
            </w:r>
          </w:p>
        </w:tc>
        <w:tc>
          <w:tcPr>
            <w:tcW w:w="11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9,000.00</w:t>
            </w:r>
          </w:p>
        </w:tc>
        <w:tc>
          <w:tcPr>
            <w:tcW w:w="1260" w:type="dxa"/>
            <w:tcBorders>
              <w:top w:val="single" w:sz="6" w:space="0" w:color="000000"/>
              <w:left w:val="single" w:sz="6" w:space="0" w:color="000000"/>
              <w:bottom w:val="single" w:sz="12" w:space="0" w:color="000000"/>
              <w:right w:val="single" w:sz="6" w:space="0" w:color="000000"/>
            </w:tcBorders>
          </w:tcPr>
          <w:p>
            <w:pPr/>
          </w:p>
        </w:tc>
        <w:tc>
          <w:tcPr>
            <w:tcW w:w="13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9,000.00</w:t>
            </w:r>
          </w:p>
        </w:tc>
        <w:tc>
          <w:tcPr>
            <w:tcW w:w="901" w:type="dxa"/>
            <w:tcBorders>
              <w:top w:val="single" w:sz="6" w:space="0" w:color="000000"/>
              <w:left w:val="single" w:sz="6" w:space="0" w:color="000000"/>
              <w:bottom w:val="single" w:sz="12" w:space="0" w:color="000000"/>
              <w:right w:val="single" w:sz="6" w:space="0" w:color="000000"/>
            </w:tcBorders>
          </w:tcPr>
          <w:p>
            <w:pPr/>
          </w:p>
        </w:tc>
        <w:tc>
          <w:tcPr>
            <w:tcW w:w="1183" w:type="dxa"/>
            <w:tcBorders>
              <w:top w:val="single" w:sz="6" w:space="0" w:color="000000"/>
              <w:left w:val="single" w:sz="6" w:space="0" w:color="000000"/>
              <w:bottom w:val="single" w:sz="12" w:space="0" w:color="000000"/>
              <w:right w:val="single" w:sz="6" w:space="0" w:color="000000"/>
            </w:tcBorders>
          </w:tcPr>
          <w:p>
            <w:pPr/>
          </w:p>
        </w:tc>
        <w:tc>
          <w:tcPr>
            <w:tcW w:w="13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0"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0" w:type="dxa"/>
        <w:tblLayout w:type="fixed"/>
        <w:tblCellMar>
          <w:top w:w="0" w:type="dxa"/>
          <w:left w:w="0" w:type="dxa"/>
          <w:bottom w:w="0" w:type="dxa"/>
          <w:right w:w="0" w:type="dxa"/>
        </w:tblCellMar>
        <w:tblLook w:val="01E0"/>
      </w:tblPr>
      <w:tblGrid>
        <w:gridCol w:w="2330"/>
        <w:gridCol w:w="1181"/>
        <w:gridCol w:w="1260"/>
        <w:gridCol w:w="1349"/>
        <w:gridCol w:w="901"/>
        <w:gridCol w:w="1183"/>
        <w:gridCol w:w="1368"/>
      </w:tblGrid>
      <w:tr>
        <w:trPr>
          <w:trHeight w:val="824" w:hRule="exact"/>
        </w:trPr>
        <w:tc>
          <w:tcPr>
            <w:tcW w:w="233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4" w:lineRule="auto" w:before="126"/>
              <w:ind w:left="13" w:right="132"/>
              <w:jc w:val="left"/>
              <w:rPr>
                <w:rFonts w:ascii="宋体" w:hAnsi="宋体" w:cs="宋体" w:eastAsia="宋体" w:hint="default"/>
                <w:sz w:val="18"/>
                <w:szCs w:val="18"/>
              </w:rPr>
            </w:pPr>
            <w:r>
              <w:rPr>
                <w:rFonts w:ascii="宋体" w:hAnsi="宋体" w:cs="宋体" w:eastAsia="宋体" w:hint="default"/>
                <w:sz w:val="18"/>
                <w:szCs w:val="18"/>
              </w:rPr>
              <w:t>第二届物联网博览会参展补 贴</w:t>
            </w:r>
          </w:p>
        </w:tc>
        <w:tc>
          <w:tcPr>
            <w:tcW w:w="1181" w:type="dxa"/>
            <w:tcBorders>
              <w:top w:val="single" w:sz="12" w:space="0" w:color="000000"/>
              <w:left w:val="single" w:sz="9" w:space="0" w:color="D9D9D9"/>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4,500.00</w:t>
            </w:r>
          </w:p>
        </w:tc>
        <w:tc>
          <w:tcPr>
            <w:tcW w:w="1260" w:type="dxa"/>
            <w:tcBorders>
              <w:top w:val="single" w:sz="12" w:space="0" w:color="000000"/>
              <w:left w:val="single" w:sz="6" w:space="0" w:color="000000"/>
              <w:bottom w:val="single" w:sz="6" w:space="0" w:color="000000"/>
              <w:right w:val="single" w:sz="6" w:space="0" w:color="000000"/>
            </w:tcBorders>
          </w:tcPr>
          <w:p>
            <w:pPr/>
          </w:p>
        </w:tc>
        <w:tc>
          <w:tcPr>
            <w:tcW w:w="13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4,500.00</w:t>
            </w:r>
          </w:p>
        </w:tc>
        <w:tc>
          <w:tcPr>
            <w:tcW w:w="901" w:type="dxa"/>
            <w:tcBorders>
              <w:top w:val="single" w:sz="12" w:space="0" w:color="000000"/>
              <w:left w:val="single" w:sz="6" w:space="0" w:color="000000"/>
              <w:bottom w:val="single" w:sz="6" w:space="0" w:color="000000"/>
              <w:right w:val="single" w:sz="6" w:space="0" w:color="000000"/>
            </w:tcBorders>
          </w:tcPr>
          <w:p>
            <w:pPr/>
          </w:p>
        </w:tc>
        <w:tc>
          <w:tcPr>
            <w:tcW w:w="1183" w:type="dxa"/>
            <w:tcBorders>
              <w:top w:val="single" w:sz="12" w:space="0" w:color="000000"/>
              <w:left w:val="single" w:sz="6" w:space="0" w:color="000000"/>
              <w:bottom w:val="single" w:sz="6" w:space="0" w:color="000000"/>
              <w:right w:val="single" w:sz="6" w:space="0" w:color="000000"/>
            </w:tcBorders>
          </w:tcPr>
          <w:p>
            <w:pPr/>
          </w:p>
        </w:tc>
        <w:tc>
          <w:tcPr>
            <w:tcW w:w="136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4" w:hRule="exact"/>
        </w:trPr>
        <w:tc>
          <w:tcPr>
            <w:tcW w:w="233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无锡市滨湖区科学技术局</w:t>
            </w:r>
          </w:p>
          <w:p>
            <w:pPr>
              <w:pStyle w:val="TableParagraph"/>
              <w:spacing w:line="240" w:lineRule="auto" w:before="124"/>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年度软件认证资助</w:t>
            </w:r>
          </w:p>
        </w:tc>
        <w:tc>
          <w:tcPr>
            <w:tcW w:w="1181"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3,300.00</w:t>
            </w:r>
          </w:p>
        </w:tc>
        <w:tc>
          <w:tcPr>
            <w:tcW w:w="126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3,300.00</w:t>
            </w:r>
          </w:p>
        </w:tc>
        <w:tc>
          <w:tcPr>
            <w:tcW w:w="90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6" w:hRule="exact"/>
        </w:trPr>
        <w:tc>
          <w:tcPr>
            <w:tcW w:w="233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4" w:lineRule="auto" w:before="118"/>
              <w:ind w:left="13" w:right="132"/>
              <w:jc w:val="left"/>
              <w:rPr>
                <w:rFonts w:ascii="宋体" w:hAnsi="宋体" w:cs="宋体" w:eastAsia="宋体" w:hint="default"/>
                <w:sz w:val="18"/>
                <w:szCs w:val="18"/>
              </w:rPr>
            </w:pPr>
            <w:r>
              <w:rPr>
                <w:rFonts w:ascii="宋体" w:hAnsi="宋体" w:cs="宋体" w:eastAsia="宋体" w:hint="default"/>
                <w:sz w:val="18"/>
                <w:szCs w:val="18"/>
              </w:rPr>
              <w:t>智能卡云服务平台研发与示 范项目</w:t>
            </w:r>
          </w:p>
        </w:tc>
        <w:tc>
          <w:tcPr>
            <w:tcW w:w="1181"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27,535.77</w:t>
            </w:r>
          </w:p>
        </w:tc>
        <w:tc>
          <w:tcPr>
            <w:tcW w:w="126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27,535.77</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6" w:hRule="exact"/>
        </w:trPr>
        <w:tc>
          <w:tcPr>
            <w:tcW w:w="233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6"/>
              <w:ind w:left="13" w:right="132"/>
              <w:jc w:val="left"/>
              <w:rPr>
                <w:rFonts w:ascii="宋体" w:hAnsi="宋体" w:cs="宋体" w:eastAsia="宋体" w:hint="default"/>
                <w:sz w:val="18"/>
                <w:szCs w:val="18"/>
              </w:rPr>
            </w:pPr>
            <w:r>
              <w:rPr>
                <w:rFonts w:ascii="宋体" w:hAnsi="宋体" w:cs="宋体" w:eastAsia="宋体" w:hint="default"/>
                <w:sz w:val="18"/>
                <w:szCs w:val="18"/>
              </w:rPr>
              <w:t>海淀园自主创新和产业发展 专项基金项目</w:t>
            </w:r>
          </w:p>
        </w:tc>
        <w:tc>
          <w:tcPr>
            <w:tcW w:w="1181"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6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900,000.00</w:t>
            </w:r>
          </w:p>
        </w:tc>
        <w:tc>
          <w:tcPr>
            <w:tcW w:w="90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4" w:hRule="exact"/>
        </w:trPr>
        <w:tc>
          <w:tcPr>
            <w:tcW w:w="233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6"/>
              <w:ind w:left="13" w:right="132"/>
              <w:jc w:val="left"/>
              <w:rPr>
                <w:rFonts w:ascii="宋体" w:hAnsi="宋体" w:cs="宋体" w:eastAsia="宋体" w:hint="default"/>
                <w:sz w:val="18"/>
                <w:szCs w:val="18"/>
              </w:rPr>
            </w:pPr>
            <w:r>
              <w:rPr>
                <w:rFonts w:ascii="宋体" w:hAnsi="宋体" w:cs="宋体" w:eastAsia="宋体" w:hint="default"/>
                <w:sz w:val="18"/>
                <w:szCs w:val="18"/>
              </w:rPr>
              <w:t>基于云计算的市民融合服务 平台建设与示范</w:t>
            </w:r>
          </w:p>
        </w:tc>
        <w:tc>
          <w:tcPr>
            <w:tcW w:w="1181"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179,097.44</w:t>
            </w:r>
          </w:p>
        </w:tc>
        <w:tc>
          <w:tcPr>
            <w:tcW w:w="126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66,000.00</w:t>
            </w:r>
          </w:p>
        </w:tc>
        <w:tc>
          <w:tcPr>
            <w:tcW w:w="90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113,097.44</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6" w:hRule="exact"/>
        </w:trPr>
        <w:tc>
          <w:tcPr>
            <w:tcW w:w="233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45" w:lineRule="auto" w:before="116"/>
              <w:ind w:left="13"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年度电子信息产业发展 基金</w:t>
            </w:r>
          </w:p>
        </w:tc>
        <w:tc>
          <w:tcPr>
            <w:tcW w:w="1181"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1,176,622.19</w:t>
            </w:r>
          </w:p>
        </w:tc>
        <w:tc>
          <w:tcPr>
            <w:tcW w:w="126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194,330.81</w:t>
            </w:r>
          </w:p>
        </w:tc>
        <w:tc>
          <w:tcPr>
            <w:tcW w:w="90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982,291.38</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4" w:hRule="exact"/>
        </w:trPr>
        <w:tc>
          <w:tcPr>
            <w:tcW w:w="233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神州数码智慧课堂平台</w:t>
            </w:r>
          </w:p>
        </w:tc>
        <w:tc>
          <w:tcPr>
            <w:tcW w:w="1181" w:type="dxa"/>
            <w:tcBorders>
              <w:top w:val="single" w:sz="6" w:space="0" w:color="000000"/>
              <w:left w:val="single" w:sz="9" w:space="0" w:color="D9D9D9"/>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240,000.00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240,000.00</w:t>
            </w:r>
          </w:p>
        </w:tc>
        <w:tc>
          <w:tcPr>
            <w:tcW w:w="90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76" w:hRule="exact"/>
        </w:trPr>
        <w:tc>
          <w:tcPr>
            <w:tcW w:w="233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55" w:lineRule="auto" w:before="118"/>
              <w:ind w:left="13" w:right="8"/>
              <w:jc w:val="both"/>
              <w:rPr>
                <w:rFonts w:ascii="宋体" w:hAnsi="宋体" w:cs="宋体" w:eastAsia="宋体" w:hint="default"/>
                <w:sz w:val="18"/>
                <w:szCs w:val="18"/>
              </w:rPr>
            </w:pPr>
            <w:r>
              <w:rPr>
                <w:rFonts w:ascii="宋体" w:hAnsi="宋体" w:cs="宋体" w:eastAsia="宋体" w:hint="default"/>
                <w:spacing w:val="-5"/>
                <w:sz w:val="18"/>
                <w:szCs w:val="18"/>
              </w:rPr>
              <w:t>江苏省财政厅、江苏省科学技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术奖励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年度省级科技创 新与成果转化专项引导资金</w:t>
            </w:r>
          </w:p>
        </w:tc>
        <w:tc>
          <w:tcPr>
            <w:tcW w:w="1181"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123,062.12</w:t>
            </w:r>
          </w:p>
        </w:tc>
        <w:tc>
          <w:tcPr>
            <w:tcW w:w="90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676,937.88</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61" w:hRule="exact"/>
        </w:trPr>
        <w:tc>
          <w:tcPr>
            <w:tcW w:w="2330"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6" w:space="0" w:color="000000"/>
              <w:left w:val="single" w:sz="9" w:space="0" w:color="D9D9D9"/>
              <w:bottom w:val="single" w:sz="12"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34,432,732.99</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8,367,400.00</w:t>
            </w:r>
          </w:p>
        </w:tc>
        <w:tc>
          <w:tcPr>
            <w:tcW w:w="13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13,457,301.15</w:t>
            </w:r>
          </w:p>
        </w:tc>
        <w:tc>
          <w:tcPr>
            <w:tcW w:w="901" w:type="dxa"/>
            <w:tcBorders>
              <w:top w:val="single" w:sz="6" w:space="0" w:color="000000"/>
              <w:left w:val="single" w:sz="6" w:space="0" w:color="000000"/>
              <w:bottom w:val="single" w:sz="12" w:space="0" w:color="000000"/>
              <w:right w:val="single" w:sz="6" w:space="0" w:color="000000"/>
            </w:tcBorders>
          </w:tcPr>
          <w:p>
            <w:pPr/>
          </w:p>
        </w:tc>
        <w:tc>
          <w:tcPr>
            <w:tcW w:w="11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29,342,831.84</w:t>
            </w:r>
          </w:p>
        </w:tc>
        <w:tc>
          <w:tcPr>
            <w:tcW w:w="13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29</w:t>
      </w:r>
      <w:r>
        <w:rPr/>
        <w:t>、股本</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1195"/>
        <w:gridCol w:w="1209"/>
        <w:gridCol w:w="1184"/>
        <w:gridCol w:w="1196"/>
        <w:gridCol w:w="1198"/>
        <w:gridCol w:w="1196"/>
        <w:gridCol w:w="1186"/>
        <w:gridCol w:w="1208"/>
      </w:tblGrid>
      <w:tr>
        <w:trPr>
          <w:trHeight w:val="241" w:hRule="exact"/>
        </w:trPr>
        <w:tc>
          <w:tcPr>
            <w:tcW w:w="1195"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209" w:type="dxa"/>
            <w:tcBorders>
              <w:top w:val="single" w:sz="12" w:space="0" w:color="000000"/>
              <w:left w:val="single" w:sz="6" w:space="0" w:color="000000"/>
              <w:bottom w:val="nil" w:sz="6" w:space="0" w:color="auto"/>
              <w:right w:val="single" w:sz="6" w:space="0" w:color="000000"/>
            </w:tcBorders>
            <w:shd w:val="clear" w:color="auto" w:fill="D2D2D2"/>
          </w:tcPr>
          <w:p>
            <w:pPr/>
          </w:p>
        </w:tc>
        <w:tc>
          <w:tcPr>
            <w:tcW w:w="5959" w:type="dxa"/>
            <w:gridSpan w:val="5"/>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115"/>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221" w:hRule="exact"/>
        </w:trPr>
        <w:tc>
          <w:tcPr>
            <w:tcW w:w="1195" w:type="dxa"/>
            <w:vMerge w:val="restart"/>
            <w:tcBorders>
              <w:top w:val="nil" w:sz="6" w:space="0" w:color="auto"/>
              <w:left w:val="single" w:sz="12" w:space="0" w:color="000000"/>
              <w:right w:val="single" w:sz="6" w:space="0" w:color="000000"/>
            </w:tcBorders>
            <w:shd w:val="clear" w:color="auto" w:fill="D2D2D2"/>
          </w:tcPr>
          <w:p>
            <w:pPr/>
          </w:p>
        </w:tc>
        <w:tc>
          <w:tcPr>
            <w:tcW w:w="120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16"/>
              <w:ind w:left="2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9" w:type="dxa"/>
            <w:gridSpan w:val="5"/>
            <w:vMerge/>
            <w:tcBorders>
              <w:left w:val="single" w:sz="6" w:space="0" w:color="000000"/>
              <w:bottom w:val="single" w:sz="6" w:space="0" w:color="000000"/>
              <w:right w:val="single" w:sz="6" w:space="0" w:color="000000"/>
            </w:tcBorders>
            <w:shd w:val="clear" w:color="auto" w:fill="D2D2D2"/>
          </w:tcPr>
          <w:p>
            <w:pPr/>
          </w:p>
        </w:tc>
        <w:tc>
          <w:tcPr>
            <w:tcW w:w="1208"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116"/>
              <w:ind w:left="24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18" w:hRule="exact"/>
        </w:trPr>
        <w:tc>
          <w:tcPr>
            <w:tcW w:w="1195" w:type="dxa"/>
            <w:vMerge/>
            <w:tcBorders>
              <w:left w:val="single" w:sz="12" w:space="0" w:color="000000"/>
              <w:bottom w:val="nil" w:sz="6" w:space="0" w:color="auto"/>
              <w:right w:val="single" w:sz="6" w:space="0" w:color="000000"/>
            </w:tcBorders>
            <w:shd w:val="clear" w:color="auto" w:fill="D2D2D2"/>
          </w:tcPr>
          <w:p>
            <w:pPr/>
          </w:p>
        </w:tc>
        <w:tc>
          <w:tcPr>
            <w:tcW w:w="1209" w:type="dxa"/>
            <w:vMerge/>
            <w:tcBorders>
              <w:left w:val="single" w:sz="6" w:space="0" w:color="000000"/>
              <w:bottom w:val="nil" w:sz="6" w:space="0" w:color="auto"/>
              <w:right w:val="single" w:sz="6" w:space="0" w:color="000000"/>
            </w:tcBorders>
            <w:shd w:val="clear" w:color="auto" w:fill="D2D2D2"/>
          </w:tcPr>
          <w:p>
            <w:pPr/>
          </w:p>
        </w:tc>
        <w:tc>
          <w:tcPr>
            <w:tcW w:w="118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6"/>
              <w:ind w:left="21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6"/>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6" w:space="0" w:color="000000"/>
              <w:bottom w:val="nil" w:sz="6" w:space="0" w:color="auto"/>
              <w:right w:val="single" w:sz="12" w:space="0" w:color="000000"/>
            </w:tcBorders>
            <w:shd w:val="clear" w:color="auto" w:fill="D2D2D2"/>
          </w:tcPr>
          <w:p>
            <w:pPr/>
          </w:p>
        </w:tc>
      </w:tr>
      <w:tr>
        <w:trPr>
          <w:trHeight w:val="235" w:hRule="exact"/>
        </w:trPr>
        <w:tc>
          <w:tcPr>
            <w:tcW w:w="1195" w:type="dxa"/>
            <w:tcBorders>
              <w:top w:val="nil" w:sz="6" w:space="0" w:color="auto"/>
              <w:left w:val="single" w:sz="12" w:space="0" w:color="000000"/>
              <w:bottom w:val="single" w:sz="6" w:space="0" w:color="000000"/>
              <w:right w:val="single" w:sz="6" w:space="0" w:color="000000"/>
            </w:tcBorders>
            <w:shd w:val="clear" w:color="auto" w:fill="D2D2D2"/>
          </w:tcPr>
          <w:p>
            <w:pPr/>
          </w:p>
        </w:tc>
        <w:tc>
          <w:tcPr>
            <w:tcW w:w="1209" w:type="dxa"/>
            <w:tcBorders>
              <w:top w:val="nil" w:sz="6" w:space="0" w:color="auto"/>
              <w:left w:val="single" w:sz="6" w:space="0" w:color="000000"/>
              <w:bottom w:val="single" w:sz="6" w:space="0" w:color="000000"/>
              <w:right w:val="single" w:sz="6" w:space="0" w:color="000000"/>
            </w:tcBorders>
            <w:shd w:val="clear" w:color="auto" w:fill="D2D2D2"/>
          </w:tcPr>
          <w:p>
            <w:pPr/>
          </w:p>
        </w:tc>
        <w:tc>
          <w:tcPr>
            <w:tcW w:w="1184" w:type="dxa"/>
            <w:vMerge/>
            <w:tcBorders>
              <w:left w:val="single" w:sz="6" w:space="0" w:color="000000"/>
              <w:bottom w:val="single" w:sz="6" w:space="0" w:color="000000"/>
              <w:right w:val="single" w:sz="6" w:space="0" w:color="000000"/>
            </w:tcBorders>
            <w:shd w:val="clear" w:color="auto" w:fill="D2D2D2"/>
          </w:tcPr>
          <w:p>
            <w:pPr/>
          </w:p>
        </w:tc>
        <w:tc>
          <w:tcPr>
            <w:tcW w:w="1196" w:type="dxa"/>
            <w:vMerge/>
            <w:tcBorders>
              <w:left w:val="single" w:sz="6" w:space="0" w:color="000000"/>
              <w:bottom w:val="single" w:sz="6" w:space="0" w:color="000000"/>
              <w:right w:val="single" w:sz="6" w:space="0" w:color="000000"/>
            </w:tcBorders>
            <w:shd w:val="clear" w:color="auto" w:fill="D2D2D2"/>
          </w:tcPr>
          <w:p>
            <w:pPr/>
          </w:p>
        </w:tc>
        <w:tc>
          <w:tcPr>
            <w:tcW w:w="1198" w:type="dxa"/>
            <w:vMerge/>
            <w:tcBorders>
              <w:left w:val="single" w:sz="6" w:space="0" w:color="000000"/>
              <w:bottom w:val="single" w:sz="6" w:space="0" w:color="000000"/>
              <w:right w:val="single" w:sz="6" w:space="0" w:color="000000"/>
            </w:tcBorders>
            <w:shd w:val="clear" w:color="auto" w:fill="D2D2D2"/>
          </w:tcPr>
          <w:p>
            <w:pPr/>
          </w:p>
        </w:tc>
        <w:tc>
          <w:tcPr>
            <w:tcW w:w="1196" w:type="dxa"/>
            <w:vMerge/>
            <w:tcBorders>
              <w:left w:val="single" w:sz="6" w:space="0" w:color="000000"/>
              <w:bottom w:val="single" w:sz="6" w:space="0" w:color="000000"/>
              <w:right w:val="single" w:sz="6" w:space="0" w:color="000000"/>
            </w:tcBorders>
            <w:shd w:val="clear" w:color="auto" w:fill="D2D2D2"/>
          </w:tcPr>
          <w:p>
            <w:pPr/>
          </w:p>
        </w:tc>
        <w:tc>
          <w:tcPr>
            <w:tcW w:w="1186" w:type="dxa"/>
            <w:vMerge/>
            <w:tcBorders>
              <w:left w:val="single" w:sz="6" w:space="0" w:color="000000"/>
              <w:bottom w:val="single" w:sz="6" w:space="0" w:color="000000"/>
              <w:right w:val="single" w:sz="6" w:space="0" w:color="000000"/>
            </w:tcBorders>
            <w:shd w:val="clear" w:color="auto" w:fill="D2D2D2"/>
          </w:tcPr>
          <w:p>
            <w:pPr/>
          </w:p>
        </w:tc>
        <w:tc>
          <w:tcPr>
            <w:tcW w:w="1208"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61" w:hRule="exact"/>
        </w:trPr>
        <w:tc>
          <w:tcPr>
            <w:tcW w:w="11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9" w:type="dxa"/>
            <w:tcBorders>
              <w:top w:val="single" w:sz="6" w:space="0" w:color="000000"/>
              <w:left w:val="single" w:sz="13" w:space="0" w:color="D2D2D2"/>
              <w:bottom w:val="single" w:sz="12" w:space="0" w:color="000000"/>
              <w:right w:val="single" w:sz="6" w:space="0" w:color="000000"/>
            </w:tcBorders>
          </w:tcPr>
          <w:p>
            <w:pPr>
              <w:pStyle w:val="TableParagraph"/>
              <w:spacing w:line="240" w:lineRule="auto" w:before="158"/>
              <w:ind w:left="26" w:right="0"/>
              <w:jc w:val="left"/>
              <w:rPr>
                <w:rFonts w:ascii="Times New Roman" w:hAnsi="Times New Roman" w:cs="Times New Roman" w:eastAsia="Times New Roman" w:hint="default"/>
                <w:sz w:val="18"/>
                <w:szCs w:val="18"/>
              </w:rPr>
            </w:pPr>
            <w:r>
              <w:rPr>
                <w:rFonts w:ascii="Times New Roman"/>
                <w:sz w:val="18"/>
              </w:rPr>
              <w:t>431,214,014.00</w:t>
            </w:r>
          </w:p>
        </w:tc>
        <w:tc>
          <w:tcPr>
            <w:tcW w:w="11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left="116" w:right="0"/>
              <w:jc w:val="left"/>
              <w:rPr>
                <w:rFonts w:ascii="Times New Roman" w:hAnsi="Times New Roman" w:cs="Times New Roman" w:eastAsia="Times New Roman" w:hint="default"/>
                <w:sz w:val="18"/>
                <w:szCs w:val="18"/>
              </w:rPr>
            </w:pPr>
            <w:r>
              <w:rPr>
                <w:rFonts w:ascii="Times New Roman"/>
                <w:sz w:val="18"/>
              </w:rPr>
              <w:t>27,691,944.00</w:t>
            </w:r>
          </w:p>
        </w:tc>
        <w:tc>
          <w:tcPr>
            <w:tcW w:w="1196" w:type="dxa"/>
            <w:tcBorders>
              <w:top w:val="single" w:sz="6" w:space="0" w:color="000000"/>
              <w:left w:val="single" w:sz="6" w:space="0" w:color="000000"/>
              <w:bottom w:val="single" w:sz="12" w:space="0" w:color="000000"/>
              <w:right w:val="single" w:sz="6" w:space="0" w:color="000000"/>
            </w:tcBorders>
          </w:tcPr>
          <w:p>
            <w:pPr/>
          </w:p>
        </w:tc>
        <w:tc>
          <w:tcPr>
            <w:tcW w:w="1198" w:type="dxa"/>
            <w:tcBorders>
              <w:top w:val="single" w:sz="6" w:space="0" w:color="000000"/>
              <w:left w:val="single" w:sz="6" w:space="0" w:color="000000"/>
              <w:bottom w:val="single" w:sz="12" w:space="0" w:color="000000"/>
              <w:right w:val="single" w:sz="6" w:space="0" w:color="000000"/>
            </w:tcBorders>
          </w:tcPr>
          <w:p>
            <w:pPr/>
          </w:p>
        </w:tc>
        <w:tc>
          <w:tcPr>
            <w:tcW w:w="1196" w:type="dxa"/>
            <w:tcBorders>
              <w:top w:val="single" w:sz="6" w:space="0" w:color="000000"/>
              <w:left w:val="single" w:sz="6" w:space="0" w:color="000000"/>
              <w:bottom w:val="single" w:sz="12" w:space="0" w:color="000000"/>
              <w:right w:val="single" w:sz="6" w:space="0" w:color="000000"/>
            </w:tcBorders>
          </w:tcPr>
          <w:p>
            <w:pPr/>
          </w:p>
        </w:tc>
        <w:tc>
          <w:tcPr>
            <w:tcW w:w="11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left="127" w:right="0"/>
              <w:jc w:val="left"/>
              <w:rPr>
                <w:rFonts w:ascii="Times New Roman" w:hAnsi="Times New Roman" w:cs="Times New Roman" w:eastAsia="Times New Roman" w:hint="default"/>
                <w:sz w:val="18"/>
                <w:szCs w:val="18"/>
              </w:rPr>
            </w:pPr>
            <w:r>
              <w:rPr>
                <w:rFonts w:ascii="Times New Roman"/>
                <w:sz w:val="18"/>
              </w:rPr>
              <w:t>27,691,944.00</w:t>
            </w:r>
          </w:p>
        </w:tc>
        <w:tc>
          <w:tcPr>
            <w:tcW w:w="120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left="47" w:right="0"/>
              <w:jc w:val="left"/>
              <w:rPr>
                <w:rFonts w:ascii="Times New Roman" w:hAnsi="Times New Roman" w:cs="Times New Roman" w:eastAsia="Times New Roman" w:hint="default"/>
                <w:sz w:val="18"/>
                <w:szCs w:val="18"/>
              </w:rPr>
            </w:pPr>
            <w:r>
              <w:rPr>
                <w:rFonts w:ascii="Times New Roman"/>
                <w:sz w:val="18"/>
              </w:rPr>
              <w:t>458,905,958.00</w:t>
            </w:r>
          </w:p>
        </w:tc>
      </w:tr>
    </w:tbl>
    <w:p>
      <w:pPr>
        <w:pStyle w:val="BodyText"/>
        <w:spacing w:line="408" w:lineRule="auto" w:before="66"/>
        <w:ind w:right="230" w:firstLine="420"/>
        <w:jc w:val="both"/>
      </w:pPr>
      <w:r>
        <w:rPr>
          <w:spacing w:val="-2"/>
        </w:rPr>
        <w:t>如本附注八所述，神州信息以向中农信达股东发行</w:t>
      </w:r>
      <w:r>
        <w:rPr>
          <w:rFonts w:ascii="宋体" w:hAnsi="宋体" w:cs="宋体" w:eastAsia="宋体" w:hint="default"/>
          <w:spacing w:val="-2"/>
        </w:rPr>
        <w:t>20,520,227.00</w:t>
      </w:r>
      <w:r>
        <w:rPr>
          <w:spacing w:val="-2"/>
        </w:rPr>
        <w:t>股股份的方式收购中农信达，并向</w:t>
      </w:r>
      <w:r>
        <w:rPr>
          <w:w w:val="100"/>
        </w:rPr>
        <w:t> </w:t>
      </w:r>
      <w:r>
        <w:rPr>
          <w:spacing w:val="-2"/>
        </w:rPr>
        <w:t>特定投资者发行</w:t>
      </w:r>
      <w:r>
        <w:rPr>
          <w:rFonts w:ascii="宋体" w:hAnsi="宋体" w:cs="宋体" w:eastAsia="宋体" w:hint="default"/>
          <w:spacing w:val="-2"/>
        </w:rPr>
        <w:t>7,171,717.00</w:t>
      </w:r>
      <w:r>
        <w:rPr>
          <w:spacing w:val="-2"/>
        </w:rPr>
        <w:t>股股份募集配套资金。其中，向中农信达发行的</w:t>
      </w:r>
      <w:r>
        <w:rPr>
          <w:rFonts w:ascii="宋体" w:hAnsi="宋体" w:cs="宋体" w:eastAsia="宋体" w:hint="default"/>
          <w:spacing w:val="-2"/>
        </w:rPr>
        <w:t>20,520,227.00</w:t>
      </w:r>
      <w:r>
        <w:rPr>
          <w:spacing w:val="-2"/>
        </w:rPr>
        <w:t>股股份已于 </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8</w:t>
      </w:r>
      <w:r>
        <w:rPr/>
        <w:t>日向中国证券登记结算有限责任公司深圳分公司申请办理增发股份登记事项，新发股份于</w:t>
      </w:r>
    </w:p>
    <w:p>
      <w:pPr>
        <w:pStyle w:val="BodyText"/>
        <w:spacing w:line="408" w:lineRule="auto" w:before="46"/>
        <w:ind w:right="140"/>
        <w:jc w:val="left"/>
      </w:pP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日正式上市；向特定投资者发行的</w:t>
      </w:r>
      <w:r>
        <w:rPr>
          <w:rFonts w:ascii="宋体" w:hAnsi="宋体" w:cs="宋体" w:eastAsia="宋体" w:hint="default"/>
          <w:spacing w:val="-2"/>
        </w:rPr>
        <w:t>7,171,717.00</w:t>
      </w:r>
      <w:r>
        <w:rPr>
          <w:spacing w:val="-2"/>
        </w:rPr>
        <w:t>股股份已于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30</w:t>
      </w:r>
      <w:r>
        <w:rPr>
          <w:spacing w:val="-2"/>
        </w:rPr>
        <w:t>日向向中国证券登</w:t>
      </w:r>
      <w:r>
        <w:rPr>
          <w:spacing w:val="-18"/>
        </w:rPr>
        <w:t> </w:t>
      </w:r>
      <w:r>
        <w:rPr>
          <w:spacing w:val="-18"/>
        </w:rPr>
      </w:r>
      <w:r>
        <w:rPr/>
        <w:t>记结算有限责任公司深圳分公司申请办理增发股份登记事项，新发股份于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13</w:t>
      </w:r>
      <w:r>
        <w:rPr/>
        <w:t>日正式上市。</w:t>
      </w:r>
    </w:p>
    <w:p>
      <w:pPr>
        <w:spacing w:after="0" w:line="408" w:lineRule="auto"/>
        <w:jc w:val="left"/>
        <w:sectPr>
          <w:pgSz w:w="11910" w:h="16840"/>
          <w:pgMar w:header="0" w:footer="1227" w:top="1100" w:bottom="1420" w:left="980" w:right="980"/>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rFonts w:ascii="Times New Roman" w:hAnsi="Times New Roman" w:cs="Times New Roman" w:eastAsia="Times New Roman" w:hint="default"/>
        </w:rPr>
        <w:t>30</w:t>
      </w:r>
      <w:r>
        <w:rPr/>
        <w:t>、资本公积</w:t>
      </w:r>
      <w:r>
        <w:rPr>
          <w:b w:val="0"/>
          <w:bCs w:val="0"/>
        </w:rPr>
      </w:r>
    </w:p>
    <w:p>
      <w:pPr>
        <w:spacing w:line="240" w:lineRule="auto" w:before="5"/>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1895"/>
        <w:gridCol w:w="1927"/>
        <w:gridCol w:w="1916"/>
        <w:gridCol w:w="1913"/>
        <w:gridCol w:w="1916"/>
      </w:tblGrid>
      <w:tr>
        <w:trPr>
          <w:trHeight w:val="462" w:hRule="exact"/>
        </w:trPr>
        <w:tc>
          <w:tcPr>
            <w:tcW w:w="18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5"/>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6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5"/>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54" w:hRule="exact"/>
        </w:trPr>
        <w:tc>
          <w:tcPr>
            <w:tcW w:w="18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881,056,288.72</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695,041,364.70</w:t>
            </w:r>
          </w:p>
        </w:tc>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3"/>
              <w:jc w:val="right"/>
              <w:rPr>
                <w:rFonts w:ascii="Times New Roman" w:hAnsi="Times New Roman" w:cs="Times New Roman" w:eastAsia="Times New Roman" w:hint="default"/>
                <w:sz w:val="18"/>
                <w:szCs w:val="18"/>
              </w:rPr>
            </w:pPr>
            <w:r>
              <w:rPr>
                <w:rFonts w:ascii="Times New Roman"/>
                <w:spacing w:val="-1"/>
                <w:sz w:val="18"/>
              </w:rPr>
              <w:t>1,576,097,653.42</w:t>
            </w:r>
          </w:p>
        </w:tc>
      </w:tr>
      <w:tr>
        <w:trPr>
          <w:trHeight w:val="456" w:hRule="exact"/>
        </w:trPr>
        <w:tc>
          <w:tcPr>
            <w:tcW w:w="18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230,990.93</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z w:val="18"/>
              </w:rPr>
              <w:t>98.43</w:t>
            </w:r>
          </w:p>
        </w:tc>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231,089.36</w:t>
            </w:r>
          </w:p>
        </w:tc>
      </w:tr>
      <w:tr>
        <w:trPr>
          <w:trHeight w:val="461" w:hRule="exact"/>
        </w:trPr>
        <w:tc>
          <w:tcPr>
            <w:tcW w:w="18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881,287,279.65</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695,041,463.13</w:t>
            </w:r>
          </w:p>
        </w:tc>
        <w:tc>
          <w:tcPr>
            <w:tcW w:w="1913" w:type="dxa"/>
            <w:tcBorders>
              <w:top w:val="single" w:sz="6" w:space="0" w:color="000000"/>
              <w:left w:val="single" w:sz="6" w:space="0" w:color="000000"/>
              <w:bottom w:val="single" w:sz="12" w:space="0" w:color="000000"/>
              <w:right w:val="single" w:sz="6" w:space="0" w:color="000000"/>
            </w:tcBorders>
          </w:tcPr>
          <w:p>
            <w:pPr/>
          </w:p>
        </w:tc>
        <w:tc>
          <w:tcPr>
            <w:tcW w:w="19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3"/>
              <w:jc w:val="right"/>
              <w:rPr>
                <w:rFonts w:ascii="Times New Roman" w:hAnsi="Times New Roman" w:cs="Times New Roman" w:eastAsia="Times New Roman" w:hint="default"/>
                <w:sz w:val="18"/>
                <w:szCs w:val="18"/>
              </w:rPr>
            </w:pPr>
            <w:r>
              <w:rPr>
                <w:rFonts w:ascii="Times New Roman"/>
                <w:spacing w:val="-1"/>
                <w:sz w:val="18"/>
              </w:rPr>
              <w:t>1,576,328,742.78</w:t>
            </w:r>
          </w:p>
        </w:tc>
      </w:tr>
    </w:tbl>
    <w:p>
      <w:pPr>
        <w:pStyle w:val="BodyText"/>
        <w:spacing w:line="408" w:lineRule="auto" w:before="66"/>
        <w:ind w:right="140" w:firstLine="420"/>
        <w:jc w:val="left"/>
      </w:pPr>
      <w:r>
        <w:rPr/>
        <w:t>如本附注八所述，本年股本溢价增加主要系本公司向中农信达全体股东发行</w:t>
      </w:r>
      <w:r>
        <w:rPr>
          <w:rFonts w:ascii="宋体" w:hAnsi="宋体" w:cs="宋体" w:eastAsia="宋体" w:hint="default"/>
        </w:rPr>
        <w:t>20,520,227.00</w:t>
      </w:r>
      <w:r>
        <w:rPr/>
        <w:t>股股份收</w:t>
      </w:r>
      <w:r>
        <w:rPr>
          <w:w w:val="100"/>
        </w:rPr>
        <w:t> </w:t>
      </w:r>
      <w:r>
        <w:rPr>
          <w:spacing w:val="-2"/>
        </w:rPr>
        <w:t>购中农信达股权形成资本溢价</w:t>
      </w:r>
      <w:r>
        <w:rPr>
          <w:rFonts w:ascii="宋体" w:hAnsi="宋体" w:cs="宋体" w:eastAsia="宋体" w:hint="default"/>
          <w:spacing w:val="-2"/>
        </w:rPr>
        <w:t>476,479,773.00</w:t>
      </w:r>
      <w:r>
        <w:rPr>
          <w:spacing w:val="-2"/>
        </w:rPr>
        <w:t>元、向特对投资者发行</w:t>
      </w:r>
      <w:r>
        <w:rPr>
          <w:rFonts w:ascii="宋体" w:hAnsi="宋体" w:cs="宋体" w:eastAsia="宋体" w:hint="default"/>
          <w:spacing w:val="-2"/>
        </w:rPr>
        <w:t>7,171,717.00</w:t>
      </w:r>
      <w:r>
        <w:rPr>
          <w:spacing w:val="-2"/>
        </w:rPr>
        <w:t>股股份募集配套资金形</w:t>
      </w:r>
      <w:r>
        <w:rPr>
          <w:spacing w:val="-23"/>
        </w:rPr>
        <w:t> </w:t>
      </w:r>
      <w:r>
        <w:rPr>
          <w:spacing w:val="-23"/>
        </w:rPr>
      </w:r>
      <w:r>
        <w:rPr/>
        <w:t>成资本溢价</w:t>
      </w:r>
      <w:r>
        <w:rPr>
          <w:rFonts w:ascii="宋体" w:hAnsi="宋体" w:cs="宋体" w:eastAsia="宋体" w:hint="default"/>
        </w:rPr>
        <w:t>229,494,944.00</w:t>
      </w:r>
      <w:r>
        <w:rPr/>
        <w:t>，并扣减支付发行费用及其他相关费用</w:t>
      </w:r>
      <w:r>
        <w:rPr>
          <w:rFonts w:ascii="宋体" w:hAnsi="宋体" w:cs="宋体" w:eastAsia="宋体" w:hint="default"/>
        </w:rPr>
        <w:t>10,933,352.30</w:t>
      </w:r>
      <w:r>
        <w:rPr/>
        <w:t>元。</w:t>
      </w:r>
    </w:p>
    <w:p>
      <w:pPr>
        <w:pStyle w:val="BodyText"/>
        <w:spacing w:line="408" w:lineRule="auto" w:before="46"/>
        <w:ind w:right="140" w:firstLine="420"/>
        <w:jc w:val="left"/>
      </w:pPr>
      <w:r>
        <w:rPr>
          <w:spacing w:val="-2"/>
        </w:rPr>
        <w:t>其他资本公积增加的原因：本公司委托中国证券登记结算有限责任公司深圳分公司出售零碎股导致其</w:t>
      </w:r>
      <w:r>
        <w:rPr>
          <w:w w:val="100"/>
        </w:rPr>
        <w:t> </w:t>
      </w:r>
      <w:r>
        <w:rPr/>
        <w:t>他资本公积增加</w:t>
      </w:r>
      <w:r>
        <w:rPr>
          <w:rFonts w:ascii="宋体" w:hAnsi="宋体" w:cs="宋体" w:eastAsia="宋体" w:hint="default"/>
        </w:rPr>
        <w:t>98.43</w:t>
      </w:r>
      <w:r>
        <w:rPr/>
        <w:t>元。</w:t>
      </w:r>
    </w:p>
    <w:p>
      <w:pPr>
        <w:spacing w:after="0" w:line="408" w:lineRule="auto"/>
        <w:jc w:val="left"/>
        <w:sectPr>
          <w:pgSz w:w="11910" w:h="16840"/>
          <w:pgMar w:header="0" w:footer="1227" w:top="1100" w:bottom="1420" w:left="980" w:right="980"/>
        </w:sectPr>
      </w:pPr>
    </w:p>
    <w:p>
      <w:pPr>
        <w:spacing w:line="240" w:lineRule="auto" w:before="3"/>
        <w:rPr>
          <w:rFonts w:ascii="宋体" w:hAnsi="宋体" w:cs="宋体" w:eastAsia="宋体" w:hint="default"/>
          <w:sz w:val="28"/>
          <w:szCs w:val="28"/>
        </w:rPr>
      </w:pPr>
    </w:p>
    <w:p>
      <w:pPr>
        <w:pStyle w:val="Heading4"/>
        <w:spacing w:line="240" w:lineRule="auto"/>
        <w:ind w:left="140" w:right="-10"/>
        <w:jc w:val="left"/>
        <w:rPr>
          <w:b w:val="0"/>
          <w:bCs w:val="0"/>
        </w:rPr>
      </w:pPr>
      <w:r>
        <w:rPr/>
        <w:pict>
          <v:group style="position:absolute;margin-left:70.559998pt;margin-top:-3.216318pt;width:700.9pt;height:.1pt;mso-position-horizontal-relative:page;mso-position-vertical-relative:paragraph;z-index:1744" coordorigin="1411,-64" coordsize="14018,2">
            <v:shape style="position:absolute;left:1411;top:-64;width:14018;height:2" coordorigin="1411,-64" coordsize="14018,0" path="m1411,-64l15429,-64e" filled="false" stroked="true" strokeweight=".72pt" strokecolor="#000000">
              <v:path arrowok="t"/>
            </v:shape>
            <w10:wrap type="none"/>
          </v:group>
        </w:pict>
      </w:r>
      <w:r>
        <w:rPr>
          <w:rFonts w:ascii="Times New Roman" w:hAnsi="Times New Roman" w:cs="Times New Roman" w:eastAsia="Times New Roman" w:hint="default"/>
          <w:spacing w:val="-1"/>
        </w:rPr>
        <w:t>31</w:t>
      </w:r>
      <w:r>
        <w:rPr>
          <w:spacing w:val="-1"/>
        </w:rPr>
        <w:t>、其他综合收益</w:t>
      </w:r>
      <w:r>
        <w:rPr>
          <w:b w:val="0"/>
          <w:bCs w:val="0"/>
          <w:spacing w:val="-1"/>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60"/>
          <w:footerReference w:type="default" r:id="rId61"/>
          <w:pgSz w:w="16840" w:h="11910" w:orient="landscape"/>
          <w:pgMar w:header="0" w:footer="0" w:top="800" w:bottom="280" w:left="1300" w:right="1280"/>
          <w:cols w:num="2" w:equalWidth="0">
            <w:col w:w="1828" w:space="7901"/>
            <w:col w:w="4531"/>
          </w:cols>
        </w:sectPr>
      </w:pPr>
    </w:p>
    <w:p>
      <w:pPr>
        <w:spacing w:line="240" w:lineRule="auto" w:before="4"/>
        <w:rPr>
          <w:rFonts w:ascii="宋体" w:hAnsi="宋体" w:cs="宋体" w:eastAsia="宋体" w:hint="default"/>
          <w:sz w:val="27"/>
          <w:szCs w:val="27"/>
        </w:rPr>
      </w:pPr>
    </w:p>
    <w:p>
      <w:pPr>
        <w:spacing w:before="44"/>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4423"/>
        <w:gridCol w:w="1451"/>
        <w:gridCol w:w="1709"/>
        <w:gridCol w:w="1800"/>
        <w:gridCol w:w="991"/>
        <w:gridCol w:w="1169"/>
        <w:gridCol w:w="1080"/>
        <w:gridCol w:w="1387"/>
      </w:tblGrid>
      <w:tr>
        <w:trPr>
          <w:trHeight w:val="439" w:hRule="exact"/>
        </w:trPr>
        <w:tc>
          <w:tcPr>
            <w:tcW w:w="4423"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451" w:type="dxa"/>
            <w:tcBorders>
              <w:top w:val="single" w:sz="12" w:space="0" w:color="000000"/>
              <w:left w:val="single" w:sz="6" w:space="0" w:color="000000"/>
              <w:bottom w:val="nil" w:sz="6" w:space="0" w:color="auto"/>
              <w:right w:val="single" w:sz="6" w:space="0" w:color="000000"/>
            </w:tcBorders>
            <w:shd w:val="clear" w:color="auto" w:fill="D2D2D2"/>
          </w:tcPr>
          <w:p>
            <w:pPr/>
          </w:p>
        </w:tc>
        <w:tc>
          <w:tcPr>
            <w:tcW w:w="6750" w:type="dxa"/>
            <w:gridSpan w:val="5"/>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387"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211" w:hRule="exact"/>
        </w:trPr>
        <w:tc>
          <w:tcPr>
            <w:tcW w:w="4423"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99"/>
              <w:ind w:left="36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9"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0" w:type="dxa"/>
            <w:vMerge w:val="restart"/>
            <w:tcBorders>
              <w:top w:val="single" w:sz="6" w:space="0" w:color="000000"/>
              <w:left w:val="single" w:sz="6" w:space="0" w:color="000000"/>
              <w:right w:val="single" w:sz="6" w:space="0" w:color="000000"/>
            </w:tcBorders>
            <w:shd w:val="clear" w:color="auto" w:fill="D2D2D2"/>
          </w:tcPr>
          <w:p>
            <w:pPr>
              <w:pStyle w:val="TableParagraph"/>
              <w:spacing w:line="367" w:lineRule="auto" w:before="140"/>
              <w:ind w:left="172" w:right="17" w:hanging="152"/>
              <w:jc w:val="left"/>
              <w:rPr>
                <w:rFonts w:ascii="宋体" w:hAnsi="宋体" w:cs="宋体" w:eastAsia="宋体" w:hint="default"/>
                <w:sz w:val="18"/>
                <w:szCs w:val="18"/>
              </w:rPr>
            </w:pPr>
            <w:r>
              <w:rPr>
                <w:rFonts w:ascii="宋体" w:hAnsi="宋体" w:cs="宋体" w:eastAsia="宋体" w:hint="default"/>
                <w:spacing w:val="-6"/>
                <w:sz w:val="18"/>
                <w:szCs w:val="18"/>
              </w:rPr>
              <w:t>减：前期计入其他综合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收益当期转入损益</w:t>
            </w:r>
          </w:p>
        </w:tc>
        <w:tc>
          <w:tcPr>
            <w:tcW w:w="991" w:type="dxa"/>
            <w:vMerge w:val="restart"/>
            <w:tcBorders>
              <w:top w:val="single" w:sz="6" w:space="0" w:color="000000"/>
              <w:left w:val="single" w:sz="6" w:space="0" w:color="000000"/>
              <w:right w:val="single" w:sz="6" w:space="0" w:color="000000"/>
            </w:tcBorders>
            <w:shd w:val="clear" w:color="auto" w:fill="D2D2D2"/>
          </w:tcPr>
          <w:p>
            <w:pPr>
              <w:pStyle w:val="TableParagraph"/>
              <w:spacing w:line="367" w:lineRule="auto" w:before="140"/>
              <w:ind w:left="307" w:right="36" w:hanging="269"/>
              <w:jc w:val="left"/>
              <w:rPr>
                <w:rFonts w:ascii="宋体" w:hAnsi="宋体" w:cs="宋体" w:eastAsia="宋体" w:hint="default"/>
                <w:sz w:val="18"/>
                <w:szCs w:val="18"/>
              </w:rPr>
            </w:pPr>
            <w:r>
              <w:rPr>
                <w:rFonts w:ascii="宋体" w:hAnsi="宋体" w:cs="宋体" w:eastAsia="宋体" w:hint="default"/>
                <w:sz w:val="18"/>
                <w:szCs w:val="18"/>
              </w:rPr>
              <w:t>减：所得税 费用</w:t>
            </w:r>
          </w:p>
        </w:tc>
        <w:tc>
          <w:tcPr>
            <w:tcW w:w="1169" w:type="dxa"/>
            <w:vMerge w:val="restart"/>
            <w:tcBorders>
              <w:top w:val="single" w:sz="6" w:space="0" w:color="000000"/>
              <w:left w:val="single" w:sz="6" w:space="0" w:color="000000"/>
              <w:right w:val="single" w:sz="6" w:space="0" w:color="000000"/>
            </w:tcBorders>
            <w:shd w:val="clear" w:color="auto" w:fill="D2D2D2"/>
          </w:tcPr>
          <w:p>
            <w:pPr>
              <w:pStyle w:val="TableParagraph"/>
              <w:spacing w:line="367" w:lineRule="auto" w:before="140"/>
              <w:ind w:left="396" w:right="38"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1080" w:type="dxa"/>
            <w:vMerge w:val="restart"/>
            <w:tcBorders>
              <w:top w:val="single" w:sz="6" w:space="0" w:color="000000"/>
              <w:left w:val="single" w:sz="6" w:space="0" w:color="000000"/>
              <w:right w:val="single" w:sz="6" w:space="0" w:color="000000"/>
            </w:tcBorders>
            <w:shd w:val="clear" w:color="auto" w:fill="D2D2D2"/>
          </w:tcPr>
          <w:p>
            <w:pPr>
              <w:pStyle w:val="TableParagraph"/>
              <w:spacing w:line="367" w:lineRule="auto" w:before="140"/>
              <w:ind w:left="172" w:right="79" w:hanging="89"/>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387"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99"/>
              <w:ind w:left="32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14" w:hRule="exact"/>
        </w:trPr>
        <w:tc>
          <w:tcPr>
            <w:tcW w:w="4423" w:type="dxa"/>
            <w:vMerge/>
            <w:tcBorders>
              <w:left w:val="single" w:sz="12" w:space="0" w:color="000000"/>
              <w:bottom w:val="nil" w:sz="6" w:space="0" w:color="auto"/>
              <w:right w:val="single" w:sz="6" w:space="0" w:color="000000"/>
            </w:tcBorders>
            <w:shd w:val="clear" w:color="auto" w:fill="D2D2D2"/>
          </w:tcPr>
          <w:p>
            <w:pPr/>
          </w:p>
        </w:tc>
        <w:tc>
          <w:tcPr>
            <w:tcW w:w="1451" w:type="dxa"/>
            <w:vMerge/>
            <w:tcBorders>
              <w:left w:val="single" w:sz="6" w:space="0" w:color="000000"/>
              <w:bottom w:val="nil" w:sz="6" w:space="0" w:color="auto"/>
              <w:right w:val="single" w:sz="6" w:space="0" w:color="000000"/>
            </w:tcBorders>
            <w:shd w:val="clear" w:color="auto" w:fill="D2D2D2"/>
          </w:tcPr>
          <w:p>
            <w:pPr/>
          </w:p>
        </w:tc>
        <w:tc>
          <w:tcPr>
            <w:tcW w:w="170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16"/>
              <w:ind w:left="35" w:right="0"/>
              <w:jc w:val="left"/>
              <w:rPr>
                <w:rFonts w:ascii="宋体" w:hAnsi="宋体" w:cs="宋体" w:eastAsia="宋体" w:hint="default"/>
                <w:sz w:val="18"/>
                <w:szCs w:val="18"/>
              </w:rPr>
            </w:pPr>
            <w:r>
              <w:rPr>
                <w:rFonts w:ascii="宋体" w:hAnsi="宋体" w:cs="宋体" w:eastAsia="宋体" w:hint="default"/>
                <w:sz w:val="18"/>
                <w:szCs w:val="18"/>
              </w:rPr>
              <w:t>本期所得税前发生额</w:t>
            </w:r>
          </w:p>
        </w:tc>
        <w:tc>
          <w:tcPr>
            <w:tcW w:w="1800" w:type="dxa"/>
            <w:vMerge/>
            <w:tcBorders>
              <w:left w:val="single" w:sz="6" w:space="0" w:color="000000"/>
              <w:right w:val="single" w:sz="6" w:space="0" w:color="000000"/>
            </w:tcBorders>
            <w:shd w:val="clear" w:color="auto" w:fill="D2D2D2"/>
          </w:tcPr>
          <w:p>
            <w:pPr/>
          </w:p>
        </w:tc>
        <w:tc>
          <w:tcPr>
            <w:tcW w:w="991" w:type="dxa"/>
            <w:vMerge/>
            <w:tcBorders>
              <w:left w:val="single" w:sz="6" w:space="0" w:color="000000"/>
              <w:right w:val="single" w:sz="6" w:space="0" w:color="000000"/>
            </w:tcBorders>
            <w:shd w:val="clear" w:color="auto" w:fill="D2D2D2"/>
          </w:tcPr>
          <w:p>
            <w:pPr/>
          </w:p>
        </w:tc>
        <w:tc>
          <w:tcPr>
            <w:tcW w:w="1169" w:type="dxa"/>
            <w:vMerge/>
            <w:tcBorders>
              <w:left w:val="single" w:sz="6" w:space="0" w:color="000000"/>
              <w:right w:val="single" w:sz="6" w:space="0" w:color="000000"/>
            </w:tcBorders>
            <w:shd w:val="clear" w:color="auto" w:fill="D2D2D2"/>
          </w:tcPr>
          <w:p>
            <w:pPr/>
          </w:p>
        </w:tc>
        <w:tc>
          <w:tcPr>
            <w:tcW w:w="1080" w:type="dxa"/>
            <w:vMerge/>
            <w:tcBorders>
              <w:left w:val="single" w:sz="6" w:space="0" w:color="000000"/>
              <w:right w:val="single" w:sz="6" w:space="0" w:color="000000"/>
            </w:tcBorders>
            <w:shd w:val="clear" w:color="auto" w:fill="D2D2D2"/>
          </w:tcPr>
          <w:p>
            <w:pPr/>
          </w:p>
        </w:tc>
        <w:tc>
          <w:tcPr>
            <w:tcW w:w="1387" w:type="dxa"/>
            <w:vMerge/>
            <w:tcBorders>
              <w:left w:val="single" w:sz="6" w:space="0" w:color="000000"/>
              <w:bottom w:val="nil" w:sz="6" w:space="0" w:color="auto"/>
              <w:right w:val="single" w:sz="12" w:space="0" w:color="000000"/>
            </w:tcBorders>
            <w:shd w:val="clear" w:color="auto" w:fill="D2D2D2"/>
          </w:tcPr>
          <w:p>
            <w:pPr/>
          </w:p>
        </w:tc>
      </w:tr>
      <w:tr>
        <w:trPr>
          <w:trHeight w:val="228" w:hRule="exact"/>
        </w:trPr>
        <w:tc>
          <w:tcPr>
            <w:tcW w:w="4423" w:type="dxa"/>
            <w:vMerge w:val="restart"/>
            <w:tcBorders>
              <w:top w:val="nil" w:sz="6" w:space="0" w:color="auto"/>
              <w:left w:val="single" w:sz="12" w:space="0" w:color="000000"/>
              <w:right w:val="single" w:sz="6" w:space="0" w:color="000000"/>
            </w:tcBorders>
            <w:shd w:val="clear" w:color="auto" w:fill="D2D2D2"/>
          </w:tcPr>
          <w:p>
            <w:pPr/>
          </w:p>
        </w:tc>
        <w:tc>
          <w:tcPr>
            <w:tcW w:w="1451" w:type="dxa"/>
            <w:vMerge w:val="restart"/>
            <w:tcBorders>
              <w:top w:val="nil" w:sz="6" w:space="0" w:color="auto"/>
              <w:left w:val="single" w:sz="6" w:space="0" w:color="000000"/>
              <w:right w:val="single" w:sz="6" w:space="0" w:color="000000"/>
            </w:tcBorders>
            <w:shd w:val="clear" w:color="auto" w:fill="D2D2D2"/>
          </w:tcPr>
          <w:p>
            <w:pPr/>
          </w:p>
        </w:tc>
        <w:tc>
          <w:tcPr>
            <w:tcW w:w="1709" w:type="dxa"/>
            <w:vMerge/>
            <w:tcBorders>
              <w:left w:val="single" w:sz="6" w:space="0" w:color="000000"/>
              <w:bottom w:val="nil" w:sz="6" w:space="0" w:color="auto"/>
              <w:right w:val="single" w:sz="6" w:space="0" w:color="000000"/>
            </w:tcBorders>
            <w:shd w:val="clear" w:color="auto" w:fill="D2D2D2"/>
          </w:tcPr>
          <w:p>
            <w:pPr/>
          </w:p>
        </w:tc>
        <w:tc>
          <w:tcPr>
            <w:tcW w:w="1800" w:type="dxa"/>
            <w:vMerge/>
            <w:tcBorders>
              <w:left w:val="single" w:sz="6" w:space="0" w:color="000000"/>
              <w:right w:val="single" w:sz="6" w:space="0" w:color="000000"/>
            </w:tcBorders>
            <w:shd w:val="clear" w:color="auto" w:fill="D2D2D2"/>
          </w:tcPr>
          <w:p>
            <w:pPr/>
          </w:p>
        </w:tc>
        <w:tc>
          <w:tcPr>
            <w:tcW w:w="991" w:type="dxa"/>
            <w:vMerge/>
            <w:tcBorders>
              <w:left w:val="single" w:sz="6" w:space="0" w:color="000000"/>
              <w:right w:val="single" w:sz="6" w:space="0" w:color="000000"/>
            </w:tcBorders>
            <w:shd w:val="clear" w:color="auto" w:fill="D2D2D2"/>
          </w:tcPr>
          <w:p>
            <w:pPr/>
          </w:p>
        </w:tc>
        <w:tc>
          <w:tcPr>
            <w:tcW w:w="1169" w:type="dxa"/>
            <w:vMerge/>
            <w:tcBorders>
              <w:left w:val="single" w:sz="6" w:space="0" w:color="000000"/>
              <w:right w:val="single" w:sz="6" w:space="0" w:color="000000"/>
            </w:tcBorders>
            <w:shd w:val="clear" w:color="auto" w:fill="D2D2D2"/>
          </w:tcPr>
          <w:p>
            <w:pPr/>
          </w:p>
        </w:tc>
        <w:tc>
          <w:tcPr>
            <w:tcW w:w="1080" w:type="dxa"/>
            <w:vMerge/>
            <w:tcBorders>
              <w:left w:val="single" w:sz="6" w:space="0" w:color="000000"/>
              <w:right w:val="single" w:sz="6" w:space="0" w:color="000000"/>
            </w:tcBorders>
            <w:shd w:val="clear" w:color="auto" w:fill="D2D2D2"/>
          </w:tcPr>
          <w:p>
            <w:pPr/>
          </w:p>
        </w:tc>
        <w:tc>
          <w:tcPr>
            <w:tcW w:w="1387" w:type="dxa"/>
            <w:vMerge w:val="restart"/>
            <w:tcBorders>
              <w:top w:val="nil" w:sz="6" w:space="0" w:color="auto"/>
              <w:left w:val="single" w:sz="6" w:space="0" w:color="000000"/>
              <w:right w:val="single" w:sz="12" w:space="0" w:color="000000"/>
            </w:tcBorders>
            <w:shd w:val="clear" w:color="auto" w:fill="D2D2D2"/>
          </w:tcPr>
          <w:p>
            <w:pPr/>
          </w:p>
        </w:tc>
      </w:tr>
      <w:tr>
        <w:trPr>
          <w:trHeight w:val="188" w:hRule="exact"/>
        </w:trPr>
        <w:tc>
          <w:tcPr>
            <w:tcW w:w="4423" w:type="dxa"/>
            <w:vMerge/>
            <w:tcBorders>
              <w:left w:val="single" w:sz="12" w:space="0" w:color="000000"/>
              <w:bottom w:val="single" w:sz="6" w:space="0" w:color="000000"/>
              <w:right w:val="single" w:sz="6" w:space="0" w:color="000000"/>
            </w:tcBorders>
            <w:shd w:val="clear" w:color="auto" w:fill="D2D2D2"/>
          </w:tcPr>
          <w:p>
            <w:pPr/>
          </w:p>
        </w:tc>
        <w:tc>
          <w:tcPr>
            <w:tcW w:w="1451" w:type="dxa"/>
            <w:vMerge/>
            <w:tcBorders>
              <w:left w:val="single" w:sz="6" w:space="0" w:color="000000"/>
              <w:bottom w:val="single" w:sz="6" w:space="0" w:color="000000"/>
              <w:right w:val="single" w:sz="6" w:space="0" w:color="000000"/>
            </w:tcBorders>
            <w:shd w:val="clear" w:color="auto" w:fill="D2D2D2"/>
          </w:tcPr>
          <w:p>
            <w:pPr/>
          </w:p>
        </w:tc>
        <w:tc>
          <w:tcPr>
            <w:tcW w:w="1709"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0" w:type="dxa"/>
            <w:vMerge/>
            <w:tcBorders>
              <w:left w:val="single" w:sz="6" w:space="0" w:color="000000"/>
              <w:bottom w:val="single" w:sz="6" w:space="0" w:color="000000"/>
              <w:right w:val="single" w:sz="6" w:space="0" w:color="000000"/>
            </w:tcBorders>
            <w:shd w:val="clear" w:color="auto" w:fill="D2D2D2"/>
          </w:tcPr>
          <w:p>
            <w:pPr/>
          </w:p>
        </w:tc>
        <w:tc>
          <w:tcPr>
            <w:tcW w:w="991" w:type="dxa"/>
            <w:vMerge/>
            <w:tcBorders>
              <w:left w:val="single" w:sz="6" w:space="0" w:color="000000"/>
              <w:bottom w:val="single" w:sz="6" w:space="0" w:color="000000"/>
              <w:right w:val="single" w:sz="6" w:space="0" w:color="000000"/>
            </w:tcBorders>
            <w:shd w:val="clear" w:color="auto" w:fill="D2D2D2"/>
          </w:tcPr>
          <w:p>
            <w:pPr/>
          </w:p>
        </w:tc>
        <w:tc>
          <w:tcPr>
            <w:tcW w:w="1169" w:type="dxa"/>
            <w:vMerge/>
            <w:tcBorders>
              <w:left w:val="single" w:sz="6" w:space="0" w:color="000000"/>
              <w:bottom w:val="single" w:sz="6" w:space="0" w:color="000000"/>
              <w:right w:val="single" w:sz="6" w:space="0" w:color="000000"/>
            </w:tcBorders>
            <w:shd w:val="clear" w:color="auto" w:fill="D2D2D2"/>
          </w:tcPr>
          <w:p>
            <w:pPr/>
          </w:p>
        </w:tc>
        <w:tc>
          <w:tcPr>
            <w:tcW w:w="1080" w:type="dxa"/>
            <w:vMerge/>
            <w:tcBorders>
              <w:left w:val="single" w:sz="6" w:space="0" w:color="000000"/>
              <w:bottom w:val="single" w:sz="6" w:space="0" w:color="000000"/>
              <w:right w:val="single" w:sz="6" w:space="0" w:color="000000"/>
            </w:tcBorders>
            <w:shd w:val="clear" w:color="auto" w:fill="D2D2D2"/>
          </w:tcPr>
          <w:p>
            <w:pPr/>
          </w:p>
        </w:tc>
        <w:tc>
          <w:tcPr>
            <w:tcW w:w="1387" w:type="dxa"/>
            <w:vMerge/>
            <w:tcBorders>
              <w:left w:val="single" w:sz="6" w:space="0" w:color="000000"/>
              <w:bottom w:val="single" w:sz="6" w:space="0" w:color="000000"/>
              <w:right w:val="single" w:sz="12" w:space="0" w:color="000000"/>
            </w:tcBorders>
            <w:shd w:val="clear" w:color="auto" w:fill="D2D2D2"/>
          </w:tcPr>
          <w:p>
            <w:pPr/>
          </w:p>
        </w:tc>
      </w:tr>
      <w:tr>
        <w:trPr>
          <w:trHeight w:val="454" w:hRule="exact"/>
        </w:trPr>
        <w:tc>
          <w:tcPr>
            <w:tcW w:w="442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451" w:type="dxa"/>
            <w:tcBorders>
              <w:top w:val="single" w:sz="6" w:space="0" w:color="000000"/>
              <w:left w:val="single" w:sz="14" w:space="0" w:color="D2D2D2"/>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442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其中：重新计算设定受益计划净负债和净资产的变动</w:t>
            </w:r>
          </w:p>
        </w:tc>
        <w:tc>
          <w:tcPr>
            <w:tcW w:w="1451" w:type="dxa"/>
            <w:tcBorders>
              <w:top w:val="single" w:sz="6" w:space="0" w:color="000000"/>
              <w:left w:val="single" w:sz="14" w:space="0" w:color="D2D2D2"/>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12" w:space="0" w:color="000000"/>
            </w:tcBorders>
          </w:tcPr>
          <w:p>
            <w:pPr/>
          </w:p>
        </w:tc>
      </w:tr>
      <w:tr>
        <w:trPr>
          <w:trHeight w:val="814" w:hRule="exact"/>
        </w:trPr>
        <w:tc>
          <w:tcPr>
            <w:tcW w:w="442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7" w:lineRule="auto" w:before="116"/>
              <w:ind w:left="7" w:right="71" w:firstLine="540"/>
              <w:jc w:val="left"/>
              <w:rPr>
                <w:rFonts w:ascii="宋体" w:hAnsi="宋体" w:cs="宋体" w:eastAsia="宋体" w:hint="default"/>
                <w:sz w:val="18"/>
                <w:szCs w:val="18"/>
              </w:rPr>
            </w:pPr>
            <w:r>
              <w:rPr>
                <w:rFonts w:ascii="宋体" w:hAnsi="宋体" w:cs="宋体" w:eastAsia="宋体" w:hint="default"/>
                <w:sz w:val="18"/>
                <w:szCs w:val="18"/>
              </w:rPr>
              <w:t>权益法下在被投资单位不能重分类进损益的其他 综合收益中享有的份额</w:t>
            </w:r>
          </w:p>
        </w:tc>
        <w:tc>
          <w:tcPr>
            <w:tcW w:w="1451" w:type="dxa"/>
            <w:tcBorders>
              <w:top w:val="single" w:sz="6" w:space="0" w:color="000000"/>
              <w:left w:val="single" w:sz="14" w:space="0" w:color="D2D2D2"/>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442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left="7"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45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44,031,200.38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-11,359,269.37</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17"/>
              <w:jc w:val="right"/>
              <w:rPr>
                <w:rFonts w:ascii="Times New Roman" w:hAnsi="Times New Roman" w:cs="Times New Roman" w:eastAsia="Times New Roman" w:hint="default"/>
                <w:sz w:val="18"/>
                <w:szCs w:val="18"/>
              </w:rPr>
            </w:pPr>
            <w:r>
              <w:rPr>
                <w:rFonts w:ascii="Times New Roman"/>
                <w:spacing w:val="-1"/>
                <w:sz w:val="18"/>
              </w:rPr>
              <w:t>-37,213,262.49</w:t>
            </w:r>
          </w:p>
        </w:tc>
        <w:tc>
          <w:tcPr>
            <w:tcW w:w="991"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25,853,993.12</w:t>
            </w:r>
          </w:p>
        </w:tc>
        <w:tc>
          <w:tcPr>
            <w:tcW w:w="1080"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1"/>
              <w:ind w:right="12"/>
              <w:jc w:val="right"/>
              <w:rPr>
                <w:rFonts w:ascii="Times New Roman" w:hAnsi="Times New Roman" w:cs="Times New Roman" w:eastAsia="Times New Roman" w:hint="default"/>
                <w:sz w:val="18"/>
                <w:szCs w:val="18"/>
              </w:rPr>
            </w:pPr>
            <w:r>
              <w:rPr>
                <w:rFonts w:ascii="Times New Roman"/>
                <w:spacing w:val="-1"/>
                <w:sz w:val="18"/>
              </w:rPr>
              <w:t>69,885,193.50</w:t>
            </w:r>
          </w:p>
        </w:tc>
      </w:tr>
      <w:tr>
        <w:trPr>
          <w:trHeight w:val="814" w:hRule="exact"/>
        </w:trPr>
        <w:tc>
          <w:tcPr>
            <w:tcW w:w="442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7" w:lineRule="auto" w:before="116"/>
              <w:ind w:left="7" w:right="72"/>
              <w:jc w:val="left"/>
              <w:rPr>
                <w:rFonts w:ascii="宋体" w:hAnsi="宋体" w:cs="宋体" w:eastAsia="宋体" w:hint="default"/>
                <w:sz w:val="18"/>
                <w:szCs w:val="18"/>
              </w:rPr>
            </w:pPr>
            <w:r>
              <w:rPr>
                <w:rFonts w:ascii="宋体" w:hAnsi="宋体" w:cs="宋体" w:eastAsia="宋体" w:hint="default"/>
                <w:sz w:val="18"/>
                <w:szCs w:val="18"/>
              </w:rPr>
              <w:t>其中：权益法下在被投资单位以后将重分类进损益的其 他综合收益中享有的份额</w:t>
            </w:r>
          </w:p>
        </w:tc>
        <w:tc>
          <w:tcPr>
            <w:tcW w:w="1451" w:type="dxa"/>
            <w:tcBorders>
              <w:top w:val="single" w:sz="6" w:space="0" w:color="000000"/>
              <w:left w:val="single" w:sz="14" w:space="0" w:color="D2D2D2"/>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-3,351,419.48</w:t>
            </w:r>
          </w:p>
        </w:tc>
        <w:tc>
          <w:tcPr>
            <w:tcW w:w="180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-3,351,419.48</w:t>
            </w:r>
          </w:p>
        </w:tc>
        <w:tc>
          <w:tcPr>
            <w:tcW w:w="1080"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-3,351,419.48</w:t>
            </w:r>
          </w:p>
        </w:tc>
      </w:tr>
      <w:tr>
        <w:trPr>
          <w:trHeight w:val="456" w:hRule="exact"/>
        </w:trPr>
        <w:tc>
          <w:tcPr>
            <w:tcW w:w="442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547"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可供出售金融资产公允价值变动损益</w:t>
            </w:r>
          </w:p>
        </w:tc>
        <w:tc>
          <w:tcPr>
            <w:tcW w:w="145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-37,213,262.49</w:t>
            </w:r>
          </w:p>
        </w:tc>
        <w:tc>
          <w:tcPr>
            <w:tcW w:w="170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-37,213,262.49</w:t>
            </w:r>
          </w:p>
        </w:tc>
        <w:tc>
          <w:tcPr>
            <w:tcW w:w="991"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pacing w:val="-1"/>
                <w:sz w:val="18"/>
              </w:rPr>
              <w:t>37,213,262.49</w:t>
            </w:r>
          </w:p>
        </w:tc>
        <w:tc>
          <w:tcPr>
            <w:tcW w:w="1080"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442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547" w:right="0"/>
              <w:jc w:val="left"/>
              <w:rPr>
                <w:rFonts w:ascii="宋体" w:hAnsi="宋体" w:cs="宋体" w:eastAsia="宋体" w:hint="default"/>
                <w:sz w:val="18"/>
                <w:szCs w:val="18"/>
              </w:rPr>
            </w:pPr>
            <w:r>
              <w:rPr>
                <w:rFonts w:ascii="宋体" w:hAnsi="宋体" w:cs="宋体" w:eastAsia="宋体" w:hint="default"/>
                <w:sz w:val="18"/>
                <w:szCs w:val="18"/>
              </w:rPr>
              <w:t>持有至到期投资重分类为可供出售金融资产损益</w:t>
            </w:r>
          </w:p>
        </w:tc>
        <w:tc>
          <w:tcPr>
            <w:tcW w:w="1451" w:type="dxa"/>
            <w:tcBorders>
              <w:top w:val="single" w:sz="6" w:space="0" w:color="000000"/>
              <w:left w:val="single" w:sz="14" w:space="0" w:color="D2D2D2"/>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442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547"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现金流量套期损益的有效部分</w:t>
            </w:r>
          </w:p>
        </w:tc>
        <w:tc>
          <w:tcPr>
            <w:tcW w:w="1451" w:type="dxa"/>
            <w:tcBorders>
              <w:top w:val="single" w:sz="6" w:space="0" w:color="000000"/>
              <w:left w:val="single" w:sz="14" w:space="0" w:color="D2D2D2"/>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442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547"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45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81,244,462.87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-8,007,849.89</w:t>
            </w:r>
          </w:p>
        </w:tc>
        <w:tc>
          <w:tcPr>
            <w:tcW w:w="180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-8,007,849.89</w:t>
            </w:r>
          </w:p>
        </w:tc>
        <w:tc>
          <w:tcPr>
            <w:tcW w:w="1080"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73,236,612.98</w:t>
            </w:r>
          </w:p>
        </w:tc>
      </w:tr>
      <w:tr>
        <w:trPr>
          <w:trHeight w:val="461" w:hRule="exact"/>
        </w:trPr>
        <w:tc>
          <w:tcPr>
            <w:tcW w:w="442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451"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44,031,200.38</w:t>
            </w:r>
          </w:p>
        </w:tc>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-11,359,269.37</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-37,213,262.49</w:t>
            </w:r>
          </w:p>
        </w:tc>
        <w:tc>
          <w:tcPr>
            <w:tcW w:w="991" w:type="dxa"/>
            <w:tcBorders>
              <w:top w:val="single" w:sz="6" w:space="0" w:color="000000"/>
              <w:left w:val="single" w:sz="6" w:space="0" w:color="000000"/>
              <w:bottom w:val="single" w:sz="12" w:space="0" w:color="000000"/>
              <w:right w:val="single" w:sz="6" w:space="0" w:color="000000"/>
            </w:tcBorders>
          </w:tcPr>
          <w:p>
            <w:pPr/>
          </w:p>
        </w:tc>
        <w:tc>
          <w:tcPr>
            <w:tcW w:w="11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25,853,993.12</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69,885,193.50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76"/>
        <w:ind w:left="5173" w:right="5190" w:firstLine="0"/>
        <w:jc w:val="center"/>
        <w:rPr>
          <w:rFonts w:ascii="Times New Roman" w:hAnsi="Times New Roman" w:cs="Times New Roman" w:eastAsia="Times New Roman" w:hint="default"/>
          <w:sz w:val="18"/>
          <w:szCs w:val="18"/>
        </w:rPr>
      </w:pPr>
      <w:r>
        <w:rPr>
          <w:rFonts w:ascii="Times New Roman"/>
          <w:sz w:val="18"/>
        </w:rPr>
        <w:t>167</w:t>
      </w:r>
    </w:p>
    <w:p>
      <w:pPr>
        <w:spacing w:after="0"/>
        <w:jc w:val="center"/>
        <w:rPr>
          <w:rFonts w:ascii="Times New Roman" w:hAnsi="Times New Roman" w:cs="Times New Roman" w:eastAsia="Times New Roman" w:hint="default"/>
          <w:sz w:val="18"/>
          <w:szCs w:val="18"/>
        </w:rPr>
        <w:sectPr>
          <w:type w:val="continuous"/>
          <w:pgSz w:w="16840" w:h="11910" w:orient="landscape"/>
          <w:pgMar w:top="1060" w:bottom="1420" w:left="1300" w:right="1280"/>
        </w:sectPr>
      </w:pPr>
    </w:p>
    <w:p>
      <w:pPr>
        <w:spacing w:line="240" w:lineRule="auto" w:before="6"/>
        <w:rPr>
          <w:rFonts w:ascii="Times New Roman" w:hAnsi="Times New Roman" w:cs="Times New Roman" w:eastAsia="Times New Roman" w:hint="default"/>
          <w:sz w:val="28"/>
          <w:szCs w:val="28"/>
        </w:rPr>
      </w:pPr>
    </w:p>
    <w:p>
      <w:pPr>
        <w:pStyle w:val="Heading4"/>
        <w:spacing w:line="240" w:lineRule="auto" w:before="36"/>
        <w:ind w:right="140"/>
        <w:jc w:val="left"/>
        <w:rPr>
          <w:b w:val="0"/>
          <w:bCs w:val="0"/>
        </w:rPr>
      </w:pPr>
      <w:r>
        <w:rPr>
          <w:rFonts w:ascii="Times New Roman" w:hAnsi="Times New Roman" w:cs="Times New Roman" w:eastAsia="Times New Roman" w:hint="default"/>
        </w:rPr>
        <w:t>32</w:t>
      </w:r>
      <w:r>
        <w:rPr/>
        <w:t>、盈余公积</w:t>
      </w:r>
      <w:r>
        <w:rPr>
          <w:b w:val="0"/>
          <w:bCs w:val="0"/>
        </w:rPr>
      </w:r>
    </w:p>
    <w:p>
      <w:pPr>
        <w:spacing w:line="240" w:lineRule="auto" w:before="5"/>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1895"/>
        <w:gridCol w:w="1927"/>
        <w:gridCol w:w="1916"/>
        <w:gridCol w:w="1913"/>
        <w:gridCol w:w="1916"/>
      </w:tblGrid>
      <w:tr>
        <w:trPr>
          <w:trHeight w:val="462" w:hRule="exact"/>
        </w:trPr>
        <w:tc>
          <w:tcPr>
            <w:tcW w:w="18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5"/>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6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5"/>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54" w:hRule="exact"/>
        </w:trPr>
        <w:tc>
          <w:tcPr>
            <w:tcW w:w="18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2,322,738.36</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7,740,055.42</w:t>
            </w:r>
          </w:p>
        </w:tc>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10,062,793.78</w:t>
            </w:r>
          </w:p>
        </w:tc>
      </w:tr>
      <w:tr>
        <w:trPr>
          <w:trHeight w:val="456" w:hRule="exact"/>
        </w:trPr>
        <w:tc>
          <w:tcPr>
            <w:tcW w:w="18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7" w:type="dxa"/>
            <w:tcBorders>
              <w:top w:val="single" w:sz="6" w:space="0" w:color="000000"/>
              <w:left w:val="single" w:sz="9" w:space="0" w:color="D2D2D2"/>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18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927" w:type="dxa"/>
            <w:tcBorders>
              <w:top w:val="single" w:sz="6" w:space="0" w:color="000000"/>
              <w:left w:val="single" w:sz="9" w:space="0" w:color="D2D2D2"/>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18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927" w:type="dxa"/>
            <w:tcBorders>
              <w:top w:val="single" w:sz="6" w:space="0" w:color="000000"/>
              <w:left w:val="single" w:sz="9" w:space="0" w:color="D2D2D2"/>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18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7" w:type="dxa"/>
            <w:tcBorders>
              <w:top w:val="single" w:sz="6" w:space="0" w:color="000000"/>
              <w:left w:val="single" w:sz="9" w:space="0" w:color="D2D2D2"/>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12" w:space="0" w:color="000000"/>
            </w:tcBorders>
          </w:tcPr>
          <w:p>
            <w:pPr/>
          </w:p>
        </w:tc>
      </w:tr>
      <w:tr>
        <w:trPr>
          <w:trHeight w:val="463" w:hRule="exact"/>
        </w:trPr>
        <w:tc>
          <w:tcPr>
            <w:tcW w:w="18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2,322,738.36</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7,740,055.42</w:t>
            </w:r>
          </w:p>
        </w:tc>
        <w:tc>
          <w:tcPr>
            <w:tcW w:w="1913" w:type="dxa"/>
            <w:tcBorders>
              <w:top w:val="single" w:sz="6" w:space="0" w:color="000000"/>
              <w:left w:val="single" w:sz="6" w:space="0" w:color="000000"/>
              <w:bottom w:val="single" w:sz="12" w:space="0" w:color="000000"/>
              <w:right w:val="single" w:sz="6" w:space="0" w:color="000000"/>
            </w:tcBorders>
          </w:tcPr>
          <w:p>
            <w:pPr/>
          </w:p>
        </w:tc>
        <w:tc>
          <w:tcPr>
            <w:tcW w:w="19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0"/>
              <w:ind w:right="12"/>
              <w:jc w:val="right"/>
              <w:rPr>
                <w:rFonts w:ascii="Times New Roman" w:hAnsi="Times New Roman" w:cs="Times New Roman" w:eastAsia="Times New Roman" w:hint="default"/>
                <w:sz w:val="18"/>
                <w:szCs w:val="18"/>
              </w:rPr>
            </w:pPr>
            <w:r>
              <w:rPr>
                <w:rFonts w:ascii="Times New Roman"/>
                <w:spacing w:val="-1"/>
                <w:sz w:val="18"/>
              </w:rPr>
              <w:t>10,062,793.78</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33</w:t>
      </w:r>
      <w:r>
        <w:rPr/>
        <w:t>、未分配利润</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3714"/>
        <w:gridCol w:w="2934"/>
        <w:gridCol w:w="2919"/>
      </w:tblGrid>
      <w:tr>
        <w:trPr>
          <w:trHeight w:val="462" w:hRule="exact"/>
        </w:trPr>
        <w:tc>
          <w:tcPr>
            <w:tcW w:w="371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7"/>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7"/>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56" w:hRule="exact"/>
        </w:trPr>
        <w:tc>
          <w:tcPr>
            <w:tcW w:w="37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542,908,224.61</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8"/>
              <w:jc w:val="right"/>
              <w:rPr>
                <w:rFonts w:ascii="Times New Roman" w:hAnsi="Times New Roman" w:cs="Times New Roman" w:eastAsia="Times New Roman" w:hint="default"/>
                <w:sz w:val="18"/>
                <w:szCs w:val="18"/>
              </w:rPr>
            </w:pPr>
            <w:r>
              <w:rPr>
                <w:rFonts w:ascii="Times New Roman"/>
                <w:spacing w:val="-1"/>
                <w:sz w:val="18"/>
              </w:rPr>
              <w:t>587,515,324.30</w:t>
            </w:r>
          </w:p>
        </w:tc>
      </w:tr>
      <w:tr>
        <w:trPr>
          <w:trHeight w:val="454" w:hRule="exact"/>
        </w:trPr>
        <w:tc>
          <w:tcPr>
            <w:tcW w:w="37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22"/>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6" w:space="0" w:color="000000"/>
              <w:left w:val="single" w:sz="9" w:space="0" w:color="D2D2D2"/>
              <w:bottom w:val="single" w:sz="6" w:space="0" w:color="000000"/>
              <w:right w:val="single" w:sz="6" w:space="0" w:color="000000"/>
            </w:tcBorders>
          </w:tcPr>
          <w:p>
            <w:pPr/>
          </w:p>
        </w:tc>
        <w:tc>
          <w:tcPr>
            <w:tcW w:w="2919"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7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542,908,224.61</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8"/>
              <w:jc w:val="right"/>
              <w:rPr>
                <w:rFonts w:ascii="Times New Roman" w:hAnsi="Times New Roman" w:cs="Times New Roman" w:eastAsia="Times New Roman" w:hint="default"/>
                <w:sz w:val="18"/>
                <w:szCs w:val="18"/>
              </w:rPr>
            </w:pPr>
            <w:r>
              <w:rPr>
                <w:rFonts w:ascii="Times New Roman"/>
                <w:spacing w:val="-1"/>
                <w:sz w:val="18"/>
              </w:rPr>
              <w:t>587,515,324.30</w:t>
            </w:r>
          </w:p>
        </w:tc>
      </w:tr>
      <w:tr>
        <w:trPr>
          <w:trHeight w:val="455" w:hRule="exact"/>
        </w:trPr>
        <w:tc>
          <w:tcPr>
            <w:tcW w:w="37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279,531,140.01</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8"/>
              <w:jc w:val="right"/>
              <w:rPr>
                <w:rFonts w:ascii="Times New Roman" w:hAnsi="Times New Roman" w:cs="Times New Roman" w:eastAsia="Times New Roman" w:hint="default"/>
                <w:sz w:val="18"/>
                <w:szCs w:val="18"/>
              </w:rPr>
            </w:pPr>
            <w:r>
              <w:rPr>
                <w:rFonts w:ascii="Times New Roman"/>
                <w:spacing w:val="-1"/>
                <w:sz w:val="18"/>
              </w:rPr>
              <w:t>254,718,777.19</w:t>
            </w:r>
          </w:p>
        </w:tc>
      </w:tr>
      <w:tr>
        <w:trPr>
          <w:trHeight w:val="455" w:hRule="exact"/>
        </w:trPr>
        <w:tc>
          <w:tcPr>
            <w:tcW w:w="37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7"/>
              <w:ind w:left="1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7,740,055.42</w:t>
            </w:r>
          </w:p>
        </w:tc>
        <w:tc>
          <w:tcPr>
            <w:tcW w:w="2919"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7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73"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4" w:type="dxa"/>
            <w:tcBorders>
              <w:top w:val="single" w:sz="6" w:space="0" w:color="000000"/>
              <w:left w:val="single" w:sz="9" w:space="0" w:color="D2D2D2"/>
              <w:bottom w:val="single" w:sz="6" w:space="0" w:color="000000"/>
              <w:right w:val="single" w:sz="6" w:space="0" w:color="000000"/>
            </w:tcBorders>
          </w:tcPr>
          <w:p>
            <w:pPr/>
          </w:p>
        </w:tc>
        <w:tc>
          <w:tcPr>
            <w:tcW w:w="2919"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37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73"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34" w:type="dxa"/>
            <w:tcBorders>
              <w:top w:val="single" w:sz="6" w:space="0" w:color="000000"/>
              <w:left w:val="single" w:sz="9" w:space="0" w:color="D2D2D2"/>
              <w:bottom w:val="single" w:sz="6" w:space="0" w:color="000000"/>
              <w:right w:val="single" w:sz="6" w:space="0" w:color="000000"/>
            </w:tcBorders>
          </w:tcPr>
          <w:p>
            <w:pPr/>
          </w:p>
        </w:tc>
        <w:tc>
          <w:tcPr>
            <w:tcW w:w="2919"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7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37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6" w:space="0" w:color="000000"/>
              <w:left w:val="single" w:sz="9" w:space="0" w:color="D9D9D9"/>
              <w:bottom w:val="single" w:sz="6" w:space="0" w:color="000000"/>
              <w:right w:val="single" w:sz="6" w:space="0" w:color="000000"/>
            </w:tcBorders>
          </w:tcPr>
          <w:p>
            <w:pPr/>
          </w:p>
        </w:tc>
        <w:tc>
          <w:tcPr>
            <w:tcW w:w="2919"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37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373"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4" w:type="dxa"/>
            <w:tcBorders>
              <w:top w:val="single" w:sz="6" w:space="0" w:color="000000"/>
              <w:left w:val="single" w:sz="9" w:space="0" w:color="D9D9D9"/>
              <w:bottom w:val="single" w:sz="6" w:space="0" w:color="000000"/>
              <w:right w:val="single" w:sz="6" w:space="0" w:color="000000"/>
            </w:tcBorders>
          </w:tcPr>
          <w:p>
            <w:pPr/>
          </w:p>
        </w:tc>
        <w:tc>
          <w:tcPr>
            <w:tcW w:w="2919"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37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13" w:right="0"/>
              <w:jc w:val="left"/>
              <w:rPr>
                <w:rFonts w:ascii="宋体" w:hAnsi="宋体" w:cs="宋体" w:eastAsia="宋体" w:hint="default"/>
                <w:sz w:val="18"/>
                <w:szCs w:val="18"/>
              </w:rPr>
            </w:pPr>
            <w:r>
              <w:rPr>
                <w:rFonts w:ascii="宋体" w:hAnsi="宋体" w:cs="宋体" w:eastAsia="宋体" w:hint="default"/>
                <w:sz w:val="18"/>
                <w:szCs w:val="18"/>
              </w:rPr>
              <w:t>加：其他转出</w:t>
            </w:r>
          </w:p>
        </w:tc>
        <w:tc>
          <w:tcPr>
            <w:tcW w:w="2934" w:type="dxa"/>
            <w:tcBorders>
              <w:top w:val="single" w:sz="6" w:space="0" w:color="000000"/>
              <w:left w:val="single" w:sz="9" w:space="0" w:color="D9D9D9"/>
              <w:bottom w:val="single" w:sz="6" w:space="0" w:color="000000"/>
              <w:right w:val="single" w:sz="6" w:space="0" w:color="000000"/>
            </w:tcBorders>
          </w:tcPr>
          <w:p>
            <w:pP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8"/>
              <w:jc w:val="right"/>
              <w:rPr>
                <w:rFonts w:ascii="Times New Roman" w:hAnsi="Times New Roman" w:cs="Times New Roman" w:eastAsia="Times New Roman" w:hint="default"/>
                <w:sz w:val="18"/>
                <w:szCs w:val="18"/>
              </w:rPr>
            </w:pPr>
            <w:r>
              <w:rPr>
                <w:rFonts w:ascii="Times New Roman"/>
                <w:spacing w:val="-1"/>
                <w:sz w:val="18"/>
              </w:rPr>
              <w:t>-299,325,876.88</w:t>
            </w:r>
          </w:p>
        </w:tc>
      </w:tr>
      <w:tr>
        <w:trPr>
          <w:trHeight w:val="461" w:hRule="exact"/>
        </w:trPr>
        <w:tc>
          <w:tcPr>
            <w:tcW w:w="371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814,699,309.20</w:t>
            </w:r>
          </w:p>
        </w:tc>
        <w:tc>
          <w:tcPr>
            <w:tcW w:w="291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9"/>
              <w:ind w:right="8"/>
              <w:jc w:val="right"/>
              <w:rPr>
                <w:rFonts w:ascii="Times New Roman" w:hAnsi="Times New Roman" w:cs="Times New Roman" w:eastAsia="Times New Roman" w:hint="default"/>
                <w:sz w:val="18"/>
                <w:szCs w:val="18"/>
              </w:rPr>
            </w:pPr>
            <w:r>
              <w:rPr>
                <w:rFonts w:ascii="Times New Roman"/>
                <w:spacing w:val="-1"/>
                <w:sz w:val="18"/>
              </w:rPr>
              <w:t>542,908,224.61</w:t>
            </w:r>
          </w:p>
        </w:tc>
      </w:tr>
    </w:tbl>
    <w:p>
      <w:pPr>
        <w:pStyle w:val="BodyText"/>
        <w:spacing w:line="408" w:lineRule="auto" w:before="66"/>
        <w:ind w:right="140"/>
        <w:jc w:val="left"/>
      </w:pPr>
      <w:r>
        <w:rPr/>
        <w:t>调整期初未分配利润明细：</w:t>
      </w:r>
      <w:r>
        <w:rPr>
          <w:w w:val="100"/>
        </w:rPr>
        <w:t> </w:t>
      </w:r>
      <w:r>
        <w:rPr>
          <w:rFonts w:ascii="宋体" w:hAnsi="宋体" w:cs="宋体" w:eastAsia="宋体" w:hint="default"/>
          <w:spacing w:val="-2"/>
        </w:rPr>
        <w:t>1)</w:t>
      </w:r>
      <w:r>
        <w:rPr>
          <w:spacing w:val="-2"/>
        </w:rPr>
        <w:t>、由于《企业会计准则》及其相关新规定进行追溯调整，影响期初未分配利润</w:t>
      </w:r>
      <w:r>
        <w:rPr>
          <w:rFonts w:ascii="宋体" w:hAnsi="宋体" w:cs="宋体" w:eastAsia="宋体" w:hint="default"/>
          <w:spacing w:val="-2"/>
        </w:rPr>
        <w:t>0.00</w:t>
      </w:r>
      <w:r>
        <w:rPr>
          <w:spacing w:val="-2"/>
        </w:rPr>
        <w:t>元。</w:t>
      </w:r>
      <w:r>
        <w:rPr/>
      </w:r>
    </w:p>
    <w:p>
      <w:pPr>
        <w:pStyle w:val="BodyText"/>
        <w:spacing w:line="240" w:lineRule="auto" w:before="46"/>
        <w:ind w:right="140"/>
        <w:jc w:val="left"/>
      </w:pPr>
      <w:r>
        <w:rPr>
          <w:rFonts w:ascii="宋体" w:hAnsi="宋体" w:cs="宋体" w:eastAsia="宋体" w:hint="default"/>
        </w:rPr>
        <w:t>2)</w:t>
      </w:r>
      <w:r>
        <w:rPr/>
        <w:t>、由于会计政策变更，影响期初未分配利润</w:t>
      </w:r>
      <w:r>
        <w:rPr>
          <w:rFonts w:ascii="宋体" w:hAnsi="宋体" w:cs="宋体" w:eastAsia="宋体" w:hint="default"/>
        </w:rPr>
        <w:t>0.00</w:t>
      </w:r>
      <w:r>
        <w:rPr/>
        <w:t>元。</w:t>
      </w:r>
    </w:p>
    <w:p>
      <w:pPr>
        <w:spacing w:line="240" w:lineRule="auto" w:before="10"/>
        <w:rPr>
          <w:rFonts w:ascii="宋体" w:hAnsi="宋体" w:cs="宋体" w:eastAsia="宋体" w:hint="default"/>
          <w:sz w:val="14"/>
          <w:szCs w:val="14"/>
        </w:rPr>
      </w:pPr>
    </w:p>
    <w:p>
      <w:pPr>
        <w:pStyle w:val="BodyText"/>
        <w:spacing w:line="240" w:lineRule="auto"/>
        <w:ind w:right="140"/>
        <w:jc w:val="left"/>
      </w:pPr>
      <w:r>
        <w:rPr>
          <w:rFonts w:ascii="宋体" w:hAnsi="宋体" w:cs="宋体" w:eastAsia="宋体" w:hint="default"/>
        </w:rPr>
        <w:t>3)</w:t>
      </w:r>
      <w:r>
        <w:rPr/>
        <w:t>、由于重大会计差错更正，影响期初未分配利润</w:t>
      </w:r>
      <w:r>
        <w:rPr>
          <w:rFonts w:ascii="宋体" w:hAnsi="宋体" w:cs="宋体" w:eastAsia="宋体" w:hint="default"/>
        </w:rPr>
        <w:t>0.00</w:t>
      </w:r>
      <w:r>
        <w:rPr/>
        <w:t>元。</w:t>
      </w:r>
    </w:p>
    <w:p>
      <w:pPr>
        <w:spacing w:line="240" w:lineRule="auto" w:before="10"/>
        <w:rPr>
          <w:rFonts w:ascii="宋体" w:hAnsi="宋体" w:cs="宋体" w:eastAsia="宋体" w:hint="default"/>
          <w:sz w:val="14"/>
          <w:szCs w:val="14"/>
        </w:rPr>
      </w:pPr>
    </w:p>
    <w:p>
      <w:pPr>
        <w:pStyle w:val="BodyText"/>
        <w:spacing w:line="240" w:lineRule="auto"/>
        <w:ind w:right="140"/>
        <w:jc w:val="left"/>
      </w:pPr>
      <w:r>
        <w:rPr>
          <w:rFonts w:ascii="宋体" w:hAnsi="宋体" w:cs="宋体" w:eastAsia="宋体" w:hint="default"/>
        </w:rPr>
        <w:t>4)</w:t>
      </w:r>
      <w:r>
        <w:rPr/>
        <w:t>、由于同一控制导致的合并范围变更，影响期初未分配利润</w:t>
      </w:r>
      <w:r>
        <w:rPr>
          <w:rFonts w:ascii="宋体" w:hAnsi="宋体" w:cs="宋体" w:eastAsia="宋体" w:hint="default"/>
        </w:rPr>
        <w:t>0.00</w:t>
      </w:r>
      <w:r>
        <w:rPr/>
        <w:t>元。</w:t>
      </w:r>
    </w:p>
    <w:p>
      <w:pPr>
        <w:spacing w:line="240" w:lineRule="auto" w:before="10"/>
        <w:rPr>
          <w:rFonts w:ascii="宋体" w:hAnsi="宋体" w:cs="宋体" w:eastAsia="宋体" w:hint="default"/>
          <w:sz w:val="14"/>
          <w:szCs w:val="14"/>
        </w:rPr>
      </w:pPr>
    </w:p>
    <w:p>
      <w:pPr>
        <w:pStyle w:val="BodyText"/>
        <w:spacing w:line="240" w:lineRule="auto"/>
        <w:ind w:right="140"/>
        <w:jc w:val="left"/>
      </w:pPr>
      <w:r>
        <w:rPr>
          <w:rFonts w:ascii="宋体" w:hAnsi="宋体" w:cs="宋体" w:eastAsia="宋体" w:hint="default"/>
        </w:rPr>
        <w:t>5)</w:t>
      </w:r>
      <w:r>
        <w:rPr/>
        <w:t>、其他调整合计影响期初未分配利润</w:t>
      </w:r>
      <w:r>
        <w:rPr>
          <w:rFonts w:ascii="宋体" w:hAnsi="宋体" w:cs="宋体" w:eastAsia="宋体" w:hint="default"/>
        </w:rPr>
        <w:t>0.00</w:t>
      </w:r>
      <w:r>
        <w:rPr/>
        <w:t>元。</w:t>
      </w:r>
    </w:p>
    <w:p>
      <w:pPr>
        <w:spacing w:after="0" w:line="240" w:lineRule="auto"/>
        <w:jc w:val="left"/>
        <w:sectPr>
          <w:footerReference w:type="default" r:id="rId62"/>
          <w:pgSz w:w="11910" w:h="16840"/>
          <w:pgMar w:footer="1227" w:header="0" w:top="1100" w:bottom="1420" w:left="980" w:right="980"/>
          <w:pgNumType w:start="168"/>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rFonts w:ascii="Times New Roman" w:hAnsi="Times New Roman" w:cs="Times New Roman" w:eastAsia="Times New Roman" w:hint="default"/>
        </w:rPr>
        <w:t>34</w:t>
      </w:r>
      <w:r>
        <w:rPr/>
        <w:t>、营业收入和营业成本</w:t>
      </w:r>
      <w:r>
        <w:rPr>
          <w:b w:val="0"/>
          <w:bCs w:val="0"/>
        </w:rPr>
      </w:r>
    </w:p>
    <w:p>
      <w:pPr>
        <w:spacing w:line="240" w:lineRule="auto" w:before="5"/>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1906"/>
        <w:gridCol w:w="1916"/>
        <w:gridCol w:w="1916"/>
        <w:gridCol w:w="1913"/>
        <w:gridCol w:w="1916"/>
      </w:tblGrid>
      <w:tr>
        <w:trPr>
          <w:trHeight w:val="241" w:hRule="exact"/>
        </w:trPr>
        <w:tc>
          <w:tcPr>
            <w:tcW w:w="1906"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831"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115"/>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21" w:hRule="exact"/>
        </w:trPr>
        <w:tc>
          <w:tcPr>
            <w:tcW w:w="1906"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116"/>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6" w:space="0" w:color="000000"/>
              <w:bottom w:val="single" w:sz="6" w:space="0" w:color="000000"/>
              <w:right w:val="single" w:sz="6" w:space="0" w:color="000000"/>
            </w:tcBorders>
            <w:shd w:val="clear" w:color="auto" w:fill="D2D2D2"/>
          </w:tcPr>
          <w:p>
            <w:pPr/>
          </w:p>
        </w:tc>
        <w:tc>
          <w:tcPr>
            <w:tcW w:w="3829" w:type="dxa"/>
            <w:gridSpan w:val="2"/>
            <w:vMerge/>
            <w:tcBorders>
              <w:left w:val="single" w:sz="6" w:space="0" w:color="000000"/>
              <w:bottom w:val="single" w:sz="6" w:space="0" w:color="000000"/>
              <w:right w:val="single" w:sz="12" w:space="0" w:color="000000"/>
            </w:tcBorders>
            <w:shd w:val="clear" w:color="auto" w:fill="D2D2D2"/>
          </w:tcPr>
          <w:p>
            <w:pPr/>
          </w:p>
        </w:tc>
      </w:tr>
      <w:tr>
        <w:trPr>
          <w:trHeight w:val="218" w:hRule="exact"/>
        </w:trPr>
        <w:tc>
          <w:tcPr>
            <w:tcW w:w="1906" w:type="dxa"/>
            <w:vMerge/>
            <w:tcBorders>
              <w:left w:val="single" w:sz="12" w:space="0" w:color="000000"/>
              <w:bottom w:val="nil" w:sz="6" w:space="0" w:color="auto"/>
              <w:right w:val="single" w:sz="6" w:space="0" w:color="000000"/>
            </w:tcBorders>
            <w:shd w:val="clear" w:color="auto" w:fill="D2D2D2"/>
          </w:tcPr>
          <w:p>
            <w:pPr/>
          </w:p>
        </w:tc>
        <w:tc>
          <w:tcPr>
            <w:tcW w:w="191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116"/>
              <w:ind w:left="6"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35" w:hRule="exact"/>
        </w:trPr>
        <w:tc>
          <w:tcPr>
            <w:tcW w:w="1906" w:type="dxa"/>
            <w:tcBorders>
              <w:top w:val="nil" w:sz="6" w:space="0" w:color="auto"/>
              <w:left w:val="single" w:sz="12" w:space="0" w:color="000000"/>
              <w:bottom w:val="single" w:sz="6" w:space="0" w:color="000000"/>
              <w:right w:val="single" w:sz="6" w:space="0" w:color="000000"/>
            </w:tcBorders>
            <w:shd w:val="clear" w:color="auto" w:fill="D2D2D2"/>
          </w:tcPr>
          <w:p>
            <w:pPr/>
          </w:p>
        </w:tc>
        <w:tc>
          <w:tcPr>
            <w:tcW w:w="1916" w:type="dxa"/>
            <w:vMerge/>
            <w:tcBorders>
              <w:left w:val="single" w:sz="6" w:space="0" w:color="000000"/>
              <w:bottom w:val="single" w:sz="6" w:space="0" w:color="000000"/>
              <w:right w:val="single" w:sz="6" w:space="0" w:color="000000"/>
            </w:tcBorders>
            <w:shd w:val="clear" w:color="auto" w:fill="D2D2D2"/>
          </w:tcPr>
          <w:p>
            <w:pPr/>
          </w:p>
        </w:tc>
        <w:tc>
          <w:tcPr>
            <w:tcW w:w="1916"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6" w:space="0" w:color="000000"/>
            </w:tcBorders>
            <w:shd w:val="clear" w:color="auto" w:fill="D2D2D2"/>
          </w:tcPr>
          <w:p>
            <w:pPr/>
          </w:p>
        </w:tc>
        <w:tc>
          <w:tcPr>
            <w:tcW w:w="1916" w:type="dxa"/>
            <w:vMerge/>
            <w:tcBorders>
              <w:left w:val="single" w:sz="6" w:space="0" w:color="000000"/>
              <w:bottom w:val="single" w:sz="6" w:space="0" w:color="000000"/>
              <w:right w:val="single" w:sz="12" w:space="0" w:color="000000"/>
            </w:tcBorders>
            <w:shd w:val="clear" w:color="auto" w:fill="D2D2D2"/>
          </w:tcPr>
          <w:p>
            <w:pPr/>
          </w:p>
        </w:tc>
      </w:tr>
      <w:tr>
        <w:trPr>
          <w:trHeight w:val="456" w:hRule="exact"/>
        </w:trPr>
        <w:tc>
          <w:tcPr>
            <w:tcW w:w="190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6,559,007,918.00</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5,357,409,536.95</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pacing w:val="-1"/>
                <w:sz w:val="18"/>
              </w:rPr>
              <w:t>7,713,438,140.57</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3"/>
              <w:jc w:val="right"/>
              <w:rPr>
                <w:rFonts w:ascii="Times New Roman" w:hAnsi="Times New Roman" w:cs="Times New Roman" w:eastAsia="Times New Roman" w:hint="default"/>
                <w:sz w:val="18"/>
                <w:szCs w:val="18"/>
              </w:rPr>
            </w:pPr>
            <w:r>
              <w:rPr>
                <w:rFonts w:ascii="Times New Roman"/>
                <w:spacing w:val="-1"/>
                <w:sz w:val="18"/>
              </w:rPr>
              <w:t>6,528,598,726.85</w:t>
            </w:r>
          </w:p>
        </w:tc>
      </w:tr>
      <w:tr>
        <w:trPr>
          <w:trHeight w:val="454" w:hRule="exact"/>
        </w:trPr>
        <w:tc>
          <w:tcPr>
            <w:tcW w:w="190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6" w:space="0" w:color="000000"/>
              <w:left w:val="single" w:sz="9" w:space="0" w:color="D2D2D2"/>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190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6,559,007,918.00</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5,357,409,536.95</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0"/>
              <w:ind w:right="18"/>
              <w:jc w:val="right"/>
              <w:rPr>
                <w:rFonts w:ascii="Times New Roman" w:hAnsi="Times New Roman" w:cs="Times New Roman" w:eastAsia="Times New Roman" w:hint="default"/>
                <w:sz w:val="18"/>
                <w:szCs w:val="18"/>
              </w:rPr>
            </w:pPr>
            <w:r>
              <w:rPr>
                <w:rFonts w:ascii="Times New Roman"/>
                <w:spacing w:val="-1"/>
                <w:sz w:val="18"/>
              </w:rPr>
              <w:t>7,713,438,140.57</w:t>
            </w:r>
          </w:p>
        </w:tc>
        <w:tc>
          <w:tcPr>
            <w:tcW w:w="19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0"/>
              <w:ind w:right="13"/>
              <w:jc w:val="right"/>
              <w:rPr>
                <w:rFonts w:ascii="Times New Roman" w:hAnsi="Times New Roman" w:cs="Times New Roman" w:eastAsia="Times New Roman" w:hint="default"/>
                <w:sz w:val="18"/>
                <w:szCs w:val="18"/>
              </w:rPr>
            </w:pPr>
            <w:r>
              <w:rPr>
                <w:rFonts w:ascii="Times New Roman"/>
                <w:spacing w:val="-1"/>
                <w:sz w:val="18"/>
              </w:rPr>
              <w:t>6,528,598,726.85</w:t>
            </w:r>
          </w:p>
        </w:tc>
      </w:tr>
    </w:tbl>
    <w:p>
      <w:pPr>
        <w:spacing w:line="240" w:lineRule="auto" w:before="9"/>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35</w:t>
      </w:r>
      <w:r>
        <w:rPr/>
        <w:t>、营业税金及附加</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3178"/>
        <w:gridCol w:w="3202"/>
        <w:gridCol w:w="3191"/>
      </w:tblGrid>
      <w:tr>
        <w:trPr>
          <w:trHeight w:val="462" w:hRule="exact"/>
        </w:trPr>
        <w:tc>
          <w:tcPr>
            <w:tcW w:w="317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7"/>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7"/>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4" w:hRule="exact"/>
        </w:trPr>
        <w:tc>
          <w:tcPr>
            <w:tcW w:w="31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2" w:type="dxa"/>
            <w:tcBorders>
              <w:top w:val="single" w:sz="6" w:space="0" w:color="000000"/>
              <w:left w:val="single" w:sz="8"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1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1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60"/>
              <w:ind w:right="16"/>
              <w:jc w:val="right"/>
              <w:rPr>
                <w:rFonts w:ascii="Times New Roman" w:hAnsi="Times New Roman" w:cs="Times New Roman" w:eastAsia="Times New Roman" w:hint="default"/>
                <w:sz w:val="18"/>
                <w:szCs w:val="18"/>
              </w:rPr>
            </w:pPr>
            <w:r>
              <w:rPr>
                <w:rFonts w:ascii="Times New Roman"/>
                <w:spacing w:val="-1"/>
                <w:sz w:val="18"/>
              </w:rPr>
              <w:t>690,822.54</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-439,889.58</w:t>
            </w:r>
          </w:p>
        </w:tc>
      </w:tr>
      <w:tr>
        <w:trPr>
          <w:trHeight w:val="456" w:hRule="exact"/>
        </w:trPr>
        <w:tc>
          <w:tcPr>
            <w:tcW w:w="31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13,744,609.79</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12,551,442.21</w:t>
            </w:r>
          </w:p>
        </w:tc>
      </w:tr>
      <w:tr>
        <w:trPr>
          <w:trHeight w:val="454" w:hRule="exact"/>
        </w:trPr>
        <w:tc>
          <w:tcPr>
            <w:tcW w:w="31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5,885,342.46</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5,380,442.32</w:t>
            </w:r>
          </w:p>
        </w:tc>
      </w:tr>
      <w:tr>
        <w:trPr>
          <w:trHeight w:val="456" w:hRule="exact"/>
        </w:trPr>
        <w:tc>
          <w:tcPr>
            <w:tcW w:w="31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02" w:type="dxa"/>
            <w:tcBorders>
              <w:top w:val="single" w:sz="6" w:space="0" w:color="000000"/>
              <w:left w:val="single" w:sz="8" w:space="0" w:color="D9D9D9"/>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31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3,923,561.62</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3,586,829.39</w:t>
            </w:r>
          </w:p>
        </w:tc>
      </w:tr>
      <w:tr>
        <w:trPr>
          <w:trHeight w:val="456" w:hRule="exact"/>
        </w:trPr>
        <w:tc>
          <w:tcPr>
            <w:tcW w:w="31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6" w:space="0" w:color="000000"/>
              <w:left w:val="single" w:sz="8" w:space="0" w:color="D9D9D9"/>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147,882.50</w:t>
            </w:r>
          </w:p>
        </w:tc>
      </w:tr>
      <w:tr>
        <w:trPr>
          <w:trHeight w:val="461" w:hRule="exact"/>
        </w:trPr>
        <w:tc>
          <w:tcPr>
            <w:tcW w:w="317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24,244,336.41</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21,226,706.84</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36</w:t>
      </w:r>
      <w:r>
        <w:rPr/>
        <w:t>、销售费用</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3179"/>
        <w:gridCol w:w="3200"/>
        <w:gridCol w:w="3191"/>
      </w:tblGrid>
      <w:tr>
        <w:trPr>
          <w:trHeight w:val="449" w:hRule="exact"/>
        </w:trPr>
        <w:tc>
          <w:tcPr>
            <w:tcW w:w="317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12" w:space="0" w:color="000000"/>
              <w:left w:val="single" w:sz="13" w:space="0" w:color="D9D9D9"/>
              <w:bottom w:val="single" w:sz="6" w:space="0" w:color="000000"/>
              <w:right w:val="single" w:sz="6"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4"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207,273,422.99</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10"/>
              <w:jc w:val="right"/>
              <w:rPr>
                <w:rFonts w:ascii="Times New Roman" w:hAnsi="Times New Roman" w:cs="Times New Roman" w:eastAsia="Times New Roman" w:hint="default"/>
                <w:sz w:val="18"/>
                <w:szCs w:val="18"/>
              </w:rPr>
            </w:pPr>
            <w:r>
              <w:rPr>
                <w:rFonts w:ascii="Times New Roman"/>
                <w:spacing w:val="-1"/>
                <w:sz w:val="18"/>
              </w:rPr>
              <w:t>220,150,349.73</w:t>
            </w:r>
          </w:p>
        </w:tc>
      </w:tr>
      <w:tr>
        <w:trPr>
          <w:trHeight w:val="45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会议及招待费</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49,688,282.79</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51,379,088.61</w:t>
            </w:r>
          </w:p>
        </w:tc>
      </w:tr>
      <w:tr>
        <w:trPr>
          <w:trHeight w:val="454"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34,707,969.76</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35,292,699.80</w:t>
            </w:r>
          </w:p>
        </w:tc>
      </w:tr>
      <w:tr>
        <w:trPr>
          <w:trHeight w:val="45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37,564,474.10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40,421,720.11</w:t>
            </w:r>
          </w:p>
        </w:tc>
      </w:tr>
      <w:tr>
        <w:trPr>
          <w:trHeight w:val="454"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集中办公工位费</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5,970,852.75</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8,746,303.86</w:t>
            </w:r>
          </w:p>
        </w:tc>
      </w:tr>
      <w:tr>
        <w:trPr>
          <w:trHeight w:val="46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投标保函费</w:t>
            </w:r>
          </w:p>
        </w:tc>
        <w:tc>
          <w:tcPr>
            <w:tcW w:w="3200" w:type="dxa"/>
            <w:tcBorders>
              <w:top w:val="single" w:sz="6" w:space="0" w:color="000000"/>
              <w:left w:val="single" w:sz="13" w:space="0" w:color="D9D9D9"/>
              <w:bottom w:val="single" w:sz="12"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10,164,033.10</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10,348,067.52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0" w:type="dxa"/>
        <w:tblLayout w:type="fixed"/>
        <w:tblCellMar>
          <w:top w:w="0" w:type="dxa"/>
          <w:left w:w="0" w:type="dxa"/>
          <w:bottom w:w="0" w:type="dxa"/>
          <w:right w:w="0" w:type="dxa"/>
        </w:tblCellMar>
        <w:tblLook w:val="01E0"/>
      </w:tblPr>
      <w:tblGrid>
        <w:gridCol w:w="3179"/>
        <w:gridCol w:w="3200"/>
        <w:gridCol w:w="3191"/>
      </w:tblGrid>
      <w:tr>
        <w:trPr>
          <w:trHeight w:val="464"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6"/>
              <w:ind w:left="13"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200" w:type="dxa"/>
            <w:tcBorders>
              <w:top w:val="single" w:sz="12" w:space="0" w:color="000000"/>
              <w:left w:val="single" w:sz="13" w:space="0" w:color="D9D9D9"/>
              <w:bottom w:val="single" w:sz="6" w:space="0" w:color="000000"/>
              <w:right w:val="single" w:sz="6" w:space="0" w:color="000000"/>
            </w:tcBorders>
          </w:tcPr>
          <w:p>
            <w:pPr>
              <w:pStyle w:val="TableParagraph"/>
              <w:spacing w:line="240" w:lineRule="auto" w:before="161"/>
              <w:ind w:right="17"/>
              <w:jc w:val="right"/>
              <w:rPr>
                <w:rFonts w:ascii="Times New Roman" w:hAnsi="Times New Roman" w:cs="Times New Roman" w:eastAsia="Times New Roman" w:hint="default"/>
                <w:sz w:val="18"/>
                <w:szCs w:val="18"/>
              </w:rPr>
            </w:pPr>
            <w:r>
              <w:rPr>
                <w:rFonts w:ascii="Times New Roman"/>
                <w:spacing w:val="-1"/>
                <w:sz w:val="18"/>
              </w:rPr>
              <w:t>13,927,741.18</w:t>
            </w:r>
          </w:p>
        </w:tc>
        <w:tc>
          <w:tcPr>
            <w:tcW w:w="319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61"/>
              <w:ind w:right="10"/>
              <w:jc w:val="right"/>
              <w:rPr>
                <w:rFonts w:ascii="Times New Roman" w:hAnsi="Times New Roman" w:cs="Times New Roman" w:eastAsia="Times New Roman" w:hint="default"/>
                <w:sz w:val="18"/>
                <w:szCs w:val="18"/>
              </w:rPr>
            </w:pPr>
            <w:r>
              <w:rPr>
                <w:rFonts w:ascii="Times New Roman"/>
                <w:spacing w:val="-1"/>
                <w:sz w:val="18"/>
              </w:rPr>
              <w:t>11,530,212.38</w:t>
            </w:r>
          </w:p>
        </w:tc>
      </w:tr>
      <w:tr>
        <w:trPr>
          <w:trHeight w:val="454"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5,575,644.19</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5,721,729.32</w:t>
            </w:r>
          </w:p>
        </w:tc>
      </w:tr>
      <w:tr>
        <w:trPr>
          <w:trHeight w:val="45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1,652,129.88</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3,157,555.80</w:t>
            </w:r>
          </w:p>
        </w:tc>
      </w:tr>
      <w:tr>
        <w:trPr>
          <w:trHeight w:val="45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3,340,388.88</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4,119,606.21</w:t>
            </w:r>
          </w:p>
        </w:tc>
      </w:tr>
      <w:tr>
        <w:trPr>
          <w:trHeight w:val="454"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15,285,854.01</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11,895,719.10</w:t>
            </w:r>
          </w:p>
        </w:tc>
      </w:tr>
      <w:tr>
        <w:trPr>
          <w:trHeight w:val="45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市场服务费</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2,577,078.92</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2,316,843.71</w:t>
            </w:r>
          </w:p>
        </w:tc>
      </w:tr>
      <w:tr>
        <w:trPr>
          <w:trHeight w:val="454"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仓储费用</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701,108.85</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836,319.88</w:t>
            </w:r>
          </w:p>
        </w:tc>
      </w:tr>
      <w:tr>
        <w:trPr>
          <w:trHeight w:val="45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运输保险费</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60"/>
              <w:ind w:right="16"/>
              <w:jc w:val="right"/>
              <w:rPr>
                <w:rFonts w:ascii="Times New Roman" w:hAnsi="Times New Roman" w:cs="Times New Roman" w:eastAsia="Times New Roman" w:hint="default"/>
                <w:sz w:val="18"/>
                <w:szCs w:val="18"/>
              </w:rPr>
            </w:pPr>
            <w:r>
              <w:rPr>
                <w:rFonts w:ascii="Times New Roman"/>
                <w:spacing w:val="-1"/>
                <w:sz w:val="18"/>
              </w:rPr>
              <w:t>500,030.17</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1,125,740.12</w:t>
            </w:r>
          </w:p>
        </w:tc>
      </w:tr>
      <w:tr>
        <w:trPr>
          <w:trHeight w:val="457"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31,147,857.89</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10"/>
              <w:jc w:val="right"/>
              <w:rPr>
                <w:rFonts w:ascii="Times New Roman" w:hAnsi="Times New Roman" w:cs="Times New Roman" w:eastAsia="Times New Roman" w:hint="default"/>
                <w:sz w:val="18"/>
                <w:szCs w:val="18"/>
              </w:rPr>
            </w:pPr>
            <w:r>
              <w:rPr>
                <w:rFonts w:ascii="Times New Roman"/>
                <w:spacing w:val="-1"/>
                <w:sz w:val="18"/>
              </w:rPr>
              <w:t>40,135,453.71</w:t>
            </w:r>
          </w:p>
        </w:tc>
      </w:tr>
      <w:tr>
        <w:trPr>
          <w:trHeight w:val="461" w:hRule="exact"/>
        </w:trPr>
        <w:tc>
          <w:tcPr>
            <w:tcW w:w="317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6" w:space="0" w:color="000000"/>
              <w:left w:val="single" w:sz="13" w:space="0" w:color="D2D2D2"/>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420,076,869.46</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447,177,409.86</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37</w:t>
      </w:r>
      <w:r>
        <w:rPr/>
        <w:t>、管理费用</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3179"/>
        <w:gridCol w:w="3200"/>
        <w:gridCol w:w="3191"/>
      </w:tblGrid>
      <w:tr>
        <w:trPr>
          <w:trHeight w:val="446" w:hRule="exact"/>
        </w:trPr>
        <w:tc>
          <w:tcPr>
            <w:tcW w:w="317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12" w:space="0" w:color="000000"/>
              <w:left w:val="single" w:sz="13" w:space="0" w:color="D9D9D9"/>
              <w:bottom w:val="single" w:sz="6" w:space="0" w:color="000000"/>
              <w:right w:val="single" w:sz="6"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229,842,626.57</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200,828,756.30</w:t>
            </w:r>
          </w:p>
        </w:tc>
      </w:tr>
      <w:tr>
        <w:trPr>
          <w:trHeight w:val="454"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31,595,595.68</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46,638,944.75</w:t>
            </w:r>
          </w:p>
        </w:tc>
      </w:tr>
      <w:tr>
        <w:trPr>
          <w:trHeight w:val="45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30,864,155.75</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31,544,980.18</w:t>
            </w:r>
          </w:p>
        </w:tc>
      </w:tr>
      <w:tr>
        <w:trPr>
          <w:trHeight w:val="454"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租赁维修费</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2,601,453.23</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10,128,145.22</w:t>
            </w:r>
          </w:p>
        </w:tc>
      </w:tr>
      <w:tr>
        <w:trPr>
          <w:trHeight w:val="45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60"/>
              <w:ind w:right="16"/>
              <w:jc w:val="right"/>
              <w:rPr>
                <w:rFonts w:ascii="Times New Roman" w:hAnsi="Times New Roman" w:cs="Times New Roman" w:eastAsia="Times New Roman" w:hint="default"/>
                <w:sz w:val="18"/>
                <w:szCs w:val="18"/>
              </w:rPr>
            </w:pPr>
            <w:r>
              <w:rPr>
                <w:rFonts w:ascii="Times New Roman"/>
                <w:spacing w:val="-1"/>
                <w:sz w:val="18"/>
              </w:rPr>
              <w:t>456,822.64</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3,385,029.56</w:t>
            </w:r>
          </w:p>
        </w:tc>
      </w:tr>
      <w:tr>
        <w:trPr>
          <w:trHeight w:val="45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2,651,999.29</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5,093,910.15</w:t>
            </w:r>
          </w:p>
        </w:tc>
      </w:tr>
      <w:tr>
        <w:trPr>
          <w:trHeight w:val="454"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会议及招待费</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21,886,103.94</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19,867,445.62</w:t>
            </w:r>
          </w:p>
        </w:tc>
      </w:tr>
      <w:tr>
        <w:trPr>
          <w:trHeight w:val="45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91,751.89</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597,802.88</w:t>
            </w:r>
          </w:p>
        </w:tc>
      </w:tr>
      <w:tr>
        <w:trPr>
          <w:trHeight w:val="454"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16,742,900.17</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5,168,712.69</w:t>
            </w:r>
          </w:p>
        </w:tc>
      </w:tr>
      <w:tr>
        <w:trPr>
          <w:trHeight w:val="457"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9"/>
              <w:ind w:left="13" w:right="0"/>
              <w:jc w:val="left"/>
              <w:rPr>
                <w:rFonts w:ascii="宋体" w:hAnsi="宋体" w:cs="宋体" w:eastAsia="宋体" w:hint="default"/>
                <w:sz w:val="18"/>
                <w:szCs w:val="18"/>
              </w:rPr>
            </w:pPr>
            <w:r>
              <w:rPr>
                <w:rFonts w:ascii="宋体" w:hAnsi="宋体" w:cs="宋体" w:eastAsia="宋体" w:hint="default"/>
                <w:sz w:val="18"/>
                <w:szCs w:val="18"/>
              </w:rPr>
              <w:t>交通通讯费</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61"/>
              <w:ind w:right="17"/>
              <w:jc w:val="right"/>
              <w:rPr>
                <w:rFonts w:ascii="Times New Roman" w:hAnsi="Times New Roman" w:cs="Times New Roman" w:eastAsia="Times New Roman" w:hint="default"/>
                <w:sz w:val="18"/>
                <w:szCs w:val="18"/>
              </w:rPr>
            </w:pPr>
            <w:r>
              <w:rPr>
                <w:rFonts w:ascii="Times New Roman"/>
                <w:spacing w:val="-1"/>
                <w:sz w:val="18"/>
              </w:rPr>
              <w:t>6,587,599.19</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1"/>
              <w:ind w:right="10"/>
              <w:jc w:val="right"/>
              <w:rPr>
                <w:rFonts w:ascii="Times New Roman" w:hAnsi="Times New Roman" w:cs="Times New Roman" w:eastAsia="Times New Roman" w:hint="default"/>
                <w:sz w:val="18"/>
                <w:szCs w:val="18"/>
              </w:rPr>
            </w:pPr>
            <w:r>
              <w:rPr>
                <w:rFonts w:ascii="Times New Roman"/>
                <w:spacing w:val="-1"/>
                <w:sz w:val="18"/>
              </w:rPr>
              <w:t>6,352,349.12</w:t>
            </w:r>
          </w:p>
        </w:tc>
      </w:tr>
      <w:tr>
        <w:trPr>
          <w:trHeight w:val="45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87,479,995.70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30,090,923.95</w:t>
            </w:r>
          </w:p>
        </w:tc>
      </w:tr>
      <w:tr>
        <w:trPr>
          <w:trHeight w:val="454"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31,226,731.43</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11,251,786.95</w:t>
            </w:r>
          </w:p>
        </w:tc>
      </w:tr>
      <w:tr>
        <w:trPr>
          <w:trHeight w:val="461" w:hRule="exact"/>
        </w:trPr>
        <w:tc>
          <w:tcPr>
            <w:tcW w:w="3179"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6" w:space="0" w:color="000000"/>
              <w:left w:val="single" w:sz="13" w:space="0" w:color="D9D9D9"/>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462,027,735.48</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370,948,787.37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rFonts w:ascii="Times New Roman" w:hAnsi="Times New Roman" w:cs="Times New Roman" w:eastAsia="Times New Roman" w:hint="default"/>
        </w:rPr>
        <w:t>38</w:t>
      </w:r>
      <w:r>
        <w:rPr/>
        <w:t>、财务费用</w:t>
      </w:r>
      <w:r>
        <w:rPr>
          <w:b w:val="0"/>
          <w:bCs w:val="0"/>
        </w:rPr>
      </w:r>
    </w:p>
    <w:p>
      <w:pPr>
        <w:spacing w:line="240" w:lineRule="auto" w:before="5"/>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3179"/>
        <w:gridCol w:w="3200"/>
        <w:gridCol w:w="3191"/>
      </w:tblGrid>
      <w:tr>
        <w:trPr>
          <w:trHeight w:val="449" w:hRule="exact"/>
        </w:trPr>
        <w:tc>
          <w:tcPr>
            <w:tcW w:w="317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12" w:space="0" w:color="000000"/>
              <w:left w:val="single" w:sz="13" w:space="0" w:color="D9D9D9"/>
              <w:bottom w:val="single" w:sz="6" w:space="0" w:color="000000"/>
              <w:right w:val="single" w:sz="6"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4"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32,525,472.57</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24,532,247.46</w:t>
            </w:r>
          </w:p>
        </w:tc>
      </w:tr>
      <w:tr>
        <w:trPr>
          <w:trHeight w:val="45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26,403,432.19</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6,104,035.75</w:t>
            </w:r>
          </w:p>
        </w:tc>
      </w:tr>
      <w:tr>
        <w:trPr>
          <w:trHeight w:val="454"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-1,899,473.52</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16,892,076.84</w:t>
            </w:r>
          </w:p>
        </w:tc>
      </w:tr>
      <w:tr>
        <w:trPr>
          <w:trHeight w:val="45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加：手续费支出</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10,210,816.49</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8,798,689.22</w:t>
            </w:r>
          </w:p>
        </w:tc>
      </w:tr>
      <w:tr>
        <w:trPr>
          <w:trHeight w:val="454"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加：长期贷款额度承诺费</w:t>
            </w:r>
          </w:p>
        </w:tc>
        <w:tc>
          <w:tcPr>
            <w:tcW w:w="3200" w:type="dxa"/>
            <w:tcBorders>
              <w:top w:val="single" w:sz="6" w:space="0" w:color="000000"/>
              <w:left w:val="single" w:sz="13" w:space="0" w:color="D9D9D9"/>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1,018,458.92</w:t>
            </w:r>
          </w:p>
        </w:tc>
      </w:tr>
      <w:tr>
        <w:trPr>
          <w:trHeight w:val="45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20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60"/>
              <w:ind w:right="16"/>
              <w:jc w:val="right"/>
              <w:rPr>
                <w:rFonts w:ascii="Times New Roman" w:hAnsi="Times New Roman" w:cs="Times New Roman" w:eastAsia="Times New Roman" w:hint="default"/>
                <w:sz w:val="18"/>
                <w:szCs w:val="18"/>
              </w:rPr>
            </w:pPr>
            <w:r>
              <w:rPr>
                <w:rFonts w:ascii="Times New Roman"/>
                <w:spacing w:val="-1"/>
                <w:sz w:val="18"/>
              </w:rPr>
              <w:t>127,078.86</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323,184.38</w:t>
            </w:r>
          </w:p>
        </w:tc>
      </w:tr>
      <w:tr>
        <w:trPr>
          <w:trHeight w:val="461" w:hRule="exact"/>
        </w:trPr>
        <w:tc>
          <w:tcPr>
            <w:tcW w:w="317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6" w:space="0" w:color="000000"/>
              <w:left w:val="single" w:sz="13" w:space="0" w:color="D2D2D2"/>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18,359,409.25</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11,676,467.39</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39</w:t>
      </w:r>
      <w:r>
        <w:rPr/>
        <w:t>、资产减值损失</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171"/>
        <w:gridCol w:w="3202"/>
        <w:gridCol w:w="3191"/>
      </w:tblGrid>
      <w:tr>
        <w:trPr>
          <w:trHeight w:val="462"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5"/>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5"/>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4"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2"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-42,979,865.40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115,796,303.98</w:t>
            </w:r>
          </w:p>
        </w:tc>
      </w:tr>
      <w:tr>
        <w:trPr>
          <w:trHeight w:val="456"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2"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10,244,389.84</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22,943,230.75</w:t>
            </w:r>
          </w:p>
        </w:tc>
      </w:tr>
      <w:tr>
        <w:trPr>
          <w:trHeight w:val="454"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2"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37,493,875.86</w:t>
            </w: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3202" w:type="dxa"/>
            <w:tcBorders>
              <w:top w:val="single" w:sz="6" w:space="0" w:color="000000"/>
              <w:left w:val="single" w:sz="8"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2" w:type="dxa"/>
            <w:tcBorders>
              <w:top w:val="single" w:sz="6" w:space="0" w:color="000000"/>
              <w:left w:val="single" w:sz="8"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202" w:type="dxa"/>
            <w:tcBorders>
              <w:top w:val="single" w:sz="6" w:space="0" w:color="000000"/>
              <w:left w:val="single" w:sz="8"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2" w:type="dxa"/>
            <w:tcBorders>
              <w:top w:val="single" w:sz="6" w:space="0" w:color="000000"/>
              <w:left w:val="single" w:sz="8"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202" w:type="dxa"/>
            <w:tcBorders>
              <w:top w:val="single" w:sz="6" w:space="0" w:color="000000"/>
              <w:left w:val="single" w:sz="8"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202" w:type="dxa"/>
            <w:tcBorders>
              <w:top w:val="single" w:sz="6" w:space="0" w:color="000000"/>
              <w:left w:val="single" w:sz="8"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3202" w:type="dxa"/>
            <w:tcBorders>
              <w:top w:val="single" w:sz="6" w:space="0" w:color="000000"/>
              <w:left w:val="single" w:sz="8"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3202" w:type="dxa"/>
            <w:tcBorders>
              <w:top w:val="single" w:sz="6" w:space="0" w:color="000000"/>
              <w:left w:val="single" w:sz="8"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2" w:type="dxa"/>
            <w:tcBorders>
              <w:top w:val="single" w:sz="6" w:space="0" w:color="000000"/>
              <w:left w:val="single" w:sz="8"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2" w:type="dxa"/>
            <w:tcBorders>
              <w:top w:val="single" w:sz="6" w:space="0" w:color="000000"/>
              <w:left w:val="single" w:sz="8"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2" w:type="dxa"/>
            <w:tcBorders>
              <w:top w:val="single" w:sz="6" w:space="0" w:color="000000"/>
              <w:left w:val="single" w:sz="8" w:space="0" w:color="D2D2D2"/>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4,758,400.30</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138,739,534.73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rFonts w:ascii="Times New Roman" w:hAnsi="Times New Roman" w:cs="Times New Roman" w:eastAsia="Times New Roman" w:hint="default"/>
        </w:rPr>
        <w:t>40</w:t>
      </w:r>
      <w:r>
        <w:rPr/>
        <w:t>、投资收益</w:t>
      </w:r>
      <w:r>
        <w:rPr>
          <w:b w:val="0"/>
          <w:bCs w:val="0"/>
        </w:rPr>
      </w:r>
    </w:p>
    <w:p>
      <w:pPr>
        <w:spacing w:line="240" w:lineRule="auto" w:before="5"/>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443"/>
        <w:gridCol w:w="3201"/>
        <w:gridCol w:w="2919"/>
      </w:tblGrid>
      <w:tr>
        <w:trPr>
          <w:trHeight w:val="462" w:hRule="exact"/>
        </w:trPr>
        <w:tc>
          <w:tcPr>
            <w:tcW w:w="344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4" w:hRule="exact"/>
        </w:trPr>
        <w:tc>
          <w:tcPr>
            <w:tcW w:w="344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14,162,706.51</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25,453,214.16</w:t>
            </w:r>
          </w:p>
        </w:tc>
      </w:tr>
      <w:tr>
        <w:trPr>
          <w:trHeight w:val="456" w:hRule="exact"/>
        </w:trPr>
        <w:tc>
          <w:tcPr>
            <w:tcW w:w="344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17,276,443.95</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-1,332,948.27</w:t>
            </w:r>
          </w:p>
        </w:tc>
      </w:tr>
      <w:tr>
        <w:trPr>
          <w:trHeight w:val="814" w:hRule="exact"/>
        </w:trPr>
        <w:tc>
          <w:tcPr>
            <w:tcW w:w="344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7" w:lineRule="auto" w:before="116"/>
              <w:ind w:left="7" w:right="172"/>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1" w:type="dxa"/>
            <w:tcBorders>
              <w:top w:val="single" w:sz="6" w:space="0" w:color="000000"/>
              <w:left w:val="single" w:sz="14" w:space="0" w:color="D2D2D2"/>
              <w:bottom w:val="single" w:sz="6" w:space="0" w:color="000000"/>
              <w:right w:val="single" w:sz="6" w:space="0" w:color="000000"/>
            </w:tcBorders>
          </w:tcPr>
          <w:p>
            <w:pPr/>
          </w:p>
        </w:tc>
        <w:tc>
          <w:tcPr>
            <w:tcW w:w="2919" w:type="dxa"/>
            <w:tcBorders>
              <w:top w:val="single" w:sz="6" w:space="0" w:color="000000"/>
              <w:left w:val="single" w:sz="6" w:space="0" w:color="000000"/>
              <w:bottom w:val="single" w:sz="6" w:space="0" w:color="000000"/>
              <w:right w:val="single" w:sz="12" w:space="0" w:color="000000"/>
            </w:tcBorders>
          </w:tcPr>
          <w:p>
            <w:pPr/>
          </w:p>
        </w:tc>
      </w:tr>
      <w:tr>
        <w:trPr>
          <w:trHeight w:val="817" w:hRule="exact"/>
        </w:trPr>
        <w:tc>
          <w:tcPr>
            <w:tcW w:w="344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4" w:lineRule="auto" w:before="118"/>
              <w:ind w:left="7" w:right="172"/>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1" w:type="dxa"/>
            <w:tcBorders>
              <w:top w:val="single" w:sz="6" w:space="0" w:color="000000"/>
              <w:left w:val="single" w:sz="14" w:space="0" w:color="D2D2D2"/>
              <w:bottom w:val="single" w:sz="6" w:space="0" w:color="000000"/>
              <w:right w:val="single" w:sz="6" w:space="0" w:color="000000"/>
            </w:tcBorders>
          </w:tcPr>
          <w:p>
            <w:pPr/>
          </w:p>
        </w:tc>
        <w:tc>
          <w:tcPr>
            <w:tcW w:w="2919"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344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201" w:type="dxa"/>
            <w:tcBorders>
              <w:top w:val="single" w:sz="6" w:space="0" w:color="000000"/>
              <w:left w:val="single" w:sz="14" w:space="0" w:color="D2D2D2"/>
              <w:bottom w:val="single" w:sz="6" w:space="0" w:color="000000"/>
              <w:right w:val="single" w:sz="6" w:space="0" w:color="000000"/>
            </w:tcBorders>
          </w:tcPr>
          <w:p>
            <w:pPr/>
          </w:p>
        </w:tc>
        <w:tc>
          <w:tcPr>
            <w:tcW w:w="2919"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44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1" w:type="dxa"/>
            <w:tcBorders>
              <w:top w:val="single" w:sz="6" w:space="0" w:color="000000"/>
              <w:left w:val="single" w:sz="14" w:space="0" w:color="D2D2D2"/>
              <w:bottom w:val="single" w:sz="6" w:space="0" w:color="000000"/>
              <w:right w:val="single" w:sz="6" w:space="0" w:color="000000"/>
            </w:tcBorders>
          </w:tcPr>
          <w:p>
            <w:pP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2,153,481.90</w:t>
            </w:r>
          </w:p>
        </w:tc>
      </w:tr>
      <w:tr>
        <w:trPr>
          <w:trHeight w:val="456" w:hRule="exact"/>
        </w:trPr>
        <w:tc>
          <w:tcPr>
            <w:tcW w:w="344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-10,424,057.88</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-860,252.99</w:t>
            </w:r>
          </w:p>
        </w:tc>
      </w:tr>
      <w:tr>
        <w:trPr>
          <w:trHeight w:val="814" w:hRule="exact"/>
        </w:trPr>
        <w:tc>
          <w:tcPr>
            <w:tcW w:w="34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6"/>
              <w:ind w:left="7" w:right="9"/>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量产生的利得</w:t>
            </w:r>
          </w:p>
        </w:tc>
        <w:tc>
          <w:tcPr>
            <w:tcW w:w="3201" w:type="dxa"/>
            <w:tcBorders>
              <w:top w:val="single" w:sz="6" w:space="0" w:color="000000"/>
              <w:left w:val="single" w:sz="14" w:space="0" w:color="D9D9D9"/>
              <w:bottom w:val="single" w:sz="6" w:space="0" w:color="000000"/>
              <w:right w:val="single" w:sz="6" w:space="0" w:color="000000"/>
            </w:tcBorders>
          </w:tcPr>
          <w:p>
            <w:pPr/>
          </w:p>
        </w:tc>
        <w:tc>
          <w:tcPr>
            <w:tcW w:w="2919"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4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201"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14,745,947.97</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7,719,309.89</w:t>
            </w:r>
          </w:p>
        </w:tc>
      </w:tr>
      <w:tr>
        <w:trPr>
          <w:trHeight w:val="461" w:hRule="exact"/>
        </w:trPr>
        <w:tc>
          <w:tcPr>
            <w:tcW w:w="344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35,761,040.55</w:t>
            </w:r>
          </w:p>
        </w:tc>
        <w:tc>
          <w:tcPr>
            <w:tcW w:w="291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33,132,804.69</w:t>
            </w:r>
          </w:p>
        </w:tc>
      </w:tr>
    </w:tbl>
    <w:p>
      <w:pPr>
        <w:pStyle w:val="BodyText"/>
        <w:spacing w:line="408" w:lineRule="auto" w:before="67"/>
        <w:ind w:right="144" w:firstLine="420"/>
        <w:jc w:val="left"/>
      </w:pPr>
      <w:r>
        <w:rPr>
          <w:rFonts w:ascii="宋体" w:hAnsi="宋体" w:cs="宋体" w:eastAsia="宋体" w:hint="default"/>
        </w:rPr>
        <w:t>2014</w:t>
      </w:r>
      <w:r>
        <w:rPr/>
        <w:t>年度股权处置损益为：因鼎捷软件股份有限公司</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17</w:t>
      </w:r>
      <w:r>
        <w:rPr/>
        <w:t>日首次公开发行上市导致本公司之</w:t>
      </w:r>
      <w:r>
        <w:rPr>
          <w:w w:val="100"/>
        </w:rPr>
        <w:t> </w:t>
      </w:r>
      <w:r>
        <w:rPr/>
        <w:t>子公司</w:t>
      </w:r>
      <w:r>
        <w:rPr>
          <w:rFonts w:ascii="宋体" w:hAnsi="宋体" w:cs="宋体" w:eastAsia="宋体" w:hint="default"/>
        </w:rPr>
        <w:t>Digital China Software (BVI)</w:t>
      </w:r>
      <w:r>
        <w:rPr>
          <w:rFonts w:ascii="宋体" w:hAnsi="宋体" w:cs="宋体" w:eastAsia="宋体" w:hint="default"/>
          <w:spacing w:val="-31"/>
        </w:rPr>
        <w:t> </w:t>
      </w:r>
      <w:r>
        <w:rPr>
          <w:rFonts w:ascii="宋体" w:hAnsi="宋体" w:cs="宋体" w:eastAsia="宋体" w:hint="default"/>
        </w:rPr>
        <w:t>Ltd</w:t>
      </w:r>
      <w:r>
        <w:rPr/>
        <w:t>对其持有的股权比例由</w:t>
      </w:r>
      <w:r>
        <w:rPr>
          <w:rFonts w:ascii="宋体" w:hAnsi="宋体" w:cs="宋体" w:eastAsia="宋体" w:hint="default"/>
        </w:rPr>
        <w:t>23.96%</w:t>
      </w:r>
      <w:r>
        <w:rPr/>
        <w:t>降至</w:t>
      </w:r>
      <w:r>
        <w:rPr>
          <w:rFonts w:ascii="宋体" w:hAnsi="宋体" w:cs="宋体" w:eastAsia="宋体" w:hint="default"/>
        </w:rPr>
        <w:t>17.91%</w:t>
      </w:r>
      <w:r>
        <w:rPr/>
        <w:t>以及向公众发售老股</w:t>
      </w:r>
      <w:r>
        <w:rPr>
          <w:w w:val="100"/>
        </w:rPr>
        <w:t> </w:t>
      </w:r>
      <w:r>
        <w:rPr>
          <w:rFonts w:ascii="宋体" w:hAnsi="宋体" w:cs="宋体" w:eastAsia="宋体" w:hint="default"/>
        </w:rPr>
        <w:t>291,136</w:t>
      </w:r>
      <w:r>
        <w:rPr/>
        <w:t>股形成投资收益</w:t>
      </w:r>
      <w:r>
        <w:rPr>
          <w:rFonts w:ascii="宋体" w:hAnsi="宋体" w:cs="宋体" w:eastAsia="宋体" w:hint="default"/>
        </w:rPr>
        <w:t>17,276,443.95</w:t>
      </w:r>
      <w:r>
        <w:rPr/>
        <w:t>元。</w:t>
      </w:r>
    </w:p>
    <w:p>
      <w:pPr>
        <w:pStyle w:val="BodyText"/>
        <w:spacing w:line="240" w:lineRule="auto" w:before="46"/>
        <w:ind w:left="573" w:right="140"/>
        <w:jc w:val="left"/>
      </w:pPr>
      <w:r>
        <w:rPr>
          <w:rFonts w:ascii="宋体" w:hAnsi="宋体" w:cs="宋体" w:eastAsia="宋体" w:hint="default"/>
        </w:rPr>
        <w:t>2014</w:t>
      </w:r>
      <w:r>
        <w:rPr/>
        <w:t>年度处置可供出售金融资产取得的投资收益为处置株式会社</w:t>
      </w:r>
      <w:r>
        <w:rPr>
          <w:rFonts w:ascii="宋体" w:hAnsi="宋体" w:cs="宋体" w:eastAsia="宋体" w:hint="default"/>
        </w:rPr>
        <w:t>SJI</w:t>
      </w:r>
      <w:r>
        <w:rPr/>
        <w:t>的股票投资形成投资损失</w:t>
      </w:r>
    </w:p>
    <w:p>
      <w:pPr>
        <w:spacing w:line="240" w:lineRule="auto" w:before="10"/>
        <w:rPr>
          <w:rFonts w:ascii="宋体" w:hAnsi="宋体" w:cs="宋体" w:eastAsia="宋体" w:hint="default"/>
          <w:sz w:val="14"/>
          <w:szCs w:val="14"/>
        </w:rPr>
      </w:pPr>
    </w:p>
    <w:p>
      <w:pPr>
        <w:pStyle w:val="BodyText"/>
        <w:spacing w:line="240" w:lineRule="auto"/>
        <w:ind w:right="140"/>
        <w:jc w:val="left"/>
      </w:pPr>
      <w:r>
        <w:rPr>
          <w:rFonts w:ascii="宋体" w:hAnsi="宋体" w:cs="宋体" w:eastAsia="宋体" w:hint="default"/>
        </w:rPr>
        <w:t>10,488,305.00</w:t>
      </w:r>
      <w:r>
        <w:rPr/>
        <w:t>元、处置北京神州数码国峰软件有限公司形成投资收益</w:t>
      </w:r>
      <w:r>
        <w:rPr>
          <w:rFonts w:ascii="宋体" w:hAnsi="宋体" w:cs="宋体" w:eastAsia="宋体" w:hint="default"/>
        </w:rPr>
        <w:t>64,247.12</w:t>
      </w:r>
      <w:r>
        <w:rPr/>
        <w:t>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right="140"/>
        <w:jc w:val="left"/>
        <w:rPr>
          <w:b w:val="0"/>
          <w:bCs w:val="0"/>
        </w:rPr>
      </w:pPr>
      <w:r>
        <w:rPr>
          <w:rFonts w:ascii="Times New Roman" w:hAnsi="Times New Roman" w:cs="Times New Roman" w:eastAsia="Times New Roman" w:hint="default"/>
        </w:rPr>
        <w:t>41</w:t>
      </w:r>
      <w:r>
        <w:rPr/>
        <w:t>、营业外收入</w:t>
      </w:r>
      <w:r>
        <w:rPr>
          <w:b w:val="0"/>
          <w:bCs w:val="0"/>
        </w:rPr>
      </w:r>
    </w:p>
    <w:p>
      <w:pPr>
        <w:spacing w:line="240" w:lineRule="auto" w:before="9"/>
        <w:rPr>
          <w:rFonts w:ascii="宋体" w:hAnsi="宋体" w:cs="宋体" w:eastAsia="宋体" w:hint="default"/>
          <w:b/>
          <w:bCs/>
          <w:sz w:val="30"/>
          <w:szCs w:val="30"/>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372"/>
        <w:gridCol w:w="2300"/>
        <w:gridCol w:w="2269"/>
        <w:gridCol w:w="2624"/>
      </w:tblGrid>
      <w:tr>
        <w:trPr>
          <w:trHeight w:val="462" w:hRule="exact"/>
        </w:trPr>
        <w:tc>
          <w:tcPr>
            <w:tcW w:w="237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7"/>
              <w:ind w:left="69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7"/>
              <w:ind w:left="6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7"/>
              <w:ind w:left="134"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56" w:hRule="exact"/>
        </w:trPr>
        <w:tc>
          <w:tcPr>
            <w:tcW w:w="237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0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43,953.26</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154,824.53</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2"/>
              <w:jc w:val="right"/>
              <w:rPr>
                <w:rFonts w:ascii="Times New Roman" w:hAnsi="Times New Roman" w:cs="Times New Roman" w:eastAsia="Times New Roman" w:hint="default"/>
                <w:sz w:val="18"/>
                <w:szCs w:val="18"/>
              </w:rPr>
            </w:pPr>
            <w:r>
              <w:rPr>
                <w:rFonts w:ascii="Times New Roman"/>
                <w:spacing w:val="-1"/>
                <w:sz w:val="18"/>
              </w:rPr>
              <w:t>43,953.26</w:t>
            </w:r>
          </w:p>
        </w:tc>
      </w:tr>
      <w:tr>
        <w:trPr>
          <w:trHeight w:val="454" w:hRule="exact"/>
        </w:trPr>
        <w:tc>
          <w:tcPr>
            <w:tcW w:w="237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0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43,953.26</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154,824.53</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43,953.26</w:t>
            </w:r>
          </w:p>
        </w:tc>
      </w:tr>
      <w:tr>
        <w:trPr>
          <w:trHeight w:val="456" w:hRule="exact"/>
        </w:trPr>
        <w:tc>
          <w:tcPr>
            <w:tcW w:w="237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547"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300" w:type="dxa"/>
            <w:tcBorders>
              <w:top w:val="single" w:sz="6" w:space="0" w:color="000000"/>
              <w:left w:val="single" w:sz="9" w:space="0" w:color="D2D2D2"/>
              <w:bottom w:val="single" w:sz="6" w:space="0" w:color="000000"/>
              <w:right w:val="single" w:sz="6" w:space="0" w:color="000000"/>
            </w:tcBorders>
          </w:tcPr>
          <w:p>
            <w:pPr/>
          </w:p>
        </w:tc>
        <w:tc>
          <w:tcPr>
            <w:tcW w:w="2269" w:type="dxa"/>
            <w:tcBorders>
              <w:top w:val="single" w:sz="6" w:space="0" w:color="000000"/>
              <w:left w:val="single" w:sz="6" w:space="0" w:color="000000"/>
              <w:bottom w:val="single" w:sz="6" w:space="0" w:color="000000"/>
              <w:right w:val="single" w:sz="6" w:space="0" w:color="000000"/>
            </w:tcBorders>
          </w:tcPr>
          <w:p>
            <w:pPr/>
          </w:p>
        </w:tc>
        <w:tc>
          <w:tcPr>
            <w:tcW w:w="2624"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37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00" w:type="dxa"/>
            <w:tcBorders>
              <w:top w:val="single" w:sz="6" w:space="0" w:color="000000"/>
              <w:left w:val="single" w:sz="9" w:space="0" w:color="D2D2D2"/>
              <w:bottom w:val="single" w:sz="6" w:space="0" w:color="000000"/>
              <w:right w:val="single" w:sz="6" w:space="0" w:color="000000"/>
            </w:tcBorders>
          </w:tcPr>
          <w:p>
            <w:pPr/>
          </w:p>
        </w:tc>
        <w:tc>
          <w:tcPr>
            <w:tcW w:w="2269" w:type="dxa"/>
            <w:tcBorders>
              <w:top w:val="single" w:sz="6" w:space="0" w:color="000000"/>
              <w:left w:val="single" w:sz="6" w:space="0" w:color="000000"/>
              <w:bottom w:val="single" w:sz="6" w:space="0" w:color="000000"/>
              <w:right w:val="single" w:sz="6" w:space="0" w:color="000000"/>
            </w:tcBorders>
          </w:tcPr>
          <w:p>
            <w:pPr/>
          </w:p>
        </w:tc>
        <w:tc>
          <w:tcPr>
            <w:tcW w:w="2624" w:type="dxa"/>
            <w:tcBorders>
              <w:top w:val="single" w:sz="6" w:space="0" w:color="000000"/>
              <w:left w:val="single" w:sz="6" w:space="0" w:color="000000"/>
              <w:bottom w:val="single" w:sz="6" w:space="0" w:color="000000"/>
              <w:right w:val="single" w:sz="12" w:space="0" w:color="000000"/>
            </w:tcBorders>
          </w:tcPr>
          <w:p>
            <w:pPr/>
          </w:p>
        </w:tc>
      </w:tr>
      <w:tr>
        <w:trPr>
          <w:trHeight w:val="463" w:hRule="exact"/>
        </w:trPr>
        <w:tc>
          <w:tcPr>
            <w:tcW w:w="237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300" w:type="dxa"/>
            <w:tcBorders>
              <w:top w:val="single" w:sz="6" w:space="0" w:color="000000"/>
              <w:left w:val="single" w:sz="9" w:space="0" w:color="D2D2D2"/>
              <w:bottom w:val="single" w:sz="12" w:space="0" w:color="000000"/>
              <w:right w:val="single" w:sz="6" w:space="0" w:color="000000"/>
            </w:tcBorders>
          </w:tcPr>
          <w:p>
            <w:pPr/>
          </w:p>
        </w:tc>
        <w:tc>
          <w:tcPr>
            <w:tcW w:w="2269" w:type="dxa"/>
            <w:tcBorders>
              <w:top w:val="single" w:sz="6" w:space="0" w:color="000000"/>
              <w:left w:val="single" w:sz="6" w:space="0" w:color="000000"/>
              <w:bottom w:val="single" w:sz="12" w:space="0" w:color="000000"/>
              <w:right w:val="single" w:sz="6" w:space="0" w:color="000000"/>
            </w:tcBorders>
          </w:tcPr>
          <w:p>
            <w:pPr/>
          </w:p>
        </w:tc>
        <w:tc>
          <w:tcPr>
            <w:tcW w:w="2624"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0"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0" w:type="dxa"/>
        <w:tblLayout w:type="fixed"/>
        <w:tblCellMar>
          <w:top w:w="0" w:type="dxa"/>
          <w:left w:w="0" w:type="dxa"/>
          <w:bottom w:w="0" w:type="dxa"/>
          <w:right w:w="0" w:type="dxa"/>
        </w:tblCellMar>
        <w:tblLook w:val="01E0"/>
      </w:tblPr>
      <w:tblGrid>
        <w:gridCol w:w="2378"/>
        <w:gridCol w:w="2300"/>
        <w:gridCol w:w="2269"/>
        <w:gridCol w:w="2624"/>
      </w:tblGrid>
      <w:tr>
        <w:trPr>
          <w:trHeight w:val="464" w:hRule="exact"/>
        </w:trPr>
        <w:tc>
          <w:tcPr>
            <w:tcW w:w="23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6"/>
              <w:ind w:left="13"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00" w:type="dxa"/>
            <w:tcBorders>
              <w:top w:val="single" w:sz="12" w:space="0" w:color="000000"/>
              <w:left w:val="single" w:sz="9" w:space="0" w:color="D9D9D9"/>
              <w:bottom w:val="single" w:sz="6" w:space="0" w:color="000000"/>
              <w:right w:val="single" w:sz="6" w:space="0" w:color="000000"/>
            </w:tcBorders>
          </w:tcPr>
          <w:p>
            <w:pPr/>
          </w:p>
        </w:tc>
        <w:tc>
          <w:tcPr>
            <w:tcW w:w="2269" w:type="dxa"/>
            <w:tcBorders>
              <w:top w:val="single" w:sz="12" w:space="0" w:color="000000"/>
              <w:left w:val="single" w:sz="6" w:space="0" w:color="000000"/>
              <w:bottom w:val="single" w:sz="6" w:space="0" w:color="000000"/>
              <w:right w:val="single" w:sz="6" w:space="0" w:color="000000"/>
            </w:tcBorders>
          </w:tcPr>
          <w:p>
            <w:pPr/>
          </w:p>
        </w:tc>
        <w:tc>
          <w:tcPr>
            <w:tcW w:w="2624" w:type="dxa"/>
            <w:tcBorders>
              <w:top w:val="single" w:sz="12" w:space="0" w:color="000000"/>
              <w:left w:val="single" w:sz="6" w:space="0" w:color="000000"/>
              <w:bottom w:val="single" w:sz="6" w:space="0" w:color="000000"/>
              <w:right w:val="single" w:sz="12" w:space="0" w:color="000000"/>
            </w:tcBorders>
          </w:tcPr>
          <w:p>
            <w:pPr/>
          </w:p>
        </w:tc>
      </w:tr>
      <w:tr>
        <w:trPr>
          <w:trHeight w:val="454" w:hRule="exact"/>
        </w:trPr>
        <w:tc>
          <w:tcPr>
            <w:tcW w:w="23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00"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23,313,166.41</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52,145,159.84</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19,255,629.29</w:t>
            </w:r>
          </w:p>
        </w:tc>
      </w:tr>
      <w:tr>
        <w:trPr>
          <w:trHeight w:val="456" w:hRule="exact"/>
        </w:trPr>
        <w:tc>
          <w:tcPr>
            <w:tcW w:w="23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合同赔偿金</w:t>
            </w:r>
          </w:p>
        </w:tc>
        <w:tc>
          <w:tcPr>
            <w:tcW w:w="2300"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747,949.70</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930,221.24</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2"/>
              <w:jc w:val="right"/>
              <w:rPr>
                <w:rFonts w:ascii="Times New Roman" w:hAnsi="Times New Roman" w:cs="Times New Roman" w:eastAsia="Times New Roman" w:hint="default"/>
                <w:sz w:val="18"/>
                <w:szCs w:val="18"/>
              </w:rPr>
            </w:pPr>
            <w:r>
              <w:rPr>
                <w:rFonts w:ascii="Times New Roman"/>
                <w:spacing w:val="-1"/>
                <w:sz w:val="18"/>
              </w:rPr>
              <w:t>747,949.70</w:t>
            </w:r>
          </w:p>
        </w:tc>
      </w:tr>
      <w:tr>
        <w:trPr>
          <w:trHeight w:val="456" w:hRule="exact"/>
        </w:trPr>
        <w:tc>
          <w:tcPr>
            <w:tcW w:w="23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00"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724,359.28</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1,098,412.75</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724,359.28</w:t>
            </w:r>
          </w:p>
        </w:tc>
      </w:tr>
      <w:tr>
        <w:trPr>
          <w:trHeight w:val="499" w:hRule="exact"/>
        </w:trPr>
        <w:tc>
          <w:tcPr>
            <w:tcW w:w="237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35"/>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6" w:space="0" w:color="000000"/>
              <w:left w:val="single" w:sz="9" w:space="0" w:color="D9D9D9"/>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24,829,428.65</w:t>
            </w:r>
          </w:p>
        </w:tc>
        <w:tc>
          <w:tcPr>
            <w:tcW w:w="22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54,328,618.36</w:t>
            </w:r>
          </w:p>
        </w:tc>
        <w:tc>
          <w:tcPr>
            <w:tcW w:w="262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20,771,891.53</w:t>
            </w:r>
          </w:p>
        </w:tc>
      </w:tr>
    </w:tbl>
    <w:p>
      <w:pPr>
        <w:pStyle w:val="BodyText"/>
        <w:spacing w:line="240" w:lineRule="auto" w:before="66"/>
        <w:ind w:right="140"/>
        <w:jc w:val="left"/>
      </w:pPr>
      <w:r>
        <w:rPr/>
        <w:t>计入当期损益的政府补助：</w:t>
      </w:r>
    </w:p>
    <w:p>
      <w:pPr>
        <w:spacing w:line="240" w:lineRule="auto" w:before="4"/>
        <w:rPr>
          <w:rFonts w:ascii="宋体" w:hAnsi="宋体" w:cs="宋体" w:eastAsia="宋体" w:hint="default"/>
          <w:sz w:val="15"/>
          <w:szCs w:val="1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4101"/>
        <w:gridCol w:w="1750"/>
        <w:gridCol w:w="1661"/>
        <w:gridCol w:w="2057"/>
      </w:tblGrid>
      <w:tr>
        <w:trPr>
          <w:trHeight w:val="461" w:hRule="exact"/>
        </w:trPr>
        <w:tc>
          <w:tcPr>
            <w:tcW w:w="4101" w:type="dxa"/>
            <w:tcBorders>
              <w:top w:val="single" w:sz="12" w:space="0" w:color="000000"/>
              <w:left w:val="single" w:sz="12" w:space="0" w:color="000000"/>
              <w:bottom w:val="single" w:sz="6" w:space="0" w:color="000000"/>
              <w:right w:val="single" w:sz="14" w:space="0" w:color="D2D2D2"/>
            </w:tcBorders>
            <w:shd w:val="clear" w:color="auto" w:fill="D9D9D9"/>
          </w:tcPr>
          <w:p>
            <w:pPr>
              <w:pStyle w:val="TableParagraph"/>
              <w:spacing w:line="240" w:lineRule="auto" w:before="115"/>
              <w:ind w:left="13"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750" w:type="dxa"/>
            <w:tcBorders>
              <w:top w:val="single" w:sz="12" w:space="0" w:color="000000"/>
              <w:left w:val="single" w:sz="13" w:space="0" w:color="D9D9D9"/>
              <w:bottom w:val="single" w:sz="6" w:space="0" w:color="000000"/>
              <w:right w:val="single" w:sz="6" w:space="0" w:color="000000"/>
            </w:tcBorders>
            <w:shd w:val="clear" w:color="auto" w:fill="D2D2D2"/>
          </w:tcPr>
          <w:p>
            <w:pPr>
              <w:pStyle w:val="TableParagraph"/>
              <w:spacing w:line="240" w:lineRule="auto" w:before="115"/>
              <w:ind w:left="322"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66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285"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05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5"/>
              <w:ind w:left="11" w:right="0"/>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5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4,057,537.12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5"/>
              <w:jc w:val="right"/>
              <w:rPr>
                <w:rFonts w:ascii="Times New Roman" w:hAnsi="Times New Roman" w:cs="Times New Roman" w:eastAsia="Times New Roman" w:hint="default"/>
                <w:sz w:val="18"/>
                <w:szCs w:val="18"/>
              </w:rPr>
            </w:pPr>
            <w:r>
              <w:rPr>
                <w:rFonts w:ascii="Times New Roman"/>
                <w:spacing w:val="-1"/>
                <w:sz w:val="18"/>
              </w:rPr>
              <w:t>9,697,901.22</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8"/>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6"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中国人口与发展研究中心项目</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2,894,000.00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5"/>
              <w:jc w:val="right"/>
              <w:rPr>
                <w:rFonts w:ascii="Times New Roman" w:hAnsi="Times New Roman" w:cs="Times New Roman" w:eastAsia="Times New Roman" w:hint="default"/>
                <w:sz w:val="18"/>
                <w:szCs w:val="18"/>
              </w:rPr>
            </w:pPr>
            <w:r>
              <w:rPr>
                <w:rFonts w:ascii="Times New Roman"/>
                <w:spacing w:val="-1"/>
                <w:sz w:val="18"/>
              </w:rPr>
              <w:t>9,000,000.00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4"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6"/>
              <w:ind w:left="13" w:right="104"/>
              <w:jc w:val="left"/>
              <w:rPr>
                <w:rFonts w:ascii="宋体" w:hAnsi="宋体" w:cs="宋体" w:eastAsia="宋体" w:hint="default"/>
                <w:sz w:val="18"/>
                <w:szCs w:val="18"/>
              </w:rPr>
            </w:pPr>
            <w:r>
              <w:rPr>
                <w:rFonts w:ascii="宋体" w:hAnsi="宋体" w:cs="宋体" w:eastAsia="宋体" w:hint="default"/>
                <w:sz w:val="18"/>
                <w:szCs w:val="18"/>
              </w:rPr>
              <w:t>面向智慧城市的云计算中心业务支撑平台研发及产 业化</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3,600,000.00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5,372,301.52</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6"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电子信息产业发展基金资助项目</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242,696.00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5"/>
              <w:jc w:val="right"/>
              <w:rPr>
                <w:rFonts w:ascii="Times New Roman" w:hAnsi="Times New Roman" w:cs="Times New Roman" w:eastAsia="Times New Roman" w:hint="default"/>
                <w:sz w:val="18"/>
                <w:szCs w:val="18"/>
              </w:rPr>
            </w:pPr>
            <w:r>
              <w:rPr>
                <w:rFonts w:ascii="Times New Roman"/>
                <w:spacing w:val="-1"/>
                <w:sz w:val="18"/>
              </w:rPr>
              <w:t>3,004,797.00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基于云计算的金融风险管理平台产业化项目</w:t>
            </w:r>
          </w:p>
        </w:tc>
        <w:tc>
          <w:tcPr>
            <w:tcW w:w="1750" w:type="dxa"/>
            <w:tcBorders>
              <w:top w:val="single" w:sz="6" w:space="0" w:color="000000"/>
              <w:left w:val="single" w:sz="13" w:space="0" w:color="D9D9D9"/>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5"/>
              <w:jc w:val="right"/>
              <w:rPr>
                <w:rFonts w:ascii="Times New Roman" w:hAnsi="Times New Roman" w:cs="Times New Roman" w:eastAsia="Times New Roman" w:hint="default"/>
                <w:sz w:val="18"/>
                <w:szCs w:val="18"/>
              </w:rPr>
            </w:pPr>
            <w:r>
              <w:rPr>
                <w:rFonts w:ascii="Times New Roman"/>
                <w:spacing w:val="-1"/>
                <w:sz w:val="18"/>
              </w:rPr>
              <w:t>2,856,689.00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13" w:right="0"/>
              <w:jc w:val="left"/>
              <w:rPr>
                <w:rFonts w:ascii="宋体" w:hAnsi="宋体" w:cs="宋体" w:eastAsia="宋体" w:hint="default"/>
                <w:sz w:val="18"/>
                <w:szCs w:val="18"/>
              </w:rPr>
            </w:pPr>
            <w:r>
              <w:rPr>
                <w:rFonts w:ascii="宋体" w:hAnsi="宋体" w:cs="宋体" w:eastAsia="宋体" w:hint="default"/>
                <w:sz w:val="18"/>
                <w:szCs w:val="18"/>
              </w:rPr>
              <w:t>北京市人口服务管理信息化关键技术及应用研究</w:t>
            </w:r>
          </w:p>
        </w:tc>
        <w:tc>
          <w:tcPr>
            <w:tcW w:w="1750" w:type="dxa"/>
            <w:tcBorders>
              <w:top w:val="single" w:sz="6" w:space="0" w:color="000000"/>
              <w:left w:val="single" w:sz="13" w:space="0" w:color="D9D9D9"/>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15"/>
              <w:jc w:val="right"/>
              <w:rPr>
                <w:rFonts w:ascii="Times New Roman" w:hAnsi="Times New Roman" w:cs="Times New Roman" w:eastAsia="Times New Roman" w:hint="default"/>
                <w:sz w:val="18"/>
                <w:szCs w:val="18"/>
              </w:rPr>
            </w:pPr>
            <w:r>
              <w:rPr>
                <w:rFonts w:ascii="Times New Roman"/>
                <w:spacing w:val="-1"/>
                <w:sz w:val="18"/>
              </w:rPr>
              <w:t>1,900,000.00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7"/>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6"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网络化应用支撑工具项目</w:t>
            </w:r>
          </w:p>
        </w:tc>
        <w:tc>
          <w:tcPr>
            <w:tcW w:w="1750" w:type="dxa"/>
            <w:tcBorders>
              <w:top w:val="single" w:sz="6" w:space="0" w:color="000000"/>
              <w:left w:val="single" w:sz="13" w:space="0" w:color="D9D9D9"/>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5"/>
              <w:jc w:val="right"/>
              <w:rPr>
                <w:rFonts w:ascii="Times New Roman" w:hAnsi="Times New Roman" w:cs="Times New Roman" w:eastAsia="Times New Roman" w:hint="default"/>
                <w:sz w:val="18"/>
                <w:szCs w:val="18"/>
              </w:rPr>
            </w:pPr>
            <w:r>
              <w:rPr>
                <w:rFonts w:ascii="Times New Roman"/>
                <w:spacing w:val="-1"/>
                <w:sz w:val="18"/>
              </w:rPr>
              <w:t>1,800,000.00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4"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基于云计算的市民融合服务平台建设与示范</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66,000.00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5"/>
              <w:jc w:val="right"/>
              <w:rPr>
                <w:rFonts w:ascii="Times New Roman" w:hAnsi="Times New Roman" w:cs="Times New Roman" w:eastAsia="Times New Roman" w:hint="default"/>
                <w:sz w:val="18"/>
                <w:szCs w:val="18"/>
              </w:rPr>
            </w:pPr>
            <w:r>
              <w:rPr>
                <w:rFonts w:ascii="Times New Roman"/>
                <w:spacing w:val="-1"/>
                <w:sz w:val="18"/>
              </w:rPr>
              <w:t>1,520,902.56</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6"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三农综合信息服务平台示范运营课题</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333,634.04</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5"/>
              <w:jc w:val="right"/>
              <w:rPr>
                <w:rFonts w:ascii="Times New Roman" w:hAnsi="Times New Roman" w:cs="Times New Roman" w:eastAsia="Times New Roman" w:hint="default"/>
                <w:sz w:val="18"/>
                <w:szCs w:val="18"/>
              </w:rPr>
            </w:pPr>
            <w:r>
              <w:rPr>
                <w:rFonts w:ascii="Times New Roman"/>
                <w:spacing w:val="-1"/>
                <w:sz w:val="18"/>
              </w:rPr>
              <w:t>1,503,960.10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年度电子信息产业发展基金</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194,330.81</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5"/>
              <w:jc w:val="right"/>
              <w:rPr>
                <w:rFonts w:ascii="Times New Roman" w:hAnsi="Times New Roman" w:cs="Times New Roman" w:eastAsia="Times New Roman" w:hint="default"/>
                <w:sz w:val="18"/>
                <w:szCs w:val="18"/>
              </w:rPr>
            </w:pPr>
            <w:r>
              <w:rPr>
                <w:rFonts w:ascii="Times New Roman"/>
                <w:spacing w:val="-1"/>
                <w:sz w:val="18"/>
              </w:rPr>
              <w:t>1,427,666.81</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13" w:right="0"/>
              <w:jc w:val="left"/>
              <w:rPr>
                <w:rFonts w:ascii="宋体" w:hAnsi="宋体" w:cs="宋体" w:eastAsia="宋体" w:hint="default"/>
                <w:sz w:val="18"/>
                <w:szCs w:val="18"/>
              </w:rPr>
            </w:pPr>
            <w:r>
              <w:rPr>
                <w:rFonts w:ascii="宋体" w:hAnsi="宋体" w:cs="宋体" w:eastAsia="宋体" w:hint="default"/>
                <w:sz w:val="18"/>
                <w:szCs w:val="18"/>
              </w:rPr>
              <w:t>智慧城市安全服务平台</w:t>
            </w:r>
          </w:p>
        </w:tc>
        <w:tc>
          <w:tcPr>
            <w:tcW w:w="1750" w:type="dxa"/>
            <w:tcBorders>
              <w:top w:val="single" w:sz="6" w:space="0" w:color="000000"/>
              <w:left w:val="single" w:sz="13" w:space="0" w:color="D9D9D9"/>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15"/>
              <w:jc w:val="right"/>
              <w:rPr>
                <w:rFonts w:ascii="Times New Roman" w:hAnsi="Times New Roman" w:cs="Times New Roman" w:eastAsia="Times New Roman" w:hint="default"/>
                <w:sz w:val="18"/>
                <w:szCs w:val="18"/>
              </w:rPr>
            </w:pPr>
            <w:r>
              <w:rPr>
                <w:rFonts w:ascii="Times New Roman"/>
                <w:spacing w:val="-1"/>
                <w:sz w:val="18"/>
              </w:rPr>
              <w:t>1,413,505.98</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7"/>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45" w:lineRule="auto" w:before="116"/>
              <w:ind w:left="13" w:right="12"/>
              <w:jc w:val="left"/>
              <w:rPr>
                <w:rFonts w:ascii="宋体" w:hAnsi="宋体" w:cs="宋体" w:eastAsia="宋体" w:hint="default"/>
                <w:sz w:val="18"/>
                <w:szCs w:val="18"/>
              </w:rPr>
            </w:pPr>
            <w:r>
              <w:rPr>
                <w:rFonts w:ascii="宋体" w:hAnsi="宋体" w:cs="宋体" w:eastAsia="宋体" w:hint="default"/>
                <w:sz w:val="18"/>
                <w:szCs w:val="18"/>
              </w:rPr>
              <w:t>中华人民共和国财政部到款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年国家科技支撑计划 课题五个系统软件开发与试点应用（成都、咸阳）</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1,670,000.00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1,185,266.70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13" w:right="0"/>
              <w:jc w:val="left"/>
              <w:rPr>
                <w:rFonts w:ascii="宋体" w:hAnsi="宋体" w:cs="宋体" w:eastAsia="宋体" w:hint="default"/>
                <w:sz w:val="18"/>
                <w:szCs w:val="18"/>
              </w:rPr>
            </w:pPr>
            <w:r>
              <w:rPr>
                <w:rFonts w:ascii="宋体" w:hAnsi="宋体" w:cs="宋体" w:eastAsia="宋体" w:hint="default"/>
                <w:sz w:val="18"/>
                <w:szCs w:val="18"/>
              </w:rPr>
              <w:t>网络空间身份证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EID </w:t>
            </w:r>
            <w:r>
              <w:rPr>
                <w:rFonts w:ascii="宋体" w:hAnsi="宋体" w:cs="宋体" w:eastAsia="宋体" w:hint="default"/>
                <w:sz w:val="18"/>
                <w:szCs w:val="18"/>
              </w:rPr>
              <w:t>管理技术及系统</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pacing w:val="-1"/>
                <w:sz w:val="18"/>
              </w:rPr>
              <w:t>490,000.00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15"/>
              <w:jc w:val="right"/>
              <w:rPr>
                <w:rFonts w:ascii="Times New Roman" w:hAnsi="Times New Roman" w:cs="Times New Roman" w:eastAsia="Times New Roman" w:hint="default"/>
                <w:sz w:val="18"/>
                <w:szCs w:val="18"/>
              </w:rPr>
            </w:pPr>
            <w:r>
              <w:rPr>
                <w:rFonts w:ascii="Times New Roman"/>
                <w:spacing w:val="-1"/>
                <w:sz w:val="18"/>
              </w:rPr>
              <w:t>1,050,000.00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7"/>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7"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6"/>
              <w:ind w:left="13" w:right="104"/>
              <w:jc w:val="left"/>
              <w:rPr>
                <w:rFonts w:ascii="宋体" w:hAnsi="宋体" w:cs="宋体" w:eastAsia="宋体" w:hint="default"/>
                <w:sz w:val="18"/>
                <w:szCs w:val="18"/>
              </w:rPr>
            </w:pPr>
            <w:r>
              <w:rPr>
                <w:rFonts w:ascii="宋体" w:hAnsi="宋体" w:cs="宋体" w:eastAsia="宋体" w:hint="default"/>
                <w:sz w:val="18"/>
                <w:szCs w:val="18"/>
              </w:rPr>
              <w:t>面向下一代互联网的网络电子发票综合服务平台研 发和应用示范</w:t>
            </w:r>
          </w:p>
        </w:tc>
        <w:tc>
          <w:tcPr>
            <w:tcW w:w="1750" w:type="dxa"/>
            <w:tcBorders>
              <w:top w:val="single" w:sz="6" w:space="0" w:color="000000"/>
              <w:left w:val="single" w:sz="13" w:space="0" w:color="D9D9D9"/>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1,050,000.00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4"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6"/>
              <w:ind w:left="13" w:right="104"/>
              <w:jc w:val="left"/>
              <w:rPr>
                <w:rFonts w:ascii="宋体" w:hAnsi="宋体" w:cs="宋体" w:eastAsia="宋体" w:hint="default"/>
                <w:sz w:val="18"/>
                <w:szCs w:val="18"/>
              </w:rPr>
            </w:pPr>
            <w:r>
              <w:rPr>
                <w:rFonts w:ascii="宋体" w:hAnsi="宋体" w:cs="宋体" w:eastAsia="宋体" w:hint="default"/>
                <w:sz w:val="18"/>
                <w:szCs w:val="18"/>
              </w:rPr>
              <w:t>基于构件化应用服务器技术的市民服务融合平台产 业化项目</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1,327,592.00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856,635.52</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6"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信息系统</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Times New Roman" w:hAnsi="Times New Roman" w:cs="Times New Roman" w:eastAsia="Times New Roman" w:hint="default"/>
                <w:sz w:val="18"/>
                <w:szCs w:val="18"/>
              </w:rPr>
              <w:t>)</w:t>
            </w:r>
            <w:r>
              <w:rPr>
                <w:rFonts w:ascii="宋体" w:hAnsi="宋体" w:cs="宋体" w:eastAsia="宋体" w:hint="default"/>
                <w:sz w:val="18"/>
                <w:szCs w:val="18"/>
              </w:rPr>
              <w:t>运行维护支持系统研发及产业化</w:t>
            </w:r>
          </w:p>
        </w:tc>
        <w:tc>
          <w:tcPr>
            <w:tcW w:w="1750" w:type="dxa"/>
            <w:tcBorders>
              <w:top w:val="single" w:sz="6" w:space="0" w:color="000000"/>
              <w:left w:val="single" w:sz="13" w:space="0" w:color="D9D9D9"/>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4"/>
              <w:jc w:val="right"/>
              <w:rPr>
                <w:rFonts w:ascii="Times New Roman" w:hAnsi="Times New Roman" w:cs="Times New Roman" w:eastAsia="Times New Roman" w:hint="default"/>
                <w:sz w:val="18"/>
                <w:szCs w:val="18"/>
              </w:rPr>
            </w:pPr>
            <w:r>
              <w:rPr>
                <w:rFonts w:ascii="Times New Roman"/>
                <w:spacing w:val="-1"/>
                <w:sz w:val="18"/>
              </w:rPr>
              <w:t>786,389.35</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海淀区财政局</w:t>
            </w:r>
            <w:r>
              <w:rPr>
                <w:rFonts w:ascii="Times New Roman" w:hAnsi="Times New Roman" w:cs="Times New Roman" w:eastAsia="Times New Roman" w:hint="default"/>
                <w:sz w:val="18"/>
                <w:szCs w:val="18"/>
              </w:rPr>
              <w:t>-</w:t>
            </w:r>
            <w:r>
              <w:rPr>
                <w:rFonts w:ascii="宋体" w:hAnsi="宋体" w:cs="宋体" w:eastAsia="宋体" w:hint="default"/>
                <w:sz w:val="18"/>
                <w:szCs w:val="18"/>
              </w:rPr>
              <w:t>金融云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服务平台</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2,025,209.71</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4"/>
              <w:jc w:val="right"/>
              <w:rPr>
                <w:rFonts w:ascii="Times New Roman" w:hAnsi="Times New Roman" w:cs="Times New Roman" w:eastAsia="Times New Roman" w:hint="default"/>
                <w:sz w:val="18"/>
                <w:szCs w:val="18"/>
              </w:rPr>
            </w:pPr>
            <w:r>
              <w:rPr>
                <w:rFonts w:ascii="Times New Roman"/>
                <w:spacing w:val="-1"/>
                <w:sz w:val="18"/>
              </w:rPr>
              <w:t>696,090.64</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5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13" w:right="0"/>
              <w:jc w:val="left"/>
              <w:rPr>
                <w:rFonts w:ascii="宋体" w:hAnsi="宋体" w:cs="宋体" w:eastAsia="宋体" w:hint="default"/>
                <w:sz w:val="18"/>
                <w:szCs w:val="18"/>
              </w:rPr>
            </w:pPr>
            <w:r>
              <w:rPr>
                <w:rFonts w:ascii="宋体" w:hAnsi="宋体" w:cs="宋体" w:eastAsia="宋体" w:hint="default"/>
                <w:sz w:val="18"/>
                <w:szCs w:val="18"/>
              </w:rPr>
              <w:t>智慧城市安全服务</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pacing w:val="-1"/>
                <w:sz w:val="18"/>
              </w:rPr>
              <w:t>68,625.09</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14"/>
              <w:jc w:val="right"/>
              <w:rPr>
                <w:rFonts w:ascii="Times New Roman" w:hAnsi="Times New Roman" w:cs="Times New Roman" w:eastAsia="Times New Roman" w:hint="default"/>
                <w:sz w:val="18"/>
                <w:szCs w:val="18"/>
              </w:rPr>
            </w:pPr>
            <w:r>
              <w:rPr>
                <w:rFonts w:ascii="Times New Roman"/>
                <w:spacing w:val="-1"/>
                <w:sz w:val="18"/>
              </w:rPr>
              <w:t>653,073.02</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7"/>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6"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年第二批软件和集成电路发展专项资金</w:t>
            </w:r>
          </w:p>
        </w:tc>
        <w:tc>
          <w:tcPr>
            <w:tcW w:w="1750" w:type="dxa"/>
            <w:tcBorders>
              <w:top w:val="single" w:sz="6" w:space="0" w:color="000000"/>
              <w:left w:val="single" w:sz="13" w:space="0" w:color="D9D9D9"/>
              <w:bottom w:val="single" w:sz="12"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63,030.23</w:t>
            </w:r>
          </w:p>
        </w:tc>
        <w:tc>
          <w:tcPr>
            <w:tcW w:w="16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4"/>
              <w:jc w:val="right"/>
              <w:rPr>
                <w:rFonts w:ascii="Times New Roman" w:hAnsi="Times New Roman" w:cs="Times New Roman" w:eastAsia="Times New Roman" w:hint="default"/>
                <w:sz w:val="18"/>
                <w:szCs w:val="18"/>
              </w:rPr>
            </w:pPr>
            <w:r>
              <w:rPr>
                <w:rFonts w:ascii="Times New Roman"/>
                <w:spacing w:val="-1"/>
                <w:sz w:val="18"/>
              </w:rPr>
              <w:t>602,261.52</w:t>
            </w:r>
          </w:p>
        </w:tc>
        <w:tc>
          <w:tcPr>
            <w:tcW w:w="205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0" w:footer="1227" w:top="1100" w:bottom="1420" w:left="980" w:right="980"/>
        </w:sectPr>
      </w:pPr>
    </w:p>
    <w:p>
      <w:pPr>
        <w:spacing w:line="240" w:lineRule="auto" w:before="1"/>
        <w:rPr>
          <w:rFonts w:ascii="Times New Roman" w:hAnsi="Times New Roman" w:cs="Times New Roman" w:eastAsia="Times New Roman" w:hint="default"/>
          <w:sz w:val="28"/>
          <w:szCs w:val="28"/>
        </w:rPr>
      </w:pPr>
    </w:p>
    <w:tbl>
      <w:tblPr>
        <w:tblW w:w="0" w:type="auto"/>
        <w:jc w:val="left"/>
        <w:tblInd w:w="140" w:type="dxa"/>
        <w:tblLayout w:type="fixed"/>
        <w:tblCellMar>
          <w:top w:w="0" w:type="dxa"/>
          <w:left w:w="0" w:type="dxa"/>
          <w:bottom w:w="0" w:type="dxa"/>
          <w:right w:w="0" w:type="dxa"/>
        </w:tblCellMar>
        <w:tblLook w:val="01E0"/>
      </w:tblPr>
      <w:tblGrid>
        <w:gridCol w:w="4101"/>
        <w:gridCol w:w="1750"/>
        <w:gridCol w:w="1661"/>
        <w:gridCol w:w="2057"/>
      </w:tblGrid>
      <w:tr>
        <w:trPr>
          <w:trHeight w:val="462"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5"/>
              <w:ind w:left="13" w:right="0"/>
              <w:jc w:val="left"/>
              <w:rPr>
                <w:rFonts w:ascii="宋体" w:hAnsi="宋体" w:cs="宋体" w:eastAsia="宋体" w:hint="default"/>
                <w:sz w:val="18"/>
                <w:szCs w:val="18"/>
              </w:rPr>
            </w:pPr>
            <w:r>
              <w:rPr>
                <w:rFonts w:ascii="宋体" w:hAnsi="宋体" w:cs="宋体" w:eastAsia="宋体" w:hint="default"/>
                <w:sz w:val="18"/>
                <w:szCs w:val="18"/>
              </w:rPr>
              <w:t>行业应用支撑平台的云计算环境适应性改造</w:t>
            </w:r>
          </w:p>
        </w:tc>
        <w:tc>
          <w:tcPr>
            <w:tcW w:w="1750" w:type="dxa"/>
            <w:tcBorders>
              <w:top w:val="single" w:sz="12" w:space="0" w:color="000000"/>
              <w:left w:val="single" w:sz="13" w:space="0" w:color="D9D9D9"/>
              <w:bottom w:val="single" w:sz="6" w:space="0" w:color="000000"/>
              <w:right w:val="single" w:sz="6"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550,000.00</w:t>
            </w:r>
          </w:p>
        </w:tc>
        <w:tc>
          <w:tcPr>
            <w:tcW w:w="16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0"/>
              <w:ind w:right="14"/>
              <w:jc w:val="right"/>
              <w:rPr>
                <w:rFonts w:ascii="Times New Roman" w:hAnsi="Times New Roman" w:cs="Times New Roman" w:eastAsia="Times New Roman" w:hint="default"/>
                <w:sz w:val="18"/>
                <w:szCs w:val="18"/>
              </w:rPr>
            </w:pPr>
            <w:r>
              <w:rPr>
                <w:rFonts w:ascii="Times New Roman"/>
                <w:spacing w:val="-1"/>
                <w:sz w:val="18"/>
              </w:rPr>
              <w:t>600,000.00</w:t>
            </w:r>
          </w:p>
        </w:tc>
        <w:tc>
          <w:tcPr>
            <w:tcW w:w="205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7"/>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苏州园经济贸易发展局奖励</w:t>
            </w:r>
          </w:p>
        </w:tc>
        <w:tc>
          <w:tcPr>
            <w:tcW w:w="1750" w:type="dxa"/>
            <w:tcBorders>
              <w:top w:val="single" w:sz="6" w:space="0" w:color="000000"/>
              <w:left w:val="single" w:sz="13" w:space="0" w:color="D9D9D9"/>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4"/>
              <w:jc w:val="right"/>
              <w:rPr>
                <w:rFonts w:ascii="Times New Roman" w:hAnsi="Times New Roman" w:cs="Times New Roman" w:eastAsia="Times New Roman" w:hint="default"/>
                <w:sz w:val="18"/>
                <w:szCs w:val="18"/>
              </w:rPr>
            </w:pPr>
            <w:r>
              <w:rPr>
                <w:rFonts w:ascii="Times New Roman"/>
                <w:spacing w:val="-1"/>
                <w:sz w:val="18"/>
              </w:rPr>
              <w:t>600,000.00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45" w:lineRule="auto" w:before="117"/>
              <w:ind w:left="13" w:right="43"/>
              <w:jc w:val="left"/>
              <w:rPr>
                <w:rFonts w:ascii="宋体" w:hAnsi="宋体" w:cs="宋体" w:eastAsia="宋体" w:hint="default"/>
                <w:sz w:val="18"/>
                <w:szCs w:val="18"/>
              </w:rPr>
            </w:pPr>
            <w:r>
              <w:rPr>
                <w:rFonts w:ascii="宋体" w:hAnsi="宋体" w:cs="宋体" w:eastAsia="宋体" w:hint="default"/>
                <w:sz w:val="18"/>
                <w:szCs w:val="18"/>
              </w:rPr>
              <w:t>苏州工业园区科技发展局配套资金</w:t>
            </w:r>
            <w:r>
              <w:rPr>
                <w:rFonts w:ascii="Times New Roman" w:hAnsi="Times New Roman" w:cs="Times New Roman" w:eastAsia="Times New Roman" w:hint="default"/>
                <w:sz w:val="18"/>
                <w:szCs w:val="18"/>
              </w:rPr>
              <w:t>-</w:t>
            </w:r>
            <w:r>
              <w:rPr>
                <w:rFonts w:ascii="宋体" w:hAnsi="宋体" w:cs="宋体" w:eastAsia="宋体" w:hint="default"/>
                <w:sz w:val="18"/>
                <w:szCs w:val="18"/>
              </w:rPr>
              <w:t>统一安全检测与 监控系统（</w:t>
            </w:r>
            <w:r>
              <w:rPr>
                <w:rFonts w:ascii="Times New Roman" w:hAnsi="Times New Roman" w:cs="Times New Roman" w:eastAsia="Times New Roman" w:hint="default"/>
                <w:sz w:val="18"/>
                <w:szCs w:val="18"/>
              </w:rPr>
              <w:t>USDM</w:t>
            </w:r>
            <w:r>
              <w:rPr>
                <w:rFonts w:ascii="宋体" w:hAnsi="宋体" w:cs="宋体" w:eastAsia="宋体" w:hint="default"/>
                <w:sz w:val="18"/>
                <w:szCs w:val="18"/>
              </w:rPr>
              <w:t>）</w:t>
            </w:r>
          </w:p>
        </w:tc>
        <w:tc>
          <w:tcPr>
            <w:tcW w:w="1750" w:type="dxa"/>
            <w:tcBorders>
              <w:top w:val="single" w:sz="6" w:space="0" w:color="000000"/>
              <w:left w:val="single" w:sz="13" w:space="0" w:color="D9D9D9"/>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4"/>
              <w:jc w:val="right"/>
              <w:rPr>
                <w:rFonts w:ascii="Times New Roman" w:hAnsi="Times New Roman" w:cs="Times New Roman" w:eastAsia="Times New Roman" w:hint="default"/>
                <w:sz w:val="18"/>
                <w:szCs w:val="18"/>
              </w:rPr>
            </w:pPr>
            <w:r>
              <w:rPr>
                <w:rFonts w:ascii="Times New Roman"/>
                <w:spacing w:val="-1"/>
                <w:sz w:val="18"/>
              </w:rPr>
              <w:t>442,070.54</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6"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以人为中心的智慧城市公共服务支撑技术与系统</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617,368.42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4"/>
              <w:jc w:val="right"/>
              <w:rPr>
                <w:rFonts w:ascii="Times New Roman" w:hAnsi="Times New Roman" w:cs="Times New Roman" w:eastAsia="Times New Roman" w:hint="default"/>
                <w:sz w:val="18"/>
                <w:szCs w:val="18"/>
              </w:rPr>
            </w:pPr>
            <w:r>
              <w:rPr>
                <w:rFonts w:ascii="Times New Roman"/>
                <w:spacing w:val="-1"/>
                <w:sz w:val="18"/>
              </w:rPr>
              <w:t>420,000.00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4"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面向金税三期的新一代核心征管系统研发与示范</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37,842.52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4"/>
              <w:jc w:val="right"/>
              <w:rPr>
                <w:rFonts w:ascii="Times New Roman" w:hAnsi="Times New Roman" w:cs="Times New Roman" w:eastAsia="Times New Roman" w:hint="default"/>
                <w:sz w:val="18"/>
                <w:szCs w:val="18"/>
              </w:rPr>
            </w:pPr>
            <w:r>
              <w:rPr>
                <w:rFonts w:ascii="Times New Roman"/>
                <w:spacing w:val="-1"/>
                <w:sz w:val="18"/>
              </w:rPr>
              <w:t>402,045.33</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6"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45" w:lineRule="auto" w:before="116"/>
              <w:ind w:left="13" w:right="9"/>
              <w:jc w:val="left"/>
              <w:rPr>
                <w:rFonts w:ascii="宋体" w:hAnsi="宋体" w:cs="宋体" w:eastAsia="宋体" w:hint="default"/>
                <w:sz w:val="18"/>
                <w:szCs w:val="18"/>
              </w:rPr>
            </w:pPr>
            <w:r>
              <w:rPr>
                <w:rFonts w:ascii="宋体" w:hAnsi="宋体" w:cs="宋体" w:eastAsia="宋体" w:hint="default"/>
                <w:sz w:val="18"/>
                <w:szCs w:val="18"/>
              </w:rPr>
              <w:t>江苏省财政厅、江苏省科学技术奖励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年度省级 科技创新与成果转化专项引导资金</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pacing w:val="-1"/>
                <w:sz w:val="18"/>
              </w:rPr>
              <w:t>123,062.12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4"/>
              <w:jc w:val="right"/>
              <w:rPr>
                <w:rFonts w:ascii="Times New Roman" w:hAnsi="Times New Roman" w:cs="Times New Roman" w:eastAsia="Times New Roman" w:hint="default"/>
                <w:sz w:val="18"/>
                <w:szCs w:val="18"/>
              </w:rPr>
            </w:pPr>
            <w:r>
              <w:rPr>
                <w:rFonts w:ascii="Times New Roman"/>
                <w:spacing w:val="-1"/>
                <w:sz w:val="18"/>
              </w:rPr>
              <w:t>400,000.00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智能卡云服务平台研发与示范项目</w:t>
            </w:r>
          </w:p>
        </w:tc>
        <w:tc>
          <w:tcPr>
            <w:tcW w:w="1750" w:type="dxa"/>
            <w:tcBorders>
              <w:top w:val="single" w:sz="6" w:space="0" w:color="000000"/>
              <w:left w:val="single" w:sz="13" w:space="0" w:color="D9D9D9"/>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4"/>
              <w:jc w:val="right"/>
              <w:rPr>
                <w:rFonts w:ascii="Times New Roman" w:hAnsi="Times New Roman" w:cs="Times New Roman" w:eastAsia="Times New Roman" w:hint="default"/>
                <w:sz w:val="18"/>
                <w:szCs w:val="18"/>
              </w:rPr>
            </w:pPr>
            <w:r>
              <w:rPr>
                <w:rFonts w:ascii="Times New Roman"/>
                <w:spacing w:val="-1"/>
                <w:sz w:val="18"/>
              </w:rPr>
              <w:t>376,103.41</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13" w:right="0"/>
              <w:jc w:val="left"/>
              <w:rPr>
                <w:rFonts w:ascii="宋体" w:hAnsi="宋体" w:cs="宋体" w:eastAsia="宋体" w:hint="default"/>
                <w:sz w:val="18"/>
                <w:szCs w:val="18"/>
              </w:rPr>
            </w:pPr>
            <w:r>
              <w:rPr>
                <w:rFonts w:ascii="宋体" w:hAnsi="宋体" w:cs="宋体" w:eastAsia="宋体" w:hint="default"/>
                <w:sz w:val="18"/>
                <w:szCs w:val="18"/>
              </w:rPr>
              <w:t>长宁区财政局拨款支持企业发展</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14"/>
              <w:jc w:val="right"/>
              <w:rPr>
                <w:rFonts w:ascii="Times New Roman" w:hAnsi="Times New Roman" w:cs="Times New Roman" w:eastAsia="Times New Roman" w:hint="default"/>
                <w:sz w:val="18"/>
                <w:szCs w:val="18"/>
              </w:rPr>
            </w:pPr>
            <w:r>
              <w:rPr>
                <w:rFonts w:ascii="Times New Roman"/>
                <w:spacing w:val="-1"/>
                <w:sz w:val="18"/>
              </w:rPr>
              <w:t>320,000.00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7"/>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6"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神州数码保税物流中心信息平台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750" w:type="dxa"/>
            <w:tcBorders>
              <w:top w:val="single" w:sz="6" w:space="0" w:color="000000"/>
              <w:left w:val="single" w:sz="13" w:space="0" w:color="D9D9D9"/>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4"/>
              <w:jc w:val="right"/>
              <w:rPr>
                <w:rFonts w:ascii="Times New Roman" w:hAnsi="Times New Roman" w:cs="Times New Roman" w:eastAsia="Times New Roman" w:hint="default"/>
                <w:sz w:val="18"/>
                <w:szCs w:val="18"/>
              </w:rPr>
            </w:pPr>
            <w:r>
              <w:rPr>
                <w:rFonts w:ascii="Times New Roman"/>
                <w:spacing w:val="-1"/>
                <w:sz w:val="18"/>
              </w:rPr>
              <w:t>290,000.00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4"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4" w:lineRule="auto" w:before="116"/>
              <w:ind w:left="13" w:right="104"/>
              <w:jc w:val="left"/>
              <w:rPr>
                <w:rFonts w:ascii="宋体" w:hAnsi="宋体" w:cs="宋体" w:eastAsia="宋体" w:hint="default"/>
                <w:sz w:val="18"/>
                <w:szCs w:val="18"/>
              </w:rPr>
            </w:pPr>
            <w:r>
              <w:rPr>
                <w:rFonts w:ascii="宋体" w:hAnsi="宋体" w:cs="宋体" w:eastAsia="宋体" w:hint="default"/>
                <w:sz w:val="18"/>
                <w:szCs w:val="18"/>
              </w:rPr>
              <w:t>苏州工业园区经济贸易发展局奖励苏州市加快信息 化建设项目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认定五个软件产品</w:t>
            </w:r>
          </w:p>
        </w:tc>
        <w:tc>
          <w:tcPr>
            <w:tcW w:w="1750" w:type="dxa"/>
            <w:tcBorders>
              <w:top w:val="single" w:sz="6" w:space="0" w:color="000000"/>
              <w:left w:val="single" w:sz="13" w:space="0" w:color="D9D9D9"/>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4"/>
              <w:jc w:val="right"/>
              <w:rPr>
                <w:rFonts w:ascii="Times New Roman" w:hAnsi="Times New Roman" w:cs="Times New Roman" w:eastAsia="Times New Roman" w:hint="default"/>
                <w:sz w:val="18"/>
                <w:szCs w:val="18"/>
              </w:rPr>
            </w:pPr>
            <w:r>
              <w:rPr>
                <w:rFonts w:ascii="Times New Roman"/>
                <w:spacing w:val="-1"/>
                <w:sz w:val="18"/>
              </w:rPr>
              <w:t>200,000.00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6"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45" w:lineRule="auto" w:before="116"/>
              <w:ind w:left="13" w:right="31"/>
              <w:jc w:val="left"/>
              <w:rPr>
                <w:rFonts w:ascii="宋体" w:hAnsi="宋体" w:cs="宋体" w:eastAsia="宋体" w:hint="default"/>
                <w:sz w:val="18"/>
                <w:szCs w:val="18"/>
              </w:rPr>
            </w:pPr>
            <w:r>
              <w:rPr>
                <w:rFonts w:ascii="宋体" w:hAnsi="宋体" w:cs="宋体" w:eastAsia="宋体" w:hint="default"/>
                <w:sz w:val="18"/>
                <w:szCs w:val="18"/>
              </w:rPr>
              <w:t>信息产业基地招商引资区级财政留存部分</w:t>
            </w:r>
            <w:r>
              <w:rPr>
                <w:rFonts w:ascii="Times New Roman" w:hAnsi="Times New Roman" w:cs="Times New Roman" w:eastAsia="Times New Roman" w:hint="default"/>
                <w:sz w:val="18"/>
                <w:szCs w:val="18"/>
              </w:rPr>
              <w:t>"</w:t>
            </w:r>
            <w:r>
              <w:rPr>
                <w:rFonts w:ascii="宋体" w:hAnsi="宋体" w:cs="宋体" w:eastAsia="宋体" w:hint="default"/>
                <w:sz w:val="18"/>
                <w:szCs w:val="18"/>
              </w:rPr>
              <w:t>两免三减 半</w:t>
            </w:r>
            <w:r>
              <w:rPr>
                <w:rFonts w:ascii="Times New Roman" w:hAnsi="Times New Roman" w:cs="Times New Roman" w:eastAsia="Times New Roman" w:hint="default"/>
                <w:sz w:val="18"/>
                <w:szCs w:val="18"/>
              </w:rPr>
              <w:t>"</w:t>
            </w:r>
            <w:r>
              <w:rPr>
                <w:rFonts w:ascii="宋体" w:hAnsi="宋体" w:cs="宋体" w:eastAsia="宋体" w:hint="default"/>
                <w:sz w:val="18"/>
                <w:szCs w:val="18"/>
              </w:rPr>
              <w:t>奖励</w:t>
            </w:r>
          </w:p>
        </w:tc>
        <w:tc>
          <w:tcPr>
            <w:tcW w:w="1750" w:type="dxa"/>
            <w:tcBorders>
              <w:top w:val="single" w:sz="6" w:space="0" w:color="000000"/>
              <w:left w:val="single" w:sz="13" w:space="0" w:color="D9D9D9"/>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4"/>
              <w:jc w:val="right"/>
              <w:rPr>
                <w:rFonts w:ascii="Times New Roman" w:hAnsi="Times New Roman" w:cs="Times New Roman" w:eastAsia="Times New Roman" w:hint="default"/>
                <w:sz w:val="18"/>
                <w:szCs w:val="18"/>
              </w:rPr>
            </w:pPr>
            <w:r>
              <w:rPr>
                <w:rFonts w:ascii="Times New Roman"/>
                <w:spacing w:val="-1"/>
                <w:sz w:val="18"/>
              </w:rPr>
              <w:t>186,150.00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年科技经费</w:t>
            </w:r>
          </w:p>
        </w:tc>
        <w:tc>
          <w:tcPr>
            <w:tcW w:w="1750" w:type="dxa"/>
            <w:tcBorders>
              <w:top w:val="single" w:sz="6" w:space="0" w:color="000000"/>
              <w:left w:val="single" w:sz="13" w:space="0" w:color="D9D9D9"/>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4"/>
              <w:jc w:val="right"/>
              <w:rPr>
                <w:rFonts w:ascii="Times New Roman" w:hAnsi="Times New Roman" w:cs="Times New Roman" w:eastAsia="Times New Roman" w:hint="default"/>
                <w:sz w:val="18"/>
                <w:szCs w:val="18"/>
              </w:rPr>
            </w:pPr>
            <w:r>
              <w:rPr>
                <w:rFonts w:ascii="Times New Roman"/>
                <w:spacing w:val="-1"/>
                <w:sz w:val="18"/>
              </w:rPr>
              <w:t>180,000.00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13" w:right="0"/>
              <w:jc w:val="left"/>
              <w:rPr>
                <w:rFonts w:ascii="宋体" w:hAnsi="宋体" w:cs="宋体" w:eastAsia="宋体" w:hint="default"/>
                <w:sz w:val="18"/>
                <w:szCs w:val="18"/>
              </w:rPr>
            </w:pPr>
            <w:r>
              <w:rPr>
                <w:rFonts w:ascii="宋体" w:hAnsi="宋体" w:cs="宋体" w:eastAsia="宋体" w:hint="default"/>
                <w:sz w:val="18"/>
                <w:szCs w:val="18"/>
              </w:rPr>
              <w:t>新增员工补贴</w:t>
            </w:r>
          </w:p>
        </w:tc>
        <w:tc>
          <w:tcPr>
            <w:tcW w:w="1750" w:type="dxa"/>
            <w:tcBorders>
              <w:top w:val="single" w:sz="6" w:space="0" w:color="000000"/>
              <w:left w:val="single" w:sz="13" w:space="0" w:color="D9D9D9"/>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14"/>
              <w:jc w:val="right"/>
              <w:rPr>
                <w:rFonts w:ascii="Times New Roman" w:hAnsi="Times New Roman" w:cs="Times New Roman" w:eastAsia="Times New Roman" w:hint="default"/>
                <w:sz w:val="18"/>
                <w:szCs w:val="18"/>
              </w:rPr>
            </w:pPr>
            <w:r>
              <w:rPr>
                <w:rFonts w:ascii="Times New Roman"/>
                <w:spacing w:val="-1"/>
                <w:sz w:val="18"/>
              </w:rPr>
              <w:t>160,000.00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7"/>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瞪羚补贴</w:t>
            </w:r>
          </w:p>
        </w:tc>
        <w:tc>
          <w:tcPr>
            <w:tcW w:w="1750" w:type="dxa"/>
            <w:tcBorders>
              <w:top w:val="single" w:sz="6" w:space="0" w:color="000000"/>
              <w:left w:val="single" w:sz="13" w:space="0" w:color="D9D9D9"/>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4"/>
              <w:jc w:val="right"/>
              <w:rPr>
                <w:rFonts w:ascii="Times New Roman" w:hAnsi="Times New Roman" w:cs="Times New Roman" w:eastAsia="Times New Roman" w:hint="default"/>
                <w:sz w:val="18"/>
                <w:szCs w:val="18"/>
              </w:rPr>
            </w:pPr>
            <w:r>
              <w:rPr>
                <w:rFonts w:ascii="Times New Roman"/>
                <w:spacing w:val="-1"/>
                <w:sz w:val="18"/>
              </w:rPr>
              <w:t>153,547.50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13" w:right="0"/>
              <w:jc w:val="left"/>
              <w:rPr>
                <w:rFonts w:ascii="宋体" w:hAnsi="宋体" w:cs="宋体" w:eastAsia="宋体" w:hint="default"/>
                <w:sz w:val="18"/>
                <w:szCs w:val="18"/>
              </w:rPr>
            </w:pPr>
            <w:r>
              <w:rPr>
                <w:rFonts w:ascii="宋体" w:hAnsi="宋体" w:cs="宋体" w:eastAsia="宋体" w:hint="default"/>
                <w:sz w:val="18"/>
                <w:szCs w:val="18"/>
              </w:rPr>
              <w:t>信息技术服务运行维护第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部</w:t>
            </w:r>
            <w:r>
              <w:rPr>
                <w:rFonts w:ascii="宋体" w:hAnsi="宋体" w:cs="宋体" w:eastAsia="宋体" w:hint="default"/>
                <w:sz w:val="18"/>
                <w:szCs w:val="18"/>
              </w:rPr>
              <w:t>分</w:t>
            </w:r>
            <w:r>
              <w:rPr>
                <w:rFonts w:ascii="宋体" w:hAnsi="宋体" w:cs="宋体" w:eastAsia="宋体" w:hint="default"/>
                <w:spacing w:val="-85"/>
                <w:sz w:val="18"/>
                <w:szCs w:val="18"/>
              </w:rPr>
              <w:t>：</w:t>
            </w:r>
            <w:r>
              <w:rPr>
                <w:rFonts w:ascii="宋体" w:hAnsi="宋体" w:cs="宋体" w:eastAsia="宋体" w:hint="default"/>
                <w:sz w:val="18"/>
                <w:szCs w:val="18"/>
              </w:rPr>
              <w:t>交付规范补贴收入</w:t>
            </w:r>
          </w:p>
        </w:tc>
        <w:tc>
          <w:tcPr>
            <w:tcW w:w="1750" w:type="dxa"/>
            <w:tcBorders>
              <w:top w:val="single" w:sz="6" w:space="0" w:color="000000"/>
              <w:left w:val="single" w:sz="13" w:space="0" w:color="D9D9D9"/>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14"/>
              <w:jc w:val="right"/>
              <w:rPr>
                <w:rFonts w:ascii="Times New Roman" w:hAnsi="Times New Roman" w:cs="Times New Roman" w:eastAsia="Times New Roman" w:hint="default"/>
                <w:sz w:val="18"/>
                <w:szCs w:val="18"/>
              </w:rPr>
            </w:pPr>
            <w:r>
              <w:rPr>
                <w:rFonts w:ascii="Times New Roman"/>
                <w:spacing w:val="-1"/>
                <w:sz w:val="18"/>
              </w:rPr>
              <w:t>120,000.00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7"/>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6"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稳增长补贴</w:t>
            </w:r>
          </w:p>
        </w:tc>
        <w:tc>
          <w:tcPr>
            <w:tcW w:w="1750" w:type="dxa"/>
            <w:tcBorders>
              <w:top w:val="single" w:sz="6" w:space="0" w:color="000000"/>
              <w:left w:val="single" w:sz="13" w:space="0" w:color="D9D9D9"/>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4"/>
              <w:jc w:val="right"/>
              <w:rPr>
                <w:rFonts w:ascii="Times New Roman" w:hAnsi="Times New Roman" w:cs="Times New Roman" w:eastAsia="Times New Roman" w:hint="default"/>
                <w:sz w:val="18"/>
                <w:szCs w:val="18"/>
              </w:rPr>
            </w:pPr>
            <w:r>
              <w:rPr>
                <w:rFonts w:ascii="Times New Roman"/>
                <w:spacing w:val="-1"/>
                <w:sz w:val="18"/>
              </w:rPr>
              <w:t>102,365.00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4"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接纳大学生实习补贴</w:t>
            </w:r>
          </w:p>
        </w:tc>
        <w:tc>
          <w:tcPr>
            <w:tcW w:w="1750" w:type="dxa"/>
            <w:tcBorders>
              <w:top w:val="single" w:sz="6" w:space="0" w:color="000000"/>
              <w:left w:val="single" w:sz="13" w:space="0" w:color="D9D9D9"/>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4"/>
              <w:jc w:val="right"/>
              <w:rPr>
                <w:rFonts w:ascii="Times New Roman" w:hAnsi="Times New Roman" w:cs="Times New Roman" w:eastAsia="Times New Roman" w:hint="default"/>
                <w:sz w:val="18"/>
                <w:szCs w:val="18"/>
              </w:rPr>
            </w:pPr>
            <w:r>
              <w:rPr>
                <w:rFonts w:ascii="Times New Roman"/>
                <w:spacing w:val="-1"/>
                <w:sz w:val="18"/>
              </w:rPr>
              <w:t>91,500.00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6"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神州数码集装箱物流公共信息平台项目</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97,872.27</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4"/>
              <w:jc w:val="right"/>
              <w:rPr>
                <w:rFonts w:ascii="Times New Roman" w:hAnsi="Times New Roman" w:cs="Times New Roman" w:eastAsia="Times New Roman" w:hint="default"/>
                <w:sz w:val="18"/>
                <w:szCs w:val="18"/>
              </w:rPr>
            </w:pPr>
            <w:r>
              <w:rPr>
                <w:rFonts w:ascii="Times New Roman"/>
                <w:spacing w:val="-1"/>
                <w:sz w:val="18"/>
              </w:rPr>
              <w:t>43,809.88</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网构化软件生产、构造和复用技术与工具</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w w:val="95"/>
                <w:sz w:val="18"/>
              </w:rPr>
              <w:t>1,905.00</w:t>
            </w:r>
          </w:p>
        </w:tc>
        <w:tc>
          <w:tcPr>
            <w:tcW w:w="1661"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13" w:right="0"/>
              <w:jc w:val="left"/>
              <w:rPr>
                <w:rFonts w:ascii="宋体" w:hAnsi="宋体" w:cs="宋体" w:eastAsia="宋体" w:hint="default"/>
                <w:sz w:val="18"/>
                <w:szCs w:val="18"/>
              </w:rPr>
            </w:pPr>
            <w:r>
              <w:rPr>
                <w:rFonts w:ascii="宋体" w:hAnsi="宋体" w:cs="宋体" w:eastAsia="宋体" w:hint="default"/>
                <w:sz w:val="18"/>
                <w:szCs w:val="18"/>
              </w:rPr>
              <w:t>神州数码智慧课堂平台</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661"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7"/>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7"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苏州工业园区管委会奖励</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pacing w:val="-1"/>
                <w:sz w:val="18"/>
              </w:rPr>
              <w:t>199,444.00</w:t>
            </w:r>
          </w:p>
        </w:tc>
        <w:tc>
          <w:tcPr>
            <w:tcW w:w="1661"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4"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海淀园自主创新和产业发展专项基金项目</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661"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6"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信息技术服务运行维护第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部分：交付规范</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349,554.20</w:t>
            </w:r>
          </w:p>
        </w:tc>
        <w:tc>
          <w:tcPr>
            <w:tcW w:w="1661"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长宁区中小企业扶持发展资金</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661"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13" w:right="0"/>
              <w:jc w:val="left"/>
              <w:rPr>
                <w:rFonts w:ascii="宋体" w:hAnsi="宋体" w:cs="宋体" w:eastAsia="宋体" w:hint="default"/>
                <w:sz w:val="18"/>
                <w:szCs w:val="18"/>
              </w:rPr>
            </w:pPr>
            <w:r>
              <w:rPr>
                <w:rFonts w:ascii="宋体" w:hAnsi="宋体" w:cs="宋体" w:eastAsia="宋体" w:hint="default"/>
                <w:sz w:val="18"/>
                <w:szCs w:val="18"/>
              </w:rPr>
              <w:t>扬州市财政局奖励</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661"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7"/>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6"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45" w:lineRule="auto" w:before="116"/>
              <w:ind w:left="13"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年度苏州市市级快信息化建设专项资金扶持项 目公示</w:t>
            </w:r>
          </w:p>
        </w:tc>
        <w:tc>
          <w:tcPr>
            <w:tcW w:w="1750" w:type="dxa"/>
            <w:tcBorders>
              <w:top w:val="single" w:sz="6" w:space="0" w:color="000000"/>
              <w:left w:val="single" w:sz="13" w:space="0" w:color="D9D9D9"/>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661" w:type="dxa"/>
            <w:tcBorders>
              <w:top w:val="single" w:sz="6" w:space="0" w:color="000000"/>
              <w:left w:val="single" w:sz="6" w:space="0" w:color="000000"/>
              <w:bottom w:val="single" w:sz="12" w:space="0" w:color="000000"/>
              <w:right w:val="single" w:sz="6" w:space="0" w:color="000000"/>
            </w:tcBorders>
          </w:tcPr>
          <w:p>
            <w:pPr/>
          </w:p>
        </w:tc>
        <w:tc>
          <w:tcPr>
            <w:tcW w:w="205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0" w:footer="1227" w:top="1100" w:bottom="1420" w:left="980" w:right="980"/>
        </w:sectPr>
      </w:pPr>
    </w:p>
    <w:p>
      <w:pPr>
        <w:spacing w:line="240" w:lineRule="auto" w:before="1"/>
        <w:rPr>
          <w:rFonts w:ascii="Times New Roman" w:hAnsi="Times New Roman" w:cs="Times New Roman" w:eastAsia="Times New Roman" w:hint="default"/>
          <w:sz w:val="28"/>
          <w:szCs w:val="28"/>
        </w:rPr>
      </w:pPr>
    </w:p>
    <w:tbl>
      <w:tblPr>
        <w:tblW w:w="0" w:type="auto"/>
        <w:jc w:val="left"/>
        <w:tblInd w:w="140" w:type="dxa"/>
        <w:tblLayout w:type="fixed"/>
        <w:tblCellMar>
          <w:top w:w="0" w:type="dxa"/>
          <w:left w:w="0" w:type="dxa"/>
          <w:bottom w:w="0" w:type="dxa"/>
          <w:right w:w="0" w:type="dxa"/>
        </w:tblCellMar>
        <w:tblLook w:val="01E0"/>
      </w:tblPr>
      <w:tblGrid>
        <w:gridCol w:w="4101"/>
        <w:gridCol w:w="1750"/>
        <w:gridCol w:w="1661"/>
        <w:gridCol w:w="2057"/>
      </w:tblGrid>
      <w:tr>
        <w:trPr>
          <w:trHeight w:val="462"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5"/>
              <w:ind w:left="13" w:right="0"/>
              <w:jc w:val="left"/>
              <w:rPr>
                <w:rFonts w:ascii="宋体" w:hAnsi="宋体" w:cs="宋体" w:eastAsia="宋体" w:hint="default"/>
                <w:sz w:val="18"/>
                <w:szCs w:val="18"/>
              </w:rPr>
            </w:pPr>
            <w:r>
              <w:rPr>
                <w:rFonts w:ascii="宋体" w:hAnsi="宋体" w:cs="宋体" w:eastAsia="宋体" w:hint="default"/>
                <w:sz w:val="18"/>
                <w:szCs w:val="18"/>
              </w:rPr>
              <w:t>苏州工业园区科技发展局</w:t>
            </w:r>
            <w:r>
              <w:rPr>
                <w:rFonts w:ascii="Times New Roman" w:hAnsi="Times New Roman" w:cs="Times New Roman" w:eastAsia="Times New Roman" w:hint="default"/>
                <w:sz w:val="18"/>
                <w:szCs w:val="18"/>
              </w:rPr>
              <w:t>-</w:t>
            </w:r>
            <w:r>
              <w:rPr>
                <w:rFonts w:ascii="宋体" w:hAnsi="宋体" w:cs="宋体" w:eastAsia="宋体" w:hint="default"/>
                <w:sz w:val="18"/>
                <w:szCs w:val="18"/>
              </w:rPr>
              <w:t>高新技术产品奖励</w:t>
            </w:r>
          </w:p>
        </w:tc>
        <w:tc>
          <w:tcPr>
            <w:tcW w:w="1750" w:type="dxa"/>
            <w:tcBorders>
              <w:top w:val="single" w:sz="12" w:space="0" w:color="000000"/>
              <w:left w:val="single" w:sz="13" w:space="0" w:color="D9D9D9"/>
              <w:bottom w:val="single" w:sz="6" w:space="0" w:color="000000"/>
              <w:right w:val="single" w:sz="6"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61" w:type="dxa"/>
            <w:tcBorders>
              <w:top w:val="single" w:sz="12" w:space="0" w:color="000000"/>
              <w:left w:val="single" w:sz="6" w:space="0" w:color="000000"/>
              <w:bottom w:val="single" w:sz="6" w:space="0" w:color="000000"/>
              <w:right w:val="single" w:sz="6" w:space="0" w:color="000000"/>
            </w:tcBorders>
          </w:tcPr>
          <w:p>
            <w:pPr/>
          </w:p>
        </w:tc>
        <w:tc>
          <w:tcPr>
            <w:tcW w:w="205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7"/>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栖霞区龙潭街道税收财力补贴（</w:t>
            </w:r>
            <w:r>
              <w:rPr>
                <w:rFonts w:ascii="Times New Roman" w:hAnsi="Times New Roman" w:cs="Times New Roman" w:eastAsia="Times New Roman" w:hint="default"/>
                <w:sz w:val="18"/>
                <w:szCs w:val="18"/>
              </w:rPr>
              <w:t>2012-2014 </w:t>
            </w:r>
            <w:r>
              <w:rPr>
                <w:rFonts w:ascii="宋体" w:hAnsi="宋体" w:cs="宋体" w:eastAsia="宋体" w:hint="default"/>
                <w:sz w:val="18"/>
                <w:szCs w:val="18"/>
              </w:rPr>
              <w:t>年度）</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141,700.00</w:t>
            </w:r>
          </w:p>
        </w:tc>
        <w:tc>
          <w:tcPr>
            <w:tcW w:w="1661"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5"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13" w:right="0"/>
              <w:jc w:val="left"/>
              <w:rPr>
                <w:rFonts w:ascii="宋体" w:hAnsi="宋体" w:cs="宋体" w:eastAsia="宋体" w:hint="default"/>
                <w:sz w:val="18"/>
                <w:szCs w:val="18"/>
              </w:rPr>
            </w:pPr>
            <w:r>
              <w:rPr>
                <w:rFonts w:ascii="宋体" w:hAnsi="宋体" w:cs="宋体" w:eastAsia="宋体" w:hint="default"/>
                <w:sz w:val="18"/>
                <w:szCs w:val="18"/>
              </w:rPr>
              <w:t>海淀区加快核心区自主创新和产业发展专项资金</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661"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7"/>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6" w:hRule="exact"/>
        </w:trPr>
        <w:tc>
          <w:tcPr>
            <w:tcW w:w="410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0" w:type="dxa"/>
            <w:tcBorders>
              <w:top w:val="single" w:sz="6" w:space="0" w:color="000000"/>
              <w:left w:val="single" w:sz="13" w:space="0" w:color="D9D9D9"/>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171,762.88</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4"/>
              <w:jc w:val="right"/>
              <w:rPr>
                <w:rFonts w:ascii="Times New Roman" w:hAnsi="Times New Roman" w:cs="Times New Roman" w:eastAsia="Times New Roman" w:hint="default"/>
                <w:sz w:val="18"/>
                <w:szCs w:val="18"/>
              </w:rPr>
            </w:pPr>
            <w:r>
              <w:rPr>
                <w:rFonts w:ascii="Times New Roman"/>
                <w:spacing w:val="-1"/>
                <w:sz w:val="18"/>
              </w:rPr>
              <w:t>680,127.24</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61" w:hRule="exact"/>
        </w:trPr>
        <w:tc>
          <w:tcPr>
            <w:tcW w:w="410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0" w:type="dxa"/>
            <w:tcBorders>
              <w:top w:val="single" w:sz="6" w:space="0" w:color="000000"/>
              <w:left w:val="single" w:sz="13" w:space="0" w:color="D2D2D2"/>
              <w:bottom w:val="single" w:sz="12"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23,313,166.41</w:t>
            </w:r>
          </w:p>
        </w:tc>
        <w:tc>
          <w:tcPr>
            <w:tcW w:w="16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5"/>
              <w:jc w:val="right"/>
              <w:rPr>
                <w:rFonts w:ascii="Times New Roman" w:hAnsi="Times New Roman" w:cs="Times New Roman" w:eastAsia="Times New Roman" w:hint="default"/>
                <w:sz w:val="18"/>
                <w:szCs w:val="18"/>
              </w:rPr>
            </w:pPr>
            <w:r>
              <w:rPr>
                <w:rFonts w:ascii="Times New Roman"/>
                <w:spacing w:val="-1"/>
                <w:sz w:val="18"/>
              </w:rPr>
              <w:t>52,145,159.84</w:t>
            </w:r>
          </w:p>
        </w:tc>
        <w:tc>
          <w:tcPr>
            <w:tcW w:w="2057"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0"/>
        <w:rPr>
          <w:rFonts w:ascii="Times New Roman" w:hAnsi="Times New Roman" w:cs="Times New Roman" w:eastAsia="Times New Roman" w:hint="default"/>
          <w:sz w:val="26"/>
          <w:szCs w:val="26"/>
        </w:rPr>
      </w:pPr>
    </w:p>
    <w:p>
      <w:pPr>
        <w:pStyle w:val="Heading4"/>
        <w:spacing w:line="240" w:lineRule="auto" w:before="36"/>
        <w:ind w:right="140"/>
        <w:jc w:val="left"/>
        <w:rPr>
          <w:b w:val="0"/>
          <w:bCs w:val="0"/>
        </w:rPr>
      </w:pPr>
      <w:r>
        <w:rPr>
          <w:rFonts w:ascii="Times New Roman" w:hAnsi="Times New Roman" w:cs="Times New Roman" w:eastAsia="Times New Roman" w:hint="default"/>
        </w:rPr>
        <w:t>42</w:t>
      </w:r>
      <w:r>
        <w:rPr/>
        <w:t>、营业外支出</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2378"/>
        <w:gridCol w:w="2360"/>
        <w:gridCol w:w="2350"/>
        <w:gridCol w:w="2482"/>
      </w:tblGrid>
      <w:tr>
        <w:trPr>
          <w:trHeight w:val="447" w:hRule="exact"/>
        </w:trPr>
        <w:tc>
          <w:tcPr>
            <w:tcW w:w="237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60" w:type="dxa"/>
            <w:tcBorders>
              <w:top w:val="single" w:sz="12" w:space="0" w:color="000000"/>
              <w:left w:val="single" w:sz="9" w:space="0" w:color="D9D9D9"/>
              <w:bottom w:val="single" w:sz="6" w:space="0" w:color="000000"/>
              <w:right w:val="single" w:sz="6" w:space="0" w:color="000000"/>
            </w:tcBorders>
            <w:shd w:val="clear" w:color="auto" w:fill="D2D2D2"/>
          </w:tcPr>
          <w:p>
            <w:pPr>
              <w:pStyle w:val="TableParagraph"/>
              <w:spacing w:line="240" w:lineRule="auto" w:before="102"/>
              <w:ind w:left="72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1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8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2"/>
              <w:ind w:right="53"/>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56" w:hRule="exact"/>
        </w:trPr>
        <w:tc>
          <w:tcPr>
            <w:tcW w:w="23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60"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500,174.67</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1,098,697.02</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500,174.67</w:t>
            </w:r>
          </w:p>
        </w:tc>
      </w:tr>
      <w:tr>
        <w:trPr>
          <w:trHeight w:val="454" w:hRule="exact"/>
        </w:trPr>
        <w:tc>
          <w:tcPr>
            <w:tcW w:w="23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60"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500,174.67</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1,098,697.02</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500,174.67</w:t>
            </w:r>
          </w:p>
        </w:tc>
      </w:tr>
      <w:tr>
        <w:trPr>
          <w:trHeight w:val="456" w:hRule="exact"/>
        </w:trPr>
        <w:tc>
          <w:tcPr>
            <w:tcW w:w="23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553"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360" w:type="dxa"/>
            <w:tcBorders>
              <w:top w:val="single" w:sz="6" w:space="0" w:color="000000"/>
              <w:left w:val="single" w:sz="9" w:space="0" w:color="D9D9D9"/>
              <w:bottom w:val="single" w:sz="6" w:space="0" w:color="000000"/>
              <w:right w:val="single" w:sz="6" w:space="0" w:color="000000"/>
            </w:tcBorders>
          </w:tcPr>
          <w:p>
            <w:pPr/>
          </w:p>
        </w:tc>
        <w:tc>
          <w:tcPr>
            <w:tcW w:w="2350" w:type="dxa"/>
            <w:tcBorders>
              <w:top w:val="single" w:sz="6" w:space="0" w:color="000000"/>
              <w:left w:val="single" w:sz="6" w:space="0" w:color="000000"/>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3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60" w:type="dxa"/>
            <w:tcBorders>
              <w:top w:val="single" w:sz="6" w:space="0" w:color="000000"/>
              <w:left w:val="single" w:sz="9" w:space="0" w:color="D9D9D9"/>
              <w:bottom w:val="single" w:sz="6" w:space="0" w:color="000000"/>
              <w:right w:val="single" w:sz="6" w:space="0" w:color="000000"/>
            </w:tcBorders>
          </w:tcPr>
          <w:p>
            <w:pPr/>
          </w:p>
        </w:tc>
        <w:tc>
          <w:tcPr>
            <w:tcW w:w="2350" w:type="dxa"/>
            <w:tcBorders>
              <w:top w:val="single" w:sz="6" w:space="0" w:color="000000"/>
              <w:left w:val="single" w:sz="6" w:space="0" w:color="000000"/>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3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360" w:type="dxa"/>
            <w:tcBorders>
              <w:top w:val="single" w:sz="6" w:space="0" w:color="000000"/>
              <w:left w:val="single" w:sz="9" w:space="0" w:color="D9D9D9"/>
              <w:bottom w:val="single" w:sz="6" w:space="0" w:color="000000"/>
              <w:right w:val="single" w:sz="6" w:space="0" w:color="000000"/>
            </w:tcBorders>
          </w:tcPr>
          <w:p>
            <w:pPr/>
          </w:p>
        </w:tc>
        <w:tc>
          <w:tcPr>
            <w:tcW w:w="2350" w:type="dxa"/>
            <w:tcBorders>
              <w:top w:val="single" w:sz="6" w:space="0" w:color="000000"/>
              <w:left w:val="single" w:sz="6" w:space="0" w:color="000000"/>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3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60"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545,150.00</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281,940.00</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545,150.00</w:t>
            </w:r>
          </w:p>
        </w:tc>
      </w:tr>
      <w:tr>
        <w:trPr>
          <w:trHeight w:val="454" w:hRule="exact"/>
        </w:trPr>
        <w:tc>
          <w:tcPr>
            <w:tcW w:w="23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赔偿金</w:t>
            </w:r>
          </w:p>
        </w:tc>
        <w:tc>
          <w:tcPr>
            <w:tcW w:w="2360"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380,169.00</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308,289.00</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380,169.00</w:t>
            </w:r>
          </w:p>
        </w:tc>
      </w:tr>
      <w:tr>
        <w:trPr>
          <w:trHeight w:val="456" w:hRule="exact"/>
        </w:trPr>
        <w:tc>
          <w:tcPr>
            <w:tcW w:w="23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60"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346,100.30</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654,232.46</w:t>
            </w:r>
          </w:p>
        </w:tc>
        <w:tc>
          <w:tcPr>
            <w:tcW w:w="24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346,100.30</w:t>
            </w:r>
          </w:p>
        </w:tc>
      </w:tr>
      <w:tr>
        <w:trPr>
          <w:trHeight w:val="461" w:hRule="exact"/>
        </w:trPr>
        <w:tc>
          <w:tcPr>
            <w:tcW w:w="237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6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1,771,593.97</w:t>
            </w:r>
          </w:p>
        </w:tc>
        <w:tc>
          <w:tcPr>
            <w:tcW w:w="23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2,343,158.48</w:t>
            </w:r>
          </w:p>
        </w:tc>
        <w:tc>
          <w:tcPr>
            <w:tcW w:w="248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1,771,593.97</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43</w:t>
      </w:r>
      <w:r>
        <w:rPr/>
        <w:t>、所得税费用</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171"/>
        <w:gridCol w:w="3202"/>
        <w:gridCol w:w="3191"/>
      </w:tblGrid>
      <w:tr>
        <w:trPr>
          <w:trHeight w:val="460"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5"/>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5"/>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left="7"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2"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61"/>
              <w:ind w:right="17"/>
              <w:jc w:val="right"/>
              <w:rPr>
                <w:rFonts w:ascii="Times New Roman" w:hAnsi="Times New Roman" w:cs="Times New Roman" w:eastAsia="Times New Roman" w:hint="default"/>
                <w:sz w:val="18"/>
                <w:szCs w:val="18"/>
              </w:rPr>
            </w:pPr>
            <w:r>
              <w:rPr>
                <w:rFonts w:ascii="Times New Roman"/>
                <w:spacing w:val="-1"/>
                <w:sz w:val="18"/>
              </w:rPr>
              <w:t>50,242,362.03</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1"/>
              <w:ind w:right="10"/>
              <w:jc w:val="right"/>
              <w:rPr>
                <w:rFonts w:ascii="Times New Roman" w:hAnsi="Times New Roman" w:cs="Times New Roman" w:eastAsia="Times New Roman" w:hint="default"/>
                <w:sz w:val="18"/>
                <w:szCs w:val="18"/>
              </w:rPr>
            </w:pPr>
            <w:r>
              <w:rPr>
                <w:rFonts w:ascii="Times New Roman"/>
                <w:spacing w:val="-1"/>
                <w:sz w:val="18"/>
              </w:rPr>
              <w:t>61,382,076.23</w:t>
            </w:r>
          </w:p>
        </w:tc>
      </w:tr>
      <w:tr>
        <w:trPr>
          <w:trHeight w:val="456"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2"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-6,416,493.34</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-23,497,899.89</w:t>
            </w:r>
          </w:p>
        </w:tc>
      </w:tr>
      <w:tr>
        <w:trPr>
          <w:trHeight w:val="461"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43,825,868.69</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37,884,176.34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5"/>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5814"/>
        <w:gridCol w:w="3757"/>
      </w:tblGrid>
      <w:tr>
        <w:trPr>
          <w:trHeight w:val="462" w:hRule="exact"/>
        </w:trPr>
        <w:tc>
          <w:tcPr>
            <w:tcW w:w="581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75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5"/>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54" w:hRule="exact"/>
        </w:trPr>
        <w:tc>
          <w:tcPr>
            <w:tcW w:w="58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757"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330,950,505.38</w:t>
            </w:r>
          </w:p>
        </w:tc>
      </w:tr>
      <w:tr>
        <w:trPr>
          <w:trHeight w:val="456" w:hRule="exact"/>
        </w:trPr>
        <w:tc>
          <w:tcPr>
            <w:tcW w:w="58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757"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82,737,626.35</w:t>
            </w:r>
          </w:p>
        </w:tc>
      </w:tr>
      <w:tr>
        <w:trPr>
          <w:trHeight w:val="455" w:hRule="exact"/>
        </w:trPr>
        <w:tc>
          <w:tcPr>
            <w:tcW w:w="58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757"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-32,746,746.99</w:t>
            </w:r>
          </w:p>
        </w:tc>
      </w:tr>
      <w:tr>
        <w:trPr>
          <w:trHeight w:val="455" w:hRule="exact"/>
        </w:trPr>
        <w:tc>
          <w:tcPr>
            <w:tcW w:w="58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7"/>
              <w:ind w:left="1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757"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159"/>
              <w:ind w:right="10"/>
              <w:jc w:val="right"/>
              <w:rPr>
                <w:rFonts w:ascii="Times New Roman" w:hAnsi="Times New Roman" w:cs="Times New Roman" w:eastAsia="Times New Roman" w:hint="default"/>
                <w:sz w:val="18"/>
                <w:szCs w:val="18"/>
              </w:rPr>
            </w:pPr>
            <w:r>
              <w:rPr>
                <w:rFonts w:ascii="Times New Roman"/>
                <w:spacing w:val="-1"/>
                <w:sz w:val="18"/>
              </w:rPr>
              <w:t>226,344.65</w:t>
            </w:r>
          </w:p>
        </w:tc>
      </w:tr>
      <w:tr>
        <w:trPr>
          <w:trHeight w:val="455" w:hRule="exact"/>
        </w:trPr>
        <w:tc>
          <w:tcPr>
            <w:tcW w:w="58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7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528,662.71</w:t>
            </w:r>
          </w:p>
        </w:tc>
      </w:tr>
      <w:tr>
        <w:trPr>
          <w:trHeight w:val="455" w:hRule="exact"/>
        </w:trPr>
        <w:tc>
          <w:tcPr>
            <w:tcW w:w="58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1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7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10"/>
              <w:jc w:val="right"/>
              <w:rPr>
                <w:rFonts w:ascii="Times New Roman" w:hAnsi="Times New Roman" w:cs="Times New Roman" w:eastAsia="Times New Roman" w:hint="default"/>
                <w:sz w:val="18"/>
                <w:szCs w:val="18"/>
              </w:rPr>
            </w:pPr>
            <w:r>
              <w:rPr>
                <w:rFonts w:ascii="Times New Roman"/>
                <w:spacing w:val="-1"/>
                <w:sz w:val="18"/>
              </w:rPr>
              <w:t>4,058,991.06</w:t>
            </w:r>
          </w:p>
        </w:tc>
      </w:tr>
      <w:tr>
        <w:trPr>
          <w:trHeight w:val="456" w:hRule="exact"/>
        </w:trPr>
        <w:tc>
          <w:tcPr>
            <w:tcW w:w="58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7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-4,181,902.76</w:t>
            </w:r>
          </w:p>
        </w:tc>
      </w:tr>
      <w:tr>
        <w:trPr>
          <w:trHeight w:val="454" w:hRule="exact"/>
        </w:trPr>
        <w:tc>
          <w:tcPr>
            <w:tcW w:w="58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7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-380,612.99</w:t>
            </w:r>
          </w:p>
        </w:tc>
      </w:tr>
      <w:tr>
        <w:trPr>
          <w:trHeight w:val="456" w:hRule="exact"/>
        </w:trPr>
        <w:tc>
          <w:tcPr>
            <w:tcW w:w="58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7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-6,416,493.34</w:t>
            </w:r>
          </w:p>
        </w:tc>
      </w:tr>
      <w:tr>
        <w:trPr>
          <w:trHeight w:val="461" w:hRule="exact"/>
        </w:trPr>
        <w:tc>
          <w:tcPr>
            <w:tcW w:w="581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75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43,825,868.69</w:t>
            </w:r>
          </w:p>
        </w:tc>
      </w:tr>
    </w:tbl>
    <w:p>
      <w:pPr>
        <w:spacing w:line="240" w:lineRule="auto" w:before="8"/>
        <w:rPr>
          <w:rFonts w:ascii="宋体" w:hAnsi="宋体" w:cs="宋体" w:eastAsia="宋体" w:hint="default"/>
          <w:sz w:val="23"/>
          <w:szCs w:val="23"/>
        </w:rPr>
      </w:pPr>
    </w:p>
    <w:p>
      <w:pPr>
        <w:spacing w:line="564" w:lineRule="auto" w:before="36"/>
        <w:ind w:left="153" w:right="67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21"/>
          <w:szCs w:val="21"/>
        </w:rPr>
        <w:t>详见附注七、</w:t>
      </w:r>
      <w:r>
        <w:rPr>
          <w:rFonts w:ascii="宋体" w:hAnsi="宋体" w:cs="宋体" w:eastAsia="宋体" w:hint="default"/>
          <w:sz w:val="21"/>
          <w:szCs w:val="21"/>
        </w:rPr>
        <w:t>31</w:t>
      </w:r>
      <w:r>
        <w:rPr>
          <w:rFonts w:ascii="宋体" w:hAnsi="宋体" w:cs="宋体" w:eastAsia="宋体" w:hint="default"/>
          <w:spacing w:val="-2"/>
          <w:sz w:val="21"/>
          <w:szCs w:val="21"/>
        </w:rPr>
        <w:t> </w:t>
      </w:r>
      <w:r>
        <w:rPr>
          <w:rFonts w:ascii="宋体" w:hAnsi="宋体" w:cs="宋体" w:eastAsia="宋体" w:hint="default"/>
          <w:sz w:val="21"/>
          <w:szCs w:val="21"/>
        </w:rPr>
        <w:t>其他综合收益。</w:t>
      </w:r>
    </w:p>
    <w:p>
      <w:pPr>
        <w:spacing w:line="240" w:lineRule="auto" w:before="5"/>
        <w:rPr>
          <w:rFonts w:ascii="宋体" w:hAnsi="宋体" w:cs="宋体" w:eastAsia="宋体" w:hint="default"/>
          <w:sz w:val="14"/>
          <w:szCs w:val="14"/>
        </w:rPr>
      </w:pPr>
    </w:p>
    <w:p>
      <w:pPr>
        <w:pStyle w:val="Heading4"/>
        <w:spacing w:line="240" w:lineRule="auto"/>
        <w:ind w:right="140"/>
        <w:jc w:val="left"/>
        <w:rPr>
          <w:b w:val="0"/>
          <w:bCs w:val="0"/>
        </w:rPr>
      </w:pPr>
      <w:r>
        <w:rPr>
          <w:rFonts w:ascii="Times New Roman" w:hAnsi="Times New Roman" w:cs="Times New Roman" w:eastAsia="Times New Roman" w:hint="default"/>
        </w:rPr>
        <w:t>45</w:t>
      </w:r>
      <w:r>
        <w:rPr/>
        <w:t>、现金流量表项目</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3177"/>
        <w:gridCol w:w="3202"/>
        <w:gridCol w:w="3191"/>
      </w:tblGrid>
      <w:tr>
        <w:trPr>
          <w:trHeight w:val="446" w:hRule="exact"/>
        </w:trPr>
        <w:tc>
          <w:tcPr>
            <w:tcW w:w="317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8" w:space="0" w:color="D9D9D9"/>
              <w:bottom w:val="single" w:sz="6" w:space="0" w:color="000000"/>
              <w:right w:val="single" w:sz="6" w:space="0" w:color="000000"/>
            </w:tcBorders>
            <w:shd w:val="clear" w:color="auto" w:fill="D2D2D2"/>
          </w:tcPr>
          <w:p>
            <w:pPr>
              <w:pStyle w:val="TableParagraph"/>
              <w:spacing w:line="240" w:lineRule="auto" w:before="10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11,952,506.88</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29,676,929.72</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23,326,884.65</w:t>
            </w: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26,339,732.51</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6,104,035.75</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个人所得税手续费返还</w:t>
            </w:r>
          </w:p>
        </w:tc>
        <w:tc>
          <w:tcPr>
            <w:tcW w:w="3202" w:type="dxa"/>
            <w:tcBorders>
              <w:top w:val="single" w:sz="6" w:space="0" w:color="000000"/>
              <w:left w:val="single" w:sz="8" w:space="0" w:color="D9D9D9"/>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374,543.43</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775,153.10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2,467,396.61</w:t>
            </w:r>
          </w:p>
        </w:tc>
      </w:tr>
      <w:tr>
        <w:trPr>
          <w:trHeight w:val="461" w:hRule="exact"/>
        </w:trPr>
        <w:tc>
          <w:tcPr>
            <w:tcW w:w="317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9D9D9"/>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62,394,277.14</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38,622,905.51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5"/>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3177"/>
        <w:gridCol w:w="3202"/>
        <w:gridCol w:w="3191"/>
      </w:tblGrid>
      <w:tr>
        <w:trPr>
          <w:trHeight w:val="449" w:hRule="exact"/>
        </w:trPr>
        <w:tc>
          <w:tcPr>
            <w:tcW w:w="317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8" w:space="0" w:color="D9D9D9"/>
              <w:bottom w:val="single" w:sz="6" w:space="0" w:color="000000"/>
              <w:right w:val="single" w:sz="6" w:space="0" w:color="000000"/>
            </w:tcBorders>
            <w:shd w:val="clear" w:color="auto" w:fill="D2D2D2"/>
          </w:tcPr>
          <w:p>
            <w:pPr>
              <w:pStyle w:val="TableParagraph"/>
              <w:spacing w:line="240" w:lineRule="auto" w:before="10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69,896,886.96</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66,837,679.98</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会议招待费</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73,441,799.20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71,246,534.23</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租金及租赁维修费</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19,899,042.46</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14,514,378.10</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保证金、房租押金</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60"/>
              <w:ind w:right="16"/>
              <w:jc w:val="right"/>
              <w:rPr>
                <w:rFonts w:ascii="Times New Roman" w:hAnsi="Times New Roman" w:cs="Times New Roman" w:eastAsia="Times New Roman" w:hint="default"/>
                <w:sz w:val="18"/>
                <w:szCs w:val="18"/>
              </w:rPr>
            </w:pPr>
            <w:r>
              <w:rPr>
                <w:rFonts w:ascii="Times New Roman"/>
                <w:spacing w:val="-1"/>
                <w:sz w:val="18"/>
              </w:rPr>
              <w:t>49,306.98</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13,365,245.08</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运输及交通费</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30,501,477.29</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23,604,290.82</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集中办公工位费</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5,925,694.08</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8,746,303.86</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80,017,620.33</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123,085,906.91</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8,983,513.77</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5,134,508.95</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投标保函费</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11,083,943.30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10,348,067.52</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1,652,129.88</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3,157,555.80</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10,293,004.83</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8,798,689.22</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仓储费用、运输保险费</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1,201,139.06</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1,962,060.00</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市场服务费</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2,577,078.92</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2,316,843.71</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15,347,235.29</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5,168,712.69</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47,711,107.92</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26,876,505.91</w:t>
            </w:r>
          </w:p>
        </w:tc>
      </w:tr>
      <w:tr>
        <w:trPr>
          <w:trHeight w:val="461" w:hRule="exact"/>
        </w:trPr>
        <w:tc>
          <w:tcPr>
            <w:tcW w:w="317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378,580,980.27</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385,163,282.78</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3177"/>
        <w:gridCol w:w="3202"/>
        <w:gridCol w:w="3191"/>
      </w:tblGrid>
      <w:tr>
        <w:trPr>
          <w:trHeight w:val="446" w:hRule="exact"/>
        </w:trPr>
        <w:tc>
          <w:tcPr>
            <w:tcW w:w="317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8" w:space="0" w:color="D9D9D9"/>
              <w:bottom w:val="single" w:sz="6" w:space="0" w:color="000000"/>
              <w:right w:val="single" w:sz="6" w:space="0" w:color="000000"/>
            </w:tcBorders>
            <w:shd w:val="clear" w:color="auto" w:fill="D2D2D2"/>
          </w:tcPr>
          <w:p>
            <w:pPr>
              <w:pStyle w:val="TableParagraph"/>
              <w:spacing w:line="240" w:lineRule="auto" w:before="10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收到的理财产品款项</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2,595,000,000.00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10"/>
              <w:jc w:val="right"/>
              <w:rPr>
                <w:rFonts w:ascii="Times New Roman" w:hAnsi="Times New Roman" w:cs="Times New Roman" w:eastAsia="Times New Roman" w:hint="default"/>
                <w:sz w:val="18"/>
                <w:szCs w:val="18"/>
              </w:rPr>
            </w:pPr>
            <w:r>
              <w:rPr>
                <w:rFonts w:ascii="Times New Roman"/>
                <w:spacing w:val="-1"/>
                <w:sz w:val="18"/>
              </w:rPr>
              <w:t>2,300,000,000.00</w:t>
            </w:r>
          </w:p>
        </w:tc>
      </w:tr>
      <w:tr>
        <w:trPr>
          <w:trHeight w:val="463" w:hRule="exact"/>
        </w:trPr>
        <w:tc>
          <w:tcPr>
            <w:tcW w:w="317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9D9D9"/>
              <w:bottom w:val="single" w:sz="12"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2,595,000,000.00</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2,300,000,000.00</w:t>
            </w:r>
          </w:p>
        </w:tc>
      </w:tr>
    </w:tbl>
    <w:p>
      <w:pPr>
        <w:pStyle w:val="BodyText"/>
        <w:spacing w:line="405" w:lineRule="auto" w:before="66"/>
        <w:ind w:right="140"/>
        <w:jc w:val="left"/>
      </w:pPr>
      <w:r>
        <w:rPr>
          <w:spacing w:val="-2"/>
        </w:rPr>
        <w:t>本公司收到及支付的理财产品款项系利用临时资金结余投资的期限不超过</w:t>
      </w:r>
      <w:r>
        <w:rPr>
          <w:rFonts w:ascii="宋体" w:hAnsi="宋体" w:cs="宋体" w:eastAsia="宋体" w:hint="default"/>
          <w:spacing w:val="-2"/>
        </w:rPr>
        <w:t>3</w:t>
      </w:r>
      <w:r>
        <w:rPr>
          <w:spacing w:val="-2"/>
        </w:rPr>
        <w:t>个月的短期银行理财产品之累</w:t>
      </w:r>
      <w:r>
        <w:rPr>
          <w:spacing w:val="-22"/>
        </w:rPr>
        <w:t> </w:t>
      </w:r>
      <w:r>
        <w:rPr>
          <w:spacing w:val="-22"/>
        </w:rPr>
      </w:r>
      <w:r>
        <w:rPr/>
        <w:t>计投出及累计回收款项。</w:t>
      </w:r>
    </w:p>
    <w:p>
      <w:pPr>
        <w:spacing w:after="0" w:line="405" w:lineRule="auto"/>
        <w:jc w:val="left"/>
        <w:sectPr>
          <w:pgSz w:w="11910" w:h="16840"/>
          <w:pgMar w:header="0" w:footer="1227" w:top="1100" w:bottom="1420" w:left="980" w:right="980"/>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5"/>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3177"/>
        <w:gridCol w:w="3202"/>
        <w:gridCol w:w="3191"/>
      </w:tblGrid>
      <w:tr>
        <w:trPr>
          <w:trHeight w:val="449" w:hRule="exact"/>
        </w:trPr>
        <w:tc>
          <w:tcPr>
            <w:tcW w:w="317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8" w:space="0" w:color="D9D9D9"/>
              <w:bottom w:val="single" w:sz="6" w:space="0" w:color="000000"/>
              <w:right w:val="single" w:sz="6" w:space="0" w:color="000000"/>
            </w:tcBorders>
            <w:shd w:val="clear" w:color="auto" w:fill="D2D2D2"/>
          </w:tcPr>
          <w:p>
            <w:pPr>
              <w:pStyle w:val="TableParagraph"/>
              <w:spacing w:line="240" w:lineRule="auto" w:before="10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支付的理财产品款项</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2,795,000,000.00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2,300,000,000.00</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支付的发行股份购买资产中介机构费用</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2,340,000.00</w:t>
            </w: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支付股权登记费等</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27,593.51</w:t>
            </w: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317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2,797,367,593.51</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2,300,000,000.00</w:t>
            </w:r>
          </w:p>
        </w:tc>
      </w:tr>
    </w:tbl>
    <w:p>
      <w:pPr>
        <w:spacing w:line="240" w:lineRule="auto" w:before="9"/>
        <w:rPr>
          <w:rFonts w:ascii="宋体" w:hAnsi="宋体" w:cs="宋体" w:eastAsia="宋体" w:hint="default"/>
          <w:sz w:val="23"/>
          <w:szCs w:val="23"/>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3177"/>
        <w:gridCol w:w="3202"/>
        <w:gridCol w:w="3191"/>
      </w:tblGrid>
      <w:tr>
        <w:trPr>
          <w:trHeight w:val="446" w:hRule="exact"/>
        </w:trPr>
        <w:tc>
          <w:tcPr>
            <w:tcW w:w="317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8" w:space="0" w:color="D9D9D9"/>
              <w:bottom w:val="single" w:sz="6" w:space="0" w:color="000000"/>
              <w:right w:val="single" w:sz="6" w:space="0" w:color="000000"/>
            </w:tcBorders>
            <w:shd w:val="clear" w:color="auto" w:fill="D2D2D2"/>
          </w:tcPr>
          <w:p>
            <w:pPr>
              <w:pStyle w:val="TableParagraph"/>
              <w:spacing w:line="240" w:lineRule="auto" w:before="10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收到的票据保证金</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57,000.00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40,857,334.72</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收到的反担保保证金押金</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22,400,000.00</w:t>
            </w: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317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22,457,000.00</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40,857,334.72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7"/>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3177"/>
        <w:gridCol w:w="3202"/>
        <w:gridCol w:w="3191"/>
      </w:tblGrid>
      <w:tr>
        <w:trPr>
          <w:trHeight w:val="446" w:hRule="exact"/>
        </w:trPr>
        <w:tc>
          <w:tcPr>
            <w:tcW w:w="317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8" w:space="0" w:color="D9D9D9"/>
              <w:bottom w:val="single" w:sz="6" w:space="0" w:color="000000"/>
              <w:right w:val="single" w:sz="6" w:space="0" w:color="000000"/>
            </w:tcBorders>
            <w:shd w:val="clear" w:color="auto" w:fill="D2D2D2"/>
          </w:tcPr>
          <w:p>
            <w:pPr>
              <w:pStyle w:val="TableParagraph"/>
              <w:spacing w:line="240" w:lineRule="auto" w:before="10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支付的银票担保费</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60"/>
              <w:ind w:right="16"/>
              <w:jc w:val="right"/>
              <w:rPr>
                <w:rFonts w:ascii="Times New Roman" w:hAnsi="Times New Roman" w:cs="Times New Roman" w:eastAsia="Times New Roman" w:hint="default"/>
                <w:sz w:val="18"/>
                <w:szCs w:val="18"/>
              </w:rPr>
            </w:pPr>
            <w:r>
              <w:rPr>
                <w:rFonts w:ascii="Times New Roman"/>
                <w:spacing w:val="-1"/>
                <w:sz w:val="18"/>
              </w:rPr>
              <w:t>22,688.55</w:t>
            </w: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支付的贷款安排费等</w:t>
            </w:r>
          </w:p>
        </w:tc>
        <w:tc>
          <w:tcPr>
            <w:tcW w:w="3202" w:type="dxa"/>
            <w:tcBorders>
              <w:top w:val="single" w:sz="6" w:space="0" w:color="000000"/>
              <w:left w:val="single" w:sz="8" w:space="0" w:color="D9D9D9"/>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536,444.15</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3202"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2,554,716.98</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22,692,924.52</w:t>
            </w:r>
          </w:p>
        </w:tc>
      </w:tr>
      <w:tr>
        <w:trPr>
          <w:trHeight w:val="456" w:hRule="exact"/>
        </w:trPr>
        <w:tc>
          <w:tcPr>
            <w:tcW w:w="317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支付小股东退股款</w:t>
            </w:r>
          </w:p>
        </w:tc>
        <w:tc>
          <w:tcPr>
            <w:tcW w:w="3202" w:type="dxa"/>
            <w:tcBorders>
              <w:top w:val="single" w:sz="6" w:space="0" w:color="000000"/>
              <w:left w:val="single" w:sz="8" w:space="0" w:color="D9D9D9"/>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61" w:hRule="exact"/>
        </w:trPr>
        <w:tc>
          <w:tcPr>
            <w:tcW w:w="317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8" w:space="0" w:color="D9D9D9"/>
              <w:bottom w:val="single" w:sz="12" w:space="0" w:color="000000"/>
              <w:right w:val="single" w:sz="6" w:space="0" w:color="000000"/>
            </w:tcBorders>
          </w:tcPr>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2,577,405.53</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9"/>
              <w:ind w:right="10"/>
              <w:jc w:val="right"/>
              <w:rPr>
                <w:rFonts w:ascii="Times New Roman" w:hAnsi="Times New Roman" w:cs="Times New Roman" w:eastAsia="Times New Roman" w:hint="default"/>
                <w:sz w:val="18"/>
                <w:szCs w:val="18"/>
              </w:rPr>
            </w:pPr>
            <w:r>
              <w:rPr>
                <w:rFonts w:ascii="Times New Roman"/>
                <w:spacing w:val="-1"/>
                <w:sz w:val="18"/>
              </w:rPr>
              <w:t>27,229,368.67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rFonts w:ascii="Times New Roman" w:hAnsi="Times New Roman" w:cs="Times New Roman" w:eastAsia="Times New Roman" w:hint="default"/>
        </w:rPr>
        <w:t>46</w:t>
      </w:r>
      <w:r>
        <w:rPr/>
        <w:t>、现金流量表补充资料</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4520"/>
        <w:gridCol w:w="2525"/>
        <w:gridCol w:w="2518"/>
      </w:tblGrid>
      <w:tr>
        <w:trPr>
          <w:trHeight w:val="462" w:hRule="exact"/>
        </w:trPr>
        <w:tc>
          <w:tcPr>
            <w:tcW w:w="452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5"/>
              <w:ind w:right="3"/>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1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54"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8"/>
              <w:ind w:left="9" w:right="0"/>
              <w:jc w:val="center"/>
              <w:rPr>
                <w:rFonts w:ascii="Times New Roman" w:hAnsi="Times New Roman" w:cs="Times New Roman" w:eastAsia="Times New Roman" w:hint="default"/>
                <w:sz w:val="18"/>
                <w:szCs w:val="18"/>
              </w:rPr>
            </w:pPr>
            <w:r>
              <w:rPr>
                <w:rFonts w:ascii="Times New Roman"/>
                <w:sz w:val="18"/>
              </w:rPr>
              <w:t>--</w:t>
            </w:r>
          </w:p>
        </w:tc>
        <w:tc>
          <w:tcPr>
            <w:tcW w:w="251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58"/>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56"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287,124,636.69</w:t>
            </w:r>
          </w:p>
        </w:tc>
        <w:tc>
          <w:tcPr>
            <w:tcW w:w="25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242,304,595.76</w:t>
            </w:r>
          </w:p>
        </w:tc>
      </w:tr>
      <w:tr>
        <w:trPr>
          <w:trHeight w:val="455"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2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4,758,400.30</w:t>
            </w:r>
          </w:p>
        </w:tc>
        <w:tc>
          <w:tcPr>
            <w:tcW w:w="25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138,739,534.73</w:t>
            </w:r>
          </w:p>
        </w:tc>
      </w:tr>
      <w:tr>
        <w:trPr>
          <w:trHeight w:val="455"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2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45,903,917.03</w:t>
            </w:r>
          </w:p>
        </w:tc>
        <w:tc>
          <w:tcPr>
            <w:tcW w:w="25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50,127,718.08</w:t>
            </w:r>
          </w:p>
        </w:tc>
      </w:tr>
      <w:tr>
        <w:trPr>
          <w:trHeight w:val="455"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2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3,855,131.88</w:t>
            </w:r>
          </w:p>
        </w:tc>
        <w:tc>
          <w:tcPr>
            <w:tcW w:w="25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2,930,348.35</w:t>
            </w:r>
          </w:p>
        </w:tc>
      </w:tr>
      <w:tr>
        <w:trPr>
          <w:trHeight w:val="455"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7"/>
              <w:ind w:left="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2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2,602,773.90</w:t>
            </w:r>
          </w:p>
        </w:tc>
        <w:tc>
          <w:tcPr>
            <w:tcW w:w="25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10"/>
              <w:jc w:val="right"/>
              <w:rPr>
                <w:rFonts w:ascii="Times New Roman" w:hAnsi="Times New Roman" w:cs="Times New Roman" w:eastAsia="Times New Roman" w:hint="default"/>
                <w:sz w:val="18"/>
                <w:szCs w:val="18"/>
              </w:rPr>
            </w:pPr>
            <w:r>
              <w:rPr>
                <w:rFonts w:ascii="Times New Roman"/>
                <w:spacing w:val="-1"/>
                <w:sz w:val="18"/>
              </w:rPr>
              <w:t>1,800,768.27</w:t>
            </w:r>
          </w:p>
        </w:tc>
      </w:tr>
      <w:tr>
        <w:trPr>
          <w:trHeight w:val="816"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p>
          <w:p>
            <w:pPr>
              <w:pStyle w:val="TableParagraph"/>
              <w:spacing w:line="240" w:lineRule="auto" w:before="12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456,221.41</w:t>
            </w:r>
          </w:p>
        </w:tc>
        <w:tc>
          <w:tcPr>
            <w:tcW w:w="25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943,872.49</w:t>
            </w:r>
          </w:p>
        </w:tc>
      </w:tr>
      <w:tr>
        <w:trPr>
          <w:trHeight w:val="454"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5" w:type="dxa"/>
            <w:tcBorders>
              <w:top w:val="single" w:sz="6" w:space="0" w:color="000000"/>
              <w:left w:val="single" w:sz="9" w:space="0" w:color="D2D2D2"/>
              <w:bottom w:val="single" w:sz="6" w:space="0" w:color="000000"/>
              <w:right w:val="single" w:sz="6" w:space="0" w:color="000000"/>
            </w:tcBorders>
          </w:tcPr>
          <w:p>
            <w:pPr/>
          </w:p>
        </w:tc>
        <w:tc>
          <w:tcPr>
            <w:tcW w:w="251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5" w:type="dxa"/>
            <w:tcBorders>
              <w:top w:val="single" w:sz="6" w:space="0" w:color="000000"/>
              <w:left w:val="single" w:sz="9" w:space="0" w:color="D2D2D2"/>
              <w:bottom w:val="single" w:sz="6" w:space="0" w:color="000000"/>
              <w:right w:val="single" w:sz="6" w:space="0" w:color="000000"/>
            </w:tcBorders>
          </w:tcPr>
          <w:p>
            <w:pPr/>
          </w:p>
        </w:tc>
        <w:tc>
          <w:tcPr>
            <w:tcW w:w="2518"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32,525,472.57</w:t>
            </w:r>
          </w:p>
        </w:tc>
        <w:tc>
          <w:tcPr>
            <w:tcW w:w="25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25,550,706.38</w:t>
            </w:r>
          </w:p>
        </w:tc>
      </w:tr>
      <w:tr>
        <w:trPr>
          <w:trHeight w:val="455"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-35,761,040.55</w:t>
            </w:r>
          </w:p>
        </w:tc>
        <w:tc>
          <w:tcPr>
            <w:tcW w:w="25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-33,132,804.69</w:t>
            </w:r>
          </w:p>
        </w:tc>
      </w:tr>
      <w:tr>
        <w:trPr>
          <w:trHeight w:val="456"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-6,826,946.34</w:t>
            </w:r>
          </w:p>
        </w:tc>
        <w:tc>
          <w:tcPr>
            <w:tcW w:w="25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-23,497,899.89</w:t>
            </w:r>
          </w:p>
        </w:tc>
      </w:tr>
      <w:tr>
        <w:trPr>
          <w:trHeight w:val="454"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2,286,250.00</w:t>
            </w:r>
          </w:p>
        </w:tc>
        <w:tc>
          <w:tcPr>
            <w:tcW w:w="251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118,964,868.19</w:t>
            </w:r>
          </w:p>
        </w:tc>
        <w:tc>
          <w:tcPr>
            <w:tcW w:w="25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184,408,122.15</w:t>
            </w:r>
          </w:p>
        </w:tc>
      </w:tr>
      <w:tr>
        <w:trPr>
          <w:trHeight w:val="455"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504,765,147.53</w:t>
            </w:r>
          </w:p>
        </w:tc>
        <w:tc>
          <w:tcPr>
            <w:tcW w:w="25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-207,132,321.17</w:t>
            </w:r>
          </w:p>
        </w:tc>
      </w:tr>
      <w:tr>
        <w:trPr>
          <w:trHeight w:val="455"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7"/>
              <w:ind w:left="7"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9"/>
              <w:ind w:right="18"/>
              <w:jc w:val="right"/>
              <w:rPr>
                <w:rFonts w:ascii="Times New Roman" w:hAnsi="Times New Roman" w:cs="Times New Roman" w:eastAsia="Times New Roman" w:hint="default"/>
                <w:sz w:val="18"/>
                <w:szCs w:val="18"/>
              </w:rPr>
            </w:pPr>
            <w:r>
              <w:rPr>
                <w:rFonts w:ascii="Times New Roman"/>
                <w:spacing w:val="-1"/>
                <w:sz w:val="18"/>
              </w:rPr>
              <w:t>-457,521,289.96</w:t>
            </w:r>
          </w:p>
        </w:tc>
        <w:tc>
          <w:tcPr>
            <w:tcW w:w="25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10"/>
              <w:jc w:val="right"/>
              <w:rPr>
                <w:rFonts w:ascii="Times New Roman" w:hAnsi="Times New Roman" w:cs="Times New Roman" w:eastAsia="Times New Roman" w:hint="default"/>
                <w:sz w:val="18"/>
                <w:szCs w:val="18"/>
              </w:rPr>
            </w:pPr>
            <w:r>
              <w:rPr>
                <w:rFonts w:ascii="Times New Roman"/>
                <w:spacing w:val="-1"/>
                <w:sz w:val="18"/>
              </w:rPr>
              <w:t>-221,953,052.25</w:t>
            </w:r>
          </w:p>
        </w:tc>
      </w:tr>
      <w:tr>
        <w:trPr>
          <w:trHeight w:val="455"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5" w:type="dxa"/>
            <w:tcBorders>
              <w:top w:val="single" w:sz="6" w:space="0" w:color="000000"/>
              <w:left w:val="single" w:sz="9" w:space="0" w:color="D2D2D2"/>
              <w:bottom w:val="single" w:sz="6" w:space="0" w:color="000000"/>
              <w:right w:val="single" w:sz="6" w:space="0" w:color="000000"/>
            </w:tcBorders>
          </w:tcPr>
          <w:p>
            <w:pPr/>
          </w:p>
        </w:tc>
        <w:tc>
          <w:tcPr>
            <w:tcW w:w="2518"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7"/>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503,133,542.65</w:t>
            </w:r>
          </w:p>
        </w:tc>
        <w:tc>
          <w:tcPr>
            <w:tcW w:w="25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10"/>
              <w:jc w:val="right"/>
              <w:rPr>
                <w:rFonts w:ascii="Times New Roman" w:hAnsi="Times New Roman" w:cs="Times New Roman" w:eastAsia="Times New Roman" w:hint="default"/>
                <w:sz w:val="18"/>
                <w:szCs w:val="18"/>
              </w:rPr>
            </w:pPr>
            <w:r>
              <w:rPr>
                <w:rFonts w:ascii="Times New Roman"/>
                <w:spacing w:val="-1"/>
                <w:sz w:val="18"/>
              </w:rPr>
              <w:t>161,089,588.21</w:t>
            </w:r>
          </w:p>
        </w:tc>
      </w:tr>
      <w:tr>
        <w:trPr>
          <w:trHeight w:val="457"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9"/>
              <w:ind w:left="9" w:right="0"/>
              <w:jc w:val="center"/>
              <w:rPr>
                <w:rFonts w:ascii="Times New Roman" w:hAnsi="Times New Roman" w:cs="Times New Roman" w:eastAsia="Times New Roman" w:hint="default"/>
                <w:sz w:val="18"/>
                <w:szCs w:val="18"/>
              </w:rPr>
            </w:pPr>
            <w:r>
              <w:rPr>
                <w:rFonts w:ascii="Times New Roman"/>
                <w:sz w:val="18"/>
              </w:rPr>
              <w:t>--</w:t>
            </w:r>
          </w:p>
        </w:tc>
        <w:tc>
          <w:tcPr>
            <w:tcW w:w="251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59"/>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54"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25" w:type="dxa"/>
            <w:tcBorders>
              <w:top w:val="single" w:sz="6" w:space="0" w:color="000000"/>
              <w:left w:val="single" w:sz="9" w:space="0" w:color="D2D2D2"/>
              <w:bottom w:val="single" w:sz="6" w:space="0" w:color="000000"/>
              <w:right w:val="single" w:sz="6" w:space="0" w:color="000000"/>
            </w:tcBorders>
          </w:tcPr>
          <w:p>
            <w:pPr/>
          </w:p>
        </w:tc>
        <w:tc>
          <w:tcPr>
            <w:tcW w:w="251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25" w:type="dxa"/>
            <w:tcBorders>
              <w:top w:val="single" w:sz="6" w:space="0" w:color="000000"/>
              <w:left w:val="single" w:sz="9" w:space="0" w:color="D2D2D2"/>
              <w:bottom w:val="single" w:sz="6" w:space="0" w:color="000000"/>
              <w:right w:val="single" w:sz="6" w:space="0" w:color="000000"/>
            </w:tcBorders>
          </w:tcPr>
          <w:p>
            <w:pPr/>
          </w:p>
        </w:tc>
        <w:tc>
          <w:tcPr>
            <w:tcW w:w="2518"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25" w:type="dxa"/>
            <w:tcBorders>
              <w:top w:val="single" w:sz="6" w:space="0" w:color="000000"/>
              <w:left w:val="single" w:sz="9" w:space="0" w:color="D2D2D2"/>
              <w:bottom w:val="single" w:sz="6" w:space="0" w:color="000000"/>
              <w:right w:val="single" w:sz="6" w:space="0" w:color="000000"/>
            </w:tcBorders>
          </w:tcPr>
          <w:p>
            <w:pPr/>
          </w:p>
        </w:tc>
        <w:tc>
          <w:tcPr>
            <w:tcW w:w="2518"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45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9"/>
              <w:ind w:left="9" w:right="0"/>
              <w:jc w:val="center"/>
              <w:rPr>
                <w:rFonts w:ascii="Times New Roman" w:hAnsi="Times New Roman" w:cs="Times New Roman" w:eastAsia="Times New Roman" w:hint="default"/>
                <w:sz w:val="18"/>
                <w:szCs w:val="18"/>
              </w:rPr>
            </w:pPr>
            <w:r>
              <w:rPr>
                <w:rFonts w:ascii="Times New Roman"/>
                <w:sz w:val="18"/>
              </w:rPr>
              <w:t>--</w:t>
            </w:r>
          </w:p>
        </w:tc>
        <w:tc>
          <w:tcPr>
            <w:tcW w:w="251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59"/>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61" w:hRule="exact"/>
        </w:trPr>
        <w:tc>
          <w:tcPr>
            <w:tcW w:w="452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5"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pacing w:val="-1"/>
                <w:sz w:val="18"/>
              </w:rPr>
              <w:t>1,700,793,859.88</w:t>
            </w:r>
          </w:p>
        </w:tc>
        <w:tc>
          <w:tcPr>
            <w:tcW w:w="25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1,532,414,749.33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9"/>
        <w:rPr>
          <w:rFonts w:ascii="宋体" w:hAnsi="宋体" w:cs="宋体" w:eastAsia="宋体" w:hint="default"/>
          <w:sz w:val="24"/>
          <w:szCs w:val="24"/>
        </w:rPr>
      </w:pPr>
    </w:p>
    <w:tbl>
      <w:tblPr>
        <w:tblW w:w="0" w:type="auto"/>
        <w:jc w:val="left"/>
        <w:tblInd w:w="140" w:type="dxa"/>
        <w:tblLayout w:type="fixed"/>
        <w:tblCellMar>
          <w:top w:w="0" w:type="dxa"/>
          <w:left w:w="0" w:type="dxa"/>
          <w:bottom w:w="0" w:type="dxa"/>
          <w:right w:w="0" w:type="dxa"/>
        </w:tblCellMar>
        <w:tblLook w:val="01E0"/>
      </w:tblPr>
      <w:tblGrid>
        <w:gridCol w:w="4536"/>
        <w:gridCol w:w="2516"/>
        <w:gridCol w:w="2518"/>
      </w:tblGrid>
      <w:tr>
        <w:trPr>
          <w:trHeight w:val="462" w:hRule="exact"/>
        </w:trPr>
        <w:tc>
          <w:tcPr>
            <w:tcW w:w="453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7"/>
              <w:ind w:left="1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0"/>
              <w:ind w:right="18"/>
              <w:jc w:val="right"/>
              <w:rPr>
                <w:rFonts w:ascii="Times New Roman" w:hAnsi="Times New Roman" w:cs="Times New Roman" w:eastAsia="Times New Roman" w:hint="default"/>
                <w:sz w:val="18"/>
                <w:szCs w:val="18"/>
              </w:rPr>
            </w:pPr>
            <w:r>
              <w:rPr>
                <w:rFonts w:ascii="Times New Roman"/>
                <w:spacing w:val="-1"/>
                <w:sz w:val="18"/>
              </w:rPr>
              <w:t>1,532,414,749.33</w:t>
            </w:r>
          </w:p>
        </w:tc>
        <w:tc>
          <w:tcPr>
            <w:tcW w:w="251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1,026,727,034.77</w:t>
            </w:r>
          </w:p>
        </w:tc>
      </w:tr>
      <w:tr>
        <w:trPr>
          <w:trHeight w:val="455" w:hRule="exact"/>
        </w:trPr>
        <w:tc>
          <w:tcPr>
            <w:tcW w:w="453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16" w:type="dxa"/>
            <w:tcBorders>
              <w:top w:val="single" w:sz="6" w:space="0" w:color="000000"/>
              <w:left w:val="single" w:sz="6" w:space="0" w:color="000000"/>
              <w:bottom w:val="single" w:sz="6" w:space="0" w:color="000000"/>
              <w:right w:val="single" w:sz="6" w:space="0" w:color="000000"/>
            </w:tcBorders>
          </w:tcPr>
          <w:p>
            <w:pPr/>
          </w:p>
        </w:tc>
        <w:tc>
          <w:tcPr>
            <w:tcW w:w="2518"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453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7"/>
              <w:ind w:left="1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16" w:type="dxa"/>
            <w:tcBorders>
              <w:top w:val="single" w:sz="6" w:space="0" w:color="000000"/>
              <w:left w:val="single" w:sz="6" w:space="0" w:color="000000"/>
              <w:bottom w:val="single" w:sz="6" w:space="0" w:color="000000"/>
              <w:right w:val="single" w:sz="6" w:space="0" w:color="000000"/>
            </w:tcBorders>
          </w:tcPr>
          <w:p>
            <w:pPr/>
          </w:p>
        </w:tc>
        <w:tc>
          <w:tcPr>
            <w:tcW w:w="2518"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453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168,379,110.55</w:t>
            </w:r>
          </w:p>
        </w:tc>
        <w:tc>
          <w:tcPr>
            <w:tcW w:w="25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505,687,714.56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4971"/>
        <w:gridCol w:w="4592"/>
      </w:tblGrid>
      <w:tr>
        <w:trPr>
          <w:trHeight w:val="462" w:hRule="exact"/>
        </w:trPr>
        <w:tc>
          <w:tcPr>
            <w:tcW w:w="4971"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459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5"/>
              <w:ind w:left="19"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54" w:hRule="exact"/>
        </w:trPr>
        <w:tc>
          <w:tcPr>
            <w:tcW w:w="4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171,726,034.00</w:t>
            </w:r>
          </w:p>
        </w:tc>
      </w:tr>
      <w:tr>
        <w:trPr>
          <w:trHeight w:val="456" w:hRule="exact"/>
        </w:trPr>
        <w:tc>
          <w:tcPr>
            <w:tcW w:w="4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58"/>
              <w:ind w:left="19" w:right="0"/>
              <w:jc w:val="center"/>
              <w:rPr>
                <w:rFonts w:ascii="Times New Roman" w:hAnsi="Times New Roman" w:cs="Times New Roman" w:eastAsia="Times New Roman" w:hint="default"/>
                <w:sz w:val="18"/>
                <w:szCs w:val="18"/>
              </w:rPr>
            </w:pPr>
            <w:r>
              <w:rPr>
                <w:rFonts w:ascii="Times New Roman"/>
                <w:sz w:val="18"/>
              </w:rPr>
              <w:t>--</w:t>
            </w:r>
          </w:p>
        </w:tc>
      </w:tr>
      <w:tr>
        <w:trPr>
          <w:trHeight w:val="455" w:hRule="exact"/>
        </w:trPr>
        <w:tc>
          <w:tcPr>
            <w:tcW w:w="4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2"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5,493,116.45</w:t>
            </w:r>
          </w:p>
        </w:tc>
      </w:tr>
      <w:tr>
        <w:trPr>
          <w:trHeight w:val="455" w:hRule="exact"/>
        </w:trPr>
        <w:tc>
          <w:tcPr>
            <w:tcW w:w="4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7"/>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59"/>
              <w:ind w:left="19" w:right="0"/>
              <w:jc w:val="center"/>
              <w:rPr>
                <w:rFonts w:ascii="Times New Roman" w:hAnsi="Times New Roman" w:cs="Times New Roman" w:eastAsia="Times New Roman" w:hint="default"/>
                <w:sz w:val="18"/>
                <w:szCs w:val="18"/>
              </w:rPr>
            </w:pPr>
            <w:r>
              <w:rPr>
                <w:rFonts w:ascii="Times New Roman"/>
                <w:sz w:val="18"/>
              </w:rPr>
              <w:t>--</w:t>
            </w:r>
          </w:p>
        </w:tc>
      </w:tr>
      <w:tr>
        <w:trPr>
          <w:trHeight w:val="456" w:hRule="exact"/>
        </w:trPr>
        <w:tc>
          <w:tcPr>
            <w:tcW w:w="4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92"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158"/>
              <w:ind w:right="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54" w:hRule="exact"/>
        </w:trPr>
        <w:tc>
          <w:tcPr>
            <w:tcW w:w="4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58"/>
              <w:ind w:left="19" w:right="0"/>
              <w:jc w:val="center"/>
              <w:rPr>
                <w:rFonts w:ascii="Times New Roman" w:hAnsi="Times New Roman" w:cs="Times New Roman" w:eastAsia="Times New Roman" w:hint="default"/>
                <w:sz w:val="18"/>
                <w:szCs w:val="18"/>
              </w:rPr>
            </w:pPr>
            <w:r>
              <w:rPr>
                <w:rFonts w:ascii="Times New Roman"/>
                <w:sz w:val="18"/>
              </w:rPr>
              <w:t>--</w:t>
            </w:r>
          </w:p>
        </w:tc>
      </w:tr>
      <w:tr>
        <w:trPr>
          <w:trHeight w:val="461" w:hRule="exact"/>
        </w:trPr>
        <w:tc>
          <w:tcPr>
            <w:tcW w:w="49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6" w:space="0" w:color="000000"/>
              <w:left w:val="single" w:sz="9" w:space="0" w:color="D2D2D2"/>
              <w:bottom w:val="single" w:sz="12"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166,232,917.55</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3316"/>
        <w:gridCol w:w="3068"/>
        <w:gridCol w:w="3186"/>
      </w:tblGrid>
      <w:tr>
        <w:trPr>
          <w:trHeight w:val="462" w:hRule="exact"/>
        </w:trPr>
        <w:tc>
          <w:tcPr>
            <w:tcW w:w="331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5"/>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54" w:hRule="exact"/>
        </w:trPr>
        <w:tc>
          <w:tcPr>
            <w:tcW w:w="33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1,700,793,859.88</w:t>
            </w:r>
          </w:p>
        </w:tc>
        <w:tc>
          <w:tcPr>
            <w:tcW w:w="31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3"/>
              <w:jc w:val="right"/>
              <w:rPr>
                <w:rFonts w:ascii="Times New Roman" w:hAnsi="Times New Roman" w:cs="Times New Roman" w:eastAsia="Times New Roman" w:hint="default"/>
                <w:sz w:val="18"/>
                <w:szCs w:val="18"/>
              </w:rPr>
            </w:pPr>
            <w:r>
              <w:rPr>
                <w:rFonts w:ascii="Times New Roman"/>
                <w:spacing w:val="-1"/>
                <w:sz w:val="18"/>
              </w:rPr>
              <w:t>1,532,414,749.33</w:t>
            </w:r>
          </w:p>
        </w:tc>
      </w:tr>
      <w:tr>
        <w:trPr>
          <w:trHeight w:val="456" w:hRule="exact"/>
        </w:trPr>
        <w:tc>
          <w:tcPr>
            <w:tcW w:w="33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18,255.22</w:t>
            </w:r>
          </w:p>
        </w:tc>
        <w:tc>
          <w:tcPr>
            <w:tcW w:w="31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2"/>
              <w:jc w:val="right"/>
              <w:rPr>
                <w:rFonts w:ascii="Times New Roman" w:hAnsi="Times New Roman" w:cs="Times New Roman" w:eastAsia="Times New Roman" w:hint="default"/>
                <w:sz w:val="18"/>
                <w:szCs w:val="18"/>
              </w:rPr>
            </w:pPr>
            <w:r>
              <w:rPr>
                <w:rFonts w:ascii="Times New Roman"/>
                <w:spacing w:val="-1"/>
                <w:sz w:val="18"/>
              </w:rPr>
              <w:t>49,734.74</w:t>
            </w:r>
          </w:p>
        </w:tc>
      </w:tr>
      <w:tr>
        <w:trPr>
          <w:trHeight w:val="454" w:hRule="exact"/>
        </w:trPr>
        <w:tc>
          <w:tcPr>
            <w:tcW w:w="33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55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1,700,775,604.66</w:t>
            </w:r>
          </w:p>
        </w:tc>
        <w:tc>
          <w:tcPr>
            <w:tcW w:w="31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3"/>
              <w:jc w:val="right"/>
              <w:rPr>
                <w:rFonts w:ascii="Times New Roman" w:hAnsi="Times New Roman" w:cs="Times New Roman" w:eastAsia="Times New Roman" w:hint="default"/>
                <w:sz w:val="18"/>
                <w:szCs w:val="18"/>
              </w:rPr>
            </w:pPr>
            <w:r>
              <w:rPr>
                <w:rFonts w:ascii="Times New Roman"/>
                <w:spacing w:val="-1"/>
                <w:sz w:val="18"/>
              </w:rPr>
              <w:t>1,532,365,014.59</w:t>
            </w:r>
          </w:p>
        </w:tc>
      </w:tr>
      <w:tr>
        <w:trPr>
          <w:trHeight w:val="457" w:hRule="exact"/>
        </w:trPr>
        <w:tc>
          <w:tcPr>
            <w:tcW w:w="33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right="219"/>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8" w:type="dxa"/>
            <w:tcBorders>
              <w:top w:val="single" w:sz="6" w:space="0" w:color="000000"/>
              <w:left w:val="single" w:sz="9"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3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right="219"/>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3068" w:type="dxa"/>
            <w:tcBorders>
              <w:top w:val="single" w:sz="6" w:space="0" w:color="000000"/>
              <w:left w:val="single" w:sz="9"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33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553"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068" w:type="dxa"/>
            <w:tcBorders>
              <w:top w:val="single" w:sz="6" w:space="0" w:color="000000"/>
              <w:left w:val="single" w:sz="9"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3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553"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068" w:type="dxa"/>
            <w:tcBorders>
              <w:top w:val="single" w:sz="6" w:space="0" w:color="000000"/>
              <w:left w:val="single" w:sz="9"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33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8" w:type="dxa"/>
            <w:tcBorders>
              <w:top w:val="single" w:sz="6" w:space="0" w:color="000000"/>
              <w:left w:val="single" w:sz="9"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331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68" w:type="dxa"/>
            <w:tcBorders>
              <w:top w:val="single" w:sz="6" w:space="0" w:color="000000"/>
              <w:left w:val="single" w:sz="9" w:space="0" w:color="D2D2D2"/>
              <w:bottom w:val="single" w:sz="12" w:space="0" w:color="000000"/>
              <w:right w:val="single" w:sz="6" w:space="0" w:color="000000"/>
            </w:tcBorders>
          </w:tcPr>
          <w:p>
            <w:pPr/>
          </w:p>
        </w:tc>
        <w:tc>
          <w:tcPr>
            <w:tcW w:w="3186"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0"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0" w:type="dxa"/>
        <w:tblLayout w:type="fixed"/>
        <w:tblCellMar>
          <w:top w:w="0" w:type="dxa"/>
          <w:left w:w="0" w:type="dxa"/>
          <w:bottom w:w="0" w:type="dxa"/>
          <w:right w:w="0" w:type="dxa"/>
        </w:tblCellMar>
        <w:tblLook w:val="01E0"/>
      </w:tblPr>
      <w:tblGrid>
        <w:gridCol w:w="3316"/>
        <w:gridCol w:w="3068"/>
        <w:gridCol w:w="3186"/>
      </w:tblGrid>
      <w:tr>
        <w:trPr>
          <w:trHeight w:val="464" w:hRule="exact"/>
        </w:trPr>
        <w:tc>
          <w:tcPr>
            <w:tcW w:w="331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left="1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12" w:space="0" w:color="000000"/>
              <w:left w:val="single" w:sz="9" w:space="0" w:color="D2D2D2"/>
              <w:bottom w:val="single" w:sz="6" w:space="0" w:color="000000"/>
              <w:right w:val="single" w:sz="6" w:space="0" w:color="000000"/>
            </w:tcBorders>
          </w:tcPr>
          <w:p>
            <w:pPr>
              <w:pStyle w:val="TableParagraph"/>
              <w:spacing w:line="240" w:lineRule="auto" w:before="161"/>
              <w:ind w:left="1768" w:right="0"/>
              <w:jc w:val="left"/>
              <w:rPr>
                <w:rFonts w:ascii="Times New Roman" w:hAnsi="Times New Roman" w:cs="Times New Roman" w:eastAsia="Times New Roman" w:hint="default"/>
                <w:sz w:val="18"/>
                <w:szCs w:val="18"/>
              </w:rPr>
            </w:pPr>
            <w:r>
              <w:rPr>
                <w:rFonts w:ascii="Times New Roman"/>
                <w:sz w:val="18"/>
              </w:rPr>
              <w:t>1,700,793,859.88</w:t>
            </w:r>
          </w:p>
        </w:tc>
        <w:tc>
          <w:tcPr>
            <w:tcW w:w="318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61"/>
              <w:ind w:left="1889" w:right="0"/>
              <w:jc w:val="left"/>
              <w:rPr>
                <w:rFonts w:ascii="Times New Roman" w:hAnsi="Times New Roman" w:cs="Times New Roman" w:eastAsia="Times New Roman" w:hint="default"/>
                <w:sz w:val="18"/>
                <w:szCs w:val="18"/>
              </w:rPr>
            </w:pPr>
            <w:r>
              <w:rPr>
                <w:rFonts w:ascii="Times New Roman"/>
                <w:sz w:val="18"/>
              </w:rPr>
              <w:t>1,532,414,749.33</w:t>
            </w:r>
          </w:p>
        </w:tc>
      </w:tr>
      <w:tr>
        <w:trPr>
          <w:trHeight w:val="821" w:hRule="exact"/>
        </w:trPr>
        <w:tc>
          <w:tcPr>
            <w:tcW w:w="331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67" w:lineRule="auto" w:before="116"/>
              <w:ind w:left="13" w:right="39"/>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8" w:type="dxa"/>
            <w:tcBorders>
              <w:top w:val="single" w:sz="6" w:space="0" w:color="000000"/>
              <w:left w:val="single" w:sz="9" w:space="0" w:color="D2D2D2"/>
              <w:bottom w:val="single" w:sz="12" w:space="0" w:color="000000"/>
              <w:right w:val="single" w:sz="6" w:space="0" w:color="000000"/>
            </w:tcBorders>
          </w:tcPr>
          <w:p>
            <w:pPr/>
          </w:p>
        </w:tc>
        <w:tc>
          <w:tcPr>
            <w:tcW w:w="318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before="36"/>
        <w:ind w:right="140"/>
        <w:jc w:val="left"/>
        <w:rPr>
          <w:b w:val="0"/>
          <w:bCs w:val="0"/>
        </w:rPr>
      </w:pPr>
      <w:r>
        <w:rPr>
          <w:rFonts w:ascii="Times New Roman" w:hAnsi="Times New Roman" w:cs="Times New Roman" w:eastAsia="Times New Roman" w:hint="default"/>
        </w:rPr>
        <w:t>47</w:t>
      </w:r>
      <w:r>
        <w:rPr/>
        <w:t>、所有权或使用权受到限制的资产</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3316"/>
        <w:gridCol w:w="2624"/>
        <w:gridCol w:w="3630"/>
      </w:tblGrid>
      <w:tr>
        <w:trPr>
          <w:trHeight w:val="460" w:hRule="exact"/>
        </w:trPr>
        <w:tc>
          <w:tcPr>
            <w:tcW w:w="331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2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76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63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5"/>
              <w:ind w:left="7"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56" w:hRule="exact"/>
        </w:trPr>
        <w:tc>
          <w:tcPr>
            <w:tcW w:w="33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2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1,578,917.03</w:t>
            </w:r>
          </w:p>
        </w:tc>
        <w:tc>
          <w:tcPr>
            <w:tcW w:w="36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8"/>
              <w:ind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法院保证金和履约保证金，详见本附注七、</w:t>
            </w:r>
            <w:r>
              <w:rPr>
                <w:rFonts w:ascii="Times New Roman" w:hAnsi="Times New Roman" w:cs="Times New Roman" w:eastAsia="Times New Roman" w:hint="default"/>
                <w:sz w:val="18"/>
                <w:szCs w:val="18"/>
              </w:rPr>
              <w:t>1</w:t>
            </w:r>
          </w:p>
        </w:tc>
      </w:tr>
      <w:tr>
        <w:trPr>
          <w:trHeight w:val="456" w:hRule="exact"/>
        </w:trPr>
        <w:tc>
          <w:tcPr>
            <w:tcW w:w="33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624" w:type="dxa"/>
            <w:tcBorders>
              <w:top w:val="single" w:sz="6" w:space="0" w:color="000000"/>
              <w:left w:val="single" w:sz="9" w:space="0" w:color="D2D2D2"/>
              <w:bottom w:val="single" w:sz="6" w:space="0" w:color="000000"/>
              <w:right w:val="single" w:sz="6" w:space="0" w:color="000000"/>
            </w:tcBorders>
          </w:tcPr>
          <w:p>
            <w:pPr/>
          </w:p>
        </w:tc>
        <w:tc>
          <w:tcPr>
            <w:tcW w:w="3630"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33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624" w:type="dxa"/>
            <w:tcBorders>
              <w:top w:val="single" w:sz="6" w:space="0" w:color="000000"/>
              <w:left w:val="single" w:sz="9" w:space="0" w:color="D2D2D2"/>
              <w:bottom w:val="single" w:sz="6" w:space="0" w:color="000000"/>
              <w:right w:val="single" w:sz="6" w:space="0" w:color="000000"/>
            </w:tcBorders>
          </w:tcPr>
          <w:p>
            <w:pPr/>
          </w:p>
        </w:tc>
        <w:tc>
          <w:tcPr>
            <w:tcW w:w="3630"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3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624" w:type="dxa"/>
            <w:tcBorders>
              <w:top w:val="single" w:sz="6" w:space="0" w:color="000000"/>
              <w:left w:val="single" w:sz="9" w:space="0" w:color="D2D2D2"/>
              <w:bottom w:val="single" w:sz="6" w:space="0" w:color="000000"/>
              <w:right w:val="single" w:sz="6" w:space="0" w:color="000000"/>
            </w:tcBorders>
          </w:tcPr>
          <w:p>
            <w:pPr/>
          </w:p>
        </w:tc>
        <w:tc>
          <w:tcPr>
            <w:tcW w:w="3630"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33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624" w:type="dxa"/>
            <w:tcBorders>
              <w:top w:val="single" w:sz="6" w:space="0" w:color="000000"/>
              <w:left w:val="single" w:sz="9" w:space="0" w:color="D2D2D2"/>
              <w:bottom w:val="single" w:sz="6" w:space="0" w:color="000000"/>
              <w:right w:val="single" w:sz="6" w:space="0" w:color="000000"/>
            </w:tcBorders>
          </w:tcPr>
          <w:p>
            <w:pPr/>
          </w:p>
        </w:tc>
        <w:tc>
          <w:tcPr>
            <w:tcW w:w="3630"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331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2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1,578,917.03</w:t>
            </w:r>
          </w:p>
        </w:tc>
        <w:tc>
          <w:tcPr>
            <w:tcW w:w="363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0"/>
              <w:ind w:left="7"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48</w:t>
      </w:r>
      <w:r>
        <w:rPr/>
        <w:t>、外币货币性项目</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2484"/>
        <w:gridCol w:w="2303"/>
        <w:gridCol w:w="2391"/>
        <w:gridCol w:w="2391"/>
      </w:tblGrid>
      <w:tr>
        <w:trPr>
          <w:trHeight w:val="462" w:hRule="exact"/>
        </w:trPr>
        <w:tc>
          <w:tcPr>
            <w:tcW w:w="248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3" w:type="dxa"/>
            <w:tcBorders>
              <w:top w:val="single" w:sz="12" w:space="0" w:color="000000"/>
              <w:left w:val="single" w:sz="9" w:space="0" w:color="D9D9D9"/>
              <w:bottom w:val="single" w:sz="6" w:space="0" w:color="000000"/>
              <w:right w:val="single" w:sz="6" w:space="0" w:color="000000"/>
            </w:tcBorders>
            <w:shd w:val="clear" w:color="auto" w:fill="D2D2D2"/>
          </w:tcPr>
          <w:p>
            <w:pPr>
              <w:pStyle w:val="TableParagraph"/>
              <w:spacing w:line="240" w:lineRule="auto" w:before="117"/>
              <w:ind w:left="607"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7"/>
              <w:ind w:left="376"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56"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3"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8"/>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3"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13,278,467.14</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6.20000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82,326,496.27</w:t>
            </w:r>
          </w:p>
        </w:tc>
      </w:tr>
      <w:tr>
        <w:trPr>
          <w:trHeight w:val="456"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55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3" w:type="dxa"/>
            <w:tcBorders>
              <w:top w:val="single" w:sz="6" w:space="0" w:color="000000"/>
              <w:left w:val="single" w:sz="9" w:space="0" w:color="D9D9D9"/>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55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3"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2,965,682.05</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0.80000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2,372,545.64</w:t>
            </w:r>
          </w:p>
        </w:tc>
      </w:tr>
      <w:tr>
        <w:trPr>
          <w:trHeight w:val="456"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03"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176,958.00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0.05803</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2"/>
              <w:jc w:val="right"/>
              <w:rPr>
                <w:rFonts w:ascii="Times New Roman" w:hAnsi="Times New Roman" w:cs="Times New Roman" w:eastAsia="Times New Roman" w:hint="default"/>
                <w:sz w:val="18"/>
                <w:szCs w:val="18"/>
              </w:rPr>
            </w:pPr>
            <w:r>
              <w:rPr>
                <w:rFonts w:ascii="Times New Roman"/>
                <w:spacing w:val="-1"/>
                <w:sz w:val="18"/>
              </w:rPr>
              <w:t>10,268.87</w:t>
            </w:r>
          </w:p>
        </w:tc>
      </w:tr>
      <w:tr>
        <w:trPr>
          <w:trHeight w:val="454"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3"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8"/>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3"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9,468,828.30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6.20000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2"/>
              <w:jc w:val="right"/>
              <w:rPr>
                <w:rFonts w:ascii="Times New Roman" w:hAnsi="Times New Roman" w:cs="Times New Roman" w:eastAsia="Times New Roman" w:hint="default"/>
                <w:sz w:val="18"/>
                <w:szCs w:val="18"/>
              </w:rPr>
            </w:pPr>
            <w:r>
              <w:rPr>
                <w:rFonts w:ascii="Times New Roman"/>
                <w:spacing w:val="-1"/>
                <w:sz w:val="18"/>
              </w:rPr>
              <w:t>58,706,735.46</w:t>
            </w:r>
          </w:p>
        </w:tc>
      </w:tr>
      <w:tr>
        <w:trPr>
          <w:trHeight w:val="456"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55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3" w:type="dxa"/>
            <w:tcBorders>
              <w:top w:val="single" w:sz="6" w:space="0" w:color="000000"/>
              <w:left w:val="single" w:sz="9" w:space="0" w:color="D9D9D9"/>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55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3"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185,536.53</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0.80000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148,429.22</w:t>
            </w:r>
          </w:p>
        </w:tc>
      </w:tr>
      <w:tr>
        <w:trPr>
          <w:trHeight w:val="463"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303" w:type="dxa"/>
            <w:tcBorders>
              <w:top w:val="single" w:sz="6" w:space="0" w:color="000000"/>
              <w:left w:val="single" w:sz="9" w:space="0" w:color="D9D9D9"/>
              <w:bottom w:val="single" w:sz="12" w:space="0" w:color="000000"/>
              <w:right w:val="single" w:sz="6" w:space="0" w:color="000000"/>
            </w:tcBorders>
          </w:tcPr>
          <w:p>
            <w:pPr/>
          </w:p>
        </w:tc>
        <w:tc>
          <w:tcPr>
            <w:tcW w:w="2391" w:type="dxa"/>
            <w:tcBorders>
              <w:top w:val="single" w:sz="6" w:space="0" w:color="000000"/>
              <w:left w:val="single" w:sz="6" w:space="0" w:color="000000"/>
              <w:bottom w:val="single" w:sz="12" w:space="0" w:color="000000"/>
              <w:right w:val="single" w:sz="6" w:space="0" w:color="000000"/>
            </w:tcBorders>
          </w:tcPr>
          <w:p>
            <w:pPr/>
          </w:p>
        </w:tc>
        <w:tc>
          <w:tcPr>
            <w:tcW w:w="2391"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0"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0" w:type="dxa"/>
        <w:tblLayout w:type="fixed"/>
        <w:tblCellMar>
          <w:top w:w="0" w:type="dxa"/>
          <w:left w:w="0" w:type="dxa"/>
          <w:bottom w:w="0" w:type="dxa"/>
          <w:right w:w="0" w:type="dxa"/>
        </w:tblCellMar>
        <w:tblLook w:val="01E0"/>
      </w:tblPr>
      <w:tblGrid>
        <w:gridCol w:w="2484"/>
        <w:gridCol w:w="2303"/>
        <w:gridCol w:w="2391"/>
        <w:gridCol w:w="2391"/>
      </w:tblGrid>
      <w:tr>
        <w:trPr>
          <w:trHeight w:val="464"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6"/>
              <w:ind w:left="1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3" w:type="dxa"/>
            <w:tcBorders>
              <w:top w:val="single" w:sz="12" w:space="0" w:color="000000"/>
              <w:left w:val="single" w:sz="9" w:space="0" w:color="D9D9D9"/>
              <w:bottom w:val="single" w:sz="6" w:space="0" w:color="000000"/>
              <w:right w:val="single" w:sz="6" w:space="0" w:color="000000"/>
            </w:tcBorders>
          </w:tcPr>
          <w:p>
            <w:pPr>
              <w:pStyle w:val="TableParagraph"/>
              <w:spacing w:line="240" w:lineRule="auto" w:before="161"/>
              <w:ind w:right="17"/>
              <w:jc w:val="right"/>
              <w:rPr>
                <w:rFonts w:ascii="Times New Roman" w:hAnsi="Times New Roman" w:cs="Times New Roman" w:eastAsia="Times New Roman" w:hint="default"/>
                <w:sz w:val="18"/>
                <w:szCs w:val="18"/>
              </w:rPr>
            </w:pPr>
            <w:r>
              <w:rPr>
                <w:rFonts w:ascii="Times New Roman"/>
                <w:spacing w:val="-1"/>
                <w:sz w:val="18"/>
              </w:rPr>
              <w:t>36,204.54</w:t>
            </w:r>
          </w:p>
        </w:tc>
        <w:tc>
          <w:tcPr>
            <w:tcW w:w="23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6.20000</w:t>
            </w:r>
          </w:p>
        </w:tc>
        <w:tc>
          <w:tcPr>
            <w:tcW w:w="239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61"/>
              <w:ind w:right="12"/>
              <w:jc w:val="right"/>
              <w:rPr>
                <w:rFonts w:ascii="Times New Roman" w:hAnsi="Times New Roman" w:cs="Times New Roman" w:eastAsia="Times New Roman" w:hint="default"/>
                <w:sz w:val="18"/>
                <w:szCs w:val="18"/>
              </w:rPr>
            </w:pPr>
            <w:r>
              <w:rPr>
                <w:rFonts w:ascii="Times New Roman"/>
                <w:spacing w:val="-1"/>
                <w:sz w:val="18"/>
              </w:rPr>
              <w:t>224,468.15</w:t>
            </w:r>
          </w:p>
        </w:tc>
      </w:tr>
      <w:tr>
        <w:trPr>
          <w:trHeight w:val="454"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3" w:type="dxa"/>
            <w:tcBorders>
              <w:top w:val="single" w:sz="6" w:space="0" w:color="000000"/>
              <w:left w:val="single" w:sz="9" w:space="0" w:color="D9D9D9"/>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303"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10,000.00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0.80000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1"/>
              <w:jc w:val="right"/>
              <w:rPr>
                <w:rFonts w:ascii="Times New Roman" w:hAnsi="Times New Roman" w:cs="Times New Roman" w:eastAsia="Times New Roman" w:hint="default"/>
                <w:sz w:val="18"/>
                <w:szCs w:val="18"/>
              </w:rPr>
            </w:pPr>
            <w:r>
              <w:rPr>
                <w:rFonts w:ascii="Times New Roman"/>
                <w:w w:val="95"/>
                <w:sz w:val="18"/>
              </w:rPr>
              <w:t>8,000.00</w:t>
            </w:r>
          </w:p>
        </w:tc>
      </w:tr>
      <w:tr>
        <w:trPr>
          <w:trHeight w:val="456"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3" w:type="dxa"/>
            <w:tcBorders>
              <w:top w:val="single" w:sz="6" w:space="0" w:color="000000"/>
              <w:left w:val="single" w:sz="9" w:space="0" w:color="D9D9D9"/>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3"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7,968,227.94</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6.20000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49,403,013.23</w:t>
            </w:r>
          </w:p>
        </w:tc>
      </w:tr>
      <w:tr>
        <w:trPr>
          <w:trHeight w:val="456"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3"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5,943,605.42</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0.80000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4,754,884.34</w:t>
            </w:r>
          </w:p>
        </w:tc>
      </w:tr>
      <w:tr>
        <w:trPr>
          <w:trHeight w:val="454"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03" w:type="dxa"/>
            <w:tcBorders>
              <w:top w:val="single" w:sz="6" w:space="0" w:color="000000"/>
              <w:left w:val="single" w:sz="9" w:space="0" w:color="D9D9D9"/>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3"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26,246.59</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6.20000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2"/>
              <w:jc w:val="right"/>
              <w:rPr>
                <w:rFonts w:ascii="Times New Roman" w:hAnsi="Times New Roman" w:cs="Times New Roman" w:eastAsia="Times New Roman" w:hint="default"/>
                <w:sz w:val="18"/>
                <w:szCs w:val="18"/>
              </w:rPr>
            </w:pPr>
            <w:r>
              <w:rPr>
                <w:rFonts w:ascii="Times New Roman"/>
                <w:spacing w:val="-1"/>
                <w:sz w:val="18"/>
              </w:rPr>
              <w:t>162,728.86</w:t>
            </w:r>
          </w:p>
        </w:tc>
      </w:tr>
      <w:tr>
        <w:trPr>
          <w:trHeight w:val="457"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3"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344,919.34</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pacing w:val="-1"/>
                <w:sz w:val="18"/>
              </w:rPr>
              <w:t>0.80000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12"/>
              <w:jc w:val="right"/>
              <w:rPr>
                <w:rFonts w:ascii="Times New Roman" w:hAnsi="Times New Roman" w:cs="Times New Roman" w:eastAsia="Times New Roman" w:hint="default"/>
                <w:sz w:val="18"/>
                <w:szCs w:val="18"/>
              </w:rPr>
            </w:pPr>
            <w:r>
              <w:rPr>
                <w:rFonts w:ascii="Times New Roman"/>
                <w:spacing w:val="-1"/>
                <w:sz w:val="18"/>
              </w:rPr>
              <w:t>275,935.47</w:t>
            </w:r>
          </w:p>
        </w:tc>
      </w:tr>
      <w:tr>
        <w:trPr>
          <w:trHeight w:val="454"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3" w:type="dxa"/>
            <w:tcBorders>
              <w:top w:val="single" w:sz="6" w:space="0" w:color="000000"/>
              <w:left w:val="single" w:sz="9" w:space="0" w:color="D9D9D9"/>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3"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w w:val="95"/>
                <w:sz w:val="18"/>
              </w:rPr>
              <w:t>9,247.00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6.20000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57,331.40</w:t>
            </w:r>
          </w:p>
        </w:tc>
      </w:tr>
      <w:tr>
        <w:trPr>
          <w:trHeight w:val="454"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3"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1,226,190.00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0.80000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980,952.00</w:t>
            </w:r>
          </w:p>
        </w:tc>
      </w:tr>
      <w:tr>
        <w:trPr>
          <w:trHeight w:val="456"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03" w:type="dxa"/>
            <w:tcBorders>
              <w:top w:val="single" w:sz="6" w:space="0" w:color="000000"/>
              <w:left w:val="single" w:sz="9" w:space="0" w:color="D9D9D9"/>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3"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108,176,210.50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6.20000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670,692,505.10</w:t>
            </w:r>
          </w:p>
        </w:tc>
      </w:tr>
      <w:tr>
        <w:trPr>
          <w:trHeight w:val="456"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3"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115,000,000.00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0.80000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2"/>
              <w:jc w:val="right"/>
              <w:rPr>
                <w:rFonts w:ascii="Times New Roman" w:hAnsi="Times New Roman" w:cs="Times New Roman" w:eastAsia="Times New Roman" w:hint="default"/>
                <w:sz w:val="18"/>
                <w:szCs w:val="18"/>
              </w:rPr>
            </w:pPr>
            <w:r>
              <w:rPr>
                <w:rFonts w:ascii="Times New Roman"/>
                <w:spacing w:val="-1"/>
                <w:sz w:val="18"/>
              </w:rPr>
              <w:t>92,000,000.00</w:t>
            </w:r>
          </w:p>
        </w:tc>
      </w:tr>
      <w:tr>
        <w:trPr>
          <w:trHeight w:val="456"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3"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8"/>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3" w:type="dxa"/>
            <w:tcBorders>
              <w:top w:val="single" w:sz="6" w:space="0" w:color="000000"/>
              <w:left w:val="single" w:sz="9" w:space="0" w:color="D9D9D9"/>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right="1547"/>
              <w:jc w:val="right"/>
              <w:rPr>
                <w:rFonts w:ascii="宋体" w:hAnsi="宋体" w:cs="宋体" w:eastAsia="宋体" w:hint="default"/>
                <w:sz w:val="18"/>
                <w:szCs w:val="18"/>
              </w:rPr>
            </w:pPr>
            <w:r>
              <w:rPr>
                <w:rFonts w:ascii="宋体" w:hAnsi="宋体" w:cs="宋体" w:eastAsia="宋体" w:hint="default"/>
                <w:sz w:val="18"/>
                <w:szCs w:val="18"/>
              </w:rPr>
              <w:t>欧元</w:t>
            </w:r>
          </w:p>
        </w:tc>
        <w:tc>
          <w:tcPr>
            <w:tcW w:w="2303" w:type="dxa"/>
            <w:tcBorders>
              <w:top w:val="single" w:sz="6" w:space="0" w:color="000000"/>
              <w:left w:val="single" w:sz="9" w:space="0" w:color="D9D9D9"/>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63" w:hRule="exact"/>
        </w:trPr>
        <w:tc>
          <w:tcPr>
            <w:tcW w:w="248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right="1547"/>
              <w:jc w:val="right"/>
              <w:rPr>
                <w:rFonts w:ascii="宋体" w:hAnsi="宋体" w:cs="宋体" w:eastAsia="宋体" w:hint="default"/>
                <w:sz w:val="18"/>
                <w:szCs w:val="18"/>
              </w:rPr>
            </w:pPr>
            <w:r>
              <w:rPr>
                <w:rFonts w:ascii="宋体" w:hAnsi="宋体" w:cs="宋体" w:eastAsia="宋体" w:hint="default"/>
                <w:sz w:val="18"/>
                <w:szCs w:val="18"/>
              </w:rPr>
              <w:t>港币</w:t>
            </w:r>
          </w:p>
        </w:tc>
        <w:tc>
          <w:tcPr>
            <w:tcW w:w="2303" w:type="dxa"/>
            <w:tcBorders>
              <w:top w:val="single" w:sz="6" w:space="0" w:color="000000"/>
              <w:left w:val="single" w:sz="9" w:space="0" w:color="D9D9D9"/>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300,000,000.00</w:t>
            </w:r>
          </w:p>
        </w:tc>
        <w:tc>
          <w:tcPr>
            <w:tcW w:w="23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0.80000</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240,000,000.00</w:t>
            </w:r>
          </w:p>
        </w:tc>
      </w:tr>
    </w:tbl>
    <w:p>
      <w:pPr>
        <w:spacing w:line="240" w:lineRule="auto" w:before="7"/>
        <w:rPr>
          <w:rFonts w:ascii="宋体" w:hAnsi="宋体" w:cs="宋体" w:eastAsia="宋体" w:hint="default"/>
          <w:sz w:val="21"/>
          <w:szCs w:val="21"/>
        </w:rPr>
      </w:pPr>
    </w:p>
    <w:p>
      <w:pPr>
        <w:pStyle w:val="Heading2"/>
        <w:spacing w:line="240" w:lineRule="auto"/>
        <w:ind w:right="140"/>
        <w:jc w:val="left"/>
        <w:rPr>
          <w:b w:val="0"/>
          <w:bCs w:val="0"/>
        </w:rPr>
      </w:pPr>
      <w:r>
        <w:rPr/>
        <w:t>八、合并范围的变更</w:t>
      </w:r>
      <w:r>
        <w:rPr>
          <w:b w:val="0"/>
          <w:bCs w:val="0"/>
        </w:rPr>
      </w:r>
    </w:p>
    <w:p>
      <w:pPr>
        <w:spacing w:line="240" w:lineRule="auto" w:before="1"/>
        <w:rPr>
          <w:rFonts w:ascii="宋体" w:hAnsi="宋体" w:cs="宋体" w:eastAsia="宋体" w:hint="default"/>
          <w:b/>
          <w:bCs/>
          <w:sz w:val="29"/>
          <w:szCs w:val="29"/>
        </w:rPr>
      </w:pPr>
    </w:p>
    <w:p>
      <w:pPr>
        <w:pStyle w:val="Heading4"/>
        <w:spacing w:line="240" w:lineRule="auto"/>
        <w:ind w:right="14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5"/>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994"/>
        <w:gridCol w:w="850"/>
        <w:gridCol w:w="1277"/>
        <w:gridCol w:w="850"/>
        <w:gridCol w:w="1133"/>
        <w:gridCol w:w="994"/>
        <w:gridCol w:w="992"/>
        <w:gridCol w:w="1277"/>
        <w:gridCol w:w="1205"/>
      </w:tblGrid>
      <w:tr>
        <w:trPr>
          <w:trHeight w:val="1222" w:hRule="exact"/>
        </w:trPr>
        <w:tc>
          <w:tcPr>
            <w:tcW w:w="99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405" w:lineRule="auto"/>
              <w:ind w:left="302" w:right="127"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367"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2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367"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13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405" w:lineRule="auto"/>
              <w:ind w:left="379" w:right="197"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9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9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367"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2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86" w:lineRule="auto" w:before="116"/>
              <w:ind w:left="93" w:right="86"/>
              <w:jc w:val="center"/>
              <w:rPr>
                <w:rFonts w:ascii="宋体" w:hAnsi="宋体" w:cs="宋体" w:eastAsia="宋体" w:hint="default"/>
                <w:sz w:val="18"/>
                <w:szCs w:val="18"/>
              </w:rPr>
            </w:pPr>
            <w:r>
              <w:rPr>
                <w:rFonts w:ascii="宋体" w:hAnsi="宋体" w:cs="宋体" w:eastAsia="宋体" w:hint="default"/>
                <w:sz w:val="18"/>
                <w:szCs w:val="18"/>
              </w:rPr>
              <w:t>购买日至期末 被购买方的 收入</w:t>
            </w:r>
          </w:p>
        </w:tc>
        <w:tc>
          <w:tcPr>
            <w:tcW w:w="120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67" w:lineRule="auto" w:before="135"/>
              <w:ind w:left="55" w:right="46"/>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1181" w:hRule="exact"/>
        </w:trPr>
        <w:tc>
          <w:tcPr>
            <w:tcW w:w="994" w:type="dxa"/>
            <w:tcBorders>
              <w:top w:val="single" w:sz="6" w:space="0" w:color="000000"/>
              <w:left w:val="single" w:sz="12" w:space="0" w:color="000000"/>
              <w:bottom w:val="single" w:sz="12" w:space="0" w:color="000000"/>
              <w:right w:val="single" w:sz="6" w:space="0" w:color="000000"/>
            </w:tcBorders>
          </w:tcPr>
          <w:p>
            <w:pPr>
              <w:pStyle w:val="TableParagraph"/>
              <w:spacing w:line="367" w:lineRule="auto" w:before="116"/>
              <w:ind w:left="31" w:right="38"/>
              <w:jc w:val="both"/>
              <w:rPr>
                <w:rFonts w:ascii="宋体" w:hAnsi="宋体" w:cs="宋体" w:eastAsia="宋体" w:hint="default"/>
                <w:sz w:val="18"/>
                <w:szCs w:val="18"/>
              </w:rPr>
            </w:pPr>
            <w:r>
              <w:rPr>
                <w:rFonts w:ascii="宋体" w:hAnsi="宋体" w:cs="宋体" w:eastAsia="宋体" w:hint="default"/>
                <w:sz w:val="18"/>
                <w:szCs w:val="18"/>
              </w:rPr>
              <w:t>北京中农信 达信息技术 有限公司</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710,000,000.00</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100.00%</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67" w:lineRule="auto"/>
              <w:ind w:left="199" w:right="106" w:hanging="89"/>
              <w:jc w:val="left"/>
              <w:rPr>
                <w:rFonts w:ascii="宋体" w:hAnsi="宋体" w:cs="宋体" w:eastAsia="宋体" w:hint="default"/>
                <w:sz w:val="18"/>
                <w:szCs w:val="18"/>
              </w:rPr>
            </w:pPr>
            <w:r>
              <w:rPr>
                <w:rFonts w:ascii="宋体" w:hAnsi="宋体" w:cs="宋体" w:eastAsia="宋体" w:hint="default"/>
                <w:sz w:val="18"/>
                <w:szCs w:val="18"/>
              </w:rPr>
              <w:t>股份支付和 现金支付</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11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请见说明</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30,335,167.40</w:t>
            </w:r>
          </w:p>
        </w:tc>
        <w:tc>
          <w:tcPr>
            <w:tcW w:w="1205" w:type="dxa"/>
            <w:tcBorders>
              <w:top w:val="single" w:sz="13" w:space="0" w:color="D2D2D2"/>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10,015,833.24</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9"/>
        <w:rPr>
          <w:rFonts w:ascii="宋体" w:hAnsi="宋体" w:cs="宋体" w:eastAsia="宋体" w:hint="default"/>
          <w:sz w:val="26"/>
          <w:szCs w:val="26"/>
        </w:rPr>
      </w:pPr>
    </w:p>
    <w:p>
      <w:pPr>
        <w:pStyle w:val="BodyText"/>
        <w:spacing w:line="408" w:lineRule="auto" w:before="36"/>
        <w:ind w:left="573" w:right="3110"/>
        <w:jc w:val="left"/>
      </w:pPr>
      <w:r>
        <w:rPr>
          <w:spacing w:val="-2"/>
        </w:rPr>
        <w:t>购买日为</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w:t>
      </w:r>
      <w:r>
        <w:rPr>
          <w:spacing w:val="-2"/>
        </w:rPr>
        <w:t>日，确定依据为：</w:t>
      </w:r>
      <w:r>
        <w:rPr>
          <w:spacing w:val="-67"/>
        </w:rPr>
        <w:t> </w:t>
      </w:r>
      <w:r>
        <w:rPr>
          <w:spacing w:val="-67"/>
        </w:rPr>
      </w:r>
      <w:r>
        <w:rPr/>
        <w:t>企业合并协议已获股东大会通过；</w:t>
      </w:r>
    </w:p>
    <w:p>
      <w:pPr>
        <w:pStyle w:val="BodyText"/>
        <w:spacing w:line="408" w:lineRule="auto" w:before="46"/>
        <w:ind w:right="98" w:firstLine="420"/>
        <w:jc w:val="left"/>
      </w:pPr>
      <w:r>
        <w:rPr>
          <w:spacing w:val="-2"/>
        </w:rPr>
        <w:t>《关于公司向特定对象发行股份购买资产并募集配套资金方案的议案（修订）》、《关于公司与中农</w:t>
      </w:r>
      <w:r>
        <w:rPr>
          <w:w w:val="100"/>
        </w:rPr>
        <w:t> </w:t>
      </w:r>
      <w:r>
        <w:rPr/>
        <w:t>信达全体股东签署附生效条件的</w:t>
      </w:r>
      <w:r>
        <w:rPr>
          <w:rFonts w:ascii="宋体" w:hAnsi="宋体" w:cs="宋体" w:eastAsia="宋体" w:hint="default"/>
        </w:rPr>
        <w:t>&lt;</w:t>
      </w:r>
      <w:r>
        <w:rPr/>
        <w:t>发行股份及支付现金购买资产协议</w:t>
      </w:r>
      <w:r>
        <w:rPr>
          <w:rFonts w:ascii="宋体" w:hAnsi="宋体" w:cs="宋体" w:eastAsia="宋体" w:hint="default"/>
        </w:rPr>
        <w:t>&gt;</w:t>
      </w:r>
      <w:r>
        <w:rPr/>
        <w:t>及</w:t>
      </w:r>
      <w:r>
        <w:rPr>
          <w:rFonts w:ascii="宋体" w:hAnsi="宋体" w:cs="宋体" w:eastAsia="宋体" w:hint="default"/>
        </w:rPr>
        <w:t>&lt;</w:t>
      </w:r>
      <w:r>
        <w:rPr/>
        <w:t>发行股份及支付现金购买资产协</w:t>
      </w:r>
      <w:r>
        <w:rPr>
          <w:w w:val="100"/>
        </w:rPr>
        <w:t> </w:t>
      </w:r>
      <w:r>
        <w:rPr>
          <w:spacing w:val="-2"/>
        </w:rPr>
        <w:t>议之补充协议</w:t>
      </w:r>
      <w:r>
        <w:rPr>
          <w:rFonts w:ascii="宋体" w:hAnsi="宋体" w:cs="宋体" w:eastAsia="宋体" w:hint="default"/>
          <w:spacing w:val="-2"/>
        </w:rPr>
        <w:t>&gt;</w:t>
      </w:r>
      <w:r>
        <w:rPr>
          <w:spacing w:val="-2"/>
        </w:rPr>
        <w:t>的议案》、《关于公司与中农信达全体股东签署附生效条件的</w:t>
      </w:r>
      <w:r>
        <w:rPr>
          <w:rFonts w:ascii="宋体" w:hAnsi="宋体" w:cs="宋体" w:eastAsia="宋体" w:hint="default"/>
          <w:spacing w:val="-2"/>
        </w:rPr>
        <w:t>&lt;</w:t>
      </w:r>
      <w:r>
        <w:rPr>
          <w:spacing w:val="-2"/>
        </w:rPr>
        <w:t>利润补偿协议</w:t>
      </w:r>
      <w:r>
        <w:rPr>
          <w:rFonts w:ascii="宋体" w:hAnsi="宋体" w:cs="宋体" w:eastAsia="宋体" w:hint="default"/>
          <w:spacing w:val="-2"/>
        </w:rPr>
        <w:t>&gt;</w:t>
      </w:r>
      <w:r>
        <w:rPr>
          <w:spacing w:val="-2"/>
        </w:rPr>
        <w:t>及</w:t>
      </w:r>
      <w:r>
        <w:rPr>
          <w:rFonts w:ascii="宋体" w:hAnsi="宋体" w:cs="宋体" w:eastAsia="宋体" w:hint="default"/>
          <w:spacing w:val="-2"/>
        </w:rPr>
        <w:t>&lt;</w:t>
      </w:r>
      <w:r>
        <w:rPr>
          <w:spacing w:val="-2"/>
        </w:rPr>
        <w:t>利润补偿</w:t>
      </w:r>
      <w:r>
        <w:rPr>
          <w:spacing w:val="-42"/>
        </w:rPr>
        <w:t> </w:t>
      </w:r>
      <w:r>
        <w:rPr>
          <w:spacing w:val="-42"/>
        </w:rPr>
      </w:r>
      <w:r>
        <w:rPr/>
        <w:t>协议之补充协议</w:t>
      </w:r>
      <w:r>
        <w:rPr>
          <w:rFonts w:ascii="宋体" w:hAnsi="宋体" w:cs="宋体" w:eastAsia="宋体" w:hint="default"/>
        </w:rPr>
        <w:t>&gt;</w:t>
      </w:r>
      <w:r>
        <w:rPr/>
        <w:t>的议案》业经神州信息</w:t>
      </w:r>
      <w:r>
        <w:rPr>
          <w:rFonts w:ascii="宋体" w:hAnsi="宋体" w:cs="宋体" w:eastAsia="宋体" w:hint="default"/>
        </w:rPr>
        <w:t>2014</w:t>
      </w:r>
      <w:r>
        <w:rPr/>
        <w:t>年度第四次临时股东大会决议通过。</w:t>
      </w:r>
    </w:p>
    <w:p>
      <w:pPr>
        <w:pStyle w:val="BodyText"/>
        <w:spacing w:line="408" w:lineRule="auto" w:before="46"/>
        <w:ind w:right="287" w:firstLine="420"/>
        <w:jc w:val="left"/>
      </w:pPr>
      <w:r>
        <w:rPr>
          <w:rFonts w:ascii="宋体" w:hAnsi="宋体" w:cs="宋体" w:eastAsia="宋体" w:hint="default"/>
        </w:rPr>
        <w:t>2)</w:t>
      </w:r>
      <w:r>
        <w:rPr>
          <w:rFonts w:ascii="宋体" w:hAnsi="宋体" w:cs="宋体" w:eastAsia="宋体" w:hint="default"/>
          <w:spacing w:val="-9"/>
        </w:rPr>
        <w:t> </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25</w:t>
      </w:r>
      <w:r>
        <w:rPr/>
        <w:t>日，经中国证券监督管理会证监许可</w:t>
      </w:r>
      <w:r>
        <w:rPr>
          <w:rFonts w:ascii="宋体" w:hAnsi="宋体" w:cs="宋体" w:eastAsia="宋体" w:hint="default"/>
        </w:rPr>
        <w:t>[2014]1258</w:t>
      </w:r>
      <w:r>
        <w:rPr/>
        <w:t>号《关于核准神州数码信息服务股</w:t>
      </w:r>
      <w:r>
        <w:rPr>
          <w:w w:val="100"/>
        </w:rPr>
        <w:t> </w:t>
      </w:r>
      <w:r>
        <w:rPr/>
        <w:t>份有限公司向冯健刚等发行股份购买资产并募集配套资金的批复》之核准。</w:t>
      </w:r>
    </w:p>
    <w:p>
      <w:pPr>
        <w:pStyle w:val="BodyText"/>
        <w:spacing w:line="408" w:lineRule="auto" w:before="46"/>
        <w:ind w:right="202" w:firstLine="420"/>
        <w:jc w:val="left"/>
      </w:pPr>
      <w:r>
        <w:rPr>
          <w:rFonts w:ascii="宋体" w:hAnsi="宋体" w:cs="宋体" w:eastAsia="宋体" w:hint="default"/>
        </w:rPr>
        <w:t>3)</w:t>
      </w:r>
      <w:r>
        <w:rPr>
          <w:rFonts w:ascii="宋体" w:hAnsi="宋体" w:cs="宋体" w:eastAsia="宋体" w:hint="default"/>
          <w:spacing w:val="-29"/>
        </w:rPr>
        <w:t> </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w:t>
      </w:r>
      <w:r>
        <w:rPr/>
        <w:t>日，中农信达</w:t>
      </w:r>
      <w:r>
        <w:rPr>
          <w:rFonts w:ascii="宋体" w:hAnsi="宋体" w:cs="宋体" w:eastAsia="宋体" w:hint="default"/>
        </w:rPr>
        <w:t>100%</w:t>
      </w:r>
      <w:r>
        <w:rPr/>
        <w:t>股权过户手续及相关工商登记办理完毕，海淀工商局核准了中农信</w:t>
      </w:r>
      <w:r>
        <w:rPr>
          <w:w w:val="100"/>
        </w:rPr>
        <w:t> </w:t>
      </w:r>
      <w:r>
        <w:rPr/>
        <w:t>达的股东变更，并向中农信达核发了《企业法人营业执照》。中农信达成为神州信息的全资子公司。</w:t>
      </w:r>
    </w:p>
    <w:p>
      <w:pPr>
        <w:spacing w:line="240" w:lineRule="auto" w:before="11"/>
        <w:rPr>
          <w:rFonts w:ascii="宋体" w:hAnsi="宋体" w:cs="宋体" w:eastAsia="宋体" w:hint="default"/>
          <w:sz w:val="24"/>
          <w:szCs w:val="24"/>
        </w:rPr>
      </w:pPr>
    </w:p>
    <w:p>
      <w:pPr>
        <w:pStyle w:val="Heading4"/>
        <w:spacing w:line="240" w:lineRule="auto"/>
        <w:ind w:right="98"/>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3"/>
        <w:rPr>
          <w:rFonts w:ascii="宋体" w:hAnsi="宋体" w:cs="宋体" w:eastAsia="宋体" w:hint="default"/>
          <w:b/>
          <w:bCs/>
          <w:sz w:val="24"/>
          <w:szCs w:val="24"/>
        </w:rPr>
      </w:pPr>
    </w:p>
    <w:tbl>
      <w:tblPr>
        <w:tblW w:w="0" w:type="auto"/>
        <w:jc w:val="left"/>
        <w:tblInd w:w="124" w:type="dxa"/>
        <w:tblLayout w:type="fixed"/>
        <w:tblCellMar>
          <w:top w:w="0" w:type="dxa"/>
          <w:left w:w="0" w:type="dxa"/>
          <w:bottom w:w="0" w:type="dxa"/>
          <w:right w:w="0" w:type="dxa"/>
        </w:tblCellMar>
        <w:tblLook w:val="01E0"/>
      </w:tblPr>
      <w:tblGrid>
        <w:gridCol w:w="5147"/>
        <w:gridCol w:w="4578"/>
      </w:tblGrid>
      <w:tr>
        <w:trPr>
          <w:trHeight w:val="478" w:hRule="exact"/>
        </w:trPr>
        <w:tc>
          <w:tcPr>
            <w:tcW w:w="5147" w:type="dxa"/>
            <w:tcBorders>
              <w:top w:val="single" w:sz="12" w:space="0" w:color="000000"/>
              <w:left w:val="single" w:sz="12" w:space="0" w:color="000000"/>
              <w:bottom w:val="single" w:sz="6" w:space="0" w:color="000000"/>
              <w:right w:val="single" w:sz="6" w:space="0" w:color="000000"/>
            </w:tcBorders>
            <w:shd w:val="clear" w:color="auto" w:fill="D7D7D7"/>
          </w:tcPr>
          <w:p>
            <w:pPr>
              <w:pStyle w:val="TableParagraph"/>
              <w:spacing w:line="240" w:lineRule="auto" w:before="8"/>
              <w:ind w:left="-1"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4578" w:type="dxa"/>
            <w:tcBorders>
              <w:top w:val="single" w:sz="12" w:space="0" w:color="000000"/>
              <w:left w:val="single" w:sz="6" w:space="0" w:color="000000"/>
              <w:bottom w:val="single" w:sz="6" w:space="0" w:color="000000"/>
              <w:right w:val="single" w:sz="12" w:space="0" w:color="000000"/>
            </w:tcBorders>
            <w:shd w:val="clear" w:color="auto" w:fill="D7D7D7"/>
          </w:tcPr>
          <w:p>
            <w:pPr>
              <w:pStyle w:val="TableParagraph"/>
              <w:spacing w:line="240" w:lineRule="auto" w:before="8"/>
              <w:ind w:left="1020" w:right="0"/>
              <w:jc w:val="left"/>
              <w:rPr>
                <w:rFonts w:ascii="宋体" w:hAnsi="宋体" w:cs="宋体" w:eastAsia="宋体" w:hint="default"/>
                <w:sz w:val="18"/>
                <w:szCs w:val="18"/>
              </w:rPr>
            </w:pPr>
            <w:r>
              <w:rPr>
                <w:rFonts w:ascii="宋体" w:hAnsi="宋体" w:cs="宋体" w:eastAsia="宋体" w:hint="default"/>
                <w:sz w:val="18"/>
                <w:szCs w:val="18"/>
              </w:rPr>
              <w:t>北京中农信达信息技术有限公司</w:t>
            </w:r>
          </w:p>
        </w:tc>
      </w:tr>
      <w:tr>
        <w:trPr>
          <w:trHeight w:val="468" w:hRule="exact"/>
        </w:trPr>
        <w:tc>
          <w:tcPr>
            <w:tcW w:w="51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left="9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45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pacing w:val="-1"/>
                <w:sz w:val="18"/>
              </w:rPr>
              <w:t>213,000,000.00</w:t>
            </w:r>
          </w:p>
        </w:tc>
      </w:tr>
      <w:tr>
        <w:trPr>
          <w:trHeight w:val="468" w:hRule="exact"/>
        </w:trPr>
        <w:tc>
          <w:tcPr>
            <w:tcW w:w="51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发行的权益性证券的公允价值</w:t>
            </w:r>
          </w:p>
        </w:tc>
        <w:tc>
          <w:tcPr>
            <w:tcW w:w="45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pacing w:val="-1"/>
                <w:sz w:val="18"/>
              </w:rPr>
              <w:t>497,000,000.00</w:t>
            </w:r>
          </w:p>
        </w:tc>
      </w:tr>
      <w:tr>
        <w:trPr>
          <w:trHeight w:val="471" w:hRule="exact"/>
        </w:trPr>
        <w:tc>
          <w:tcPr>
            <w:tcW w:w="51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5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92"/>
              <w:jc w:val="right"/>
              <w:rPr>
                <w:rFonts w:ascii="Times New Roman" w:hAnsi="Times New Roman" w:cs="Times New Roman" w:eastAsia="Times New Roman" w:hint="default"/>
                <w:sz w:val="18"/>
                <w:szCs w:val="18"/>
              </w:rPr>
            </w:pPr>
            <w:r>
              <w:rPr>
                <w:rFonts w:ascii="Times New Roman"/>
                <w:spacing w:val="-1"/>
                <w:sz w:val="18"/>
              </w:rPr>
              <w:t>710,000,000.00</w:t>
            </w:r>
          </w:p>
        </w:tc>
      </w:tr>
      <w:tr>
        <w:trPr>
          <w:trHeight w:val="468" w:hRule="exact"/>
        </w:trPr>
        <w:tc>
          <w:tcPr>
            <w:tcW w:w="51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5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pacing w:val="-1"/>
                <w:sz w:val="18"/>
              </w:rPr>
              <w:t>63,987,008.28</w:t>
            </w:r>
          </w:p>
        </w:tc>
      </w:tr>
      <w:tr>
        <w:trPr>
          <w:trHeight w:val="475" w:hRule="exact"/>
        </w:trPr>
        <w:tc>
          <w:tcPr>
            <w:tcW w:w="514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457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2"/>
              <w:ind w:right="92"/>
              <w:jc w:val="right"/>
              <w:rPr>
                <w:rFonts w:ascii="Times New Roman" w:hAnsi="Times New Roman" w:cs="Times New Roman" w:eastAsia="Times New Roman" w:hint="default"/>
                <w:sz w:val="18"/>
                <w:szCs w:val="18"/>
              </w:rPr>
            </w:pPr>
            <w:r>
              <w:rPr>
                <w:rFonts w:ascii="Times New Roman"/>
                <w:spacing w:val="-1"/>
                <w:sz w:val="18"/>
              </w:rPr>
              <w:t>646,012,991.72</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408" w:lineRule="auto"/>
        <w:ind w:right="98" w:firstLine="420"/>
        <w:jc w:val="left"/>
      </w:pPr>
      <w:r>
        <w:rPr>
          <w:spacing w:val="-2"/>
        </w:rPr>
        <w:t>注：本公司发行的权益性证券的公允价值系依据《上市公司重大资产重组管理办法》的规定，不低于</w:t>
      </w:r>
      <w:r>
        <w:rPr>
          <w:w w:val="100"/>
        </w:rPr>
        <w:t> </w:t>
      </w:r>
      <w:r>
        <w:rPr>
          <w:spacing w:val="-2"/>
        </w:rPr>
        <w:t>本次发行股份购买资产的董事会决议公告日前</w:t>
      </w:r>
      <w:r>
        <w:rPr>
          <w:rFonts w:ascii="宋体" w:hAnsi="宋体" w:cs="宋体" w:eastAsia="宋体" w:hint="default"/>
          <w:spacing w:val="-2"/>
        </w:rPr>
        <w:t>20</w:t>
      </w:r>
      <w:r>
        <w:rPr>
          <w:spacing w:val="-2"/>
        </w:rPr>
        <w:t>个交易日公司股票交易均价。本次发行股份购买资产的董</w:t>
      </w:r>
      <w:r>
        <w:rPr>
          <w:spacing w:val="-41"/>
        </w:rPr>
        <w:t> </w:t>
      </w:r>
      <w:r>
        <w:rPr>
          <w:spacing w:val="-41"/>
        </w:rPr>
      </w:r>
      <w:r>
        <w:rPr>
          <w:spacing w:val="-2"/>
        </w:rPr>
        <w:t>事会决议公告日前</w:t>
      </w:r>
      <w:r>
        <w:rPr>
          <w:rFonts w:ascii="宋体" w:hAnsi="宋体" w:cs="宋体" w:eastAsia="宋体" w:hint="default"/>
          <w:spacing w:val="-2"/>
        </w:rPr>
        <w:t>20</w:t>
      </w:r>
      <w:r>
        <w:rPr>
          <w:spacing w:val="-2"/>
        </w:rPr>
        <w:t>个交易日股票交易均价为</w:t>
      </w:r>
      <w:r>
        <w:rPr>
          <w:rFonts w:ascii="宋体" w:hAnsi="宋体" w:cs="宋体" w:eastAsia="宋体" w:hint="default"/>
          <w:spacing w:val="-2"/>
        </w:rPr>
        <w:t>24.22</w:t>
      </w:r>
      <w:r>
        <w:rPr>
          <w:spacing w:val="-2"/>
        </w:rPr>
        <w:t>元</w:t>
      </w:r>
      <w:r>
        <w:rPr>
          <w:rFonts w:ascii="宋体" w:hAnsi="宋体" w:cs="宋体" w:eastAsia="宋体" w:hint="default"/>
          <w:spacing w:val="-2"/>
        </w:rPr>
        <w:t>/</w:t>
      </w:r>
      <w:r>
        <w:rPr>
          <w:spacing w:val="-2"/>
        </w:rPr>
        <w:t>股。经交易各方协商，本次发行股份购买资产的发</w:t>
      </w:r>
      <w:r>
        <w:rPr>
          <w:spacing w:val="-38"/>
        </w:rPr>
        <w:t> </w:t>
      </w:r>
      <w:r>
        <w:rPr>
          <w:spacing w:val="-38"/>
        </w:rPr>
      </w:r>
      <w:r>
        <w:rPr/>
        <w:t>行价格为</w:t>
      </w:r>
      <w:r>
        <w:rPr>
          <w:rFonts w:ascii="宋体" w:hAnsi="宋体" w:cs="宋体" w:eastAsia="宋体" w:hint="default"/>
        </w:rPr>
        <w:t>24.22</w:t>
      </w:r>
      <w:r>
        <w:rPr/>
        <w:t>元</w:t>
      </w:r>
      <w:r>
        <w:rPr>
          <w:rFonts w:ascii="宋体" w:hAnsi="宋体" w:cs="宋体" w:eastAsia="宋体" w:hint="default"/>
        </w:rPr>
        <w:t>/</w:t>
      </w:r>
      <w:r>
        <w:rPr/>
        <w:t>股。本公司本次通过发行</w:t>
      </w:r>
      <w:r>
        <w:rPr>
          <w:rFonts w:ascii="宋体" w:hAnsi="宋体" w:cs="宋体" w:eastAsia="宋体" w:hint="default"/>
        </w:rPr>
        <w:t>20,520,227.00</w:t>
      </w:r>
      <w:r>
        <w:rPr/>
        <w:t>万股股份，累计发行股份公允价值为</w:t>
      </w:r>
      <w:r>
        <w:rPr>
          <w:w w:val="100"/>
        </w:rPr>
        <w:t> </w:t>
      </w:r>
      <w:r>
        <w:rPr>
          <w:rFonts w:ascii="宋体" w:hAnsi="宋体" w:cs="宋体" w:eastAsia="宋体" w:hint="default"/>
        </w:rPr>
        <w:t>497,000,000.00</w:t>
      </w:r>
      <w:r>
        <w:rPr/>
        <w:t>元。</w:t>
      </w:r>
    </w:p>
    <w:p>
      <w:pPr>
        <w:pStyle w:val="Heading3"/>
        <w:spacing w:line="391" w:lineRule="auto" w:before="37"/>
        <w:ind w:right="98" w:firstLine="439"/>
        <w:jc w:val="left"/>
      </w:pPr>
      <w:r>
        <w:rPr/>
        <w:t>中农信达于购买日可辨认净资产公允价值系依据北京中同华资产评估有限公司出具的中同华评</w:t>
      </w:r>
      <w:r>
        <w:rPr>
          <w:w w:val="100"/>
        </w:rPr>
        <w:t> </w:t>
      </w:r>
      <w:r>
        <w:rPr>
          <w:spacing w:val="-1"/>
        </w:rPr>
        <w:t>报字（</w:t>
      </w:r>
      <w:r>
        <w:rPr>
          <w:rFonts w:ascii="宋体" w:hAnsi="宋体" w:cs="宋体" w:eastAsia="宋体" w:hint="default"/>
          <w:spacing w:val="-1"/>
        </w:rPr>
        <w:t>2015</w:t>
      </w:r>
      <w:r>
        <w:rPr>
          <w:spacing w:val="-1"/>
        </w:rPr>
        <w:t>）第</w:t>
      </w:r>
      <w:r>
        <w:rPr>
          <w:rFonts w:ascii="宋体" w:hAnsi="宋体" w:cs="宋体" w:eastAsia="宋体" w:hint="default"/>
          <w:spacing w:val="-1"/>
        </w:rPr>
        <w:t>121</w:t>
      </w:r>
      <w:r>
        <w:rPr>
          <w:spacing w:val="-1"/>
        </w:rPr>
        <w:t>号《神州数码信息服务股份有限公司合并对价分摊涉及的北京中农信达信息技术</w:t>
      </w:r>
      <w:r>
        <w:rPr>
          <w:spacing w:val="-72"/>
        </w:rPr>
        <w:t> </w:t>
      </w:r>
      <w:r>
        <w:rPr>
          <w:spacing w:val="-72"/>
        </w:rPr>
      </w:r>
      <w:r>
        <w:rPr>
          <w:spacing w:val="-6"/>
          <w:w w:val="100"/>
        </w:rPr>
        <w:t>有限公司可辨认的净资产评估项目资产评估报告书》。</w:t>
      </w:r>
    </w:p>
    <w:p>
      <w:pPr>
        <w:spacing w:after="0" w:line="391" w:lineRule="auto"/>
        <w:jc w:val="left"/>
        <w:sectPr>
          <w:pgSz w:w="11910" w:h="16840"/>
          <w:pgMar w:header="0" w:footer="1227" w:top="1100" w:bottom="1420" w:left="980" w:right="920"/>
        </w:sectPr>
      </w:pPr>
    </w:p>
    <w:p>
      <w:pPr>
        <w:spacing w:line="240" w:lineRule="auto" w:before="1"/>
        <w:rPr>
          <w:rFonts w:ascii="宋体" w:hAnsi="宋体" w:cs="宋体" w:eastAsia="宋体" w:hint="default"/>
          <w:sz w:val="25"/>
          <w:szCs w:val="25"/>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
        <w:rPr>
          <w:rFonts w:ascii="宋体" w:hAnsi="宋体" w:cs="宋体" w:eastAsia="宋体" w:hint="default"/>
          <w:b/>
          <w:bCs/>
          <w:sz w:val="25"/>
          <w:szCs w:val="25"/>
        </w:rPr>
      </w:pPr>
    </w:p>
    <w:tbl>
      <w:tblPr>
        <w:tblW w:w="0" w:type="auto"/>
        <w:jc w:val="left"/>
        <w:tblInd w:w="124" w:type="dxa"/>
        <w:tblLayout w:type="fixed"/>
        <w:tblCellMar>
          <w:top w:w="0" w:type="dxa"/>
          <w:left w:w="0" w:type="dxa"/>
          <w:bottom w:w="0" w:type="dxa"/>
          <w:right w:w="0" w:type="dxa"/>
        </w:tblCellMar>
        <w:tblLook w:val="01E0"/>
      </w:tblPr>
      <w:tblGrid>
        <w:gridCol w:w="3188"/>
        <w:gridCol w:w="3188"/>
        <w:gridCol w:w="3191"/>
      </w:tblGrid>
      <w:tr>
        <w:trPr>
          <w:trHeight w:val="476" w:hRule="exact"/>
        </w:trPr>
        <w:tc>
          <w:tcPr>
            <w:tcW w:w="3188"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378" w:type="dxa"/>
            <w:gridSpan w:val="2"/>
            <w:tcBorders>
              <w:top w:val="single" w:sz="12" w:space="0" w:color="000000"/>
              <w:left w:val="single" w:sz="6" w:space="0" w:color="000000"/>
              <w:bottom w:val="single" w:sz="6" w:space="0" w:color="000000"/>
              <w:right w:val="single" w:sz="12" w:space="0" w:color="000000"/>
            </w:tcBorders>
            <w:shd w:val="clear" w:color="auto" w:fill="D7D7D7"/>
          </w:tcPr>
          <w:p>
            <w:pPr>
              <w:pStyle w:val="TableParagraph"/>
              <w:spacing w:line="240" w:lineRule="auto" w:before="79"/>
              <w:ind w:left="1922" w:right="0"/>
              <w:jc w:val="left"/>
              <w:rPr>
                <w:rFonts w:ascii="宋体" w:hAnsi="宋体" w:cs="宋体" w:eastAsia="宋体" w:hint="default"/>
                <w:sz w:val="18"/>
                <w:szCs w:val="18"/>
              </w:rPr>
            </w:pPr>
            <w:r>
              <w:rPr>
                <w:rFonts w:ascii="宋体" w:hAnsi="宋体" w:cs="宋体" w:eastAsia="宋体" w:hint="default"/>
                <w:sz w:val="18"/>
                <w:szCs w:val="18"/>
              </w:rPr>
              <w:t>北京中农信达信息技术有限公司</w:t>
            </w:r>
          </w:p>
        </w:tc>
      </w:tr>
      <w:tr>
        <w:trPr>
          <w:trHeight w:val="468" w:hRule="exact"/>
        </w:trPr>
        <w:tc>
          <w:tcPr>
            <w:tcW w:w="3188" w:type="dxa"/>
            <w:vMerge/>
            <w:tcBorders>
              <w:left w:val="single" w:sz="12" w:space="0" w:color="000000"/>
              <w:bottom w:val="single" w:sz="6" w:space="0" w:color="000000"/>
              <w:right w:val="single" w:sz="6" w:space="0" w:color="000000"/>
            </w:tcBorders>
            <w:shd w:val="clear" w:color="auto" w:fill="D9D9D9"/>
          </w:tcPr>
          <w:p>
            <w:pPr/>
          </w:p>
        </w:tc>
        <w:tc>
          <w:tcPr>
            <w:tcW w:w="3188"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0"/>
              <w:ind w:left="957"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1" w:type="dxa"/>
            <w:tcBorders>
              <w:top w:val="single" w:sz="6" w:space="0" w:color="000000"/>
              <w:left w:val="single" w:sz="6" w:space="0" w:color="000000"/>
              <w:bottom w:val="single" w:sz="6" w:space="0" w:color="000000"/>
              <w:right w:val="single" w:sz="12" w:space="0" w:color="000000"/>
            </w:tcBorders>
            <w:shd w:val="clear" w:color="auto" w:fill="D7D7D7"/>
          </w:tcPr>
          <w:p>
            <w:pPr>
              <w:pStyle w:val="TableParagraph"/>
              <w:spacing w:line="240" w:lineRule="auto" w:before="80"/>
              <w:ind w:left="95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68" w:hRule="exact"/>
        </w:trPr>
        <w:tc>
          <w:tcPr>
            <w:tcW w:w="318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52"/>
              <w:ind w:left="9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121,666,854.55</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106,091,908.42</w:t>
            </w:r>
          </w:p>
        </w:tc>
      </w:tr>
      <w:tr>
        <w:trPr>
          <w:trHeight w:val="470" w:hRule="exact"/>
        </w:trPr>
        <w:tc>
          <w:tcPr>
            <w:tcW w:w="318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52"/>
              <w:ind w:left="9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5,493,116.45</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5,493,116.45</w:t>
            </w:r>
          </w:p>
        </w:tc>
      </w:tr>
      <w:tr>
        <w:trPr>
          <w:trHeight w:val="468" w:hRule="exact"/>
        </w:trPr>
        <w:tc>
          <w:tcPr>
            <w:tcW w:w="318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49"/>
              <w:ind w:left="9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96,459,405.16</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96,459,405.16</w:t>
            </w:r>
          </w:p>
        </w:tc>
      </w:tr>
      <w:tr>
        <w:trPr>
          <w:trHeight w:val="470" w:hRule="exact"/>
        </w:trPr>
        <w:tc>
          <w:tcPr>
            <w:tcW w:w="318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52"/>
              <w:ind w:left="9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1,913,940.90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1,838,994.77</w:t>
            </w:r>
          </w:p>
        </w:tc>
      </w:tr>
      <w:tr>
        <w:trPr>
          <w:trHeight w:val="469" w:hRule="exact"/>
        </w:trPr>
        <w:tc>
          <w:tcPr>
            <w:tcW w:w="318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50"/>
              <w:ind w:left="9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15,500,000.00</w:t>
            </w: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318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52"/>
              <w:ind w:left="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2,300,392.04</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2,300,392.04</w:t>
            </w:r>
          </w:p>
        </w:tc>
      </w:tr>
      <w:tr>
        <w:trPr>
          <w:trHeight w:val="468" w:hRule="exact"/>
        </w:trPr>
        <w:tc>
          <w:tcPr>
            <w:tcW w:w="318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49"/>
              <w:ind w:left="9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57,679,846.27</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57,679,846.27</w:t>
            </w:r>
          </w:p>
        </w:tc>
      </w:tr>
      <w:tr>
        <w:trPr>
          <w:trHeight w:val="468" w:hRule="exact"/>
        </w:trPr>
        <w:tc>
          <w:tcPr>
            <w:tcW w:w="318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49"/>
              <w:ind w:left="93"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51,362,319.67</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51,362,319.67</w:t>
            </w:r>
          </w:p>
        </w:tc>
      </w:tr>
      <w:tr>
        <w:trPr>
          <w:trHeight w:val="470" w:hRule="exact"/>
        </w:trPr>
        <w:tc>
          <w:tcPr>
            <w:tcW w:w="318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52"/>
              <w:ind w:left="9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2,336,241.92</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2,336,241.92</w:t>
            </w:r>
          </w:p>
        </w:tc>
      </w:tr>
      <w:tr>
        <w:trPr>
          <w:trHeight w:val="468" w:hRule="exact"/>
        </w:trPr>
        <w:tc>
          <w:tcPr>
            <w:tcW w:w="318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49"/>
              <w:ind w:left="9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3,911,284.68</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3,911,284.68</w:t>
            </w:r>
          </w:p>
        </w:tc>
      </w:tr>
      <w:tr>
        <w:trPr>
          <w:trHeight w:val="470" w:hRule="exact"/>
        </w:trPr>
        <w:tc>
          <w:tcPr>
            <w:tcW w:w="318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52"/>
              <w:ind w:left="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70,000.00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70,000.00</w:t>
            </w:r>
          </w:p>
        </w:tc>
      </w:tr>
      <w:tr>
        <w:trPr>
          <w:trHeight w:val="468" w:hRule="exact"/>
        </w:trPr>
        <w:tc>
          <w:tcPr>
            <w:tcW w:w="318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49"/>
              <w:ind w:left="9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63,987,008.28</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48,412,062.15</w:t>
            </w:r>
          </w:p>
        </w:tc>
      </w:tr>
      <w:tr>
        <w:trPr>
          <w:trHeight w:val="476"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50"/>
              <w:ind w:left="93"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63,987,008.28</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48,412,062.15</w:t>
            </w:r>
          </w:p>
        </w:tc>
      </w:tr>
    </w:tbl>
    <w:p>
      <w:pPr>
        <w:spacing w:line="316" w:lineRule="auto" w:before="10"/>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注：中农信达于购买日可辨认净资产公允价值系依据北京中同华资产评估有限公司出具的中同华评报字（</w:t>
      </w:r>
      <w:r>
        <w:rPr>
          <w:rFonts w:ascii="宋体" w:hAnsi="宋体" w:cs="宋体" w:eastAsia="宋体" w:hint="default"/>
          <w:spacing w:val="-4"/>
          <w:sz w:val="18"/>
          <w:szCs w:val="18"/>
        </w:rPr>
        <w:t>2015</w:t>
      </w:r>
      <w:r>
        <w:rPr>
          <w:rFonts w:ascii="宋体" w:hAnsi="宋体" w:cs="宋体" w:eastAsia="宋体" w:hint="default"/>
          <w:spacing w:val="-4"/>
          <w:sz w:val="18"/>
          <w:szCs w:val="18"/>
        </w:rPr>
        <w:t>）第</w:t>
      </w:r>
      <w:r>
        <w:rPr>
          <w:rFonts w:ascii="宋体" w:hAnsi="宋体" w:cs="宋体" w:eastAsia="宋体" w:hint="default"/>
          <w:spacing w:val="-4"/>
          <w:sz w:val="18"/>
          <w:szCs w:val="18"/>
        </w:rPr>
        <w:t>121</w:t>
      </w:r>
      <w:r>
        <w:rPr>
          <w:rFonts w:ascii="宋体" w:hAnsi="宋体" w:cs="宋体" w:eastAsia="宋体" w:hint="default"/>
          <w:spacing w:val="-4"/>
          <w:sz w:val="18"/>
          <w:szCs w:val="18"/>
        </w:rPr>
        <w:t>号《神</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州数码信息服务股份有限公司合并对价分摊涉及的北京中农信达信息技术有限公司可辨认的净资产评估项目资产评估报告 书》，其评估方法为资产基础法。</w:t>
      </w:r>
    </w:p>
    <w:p>
      <w:pPr>
        <w:spacing w:line="240" w:lineRule="auto" w:before="3"/>
        <w:rPr>
          <w:rFonts w:ascii="宋体" w:hAnsi="宋体" w:cs="宋体" w:eastAsia="宋体" w:hint="default"/>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2"/>
        <w:rPr>
          <w:rFonts w:ascii="宋体" w:hAnsi="宋体" w:cs="宋体" w:eastAsia="宋体" w:hint="default"/>
          <w:b/>
          <w:bCs/>
          <w:sz w:val="16"/>
          <w:szCs w:val="16"/>
        </w:rPr>
      </w:pPr>
    </w:p>
    <w:p>
      <w:pPr>
        <w:pStyle w:val="BodyText"/>
        <w:spacing w:line="408" w:lineRule="auto"/>
        <w:ind w:right="0" w:firstLine="420"/>
        <w:jc w:val="left"/>
      </w:pPr>
      <w:r>
        <w:rPr>
          <w:rFonts w:ascii="宋体" w:hAnsi="宋体" w:cs="宋体" w:eastAsia="宋体" w:hint="default"/>
          <w:spacing w:val="-2"/>
        </w:rPr>
        <w:t>2014</w:t>
      </w:r>
      <w:r>
        <w:rPr>
          <w:spacing w:val="-2"/>
        </w:rPr>
        <w:t>年，本公司之子公司神州数码系统集成服务有限公司与成都文化博雅投资有限公司、成都勤智数</w:t>
      </w:r>
      <w:r>
        <w:rPr>
          <w:w w:val="100"/>
        </w:rPr>
        <w:t> </w:t>
      </w:r>
      <w:r>
        <w:rPr/>
        <w:t>码科技股份有限公司共同组建成立北京神州数码锐行快捷信息技术服务有限公司，出资比例</w:t>
      </w:r>
      <w:r>
        <w:rPr>
          <w:rFonts w:ascii="宋体" w:hAnsi="宋体" w:cs="宋体" w:eastAsia="宋体" w:hint="default"/>
        </w:rPr>
        <w:t>65%</w:t>
      </w:r>
      <w:r>
        <w:rPr/>
        <w:t>，并按照</w:t>
      </w:r>
      <w:r>
        <w:rPr>
          <w:w w:val="100"/>
        </w:rPr>
        <w:t> </w:t>
      </w:r>
      <w:r>
        <w:rPr/>
        <w:t>出资比例行使表决权比例。本期合并范围增加此公司。</w:t>
      </w:r>
    </w:p>
    <w:p>
      <w:pPr>
        <w:pStyle w:val="Heading2"/>
        <w:spacing w:line="240" w:lineRule="auto" w:before="110"/>
        <w:ind w:right="0"/>
        <w:jc w:val="left"/>
        <w:rPr>
          <w:b w:val="0"/>
          <w:bCs w:val="0"/>
        </w:rPr>
      </w:pPr>
      <w:r>
        <w:rPr/>
        <w:t>九、在其他主体中的权益</w:t>
      </w:r>
      <w:r>
        <w:rPr>
          <w:b w:val="0"/>
          <w:bCs w:val="0"/>
        </w:rPr>
      </w:r>
    </w:p>
    <w:p>
      <w:pPr>
        <w:pStyle w:val="Heading4"/>
        <w:spacing w:line="240" w:lineRule="auto" w:before="201"/>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pStyle w:val="Heading4"/>
        <w:spacing w:line="240" w:lineRule="auto" w:before="189"/>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3"/>
        <w:rPr>
          <w:rFonts w:ascii="宋体" w:hAnsi="宋体" w:cs="宋体" w:eastAsia="宋体" w:hint="default"/>
          <w:b/>
          <w:bCs/>
          <w:sz w:val="11"/>
          <w:szCs w:val="11"/>
        </w:rPr>
      </w:pPr>
    </w:p>
    <w:tbl>
      <w:tblPr>
        <w:tblW w:w="0" w:type="auto"/>
        <w:jc w:val="left"/>
        <w:tblInd w:w="138" w:type="dxa"/>
        <w:tblLayout w:type="fixed"/>
        <w:tblCellMar>
          <w:top w:w="0" w:type="dxa"/>
          <w:left w:w="0" w:type="dxa"/>
          <w:bottom w:w="0" w:type="dxa"/>
          <w:right w:w="0" w:type="dxa"/>
        </w:tblCellMar>
        <w:tblLook w:val="01E0"/>
      </w:tblPr>
      <w:tblGrid>
        <w:gridCol w:w="3687"/>
        <w:gridCol w:w="804"/>
        <w:gridCol w:w="612"/>
        <w:gridCol w:w="1135"/>
        <w:gridCol w:w="709"/>
        <w:gridCol w:w="710"/>
        <w:gridCol w:w="2012"/>
      </w:tblGrid>
      <w:tr>
        <w:trPr>
          <w:trHeight w:val="478" w:hRule="exact"/>
        </w:trPr>
        <w:tc>
          <w:tcPr>
            <w:tcW w:w="3687"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3"/>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804" w:type="dxa"/>
            <w:vMerge w:val="restart"/>
            <w:tcBorders>
              <w:top w:val="single" w:sz="12" w:space="0" w:color="000000"/>
              <w:left w:val="single" w:sz="6" w:space="0" w:color="000000"/>
              <w:right w:val="single" w:sz="6" w:space="0" w:color="000000"/>
            </w:tcBorders>
            <w:shd w:val="clear" w:color="auto" w:fill="D2D2D2"/>
          </w:tcPr>
          <w:p>
            <w:pPr>
              <w:pStyle w:val="TableParagraph"/>
              <w:spacing w:line="405" w:lineRule="auto" w:before="159"/>
              <w:ind w:left="124" w:right="123" w:firstLine="91"/>
              <w:jc w:val="left"/>
              <w:rPr>
                <w:rFonts w:ascii="宋体" w:hAnsi="宋体" w:cs="宋体" w:eastAsia="宋体" w:hint="default"/>
                <w:sz w:val="18"/>
                <w:szCs w:val="18"/>
              </w:rPr>
            </w:pPr>
            <w:r>
              <w:rPr>
                <w:rFonts w:ascii="宋体" w:hAnsi="宋体" w:cs="宋体" w:eastAsia="宋体" w:hint="default"/>
                <w:sz w:val="18"/>
                <w:szCs w:val="18"/>
              </w:rPr>
              <w:t>主要 经营地</w:t>
            </w:r>
          </w:p>
        </w:tc>
        <w:tc>
          <w:tcPr>
            <w:tcW w:w="612"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5"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9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19"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3"/>
              <w:ind w:left="34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012"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63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68" w:hRule="exact"/>
        </w:trPr>
        <w:tc>
          <w:tcPr>
            <w:tcW w:w="3687" w:type="dxa"/>
            <w:vMerge/>
            <w:tcBorders>
              <w:left w:val="single" w:sz="12" w:space="0" w:color="000000"/>
              <w:bottom w:val="single" w:sz="6" w:space="0" w:color="000000"/>
              <w:right w:val="single" w:sz="6" w:space="0" w:color="000000"/>
            </w:tcBorders>
            <w:shd w:val="clear" w:color="auto" w:fill="D2D2D2"/>
          </w:tcPr>
          <w:p>
            <w:pPr/>
          </w:p>
        </w:tc>
        <w:tc>
          <w:tcPr>
            <w:tcW w:w="804" w:type="dxa"/>
            <w:vMerge/>
            <w:tcBorders>
              <w:left w:val="single" w:sz="6" w:space="0" w:color="000000"/>
              <w:bottom w:val="single" w:sz="6" w:space="0" w:color="000000"/>
              <w:right w:val="single" w:sz="6" w:space="0" w:color="000000"/>
            </w:tcBorders>
            <w:shd w:val="clear" w:color="auto" w:fill="D2D2D2"/>
          </w:tcPr>
          <w:p>
            <w:pPr/>
          </w:p>
        </w:tc>
        <w:tc>
          <w:tcPr>
            <w:tcW w:w="612" w:type="dxa"/>
            <w:vMerge/>
            <w:tcBorders>
              <w:left w:val="single" w:sz="6" w:space="0" w:color="000000"/>
              <w:bottom w:val="single" w:sz="6" w:space="0" w:color="000000"/>
              <w:right w:val="single" w:sz="6" w:space="0" w:color="000000"/>
            </w:tcBorders>
            <w:shd w:val="clear" w:color="auto" w:fill="D2D2D2"/>
          </w:tcPr>
          <w:p>
            <w:pPr/>
          </w:p>
        </w:tc>
        <w:tc>
          <w:tcPr>
            <w:tcW w:w="1135" w:type="dxa"/>
            <w:vMerge/>
            <w:tcBorders>
              <w:left w:val="single" w:sz="6" w:space="0" w:color="000000"/>
              <w:bottom w:val="single" w:sz="6" w:space="0" w:color="000000"/>
              <w:right w:val="single" w:sz="6" w:space="0" w:color="000000"/>
            </w:tcBorders>
            <w:shd w:val="clear" w:color="auto" w:fill="D2D2D2"/>
          </w:tcPr>
          <w:p>
            <w:pPr/>
          </w:p>
        </w:tc>
        <w:tc>
          <w:tcPr>
            <w:tcW w:w="7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3"/>
              <w:ind w:left="1"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3"/>
              <w:ind w:left="167"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012" w:type="dxa"/>
            <w:vMerge/>
            <w:tcBorders>
              <w:left w:val="single" w:sz="6" w:space="0" w:color="000000"/>
              <w:bottom w:val="single" w:sz="6" w:space="0" w:color="000000"/>
              <w:right w:val="single" w:sz="12" w:space="0" w:color="000000"/>
            </w:tcBorders>
            <w:shd w:val="clear" w:color="auto" w:fill="D2D2D2"/>
          </w:tcPr>
          <w:p>
            <w:pPr/>
          </w:p>
        </w:tc>
      </w:tr>
      <w:tr>
        <w:trPr>
          <w:trHeight w:val="475" w:hRule="exact"/>
        </w:trPr>
        <w:tc>
          <w:tcPr>
            <w:tcW w:w="368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c>
          <w:tcPr>
            <w:tcW w:w="8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6" w:space="0" w:color="000000"/>
              <w:left w:val="single" w:sz="6" w:space="0" w:color="000000"/>
              <w:bottom w:val="single" w:sz="12" w:space="0" w:color="000000"/>
              <w:right w:val="single" w:sz="6" w:space="0" w:color="000000"/>
            </w:tcBorders>
          </w:tcPr>
          <w:p>
            <w:pPr/>
          </w:p>
        </w:tc>
        <w:tc>
          <w:tcPr>
            <w:tcW w:w="20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3"/>
              <w:ind w:left="98"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after="0" w:line="240" w:lineRule="auto"/>
        <w:jc w:val="left"/>
        <w:rPr>
          <w:rFonts w:ascii="宋体" w:hAnsi="宋体" w:cs="宋体" w:eastAsia="宋体" w:hint="default"/>
          <w:sz w:val="18"/>
          <w:szCs w:val="18"/>
        </w:rPr>
        <w:sectPr>
          <w:pgSz w:w="11910" w:h="16840"/>
          <w:pgMar w:header="0" w:footer="1227" w:top="1100" w:bottom="1420" w:left="980" w:right="960"/>
        </w:sectPr>
      </w:pPr>
    </w:p>
    <w:p>
      <w:pPr>
        <w:spacing w:line="240" w:lineRule="auto" w:before="8"/>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3687"/>
        <w:gridCol w:w="804"/>
        <w:gridCol w:w="612"/>
        <w:gridCol w:w="1135"/>
        <w:gridCol w:w="709"/>
        <w:gridCol w:w="710"/>
        <w:gridCol w:w="2012"/>
      </w:tblGrid>
      <w:tr>
        <w:trPr>
          <w:trHeight w:val="824" w:hRule="exact"/>
        </w:trPr>
        <w:tc>
          <w:tcPr>
            <w:tcW w:w="368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北京中农信达信息技术有限公司</w:t>
            </w:r>
          </w:p>
        </w:tc>
        <w:tc>
          <w:tcPr>
            <w:tcW w:w="8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364" w:lineRule="auto" w:before="119"/>
              <w:ind w:left="21" w:right="19"/>
              <w:jc w:val="left"/>
              <w:rPr>
                <w:rFonts w:ascii="宋体" w:hAnsi="宋体" w:cs="宋体" w:eastAsia="宋体" w:hint="default"/>
                <w:sz w:val="18"/>
                <w:szCs w:val="18"/>
              </w:rPr>
            </w:pPr>
            <w:r>
              <w:rPr>
                <w:rFonts w:ascii="宋体" w:hAnsi="宋体" w:cs="宋体" w:eastAsia="宋体" w:hint="default"/>
                <w:sz w:val="18"/>
                <w:szCs w:val="18"/>
              </w:rPr>
              <w:t>测绘服务、软 件销售</w:t>
            </w:r>
          </w:p>
        </w:tc>
        <w:tc>
          <w:tcPr>
            <w:tcW w:w="7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12" w:space="0" w:color="000000"/>
              <w:left w:val="single" w:sz="6" w:space="0" w:color="000000"/>
              <w:bottom w:val="single" w:sz="6" w:space="0" w:color="000000"/>
              <w:right w:val="single" w:sz="6" w:space="0" w:color="000000"/>
            </w:tcBorders>
          </w:tcPr>
          <w:p>
            <w:pPr/>
          </w:p>
        </w:tc>
        <w:tc>
          <w:tcPr>
            <w:tcW w:w="201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68"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昆明中农信息技术有限公司</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70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6"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70"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上海神州数码信息技术服务有限公司</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70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6"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68"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神州数码信息系统（无锡）有限公司</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信息系统</w:t>
            </w:r>
          </w:p>
        </w:tc>
        <w:tc>
          <w:tcPr>
            <w:tcW w:w="70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6"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68"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神州数码国信信息技术（苏州）有限公司</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70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6"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81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神州数码金信科技股份有限公司</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118"/>
              <w:ind w:left="21" w:right="197"/>
              <w:jc w:val="left"/>
              <w:rPr>
                <w:rFonts w:ascii="宋体" w:hAnsi="宋体" w:cs="宋体" w:eastAsia="宋体" w:hint="default"/>
                <w:sz w:val="18"/>
                <w:szCs w:val="18"/>
              </w:rPr>
            </w:pPr>
            <w:r>
              <w:rPr>
                <w:rFonts w:ascii="宋体" w:hAnsi="宋体" w:cs="宋体" w:eastAsia="宋体" w:hint="default"/>
                <w:sz w:val="18"/>
                <w:szCs w:val="18"/>
              </w:rPr>
              <w:t>金融专用设 备销售</w:t>
            </w:r>
          </w:p>
        </w:tc>
        <w:tc>
          <w:tcPr>
            <w:tcW w:w="70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817"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南京神州金信电子科技有限公司</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367" w:lineRule="auto" w:before="116"/>
              <w:ind w:left="21" w:right="197"/>
              <w:jc w:val="left"/>
              <w:rPr>
                <w:rFonts w:ascii="宋体" w:hAnsi="宋体" w:cs="宋体" w:eastAsia="宋体" w:hint="default"/>
                <w:sz w:val="18"/>
                <w:szCs w:val="18"/>
              </w:rPr>
            </w:pPr>
            <w:r>
              <w:rPr>
                <w:rFonts w:ascii="宋体" w:hAnsi="宋体" w:cs="宋体" w:eastAsia="宋体" w:hint="default"/>
                <w:sz w:val="18"/>
                <w:szCs w:val="18"/>
              </w:rPr>
              <w:t>金融专用设 备销售</w:t>
            </w:r>
          </w:p>
        </w:tc>
        <w:tc>
          <w:tcPr>
            <w:tcW w:w="70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814"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广州神州金信电子科技有限公司</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367" w:lineRule="auto" w:before="116"/>
              <w:ind w:left="21" w:right="197"/>
              <w:jc w:val="left"/>
              <w:rPr>
                <w:rFonts w:ascii="宋体" w:hAnsi="宋体" w:cs="宋体" w:eastAsia="宋体" w:hint="default"/>
                <w:sz w:val="18"/>
                <w:szCs w:val="18"/>
              </w:rPr>
            </w:pPr>
            <w:r>
              <w:rPr>
                <w:rFonts w:ascii="宋体" w:hAnsi="宋体" w:cs="宋体" w:eastAsia="宋体" w:hint="default"/>
                <w:sz w:val="18"/>
                <w:szCs w:val="18"/>
              </w:rPr>
              <w:t>金融专用设 备销售</w:t>
            </w:r>
          </w:p>
        </w:tc>
        <w:tc>
          <w:tcPr>
            <w:tcW w:w="70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70"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神州数码信息系统有限公司</w:t>
            </w:r>
            <w:r>
              <w:rPr>
                <w:rFonts w:ascii="Times New Roman" w:hAnsi="Times New Roman" w:cs="Times New Roman" w:eastAsia="Times New Roman" w:hint="default"/>
                <w:sz w:val="18"/>
                <w:szCs w:val="18"/>
              </w:rPr>
              <w:t>*1</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信息系统</w:t>
            </w:r>
          </w:p>
        </w:tc>
        <w:tc>
          <w:tcPr>
            <w:tcW w:w="70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46.00%</w:t>
            </w:r>
          </w:p>
        </w:tc>
        <w:tc>
          <w:tcPr>
            <w:tcW w:w="2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6"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68"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神州数码信息系统（扬州）有限公司</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信息系统</w:t>
            </w:r>
          </w:p>
        </w:tc>
        <w:tc>
          <w:tcPr>
            <w:tcW w:w="70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6"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68"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神州数码信息系统（佛山）有限公司</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信息系统</w:t>
            </w:r>
          </w:p>
        </w:tc>
        <w:tc>
          <w:tcPr>
            <w:tcW w:w="70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6"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70"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神州数码信息系统（海南）有限公司</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信息系统</w:t>
            </w:r>
          </w:p>
        </w:tc>
        <w:tc>
          <w:tcPr>
            <w:tcW w:w="70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5"/>
              <w:ind w:left="6"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68"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DigitalChinaSoftware(BVI)Limited</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BVI</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BVI</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70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6"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70"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深圳神州数码信息技术服务有限公司</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70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6"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814"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DigitalChinaAdvancedSystemsLimited</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367" w:lineRule="auto" w:before="116"/>
              <w:ind w:left="21" w:right="197"/>
              <w:jc w:val="left"/>
              <w:rPr>
                <w:rFonts w:ascii="宋体" w:hAnsi="宋体" w:cs="宋体" w:eastAsia="宋体" w:hint="default"/>
                <w:sz w:val="18"/>
                <w:szCs w:val="18"/>
              </w:rPr>
            </w:pPr>
            <w:r>
              <w:rPr>
                <w:rFonts w:ascii="宋体" w:hAnsi="宋体" w:cs="宋体" w:eastAsia="宋体" w:hint="default"/>
                <w:sz w:val="18"/>
                <w:szCs w:val="18"/>
              </w:rPr>
              <w:t>系统集成分 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70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70"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DigitalChinaGuoFengHoldingLimited</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70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6"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814"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DigitalChinaFinancialServiceHoldingLimited</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367" w:lineRule="auto" w:before="116"/>
              <w:ind w:left="21" w:right="19"/>
              <w:jc w:val="left"/>
              <w:rPr>
                <w:rFonts w:ascii="宋体" w:hAnsi="宋体" w:cs="宋体" w:eastAsia="宋体" w:hint="default"/>
                <w:sz w:val="18"/>
                <w:szCs w:val="18"/>
              </w:rPr>
            </w:pPr>
            <w:r>
              <w:rPr>
                <w:rFonts w:ascii="宋体" w:hAnsi="宋体" w:cs="宋体" w:eastAsia="宋体" w:hint="default"/>
                <w:sz w:val="18"/>
                <w:szCs w:val="18"/>
              </w:rPr>
              <w:t>投资控股、技 术服务</w:t>
            </w:r>
          </w:p>
        </w:tc>
        <w:tc>
          <w:tcPr>
            <w:tcW w:w="70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70"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神州数码融信软件有限公司</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70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6"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69"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西安</w:t>
            </w:r>
            <w:r>
              <w:rPr>
                <w:rFonts w:ascii="Times New Roman" w:hAnsi="Times New Roman" w:cs="Times New Roman" w:eastAsia="Times New Roman" w:hint="default"/>
                <w:sz w:val="18"/>
                <w:szCs w:val="18"/>
              </w:rPr>
              <w:t>)</w:t>
            </w:r>
            <w:r>
              <w:rPr>
                <w:rFonts w:ascii="宋体" w:hAnsi="宋体" w:cs="宋体" w:eastAsia="宋体" w:hint="default"/>
                <w:sz w:val="18"/>
                <w:szCs w:val="18"/>
              </w:rPr>
              <w:t>软件有限公司</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21"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21"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21"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70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4"/>
              <w:ind w:left="6"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821" w:hRule="exact"/>
        </w:trPr>
        <w:tc>
          <w:tcPr>
            <w:tcW w:w="368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北京神州数码锐行快捷信息技术服务有限公司</w:t>
            </w:r>
          </w:p>
        </w:tc>
        <w:tc>
          <w:tcPr>
            <w:tcW w:w="8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367" w:lineRule="auto" w:before="116"/>
              <w:ind w:left="21" w:right="197"/>
              <w:jc w:val="left"/>
              <w:rPr>
                <w:rFonts w:ascii="宋体" w:hAnsi="宋体" w:cs="宋体" w:eastAsia="宋体" w:hint="default"/>
                <w:sz w:val="18"/>
                <w:szCs w:val="18"/>
              </w:rPr>
            </w:pPr>
            <w:r>
              <w:rPr>
                <w:rFonts w:ascii="宋体" w:hAnsi="宋体" w:cs="宋体" w:eastAsia="宋体" w:hint="default"/>
                <w:sz w:val="18"/>
                <w:szCs w:val="18"/>
              </w:rPr>
              <w:t>信息技术服 务</w:t>
            </w:r>
          </w:p>
        </w:tc>
        <w:tc>
          <w:tcPr>
            <w:tcW w:w="709" w:type="dxa"/>
            <w:tcBorders>
              <w:top w:val="single" w:sz="6" w:space="0" w:color="000000"/>
              <w:left w:val="single" w:sz="6" w:space="0" w:color="000000"/>
              <w:bottom w:val="single" w:sz="12" w:space="0" w:color="000000"/>
              <w:right w:val="single" w:sz="6" w:space="0" w:color="000000"/>
            </w:tcBorders>
          </w:tcPr>
          <w:p>
            <w:pP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65.00%</w:t>
            </w:r>
          </w:p>
        </w:tc>
        <w:tc>
          <w:tcPr>
            <w:tcW w:w="20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240" w:lineRule="auto" w:before="66"/>
        <w:ind w:left="573" w:right="98"/>
        <w:jc w:val="left"/>
      </w:pPr>
      <w:r>
        <w:rPr/>
        <w:t>持有半数或以下表决权但仍控制被投资单位、以及持有半数以上表决权但不控制被投资单位的依据：</w:t>
      </w:r>
    </w:p>
    <w:p>
      <w:pPr>
        <w:pStyle w:val="BodyText"/>
        <w:spacing w:line="314" w:lineRule="auto" w:before="171"/>
        <w:ind w:right="98"/>
        <w:jc w:val="left"/>
      </w:pPr>
      <w:r>
        <w:rPr>
          <w:rFonts w:ascii="宋体" w:hAnsi="宋体" w:cs="宋体" w:eastAsia="宋体" w:hint="default"/>
        </w:rPr>
        <w:t>*1</w:t>
      </w:r>
      <w:r>
        <w:rPr/>
        <w:t>、本公司对神州数码信息系统有限公司（以下简称信息系统公司）持股比例</w:t>
      </w:r>
      <w:r>
        <w:rPr>
          <w:rFonts w:ascii="宋体" w:hAnsi="宋体" w:cs="宋体" w:eastAsia="宋体" w:hint="default"/>
        </w:rPr>
        <w:t>46%</w:t>
      </w:r>
      <w:r>
        <w:rPr/>
        <w:t>，但由于本公司为信息</w:t>
      </w:r>
      <w:r>
        <w:rPr>
          <w:w w:val="100"/>
        </w:rPr>
        <w:t> </w:t>
      </w:r>
      <w:r>
        <w:rPr>
          <w:spacing w:val="-2"/>
        </w:rPr>
        <w:t>系统公司的第一大股东，且信息系统公司董事会成员中半数以上系本公司推荐，故本公司在信息系统公司</w:t>
      </w:r>
      <w:r>
        <w:rPr>
          <w:spacing w:val="-43"/>
        </w:rPr>
        <w:t> </w:t>
      </w:r>
      <w:r>
        <w:rPr>
          <w:spacing w:val="-43"/>
        </w:rPr>
      </w:r>
      <w:r>
        <w:rPr/>
        <w:t>有多数表决权。</w:t>
      </w:r>
    </w:p>
    <w:p>
      <w:pPr>
        <w:spacing w:after="0" w:line="314" w:lineRule="auto"/>
        <w:jc w:val="left"/>
        <w:sectPr>
          <w:pgSz w:w="11910" w:h="16840"/>
          <w:pgMar w:header="0" w:footer="1227" w:top="1100" w:bottom="1420" w:left="980" w:right="920"/>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13"/>
          <w:szCs w:val="1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2252"/>
        <w:gridCol w:w="1579"/>
        <w:gridCol w:w="1913"/>
        <w:gridCol w:w="1913"/>
        <w:gridCol w:w="1916"/>
      </w:tblGrid>
      <w:tr>
        <w:trPr>
          <w:trHeight w:val="878" w:hRule="exact"/>
        </w:trPr>
        <w:tc>
          <w:tcPr>
            <w:tcW w:w="225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57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60"/>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67" w:lineRule="auto" w:before="145"/>
              <w:ind w:left="770" w:right="46"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67" w:lineRule="auto" w:before="145"/>
              <w:ind w:left="592" w:right="44"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54" w:hRule="exact"/>
        </w:trPr>
        <w:tc>
          <w:tcPr>
            <w:tcW w:w="22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6"/>
              <w:ind w:right="39"/>
              <w:jc w:val="center"/>
              <w:rPr>
                <w:rFonts w:ascii="宋体" w:hAnsi="宋体" w:cs="宋体" w:eastAsia="宋体" w:hint="default"/>
                <w:sz w:val="18"/>
                <w:szCs w:val="18"/>
              </w:rPr>
            </w:pPr>
            <w:r>
              <w:rPr>
                <w:rFonts w:ascii="宋体" w:hAnsi="宋体" w:cs="宋体" w:eastAsia="宋体" w:hint="default"/>
                <w:sz w:val="18"/>
                <w:szCs w:val="18"/>
              </w:rPr>
              <w:t>神州数码信息系统有限公司</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4"/>
              <w:jc w:val="right"/>
              <w:rPr>
                <w:rFonts w:ascii="Times New Roman" w:hAnsi="Times New Roman" w:cs="Times New Roman" w:eastAsia="Times New Roman" w:hint="default"/>
                <w:sz w:val="18"/>
                <w:szCs w:val="18"/>
              </w:rPr>
            </w:pPr>
            <w:r>
              <w:rPr>
                <w:rFonts w:ascii="Times New Roman"/>
                <w:sz w:val="18"/>
              </w:rPr>
              <w:t>54.00%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8,709,466.72</w:t>
            </w:r>
          </w:p>
        </w:tc>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30,648,808.93</w:t>
            </w:r>
          </w:p>
        </w:tc>
      </w:tr>
      <w:tr>
        <w:trPr>
          <w:trHeight w:val="821" w:hRule="exact"/>
        </w:trPr>
        <w:tc>
          <w:tcPr>
            <w:tcW w:w="2252" w:type="dxa"/>
            <w:tcBorders>
              <w:top w:val="single" w:sz="6" w:space="0" w:color="000000"/>
              <w:left w:val="single" w:sz="12" w:space="0" w:color="000000"/>
              <w:bottom w:val="single" w:sz="12" w:space="0" w:color="000000"/>
              <w:right w:val="single" w:sz="6" w:space="0" w:color="000000"/>
            </w:tcBorders>
          </w:tcPr>
          <w:p>
            <w:pPr>
              <w:pStyle w:val="TableParagraph"/>
              <w:spacing w:line="364" w:lineRule="auto" w:before="118"/>
              <w:ind w:left="14" w:right="53"/>
              <w:jc w:val="left"/>
              <w:rPr>
                <w:rFonts w:ascii="宋体" w:hAnsi="宋体" w:cs="宋体" w:eastAsia="宋体" w:hint="default"/>
                <w:sz w:val="18"/>
                <w:szCs w:val="18"/>
              </w:rPr>
            </w:pPr>
            <w:r>
              <w:rPr>
                <w:rFonts w:ascii="宋体" w:hAnsi="宋体" w:cs="宋体" w:eastAsia="宋体" w:hint="default"/>
                <w:sz w:val="18"/>
                <w:szCs w:val="18"/>
              </w:rPr>
              <w:t>北京神州数码锐行快捷信息 技术服务有限公司</w:t>
            </w: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-1,115,970.04</w:t>
            </w:r>
          </w:p>
        </w:tc>
        <w:tc>
          <w:tcPr>
            <w:tcW w:w="1913" w:type="dxa"/>
            <w:tcBorders>
              <w:top w:val="single" w:sz="6" w:space="0" w:color="000000"/>
              <w:left w:val="single" w:sz="6" w:space="0" w:color="000000"/>
              <w:bottom w:val="single" w:sz="12" w:space="0" w:color="000000"/>
              <w:right w:val="single" w:sz="6" w:space="0" w:color="000000"/>
            </w:tcBorders>
          </w:tcPr>
          <w:p>
            <w:pPr/>
          </w:p>
        </w:tc>
        <w:tc>
          <w:tcPr>
            <w:tcW w:w="19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984,029.96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3"/>
        <w:rPr>
          <w:rFonts w:ascii="宋体" w:hAnsi="宋体" w:cs="宋体" w:eastAsia="宋体" w:hint="default"/>
          <w:sz w:val="28"/>
          <w:szCs w:val="28"/>
        </w:rPr>
      </w:pPr>
    </w:p>
    <w:p>
      <w:pPr>
        <w:pStyle w:val="Heading4"/>
        <w:spacing w:line="240" w:lineRule="auto"/>
        <w:ind w:left="140" w:right="0"/>
        <w:jc w:val="left"/>
        <w:rPr>
          <w:b w:val="0"/>
          <w:bCs w:val="0"/>
        </w:rPr>
      </w:pPr>
      <w:r>
        <w:rPr/>
        <w:pict>
          <v:group style="position:absolute;margin-left:70.559998pt;margin-top:-3.216318pt;width:700.9pt;height:.1pt;mso-position-horizontal-relative:page;mso-position-vertical-relative:paragraph;z-index:1768" coordorigin="1411,-64" coordsize="14018,2">
            <v:shape style="position:absolute;left:1411;top:-64;width:14018;height:2" coordorigin="1411,-64" coordsize="14018,0" path="m1411,-64l15429,-64e" filled="false" stroked="true" strokeweight=".72pt" strokecolor="#000000">
              <v:path arrowok="t"/>
            </v:shape>
            <w10:wrap type="none"/>
          </v:group>
        </w:pict>
      </w:r>
      <w:r>
        <w:rPr>
          <w:spacing w:val="-1"/>
        </w:rPr>
        <w:t>（</w:t>
      </w:r>
      <w:r>
        <w:rPr>
          <w:rFonts w:ascii="Times New Roman" w:hAnsi="Times New Roman" w:cs="Times New Roman" w:eastAsia="Times New Roman" w:hint="default"/>
          <w:spacing w:val="-1"/>
        </w:rPr>
        <w:t>3</w:t>
      </w:r>
      <w:r>
        <w:rPr>
          <w:spacing w:val="-1"/>
        </w:rPr>
        <w:t>）重要非全资子公司的主要财务信息</w:t>
      </w:r>
      <w:r>
        <w:rPr>
          <w:b w:val="0"/>
          <w:bCs w:val="0"/>
          <w:spacing w:val="-1"/>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63"/>
          <w:footerReference w:type="default" r:id="rId64"/>
          <w:pgSz w:w="16840" w:h="11910" w:orient="landscape"/>
          <w:pgMar w:header="0" w:footer="0" w:top="800" w:bottom="280" w:left="1300" w:right="1300"/>
          <w:cols w:num="2" w:equalWidth="0">
            <w:col w:w="3832" w:space="5896"/>
            <w:col w:w="4512"/>
          </w:cols>
        </w:sectPr>
      </w:pPr>
    </w:p>
    <w:p>
      <w:pPr>
        <w:spacing w:line="240" w:lineRule="auto" w:before="4"/>
        <w:rPr>
          <w:rFonts w:ascii="宋体" w:hAnsi="宋体" w:cs="宋体" w:eastAsia="宋体" w:hint="default"/>
          <w:sz w:val="27"/>
          <w:szCs w:val="27"/>
        </w:rPr>
      </w:pPr>
    </w:p>
    <w:p>
      <w:pPr>
        <w:spacing w:before="44"/>
        <w:ind w:left="0" w:right="23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028"/>
        <w:gridCol w:w="1025"/>
        <w:gridCol w:w="1027"/>
        <w:gridCol w:w="1025"/>
        <w:gridCol w:w="1027"/>
        <w:gridCol w:w="1022"/>
        <w:gridCol w:w="1025"/>
        <w:gridCol w:w="1025"/>
        <w:gridCol w:w="1022"/>
        <w:gridCol w:w="1025"/>
        <w:gridCol w:w="1028"/>
        <w:gridCol w:w="1025"/>
        <w:gridCol w:w="1027"/>
      </w:tblGrid>
      <w:tr>
        <w:trPr>
          <w:trHeight w:val="455" w:hRule="exact"/>
        </w:trPr>
        <w:tc>
          <w:tcPr>
            <w:tcW w:w="1028"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152" w:type="dxa"/>
            <w:gridSpan w:val="6"/>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6"/>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152" w:type="dxa"/>
            <w:gridSpan w:val="6"/>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6"/>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64" w:hRule="exact"/>
        </w:trPr>
        <w:tc>
          <w:tcPr>
            <w:tcW w:w="1028" w:type="dxa"/>
            <w:vMerge/>
            <w:tcBorders>
              <w:left w:val="single" w:sz="12" w:space="0" w:color="000000"/>
              <w:bottom w:val="single" w:sz="6" w:space="0" w:color="000000"/>
              <w:right w:val="single" w:sz="6" w:space="0" w:color="000000"/>
            </w:tcBorders>
            <w:shd w:val="clear" w:color="auto" w:fill="D2D2D2"/>
          </w:tcPr>
          <w:p>
            <w:pPr/>
          </w:p>
        </w:tc>
        <w:tc>
          <w:tcPr>
            <w:tcW w:w="10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left="14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right="55"/>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10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left="14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left="146"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非流动负债</w:t>
            </w:r>
          </w:p>
        </w:tc>
        <w:tc>
          <w:tcPr>
            <w:tcW w:w="10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left="14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0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0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right="53"/>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10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0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0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right="55"/>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027"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27"/>
              <w:ind w:left="7" w:right="0"/>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1184" w:hRule="exact"/>
        </w:trPr>
        <w:tc>
          <w:tcPr>
            <w:tcW w:w="1028" w:type="dxa"/>
            <w:tcBorders>
              <w:top w:val="single" w:sz="6" w:space="0" w:color="000000"/>
              <w:left w:val="single" w:sz="12" w:space="0" w:color="000000"/>
              <w:bottom w:val="single" w:sz="6" w:space="0" w:color="000000"/>
              <w:right w:val="single" w:sz="6" w:space="0" w:color="000000"/>
            </w:tcBorders>
          </w:tcPr>
          <w:p>
            <w:pPr>
              <w:pStyle w:val="TableParagraph"/>
              <w:spacing w:line="367" w:lineRule="auto" w:before="124"/>
              <w:ind w:left="14" w:right="89"/>
              <w:jc w:val="both"/>
              <w:rPr>
                <w:rFonts w:ascii="宋体" w:hAnsi="宋体" w:cs="宋体" w:eastAsia="宋体" w:hint="default"/>
                <w:sz w:val="18"/>
                <w:szCs w:val="18"/>
              </w:rPr>
            </w:pPr>
            <w:r>
              <w:rPr>
                <w:rFonts w:ascii="宋体" w:hAnsi="宋体" w:cs="宋体" w:eastAsia="宋体" w:hint="default"/>
                <w:sz w:val="18"/>
                <w:szCs w:val="18"/>
              </w:rPr>
              <w:t>神州数码信 息系统有限 公司</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425,453,357.02</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39,613,424.83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465,066,781.85</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381,897,898.35</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center"/>
              <w:rPr>
                <w:rFonts w:ascii="Times New Roman" w:hAnsi="Times New Roman" w:cs="Times New Roman" w:eastAsia="Times New Roman" w:hint="default"/>
                <w:sz w:val="15"/>
                <w:szCs w:val="15"/>
              </w:rPr>
            </w:pPr>
            <w:r>
              <w:rPr>
                <w:rFonts w:ascii="Times New Roman"/>
                <w:sz w:val="15"/>
              </w:rPr>
              <w:t>23,755,897.65</w:t>
            </w:r>
          </w:p>
        </w:tc>
        <w:tc>
          <w:tcPr>
            <w:tcW w:w="1025"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405,653,796.00</w:t>
            </w:r>
          </w:p>
        </w:tc>
        <w:tc>
          <w:tcPr>
            <w:tcW w:w="1025"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 w:right="0"/>
              <w:jc w:val="center"/>
              <w:rPr>
                <w:rFonts w:ascii="Times New Roman" w:hAnsi="Times New Roman" w:cs="Times New Roman" w:eastAsia="Times New Roman" w:hint="default"/>
                <w:sz w:val="15"/>
                <w:szCs w:val="15"/>
              </w:rPr>
            </w:pPr>
            <w:r>
              <w:rPr>
                <w:rFonts w:ascii="Times New Roman"/>
                <w:sz w:val="15"/>
              </w:rPr>
              <w:t>727,966,751.34</w:t>
            </w:r>
          </w:p>
        </w:tc>
        <w:tc>
          <w:tcPr>
            <w:tcW w:w="1022"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33,648,742.09</w:t>
            </w:r>
          </w:p>
        </w:tc>
        <w:tc>
          <w:tcPr>
            <w:tcW w:w="1025"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9" w:right="0"/>
              <w:jc w:val="center"/>
              <w:rPr>
                <w:rFonts w:ascii="Times New Roman" w:hAnsi="Times New Roman" w:cs="Times New Roman" w:eastAsia="Times New Roman" w:hint="default"/>
                <w:sz w:val="15"/>
                <w:szCs w:val="15"/>
              </w:rPr>
            </w:pPr>
            <w:r>
              <w:rPr>
                <w:rFonts w:ascii="Times New Roman"/>
                <w:sz w:val="15"/>
              </w:rPr>
              <w:t>761,615,493.43</w:t>
            </w:r>
          </w:p>
        </w:tc>
        <w:tc>
          <w:tcPr>
            <w:tcW w:w="1028"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center"/>
              <w:rPr>
                <w:rFonts w:ascii="Times New Roman" w:hAnsi="Times New Roman" w:cs="Times New Roman" w:eastAsia="Times New Roman" w:hint="default"/>
                <w:sz w:val="15"/>
                <w:szCs w:val="15"/>
              </w:rPr>
            </w:pPr>
            <w:r>
              <w:rPr>
                <w:rFonts w:ascii="Times New Roman"/>
                <w:sz w:val="15"/>
              </w:rPr>
              <w:t>691,693,360.56</w:t>
            </w:r>
          </w:p>
        </w:tc>
        <w:tc>
          <w:tcPr>
            <w:tcW w:w="1025"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26,637,789.09</w:t>
            </w:r>
          </w:p>
        </w:tc>
        <w:tc>
          <w:tcPr>
            <w:tcW w:w="1027" w:type="dxa"/>
            <w:tcBorders>
              <w:top w:val="single" w:sz="9"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8" w:right="0"/>
              <w:jc w:val="center"/>
              <w:rPr>
                <w:rFonts w:ascii="Times New Roman" w:hAnsi="Times New Roman" w:cs="Times New Roman" w:eastAsia="Times New Roman" w:hint="default"/>
                <w:sz w:val="15"/>
                <w:szCs w:val="15"/>
              </w:rPr>
            </w:pPr>
            <w:r>
              <w:rPr>
                <w:rFonts w:ascii="Times New Roman"/>
                <w:sz w:val="15"/>
              </w:rPr>
              <w:t>718,331,149.65</w:t>
            </w:r>
          </w:p>
        </w:tc>
      </w:tr>
      <w:tr>
        <w:trPr>
          <w:trHeight w:val="1541" w:hRule="exact"/>
        </w:trPr>
        <w:tc>
          <w:tcPr>
            <w:tcW w:w="1028" w:type="dxa"/>
            <w:tcBorders>
              <w:top w:val="single" w:sz="6" w:space="0" w:color="000000"/>
              <w:left w:val="single" w:sz="12" w:space="0" w:color="000000"/>
              <w:bottom w:val="single" w:sz="12" w:space="0" w:color="000000"/>
              <w:right w:val="single" w:sz="6" w:space="0" w:color="000000"/>
            </w:tcBorders>
          </w:tcPr>
          <w:p>
            <w:pPr>
              <w:pStyle w:val="TableParagraph"/>
              <w:spacing w:line="367" w:lineRule="auto" w:before="116"/>
              <w:ind w:left="14" w:right="89"/>
              <w:jc w:val="both"/>
              <w:rPr>
                <w:rFonts w:ascii="宋体" w:hAnsi="宋体" w:cs="宋体" w:eastAsia="宋体" w:hint="default"/>
                <w:sz w:val="18"/>
                <w:szCs w:val="18"/>
              </w:rPr>
            </w:pPr>
            <w:r>
              <w:rPr>
                <w:rFonts w:ascii="宋体" w:hAnsi="宋体" w:cs="宋体" w:eastAsia="宋体" w:hint="default"/>
                <w:sz w:val="18"/>
                <w:szCs w:val="18"/>
              </w:rPr>
              <w:t>北京神州数 码锐行快捷 信息技术服 务有限公司</w:t>
            </w:r>
          </w:p>
        </w:tc>
        <w:tc>
          <w:tcPr>
            <w:tcW w:w="10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6,605,295.46</w:t>
            </w:r>
          </w:p>
        </w:tc>
        <w:tc>
          <w:tcPr>
            <w:tcW w:w="10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254,217.81</w:t>
            </w:r>
          </w:p>
        </w:tc>
        <w:tc>
          <w:tcPr>
            <w:tcW w:w="10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6,859,513.27</w:t>
            </w:r>
          </w:p>
        </w:tc>
        <w:tc>
          <w:tcPr>
            <w:tcW w:w="10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2"/>
                <w:sz w:val="15"/>
              </w:rPr>
              <w:t>4,047,999.11</w:t>
            </w:r>
          </w:p>
        </w:tc>
        <w:tc>
          <w:tcPr>
            <w:tcW w:w="1022" w:type="dxa"/>
            <w:tcBorders>
              <w:top w:val="single" w:sz="6" w:space="0" w:color="000000"/>
              <w:left w:val="single" w:sz="6" w:space="0" w:color="000000"/>
              <w:bottom w:val="single" w:sz="12" w:space="0" w:color="000000"/>
              <w:right w:val="single" w:sz="6" w:space="0" w:color="000000"/>
            </w:tcBorders>
          </w:tcPr>
          <w:p>
            <w:pPr/>
          </w:p>
        </w:tc>
        <w:tc>
          <w:tcPr>
            <w:tcW w:w="10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2"/>
                <w:sz w:val="15"/>
              </w:rPr>
              <w:t>4,047,999.11</w:t>
            </w:r>
          </w:p>
        </w:tc>
        <w:tc>
          <w:tcPr>
            <w:tcW w:w="1025" w:type="dxa"/>
            <w:tcBorders>
              <w:top w:val="single" w:sz="6" w:space="0" w:color="000000"/>
              <w:left w:val="single" w:sz="6" w:space="0" w:color="000000"/>
              <w:bottom w:val="single" w:sz="12" w:space="0" w:color="000000"/>
              <w:right w:val="single" w:sz="6" w:space="0" w:color="000000"/>
            </w:tcBorders>
          </w:tcPr>
          <w:p>
            <w:pPr/>
          </w:p>
        </w:tc>
        <w:tc>
          <w:tcPr>
            <w:tcW w:w="1022" w:type="dxa"/>
            <w:tcBorders>
              <w:top w:val="single" w:sz="6" w:space="0" w:color="000000"/>
              <w:left w:val="single" w:sz="6" w:space="0" w:color="000000"/>
              <w:bottom w:val="single" w:sz="12" w:space="0" w:color="000000"/>
              <w:right w:val="single" w:sz="6" w:space="0" w:color="000000"/>
            </w:tcBorders>
          </w:tcPr>
          <w:p>
            <w:pPr/>
          </w:p>
        </w:tc>
        <w:tc>
          <w:tcPr>
            <w:tcW w:w="1025" w:type="dxa"/>
            <w:tcBorders>
              <w:top w:val="single" w:sz="6" w:space="0" w:color="000000"/>
              <w:left w:val="single" w:sz="6" w:space="0" w:color="000000"/>
              <w:bottom w:val="single" w:sz="12" w:space="0" w:color="000000"/>
              <w:right w:val="single" w:sz="6" w:space="0" w:color="000000"/>
            </w:tcBorders>
          </w:tcPr>
          <w:p>
            <w:pPr/>
          </w:p>
        </w:tc>
        <w:tc>
          <w:tcPr>
            <w:tcW w:w="1028" w:type="dxa"/>
            <w:tcBorders>
              <w:top w:val="single" w:sz="6" w:space="0" w:color="000000"/>
              <w:left w:val="single" w:sz="6" w:space="0" w:color="000000"/>
              <w:bottom w:val="single" w:sz="12" w:space="0" w:color="000000"/>
              <w:right w:val="single" w:sz="6" w:space="0" w:color="000000"/>
            </w:tcBorders>
          </w:tcPr>
          <w:p>
            <w:pPr/>
          </w:p>
        </w:tc>
        <w:tc>
          <w:tcPr>
            <w:tcW w:w="1025" w:type="dxa"/>
            <w:tcBorders>
              <w:top w:val="single" w:sz="6" w:space="0" w:color="000000"/>
              <w:left w:val="single" w:sz="6" w:space="0" w:color="000000"/>
              <w:bottom w:val="single" w:sz="12" w:space="0" w:color="000000"/>
              <w:right w:val="single" w:sz="6" w:space="0" w:color="000000"/>
            </w:tcBorders>
          </w:tcPr>
          <w:p>
            <w:pPr/>
          </w:p>
        </w:tc>
        <w:tc>
          <w:tcPr>
            <w:tcW w:w="1027"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9"/>
        <w:rPr>
          <w:rFonts w:ascii="宋体" w:hAnsi="宋体" w:cs="宋体" w:eastAsia="宋体" w:hint="default"/>
          <w:sz w:val="5"/>
          <w:szCs w:val="5"/>
        </w:rPr>
      </w:pPr>
    </w:p>
    <w:p>
      <w:pPr>
        <w:spacing w:before="44"/>
        <w:ind w:left="0" w:right="23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7"/>
          <w:szCs w:val="7"/>
        </w:rPr>
      </w:pPr>
    </w:p>
    <w:tbl>
      <w:tblPr>
        <w:tblW w:w="0" w:type="auto"/>
        <w:jc w:val="left"/>
        <w:tblInd w:w="125" w:type="dxa"/>
        <w:tblLayout w:type="fixed"/>
        <w:tblCellMar>
          <w:top w:w="0" w:type="dxa"/>
          <w:left w:w="0" w:type="dxa"/>
          <w:bottom w:w="0" w:type="dxa"/>
          <w:right w:w="0" w:type="dxa"/>
        </w:tblCellMar>
        <w:tblLook w:val="01E0"/>
      </w:tblPr>
      <w:tblGrid>
        <w:gridCol w:w="1476"/>
        <w:gridCol w:w="1478"/>
        <w:gridCol w:w="1479"/>
        <w:gridCol w:w="1481"/>
        <w:gridCol w:w="1484"/>
        <w:gridCol w:w="1478"/>
        <w:gridCol w:w="1478"/>
        <w:gridCol w:w="1479"/>
        <w:gridCol w:w="1486"/>
      </w:tblGrid>
      <w:tr>
        <w:trPr>
          <w:trHeight w:val="460" w:hRule="exact"/>
        </w:trPr>
        <w:tc>
          <w:tcPr>
            <w:tcW w:w="1476"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5922" w:type="dxa"/>
            <w:gridSpan w:val="4"/>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921" w:type="dxa"/>
            <w:gridSpan w:val="4"/>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817" w:hRule="exact"/>
        </w:trPr>
        <w:tc>
          <w:tcPr>
            <w:tcW w:w="1476" w:type="dxa"/>
            <w:vMerge/>
            <w:tcBorders>
              <w:left w:val="single" w:sz="12" w:space="0" w:color="000000"/>
              <w:bottom w:val="single" w:sz="6" w:space="0" w:color="000000"/>
              <w:right w:val="single" w:sz="6" w:space="0" w:color="000000"/>
            </w:tcBorders>
            <w:shd w:val="clear" w:color="auto" w:fill="D2D2D2"/>
          </w:tcPr>
          <w:p>
            <w:pPr/>
          </w:p>
        </w:tc>
        <w:tc>
          <w:tcPr>
            <w:tcW w:w="14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4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67" w:lineRule="auto" w:before="119"/>
              <w:ind w:left="643" w:right="105" w:hanging="540"/>
              <w:jc w:val="left"/>
              <w:rPr>
                <w:rFonts w:ascii="宋体" w:hAnsi="宋体" w:cs="宋体" w:eastAsia="宋体" w:hint="default"/>
                <w:sz w:val="18"/>
                <w:szCs w:val="18"/>
              </w:rPr>
            </w:pPr>
            <w:r>
              <w:rPr>
                <w:rFonts w:ascii="宋体" w:hAnsi="宋体" w:cs="宋体" w:eastAsia="宋体" w:hint="default"/>
                <w:sz w:val="18"/>
                <w:szCs w:val="18"/>
              </w:rPr>
              <w:t>经营活动现金流 量</w:t>
            </w:r>
          </w:p>
        </w:tc>
        <w:tc>
          <w:tcPr>
            <w:tcW w:w="14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486"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367" w:lineRule="auto" w:before="119"/>
              <w:ind w:left="645" w:right="96" w:hanging="540"/>
              <w:jc w:val="left"/>
              <w:rPr>
                <w:rFonts w:ascii="宋体" w:hAnsi="宋体" w:cs="宋体" w:eastAsia="宋体" w:hint="default"/>
                <w:sz w:val="18"/>
                <w:szCs w:val="18"/>
              </w:rPr>
            </w:pPr>
            <w:r>
              <w:rPr>
                <w:rFonts w:ascii="宋体" w:hAnsi="宋体" w:cs="宋体" w:eastAsia="宋体" w:hint="default"/>
                <w:sz w:val="18"/>
                <w:szCs w:val="18"/>
              </w:rPr>
              <w:t>经营活动现金流 量</w:t>
            </w:r>
          </w:p>
        </w:tc>
      </w:tr>
      <w:tr>
        <w:trPr>
          <w:trHeight w:val="817" w:hRule="exact"/>
        </w:trPr>
        <w:tc>
          <w:tcPr>
            <w:tcW w:w="1476" w:type="dxa"/>
            <w:tcBorders>
              <w:top w:val="single" w:sz="6" w:space="0" w:color="000000"/>
              <w:left w:val="single" w:sz="12" w:space="0" w:color="000000"/>
              <w:bottom w:val="single" w:sz="6" w:space="0" w:color="000000"/>
              <w:right w:val="single" w:sz="6" w:space="0" w:color="000000"/>
            </w:tcBorders>
          </w:tcPr>
          <w:p>
            <w:pPr>
              <w:pStyle w:val="TableParagraph"/>
              <w:spacing w:line="364" w:lineRule="auto" w:before="119"/>
              <w:ind w:left="14" w:right="178"/>
              <w:jc w:val="left"/>
              <w:rPr>
                <w:rFonts w:ascii="宋体" w:hAnsi="宋体" w:cs="宋体" w:eastAsia="宋体" w:hint="default"/>
                <w:sz w:val="18"/>
                <w:szCs w:val="18"/>
              </w:rPr>
            </w:pPr>
            <w:r>
              <w:rPr>
                <w:rFonts w:ascii="宋体" w:hAnsi="宋体" w:cs="宋体" w:eastAsia="宋体" w:hint="default"/>
                <w:sz w:val="18"/>
                <w:szCs w:val="18"/>
              </w:rPr>
              <w:t>神州数码信息系 统有限公司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617,056,419.53</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16,128,642.07</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16,128,642.07</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-283,333,500.37</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885,696,042.46</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-22,968,034.21</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-22,968,034.21</w:t>
            </w:r>
          </w:p>
        </w:tc>
        <w:tc>
          <w:tcPr>
            <w:tcW w:w="14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103,096,349.00</w:t>
            </w:r>
          </w:p>
        </w:tc>
      </w:tr>
      <w:tr>
        <w:trPr>
          <w:trHeight w:val="1181" w:hRule="exact"/>
        </w:trPr>
        <w:tc>
          <w:tcPr>
            <w:tcW w:w="1476" w:type="dxa"/>
            <w:tcBorders>
              <w:top w:val="single" w:sz="6" w:space="0" w:color="000000"/>
              <w:left w:val="single" w:sz="12" w:space="0" w:color="000000"/>
              <w:bottom w:val="single" w:sz="12" w:space="0" w:color="000000"/>
              <w:right w:val="single" w:sz="6" w:space="0" w:color="000000"/>
            </w:tcBorders>
          </w:tcPr>
          <w:p>
            <w:pPr>
              <w:pStyle w:val="TableParagraph"/>
              <w:spacing w:line="367" w:lineRule="auto" w:before="116"/>
              <w:ind w:left="14" w:right="178"/>
              <w:jc w:val="both"/>
              <w:rPr>
                <w:rFonts w:ascii="宋体" w:hAnsi="宋体" w:cs="宋体" w:eastAsia="宋体" w:hint="default"/>
                <w:sz w:val="18"/>
                <w:szCs w:val="18"/>
              </w:rPr>
            </w:pPr>
            <w:r>
              <w:rPr>
                <w:rFonts w:ascii="宋体" w:hAnsi="宋体" w:cs="宋体" w:eastAsia="宋体" w:hint="default"/>
                <w:sz w:val="18"/>
                <w:szCs w:val="18"/>
              </w:rPr>
              <w:t>北京神州数码锐 行快捷信息技术 服务有限公司</w:t>
            </w:r>
          </w:p>
        </w:tc>
        <w:tc>
          <w:tcPr>
            <w:tcW w:w="14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2,610,235.32</w:t>
            </w:r>
          </w:p>
        </w:tc>
        <w:tc>
          <w:tcPr>
            <w:tcW w:w="14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-3,188,485.84</w:t>
            </w:r>
          </w:p>
        </w:tc>
        <w:tc>
          <w:tcPr>
            <w:tcW w:w="14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-3,188,485.84</w:t>
            </w:r>
          </w:p>
        </w:tc>
        <w:tc>
          <w:tcPr>
            <w:tcW w:w="14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108,681.71</w:t>
            </w:r>
          </w:p>
        </w:tc>
        <w:tc>
          <w:tcPr>
            <w:tcW w:w="1478" w:type="dxa"/>
            <w:tcBorders>
              <w:top w:val="single" w:sz="6" w:space="0" w:color="000000"/>
              <w:left w:val="single" w:sz="6" w:space="0" w:color="000000"/>
              <w:bottom w:val="single" w:sz="12" w:space="0" w:color="000000"/>
              <w:right w:val="single" w:sz="6" w:space="0" w:color="000000"/>
            </w:tcBorders>
          </w:tcPr>
          <w:p>
            <w:pPr/>
          </w:p>
        </w:tc>
        <w:tc>
          <w:tcPr>
            <w:tcW w:w="1478" w:type="dxa"/>
            <w:tcBorders>
              <w:top w:val="single" w:sz="6" w:space="0" w:color="000000"/>
              <w:left w:val="single" w:sz="6" w:space="0" w:color="000000"/>
              <w:bottom w:val="single" w:sz="12" w:space="0" w:color="000000"/>
              <w:right w:val="single" w:sz="6" w:space="0" w:color="000000"/>
            </w:tcBorders>
          </w:tcPr>
          <w:p>
            <w:pPr/>
          </w:p>
        </w:tc>
        <w:tc>
          <w:tcPr>
            <w:tcW w:w="1479" w:type="dxa"/>
            <w:tcBorders>
              <w:top w:val="single" w:sz="6" w:space="0" w:color="000000"/>
              <w:left w:val="single" w:sz="6" w:space="0" w:color="000000"/>
              <w:bottom w:val="single" w:sz="12" w:space="0" w:color="000000"/>
              <w:right w:val="single" w:sz="6" w:space="0" w:color="000000"/>
            </w:tcBorders>
          </w:tcPr>
          <w:p>
            <w:pPr/>
          </w:p>
        </w:tc>
        <w:tc>
          <w:tcPr>
            <w:tcW w:w="148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76"/>
        <w:ind w:left="6965" w:right="6963" w:firstLine="0"/>
        <w:jc w:val="center"/>
        <w:rPr>
          <w:rFonts w:ascii="Times New Roman" w:hAnsi="Times New Roman" w:cs="Times New Roman" w:eastAsia="Times New Roman" w:hint="default"/>
          <w:sz w:val="18"/>
          <w:szCs w:val="18"/>
        </w:rPr>
      </w:pPr>
      <w:r>
        <w:rPr>
          <w:rFonts w:ascii="Times New Roman"/>
          <w:sz w:val="18"/>
        </w:rPr>
        <w:t>187</w:t>
      </w:r>
    </w:p>
    <w:p>
      <w:pPr>
        <w:spacing w:after="0"/>
        <w:jc w:val="center"/>
        <w:rPr>
          <w:rFonts w:ascii="Times New Roman" w:hAnsi="Times New Roman" w:cs="Times New Roman" w:eastAsia="Times New Roman" w:hint="default"/>
          <w:sz w:val="18"/>
          <w:szCs w:val="18"/>
        </w:rPr>
        <w:sectPr>
          <w:type w:val="continuous"/>
          <w:pgSz w:w="16840" w:h="11910" w:orient="landscape"/>
          <w:pgMar w:top="1060" w:bottom="1420" w:left="1300" w:right="1300"/>
        </w:sectPr>
      </w:pPr>
    </w:p>
    <w:p>
      <w:pPr>
        <w:spacing w:line="240" w:lineRule="auto" w:before="6"/>
        <w:rPr>
          <w:rFonts w:ascii="Times New Roman" w:hAnsi="Times New Roman" w:cs="Times New Roman" w:eastAsia="Times New Roman" w:hint="default"/>
          <w:sz w:val="28"/>
          <w:szCs w:val="28"/>
        </w:rPr>
      </w:pPr>
    </w:p>
    <w:p>
      <w:pPr>
        <w:pStyle w:val="Heading4"/>
        <w:spacing w:line="240" w:lineRule="auto" w:before="36"/>
        <w:ind w:right="14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370"/>
        <w:gridCol w:w="1369"/>
        <w:gridCol w:w="1366"/>
        <w:gridCol w:w="1368"/>
        <w:gridCol w:w="1369"/>
        <w:gridCol w:w="1260"/>
        <w:gridCol w:w="1472"/>
      </w:tblGrid>
      <w:tr>
        <w:trPr>
          <w:trHeight w:val="462" w:hRule="exact"/>
        </w:trPr>
        <w:tc>
          <w:tcPr>
            <w:tcW w:w="1370"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364" w:lineRule="auto"/>
              <w:ind w:left="311" w:right="45"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629"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7"/>
              <w:ind w:left="1"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472" w:type="dxa"/>
            <w:vMerge w:val="restart"/>
            <w:tcBorders>
              <w:top w:val="single" w:sz="12" w:space="0" w:color="000000"/>
              <w:left w:val="single" w:sz="6" w:space="0" w:color="000000"/>
              <w:right w:val="single" w:sz="12" w:space="0" w:color="000000"/>
            </w:tcBorders>
            <w:shd w:val="clear" w:color="auto" w:fill="D2D2D2"/>
          </w:tcPr>
          <w:p>
            <w:pPr>
              <w:pStyle w:val="TableParagraph"/>
              <w:spacing w:line="364" w:lineRule="auto" w:before="117"/>
              <w:ind w:left="98" w:right="89"/>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720" w:hRule="exact"/>
        </w:trPr>
        <w:tc>
          <w:tcPr>
            <w:tcW w:w="1370" w:type="dxa"/>
            <w:vMerge/>
            <w:tcBorders>
              <w:left w:val="single" w:sz="12" w:space="0" w:color="000000"/>
              <w:bottom w:val="single" w:sz="6" w:space="0" w:color="000000"/>
              <w:right w:val="single" w:sz="6" w:space="0" w:color="000000"/>
            </w:tcBorders>
            <w:shd w:val="clear" w:color="auto" w:fill="D2D2D2"/>
          </w:tcPr>
          <w:p>
            <w:pPr/>
          </w:p>
        </w:tc>
        <w:tc>
          <w:tcPr>
            <w:tcW w:w="1369"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8" w:type="dxa"/>
            <w:vMerge/>
            <w:tcBorders>
              <w:left w:val="single" w:sz="6" w:space="0" w:color="000000"/>
              <w:bottom w:val="single" w:sz="6" w:space="0" w:color="000000"/>
              <w:right w:val="single" w:sz="6" w:space="0" w:color="000000"/>
            </w:tcBorders>
            <w:shd w:val="clear" w:color="auto" w:fill="D2D2D2"/>
          </w:tcPr>
          <w:p>
            <w:pPr/>
          </w:p>
        </w:tc>
        <w:tc>
          <w:tcPr>
            <w:tcW w:w="13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2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472" w:type="dxa"/>
            <w:vMerge/>
            <w:tcBorders>
              <w:left w:val="single" w:sz="6" w:space="0" w:color="000000"/>
              <w:bottom w:val="single" w:sz="6" w:space="0" w:color="000000"/>
              <w:right w:val="single" w:sz="12" w:space="0" w:color="000000"/>
            </w:tcBorders>
            <w:shd w:val="clear" w:color="auto" w:fill="D2D2D2"/>
          </w:tcPr>
          <w:p>
            <w:pPr/>
          </w:p>
        </w:tc>
      </w:tr>
      <w:tr>
        <w:trPr>
          <w:trHeight w:val="821" w:hRule="exact"/>
        </w:trPr>
        <w:tc>
          <w:tcPr>
            <w:tcW w:w="1370" w:type="dxa"/>
            <w:tcBorders>
              <w:top w:val="single" w:sz="6" w:space="0" w:color="000000"/>
              <w:left w:val="single" w:sz="12" w:space="0" w:color="000000"/>
              <w:bottom w:val="single" w:sz="12" w:space="0" w:color="000000"/>
              <w:right w:val="single" w:sz="6" w:space="0" w:color="000000"/>
            </w:tcBorders>
          </w:tcPr>
          <w:p>
            <w:pPr>
              <w:pStyle w:val="TableParagraph"/>
              <w:spacing w:line="367" w:lineRule="auto" w:before="116"/>
              <w:ind w:left="14" w:right="72"/>
              <w:jc w:val="left"/>
              <w:rPr>
                <w:rFonts w:ascii="宋体" w:hAnsi="宋体" w:cs="宋体" w:eastAsia="宋体" w:hint="default"/>
                <w:sz w:val="18"/>
                <w:szCs w:val="18"/>
              </w:rPr>
            </w:pPr>
            <w:r>
              <w:rPr>
                <w:rFonts w:ascii="宋体" w:hAnsi="宋体" w:cs="宋体" w:eastAsia="宋体" w:hint="default"/>
                <w:sz w:val="18"/>
                <w:szCs w:val="18"/>
              </w:rPr>
              <w:t>鼎捷软件股份有 限公司</w:t>
            </w: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软件研发、销售</w:t>
            </w:r>
          </w:p>
        </w:tc>
        <w:tc>
          <w:tcPr>
            <w:tcW w:w="1369" w:type="dxa"/>
            <w:tcBorders>
              <w:top w:val="single" w:sz="6" w:space="0" w:color="000000"/>
              <w:left w:val="single" w:sz="6" w:space="0" w:color="000000"/>
              <w:bottom w:val="single" w:sz="12" w:space="0" w:color="000000"/>
              <w:right w:val="single" w:sz="6" w:space="0" w:color="000000"/>
            </w:tcBorders>
          </w:tcPr>
          <w:p>
            <w:pP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671" w:right="0"/>
              <w:jc w:val="left"/>
              <w:rPr>
                <w:rFonts w:ascii="Times New Roman" w:hAnsi="Times New Roman" w:cs="Times New Roman" w:eastAsia="Times New Roman" w:hint="default"/>
                <w:sz w:val="18"/>
                <w:szCs w:val="18"/>
              </w:rPr>
            </w:pPr>
            <w:r>
              <w:rPr>
                <w:rFonts w:ascii="Times New Roman"/>
                <w:sz w:val="18"/>
              </w:rPr>
              <w:t>17.91%</w:t>
            </w:r>
          </w:p>
        </w:tc>
        <w:tc>
          <w:tcPr>
            <w:tcW w:w="147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9"/>
        <w:rPr>
          <w:rFonts w:ascii="宋体" w:hAnsi="宋体" w:cs="宋体" w:eastAsia="宋体" w:hint="default"/>
          <w:b/>
          <w:bCs/>
          <w:sz w:val="23"/>
          <w:szCs w:val="23"/>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3"/>
        <w:rPr>
          <w:rFonts w:ascii="宋体" w:hAnsi="宋体" w:cs="宋体" w:eastAsia="宋体" w:hint="default"/>
          <w:b/>
          <w:bCs/>
          <w:sz w:val="24"/>
          <w:szCs w:val="24"/>
        </w:rPr>
      </w:pPr>
    </w:p>
    <w:tbl>
      <w:tblPr>
        <w:tblW w:w="0" w:type="auto"/>
        <w:jc w:val="left"/>
        <w:tblInd w:w="124" w:type="dxa"/>
        <w:tblLayout w:type="fixed"/>
        <w:tblCellMar>
          <w:top w:w="0" w:type="dxa"/>
          <w:left w:w="0" w:type="dxa"/>
          <w:bottom w:w="0" w:type="dxa"/>
          <w:right w:w="0" w:type="dxa"/>
        </w:tblCellMar>
        <w:tblLook w:val="01E0"/>
      </w:tblPr>
      <w:tblGrid>
        <w:gridCol w:w="3219"/>
        <w:gridCol w:w="3219"/>
        <w:gridCol w:w="3222"/>
      </w:tblGrid>
      <w:tr>
        <w:trPr>
          <w:trHeight w:val="478" w:hRule="exact"/>
        </w:trPr>
        <w:tc>
          <w:tcPr>
            <w:tcW w:w="3219"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441" w:type="dxa"/>
            <w:gridSpan w:val="2"/>
            <w:tcBorders>
              <w:top w:val="single" w:sz="12" w:space="0" w:color="000000"/>
              <w:left w:val="single" w:sz="6" w:space="0" w:color="000000"/>
              <w:bottom w:val="single" w:sz="6" w:space="0" w:color="000000"/>
              <w:right w:val="single" w:sz="12" w:space="0" w:color="000000"/>
            </w:tcBorders>
            <w:shd w:val="clear" w:color="auto" w:fill="D7D7D7"/>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b/>
                <w:bCs/>
                <w:sz w:val="18"/>
                <w:szCs w:val="18"/>
              </w:rPr>
              <w:t>鼎捷软件股份有限公司</w:t>
            </w:r>
            <w:r>
              <w:rPr>
                <w:rFonts w:ascii="宋体" w:hAnsi="宋体" w:cs="宋体" w:eastAsia="宋体" w:hint="default"/>
                <w:sz w:val="18"/>
                <w:szCs w:val="18"/>
              </w:rPr>
            </w:r>
          </w:p>
        </w:tc>
      </w:tr>
      <w:tr>
        <w:trPr>
          <w:trHeight w:val="468" w:hRule="exact"/>
        </w:trPr>
        <w:tc>
          <w:tcPr>
            <w:tcW w:w="3219" w:type="dxa"/>
            <w:vMerge/>
            <w:tcBorders>
              <w:left w:val="single" w:sz="12" w:space="0" w:color="000000"/>
              <w:right w:val="single" w:sz="6" w:space="0" w:color="000000"/>
            </w:tcBorders>
            <w:shd w:val="clear" w:color="auto" w:fill="D9D9D9"/>
          </w:tcPr>
          <w:p>
            <w:pPr/>
          </w:p>
        </w:tc>
        <w:tc>
          <w:tcPr>
            <w:tcW w:w="3219"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
              <w:ind w:left="85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3222" w:type="dxa"/>
            <w:tcBorders>
              <w:top w:val="single" w:sz="6" w:space="0" w:color="000000"/>
              <w:left w:val="single" w:sz="6" w:space="0" w:color="000000"/>
              <w:bottom w:val="single" w:sz="6" w:space="0" w:color="000000"/>
              <w:right w:val="single" w:sz="12" w:space="0" w:color="000000"/>
            </w:tcBorders>
            <w:shd w:val="clear" w:color="auto" w:fill="D7D7D7"/>
          </w:tcPr>
          <w:p>
            <w:pPr>
              <w:pStyle w:val="TableParagraph"/>
              <w:spacing w:line="240" w:lineRule="auto" w:before="8"/>
              <w:ind w:left="85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68" w:hRule="exact"/>
        </w:trPr>
        <w:tc>
          <w:tcPr>
            <w:tcW w:w="3219" w:type="dxa"/>
            <w:vMerge/>
            <w:tcBorders>
              <w:left w:val="single" w:sz="12" w:space="0" w:color="000000"/>
              <w:bottom w:val="single" w:sz="6" w:space="0" w:color="000000"/>
              <w:right w:val="single" w:sz="6" w:space="0" w:color="000000"/>
            </w:tcBorders>
            <w:shd w:val="clear" w:color="auto" w:fill="D9D9D9"/>
          </w:tcPr>
          <w:p>
            <w:pPr/>
          </w:p>
        </w:tc>
        <w:tc>
          <w:tcPr>
            <w:tcW w:w="3219"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
              <w:ind w:left="5"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3222" w:type="dxa"/>
            <w:tcBorders>
              <w:top w:val="single" w:sz="6" w:space="0" w:color="000000"/>
              <w:left w:val="single" w:sz="6" w:space="0" w:color="000000"/>
              <w:bottom w:val="single" w:sz="6" w:space="0" w:color="000000"/>
              <w:right w:val="single" w:sz="12" w:space="0" w:color="000000"/>
            </w:tcBorders>
            <w:shd w:val="clear" w:color="auto" w:fill="D7D7D7"/>
          </w:tcPr>
          <w:p>
            <w:pPr>
              <w:pStyle w:val="TableParagraph"/>
              <w:spacing w:line="240" w:lineRule="auto" w:before="8"/>
              <w:ind w:left="9"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70"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1,250,188,524.99</w:t>
            </w:r>
          </w:p>
        </w:tc>
        <w:tc>
          <w:tcPr>
            <w:tcW w:w="32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778,878,135.74</w:t>
            </w:r>
          </w:p>
        </w:tc>
      </w:tr>
      <w:tr>
        <w:trPr>
          <w:trHeight w:val="468"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817,234,347.40</w:t>
            </w:r>
          </w:p>
        </w:tc>
        <w:tc>
          <w:tcPr>
            <w:tcW w:w="32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350,643,963.42</w:t>
            </w:r>
          </w:p>
        </w:tc>
      </w:tr>
      <w:tr>
        <w:trPr>
          <w:trHeight w:val="470"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225,621,884.23</w:t>
            </w:r>
          </w:p>
        </w:tc>
        <w:tc>
          <w:tcPr>
            <w:tcW w:w="32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226,756,725.25</w:t>
            </w:r>
          </w:p>
        </w:tc>
      </w:tr>
      <w:tr>
        <w:trPr>
          <w:trHeight w:val="468"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8"/>
              <w:ind w:left="9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1,475,810,409.22</w:t>
            </w:r>
          </w:p>
        </w:tc>
        <w:tc>
          <w:tcPr>
            <w:tcW w:w="32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1,005,634,860.99</w:t>
            </w:r>
          </w:p>
        </w:tc>
      </w:tr>
      <w:tr>
        <w:trPr>
          <w:trHeight w:val="468"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327,855,164.81</w:t>
            </w:r>
          </w:p>
        </w:tc>
        <w:tc>
          <w:tcPr>
            <w:tcW w:w="32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373,306,624.28</w:t>
            </w:r>
          </w:p>
        </w:tc>
      </w:tr>
      <w:tr>
        <w:trPr>
          <w:trHeight w:val="470"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1,205,064.10</w:t>
            </w:r>
          </w:p>
        </w:tc>
        <w:tc>
          <w:tcPr>
            <w:tcW w:w="32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2,580,261.68</w:t>
            </w:r>
          </w:p>
        </w:tc>
      </w:tr>
      <w:tr>
        <w:trPr>
          <w:trHeight w:val="468"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329,060,228.91</w:t>
            </w:r>
          </w:p>
        </w:tc>
        <w:tc>
          <w:tcPr>
            <w:tcW w:w="32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375,886,885.96</w:t>
            </w:r>
          </w:p>
        </w:tc>
      </w:tr>
      <w:tr>
        <w:trPr>
          <w:trHeight w:val="470"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52,947.79</w:t>
            </w:r>
          </w:p>
        </w:tc>
        <w:tc>
          <w:tcPr>
            <w:tcW w:w="32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-3,551,475.66</w:t>
            </w:r>
          </w:p>
        </w:tc>
      </w:tr>
      <w:tr>
        <w:trPr>
          <w:trHeight w:val="468"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1,146,697,232.52</w:t>
            </w:r>
          </w:p>
        </w:tc>
        <w:tc>
          <w:tcPr>
            <w:tcW w:w="32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633,299,450.69</w:t>
            </w:r>
          </w:p>
        </w:tc>
      </w:tr>
      <w:tr>
        <w:trPr>
          <w:trHeight w:val="470"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205,373,474.34</w:t>
            </w:r>
          </w:p>
        </w:tc>
        <w:tc>
          <w:tcPr>
            <w:tcW w:w="32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151,738,548.39</w:t>
            </w:r>
          </w:p>
        </w:tc>
      </w:tr>
      <w:tr>
        <w:trPr>
          <w:trHeight w:val="469"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7"/>
              <w:ind w:left="9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219" w:type="dxa"/>
            <w:tcBorders>
              <w:top w:val="single" w:sz="6" w:space="0" w:color="000000"/>
              <w:left w:val="single" w:sz="6" w:space="0" w:color="000000"/>
              <w:bottom w:val="single" w:sz="6" w:space="0" w:color="000000"/>
              <w:right w:val="single" w:sz="6" w:space="0" w:color="000000"/>
            </w:tcBorders>
          </w:tcPr>
          <w:p>
            <w:pPr/>
          </w:p>
        </w:tc>
        <w:tc>
          <w:tcPr>
            <w:tcW w:w="322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146,086,014.65</w:t>
            </w:r>
          </w:p>
        </w:tc>
        <w:tc>
          <w:tcPr>
            <w:tcW w:w="32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193,351,012.92</w:t>
            </w:r>
          </w:p>
        </w:tc>
      </w:tr>
      <w:tr>
        <w:trPr>
          <w:trHeight w:val="470"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219" w:type="dxa"/>
            <w:tcBorders>
              <w:top w:val="single" w:sz="6" w:space="0" w:color="000000"/>
              <w:left w:val="single" w:sz="6" w:space="0" w:color="000000"/>
              <w:bottom w:val="single" w:sz="6" w:space="0" w:color="000000"/>
              <w:right w:val="single" w:sz="6" w:space="0" w:color="000000"/>
            </w:tcBorders>
          </w:tcPr>
          <w:p>
            <w:pPr/>
          </w:p>
        </w:tc>
        <w:tc>
          <w:tcPr>
            <w:tcW w:w="322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219" w:type="dxa"/>
            <w:tcBorders>
              <w:top w:val="single" w:sz="6" w:space="0" w:color="000000"/>
              <w:left w:val="single" w:sz="6" w:space="0" w:color="000000"/>
              <w:bottom w:val="single" w:sz="6" w:space="0" w:color="000000"/>
              <w:right w:val="single" w:sz="6" w:space="0" w:color="000000"/>
            </w:tcBorders>
          </w:tcPr>
          <w:p>
            <w:pPr/>
          </w:p>
        </w:tc>
        <w:tc>
          <w:tcPr>
            <w:tcW w:w="3222"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351,459,488.99</w:t>
            </w:r>
          </w:p>
        </w:tc>
        <w:tc>
          <w:tcPr>
            <w:tcW w:w="32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345,089,561.31</w:t>
            </w:r>
          </w:p>
        </w:tc>
      </w:tr>
      <w:tr>
        <w:trPr>
          <w:trHeight w:val="638"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16" w:lineRule="auto" w:before="8"/>
              <w:ind w:left="93" w:right="104"/>
              <w:jc w:val="left"/>
              <w:rPr>
                <w:rFonts w:ascii="宋体" w:hAnsi="宋体" w:cs="宋体" w:eastAsia="宋体" w:hint="default"/>
                <w:sz w:val="18"/>
                <w:szCs w:val="18"/>
              </w:rPr>
            </w:pPr>
            <w:r>
              <w:rPr>
                <w:rFonts w:ascii="宋体" w:hAnsi="宋体" w:cs="宋体" w:eastAsia="宋体" w:hint="default"/>
                <w:spacing w:val="7"/>
                <w:sz w:val="18"/>
                <w:szCs w:val="18"/>
              </w:rPr>
              <w:t>存在公开报价的联营企业权益投资的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公允价值</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987,086,828.70</w:t>
            </w:r>
          </w:p>
        </w:tc>
        <w:tc>
          <w:tcPr>
            <w:tcW w:w="3222" w:type="dxa"/>
            <w:tcBorders>
              <w:top w:val="single" w:sz="6" w:space="0" w:color="000000"/>
              <w:left w:val="single" w:sz="6" w:space="0" w:color="000000"/>
              <w:bottom w:val="single" w:sz="6" w:space="0" w:color="000000"/>
              <w:right w:val="single" w:sz="12" w:space="0" w:color="000000"/>
            </w:tcBorders>
          </w:tcPr>
          <w:p>
            <w:pPr/>
          </w:p>
        </w:tc>
      </w:tr>
      <w:tr>
        <w:trPr>
          <w:trHeight w:val="478"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1,053,186,652.15</w:t>
            </w:r>
          </w:p>
        </w:tc>
        <w:tc>
          <w:tcPr>
            <w:tcW w:w="322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1,059,267,598.08</w:t>
            </w:r>
          </w:p>
        </w:tc>
      </w:tr>
    </w:tbl>
    <w:p>
      <w:pPr>
        <w:spacing w:after="0" w:line="240" w:lineRule="auto"/>
        <w:jc w:val="right"/>
        <w:rPr>
          <w:rFonts w:ascii="Times New Roman" w:hAnsi="Times New Roman" w:cs="Times New Roman" w:eastAsia="Times New Roman" w:hint="default"/>
          <w:sz w:val="18"/>
          <w:szCs w:val="18"/>
        </w:rPr>
        <w:sectPr>
          <w:footerReference w:type="default" r:id="rId65"/>
          <w:pgSz w:w="11910" w:h="16840"/>
          <w:pgMar w:footer="1227" w:header="0" w:top="1100" w:bottom="1420" w:left="980" w:right="980"/>
          <w:pgNumType w:start="188"/>
        </w:sectPr>
      </w:pPr>
    </w:p>
    <w:p>
      <w:pPr>
        <w:spacing w:line="240" w:lineRule="auto" w:before="8"/>
        <w:rPr>
          <w:rFonts w:ascii="宋体" w:hAnsi="宋体" w:cs="宋体" w:eastAsia="宋体" w:hint="default"/>
          <w:b/>
          <w:bCs/>
          <w:sz w:val="24"/>
          <w:szCs w:val="24"/>
        </w:rPr>
      </w:pPr>
    </w:p>
    <w:tbl>
      <w:tblPr>
        <w:tblW w:w="0" w:type="auto"/>
        <w:jc w:val="left"/>
        <w:tblInd w:w="124" w:type="dxa"/>
        <w:tblLayout w:type="fixed"/>
        <w:tblCellMar>
          <w:top w:w="0" w:type="dxa"/>
          <w:left w:w="0" w:type="dxa"/>
          <w:bottom w:w="0" w:type="dxa"/>
          <w:right w:w="0" w:type="dxa"/>
        </w:tblCellMar>
        <w:tblLook w:val="01E0"/>
      </w:tblPr>
      <w:tblGrid>
        <w:gridCol w:w="3219"/>
        <w:gridCol w:w="3219"/>
        <w:gridCol w:w="3222"/>
      </w:tblGrid>
      <w:tr>
        <w:trPr>
          <w:trHeight w:val="478"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7"/>
              <w:ind w:left="9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-18,728,073.26</w:t>
            </w:r>
          </w:p>
        </w:tc>
        <w:tc>
          <w:tcPr>
            <w:tcW w:w="322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-3,085,194.52</w:t>
            </w:r>
          </w:p>
        </w:tc>
      </w:tr>
      <w:tr>
        <w:trPr>
          <w:trHeight w:val="468"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20,114,898.40</w:t>
            </w:r>
          </w:p>
        </w:tc>
        <w:tc>
          <w:tcPr>
            <w:tcW w:w="32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35,749,439.06</w:t>
            </w:r>
          </w:p>
        </w:tc>
      </w:tr>
      <w:tr>
        <w:trPr>
          <w:trHeight w:val="468"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62,972,888.61</w:t>
            </w:r>
          </w:p>
        </w:tc>
        <w:tc>
          <w:tcPr>
            <w:tcW w:w="32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96,649,571.95</w:t>
            </w:r>
          </w:p>
        </w:tc>
      </w:tr>
      <w:tr>
        <w:trPr>
          <w:trHeight w:val="470"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3219" w:type="dxa"/>
            <w:tcBorders>
              <w:top w:val="single" w:sz="6" w:space="0" w:color="000000"/>
              <w:left w:val="single" w:sz="6" w:space="0" w:color="000000"/>
              <w:bottom w:val="single" w:sz="6" w:space="0" w:color="000000"/>
              <w:right w:val="single" w:sz="6" w:space="0" w:color="000000"/>
            </w:tcBorders>
          </w:tcPr>
          <w:p>
            <w:pPr/>
          </w:p>
        </w:tc>
        <w:tc>
          <w:tcPr>
            <w:tcW w:w="3222"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-12,572,187.81</w:t>
            </w:r>
          </w:p>
        </w:tc>
        <w:tc>
          <w:tcPr>
            <w:tcW w:w="32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-16,235,643.56</w:t>
            </w:r>
          </w:p>
        </w:tc>
      </w:tr>
      <w:tr>
        <w:trPr>
          <w:trHeight w:val="470" w:hRule="exact"/>
        </w:trPr>
        <w:tc>
          <w:tcPr>
            <w:tcW w:w="32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50,400,700.80</w:t>
            </w:r>
          </w:p>
        </w:tc>
        <w:tc>
          <w:tcPr>
            <w:tcW w:w="32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80,413,928.39</w:t>
            </w:r>
          </w:p>
        </w:tc>
      </w:tr>
      <w:tr>
        <w:trPr>
          <w:trHeight w:val="475" w:hRule="exact"/>
        </w:trPr>
        <w:tc>
          <w:tcPr>
            <w:tcW w:w="3219"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219" w:type="dxa"/>
            <w:tcBorders>
              <w:top w:val="single" w:sz="6" w:space="0" w:color="000000"/>
              <w:left w:val="single" w:sz="6" w:space="0" w:color="000000"/>
              <w:bottom w:val="single" w:sz="12" w:space="0" w:color="000000"/>
              <w:right w:val="single" w:sz="6" w:space="0" w:color="000000"/>
            </w:tcBorders>
          </w:tcPr>
          <w:p>
            <w:pPr/>
          </w:p>
        </w:tc>
        <w:tc>
          <w:tcPr>
            <w:tcW w:w="3222"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9"/>
        <w:rPr>
          <w:rFonts w:ascii="宋体" w:hAnsi="宋体" w:cs="宋体" w:eastAsia="宋体" w:hint="default"/>
          <w:b/>
          <w:bCs/>
          <w:sz w:val="23"/>
          <w:szCs w:val="23"/>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308"/>
        <w:gridCol w:w="3070"/>
        <w:gridCol w:w="3186"/>
      </w:tblGrid>
      <w:tr>
        <w:trPr>
          <w:trHeight w:val="462" w:hRule="exact"/>
        </w:trPr>
        <w:tc>
          <w:tcPr>
            <w:tcW w:w="3308"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30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7"/>
              <w:ind w:left="69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7"/>
              <w:ind w:left="75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56"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8"/>
              <w:ind w:left="7"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58"/>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54"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0" w:type="dxa"/>
            <w:tcBorders>
              <w:top w:val="single" w:sz="6" w:space="0" w:color="000000"/>
              <w:left w:val="single" w:sz="9"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0"/>
              <w:ind w:left="7"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60"/>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54"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0" w:type="dxa"/>
            <w:tcBorders>
              <w:top w:val="single" w:sz="6" w:space="0" w:color="000000"/>
              <w:left w:val="single" w:sz="9"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0" w:type="dxa"/>
            <w:tcBorders>
              <w:top w:val="single" w:sz="6" w:space="0" w:color="000000"/>
              <w:left w:val="single" w:sz="9"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0" w:type="dxa"/>
            <w:tcBorders>
              <w:top w:val="single" w:sz="6" w:space="0" w:color="000000"/>
              <w:left w:val="single" w:sz="9"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8"/>
              <w:ind w:left="7"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58"/>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56"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6,995,985.78</w:t>
            </w:r>
          </w:p>
        </w:tc>
        <w:tc>
          <w:tcPr>
            <w:tcW w:w="31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8,371,567.73</w:t>
            </w:r>
          </w:p>
        </w:tc>
      </w:tr>
      <w:tr>
        <w:trPr>
          <w:trHeight w:val="454"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8"/>
              <w:ind w:left="7"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58"/>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56"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3,524,418.05</w:t>
            </w:r>
          </w:p>
        </w:tc>
        <w:tc>
          <w:tcPr>
            <w:tcW w:w="31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1,781,316.48</w:t>
            </w:r>
          </w:p>
        </w:tc>
      </w:tr>
      <w:tr>
        <w:trPr>
          <w:trHeight w:val="456"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0" w:type="dxa"/>
            <w:tcBorders>
              <w:top w:val="single" w:sz="6" w:space="0" w:color="000000"/>
              <w:left w:val="single" w:sz="9"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330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3,524,418.05</w:t>
            </w:r>
          </w:p>
        </w:tc>
        <w:tc>
          <w:tcPr>
            <w:tcW w:w="31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1,781,316.48</w:t>
            </w:r>
          </w:p>
        </w:tc>
      </w:tr>
    </w:tbl>
    <w:p>
      <w:pPr>
        <w:spacing w:line="240" w:lineRule="auto" w:before="10"/>
        <w:rPr>
          <w:rFonts w:ascii="宋体" w:hAnsi="宋体" w:cs="宋体" w:eastAsia="宋体" w:hint="default"/>
          <w:sz w:val="21"/>
          <w:szCs w:val="21"/>
        </w:rPr>
      </w:pPr>
    </w:p>
    <w:p>
      <w:pPr>
        <w:pStyle w:val="Heading2"/>
        <w:spacing w:line="240" w:lineRule="auto"/>
        <w:ind w:right="140"/>
        <w:jc w:val="left"/>
        <w:rPr>
          <w:b w:val="0"/>
          <w:bCs w:val="0"/>
        </w:rPr>
      </w:pPr>
      <w:r>
        <w:rPr/>
        <w:t>十、与金融工具相关的风险</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46" w:firstLine="420"/>
        <w:jc w:val="both"/>
      </w:pPr>
      <w:r>
        <w:rPr>
          <w:spacing w:val="-2"/>
        </w:rPr>
        <w:t>本公司的主要金融工具包括借款、应收款项、应付款项、可供出售金融资产等，各项金融工具的详细</w:t>
      </w:r>
      <w:r>
        <w:rPr>
          <w:w w:val="100"/>
        </w:rPr>
        <w:t> </w:t>
      </w:r>
      <w:r>
        <w:rPr>
          <w:spacing w:val="-2"/>
        </w:rPr>
        <w:t>情况说明见附注七。本公司金融工具所产生的主要风险为汇率风险和利率风险。本公司为降低这些风险所</w:t>
      </w:r>
      <w:r>
        <w:rPr>
          <w:spacing w:val="-43"/>
        </w:rPr>
        <w:t> </w:t>
      </w:r>
      <w:r>
        <w:rPr>
          <w:spacing w:val="-43"/>
        </w:rPr>
      </w:r>
      <w:r>
        <w:rPr/>
        <w:t>采取的风险管理政策如下所述。</w:t>
      </w:r>
    </w:p>
    <w:p>
      <w:pPr>
        <w:pStyle w:val="BodyText"/>
        <w:spacing w:line="240" w:lineRule="auto" w:before="46"/>
        <w:ind w:left="573" w:right="140"/>
        <w:jc w:val="left"/>
      </w:pPr>
      <w:r>
        <w:rPr/>
        <w:t>（</w:t>
      </w:r>
      <w:r>
        <w:rPr>
          <w:rFonts w:ascii="宋体" w:hAnsi="宋体" w:cs="宋体" w:eastAsia="宋体" w:hint="default"/>
        </w:rPr>
        <w:t>1</w:t>
      </w:r>
      <w:r>
        <w:rPr/>
        <w:t>）风险管理目标和政策</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本公司从事风险管理的目标是在风险和收益之间取得适当的平衡，将风险对本公司经营业绩的负面影</w:t>
      </w:r>
    </w:p>
    <w:p>
      <w:pPr>
        <w:spacing w:after="0" w:line="240" w:lineRule="auto"/>
        <w:jc w:val="left"/>
        <w:sectPr>
          <w:pgSz w:w="11910" w:h="16840"/>
          <w:pgMar w:header="0" w:footer="1227" w:top="1100" w:bottom="1420" w:left="980" w:right="980"/>
        </w:sectPr>
      </w:pPr>
    </w:p>
    <w:p>
      <w:pPr>
        <w:spacing w:line="240" w:lineRule="auto" w:before="9"/>
        <w:rPr>
          <w:rFonts w:ascii="宋体" w:hAnsi="宋体" w:cs="宋体" w:eastAsia="宋体" w:hint="default"/>
          <w:sz w:val="26"/>
          <w:szCs w:val="26"/>
        </w:rPr>
      </w:pPr>
    </w:p>
    <w:p>
      <w:pPr>
        <w:pStyle w:val="BodyText"/>
        <w:spacing w:line="408" w:lineRule="auto" w:before="36"/>
        <w:ind w:right="326"/>
        <w:jc w:val="both"/>
      </w:pPr>
      <w:r>
        <w:rPr>
          <w:spacing w:val="-2"/>
        </w:rPr>
        <w:t>响降低到最低水平，使股东及其它权益投资者的利益最大化。基于该风险管理目标，本公司风险管理的基</w:t>
      </w:r>
      <w:r>
        <w:rPr>
          <w:spacing w:val="-43"/>
        </w:rPr>
        <w:t> </w:t>
      </w:r>
      <w:r>
        <w:rPr>
          <w:spacing w:val="-43"/>
        </w:rPr>
      </w:r>
      <w:r>
        <w:rPr>
          <w:spacing w:val="-2"/>
        </w:rPr>
        <w:t>本策略是确定和分析本公司所面临的各种风险，建立适当的风险承受底线并进行风险管理，并及时可靠地</w:t>
      </w:r>
      <w:r>
        <w:rPr>
          <w:spacing w:val="-43"/>
        </w:rPr>
        <w:t> </w:t>
      </w:r>
      <w:r>
        <w:rPr>
          <w:spacing w:val="-43"/>
        </w:rPr>
      </w:r>
      <w:r>
        <w:rPr/>
        <w:t>对各种风险进行监督，将风险控制在限定的范围之内。</w:t>
      </w:r>
    </w:p>
    <w:p>
      <w:pPr>
        <w:pStyle w:val="BodyText"/>
        <w:spacing w:line="408" w:lineRule="auto" w:before="46"/>
        <w:ind w:left="573" w:right="8175"/>
        <w:jc w:val="left"/>
      </w:pPr>
      <w:r>
        <w:rPr>
          <w:spacing w:val="-1"/>
        </w:rPr>
        <w:t>（</w:t>
      </w:r>
      <w:r>
        <w:rPr>
          <w:rFonts w:ascii="宋体" w:hAnsi="宋体" w:cs="宋体" w:eastAsia="宋体" w:hint="default"/>
          <w:spacing w:val="-1"/>
        </w:rPr>
        <w:t>2</w:t>
      </w:r>
      <w:r>
        <w:rPr>
          <w:spacing w:val="-1"/>
        </w:rPr>
        <w:t>）市场风险</w:t>
      </w:r>
      <w:r>
        <w:rPr>
          <w:spacing w:val="-97"/>
        </w:rPr>
        <w:t> </w:t>
      </w:r>
      <w:r>
        <w:rPr>
          <w:spacing w:val="-97"/>
        </w:rPr>
      </w:r>
      <w:r>
        <w:rPr>
          <w:rFonts w:ascii="宋体" w:hAnsi="宋体" w:cs="宋体" w:eastAsia="宋体" w:hint="default"/>
        </w:rPr>
        <w:t>1</w:t>
      </w:r>
      <w:r>
        <w:rPr/>
        <w:t>）外汇风险</w:t>
      </w:r>
    </w:p>
    <w:p>
      <w:pPr>
        <w:pStyle w:val="BodyText"/>
        <w:spacing w:line="408" w:lineRule="auto" w:before="46"/>
        <w:ind w:right="326" w:firstLine="420"/>
        <w:jc w:val="both"/>
      </w:pPr>
      <w:r>
        <w:rPr>
          <w:spacing w:val="-2"/>
        </w:rPr>
        <w:t>外汇风险指因汇率变动产生损失的风险。本公司承受外汇风险主要与美元、港币和日元有关，除境外</w:t>
      </w:r>
      <w:r>
        <w:rPr>
          <w:w w:val="100"/>
        </w:rPr>
        <w:t> </w:t>
      </w:r>
      <w:r>
        <w:rPr>
          <w:spacing w:val="-2"/>
        </w:rPr>
        <w:t>子公司和本公司的几个下属子公司以美元进行采购和销售外，本公司的其它主要业务活动以人民币计价结</w:t>
      </w:r>
      <w:r>
        <w:rPr>
          <w:spacing w:val="-43"/>
        </w:rPr>
        <w:t> </w:t>
      </w:r>
      <w:r>
        <w:rPr>
          <w:spacing w:val="-43"/>
        </w:rPr>
      </w:r>
      <w:r>
        <w:rPr>
          <w:spacing w:val="-2"/>
        </w:rPr>
        <w:t>算。于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日，除下表所述资产及负债的美元和港币余额以及零星的日元余额外，本公司的资产</w:t>
      </w:r>
      <w:r>
        <w:rPr>
          <w:spacing w:val="-37"/>
        </w:rPr>
        <w:t> </w:t>
      </w:r>
      <w:r>
        <w:rPr>
          <w:spacing w:val="-37"/>
        </w:rPr>
      </w:r>
      <w:r>
        <w:rPr/>
        <w:t>及负债均为人民币余额。</w:t>
      </w:r>
    </w:p>
    <w:p>
      <w:pPr>
        <w:spacing w:line="240" w:lineRule="auto" w:before="12"/>
        <w:rPr>
          <w:rFonts w:ascii="宋体" w:hAnsi="宋体" w:cs="宋体" w:eastAsia="宋体" w:hint="default"/>
          <w:sz w:val="22"/>
          <w:szCs w:val="22"/>
        </w:rPr>
      </w:pPr>
    </w:p>
    <w:p>
      <w:pPr>
        <w:spacing w:before="0"/>
        <w:ind w:left="0" w:right="3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7"/>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138"/>
        <w:gridCol w:w="2144"/>
        <w:gridCol w:w="2146"/>
        <w:gridCol w:w="1563"/>
        <w:gridCol w:w="1673"/>
      </w:tblGrid>
      <w:tr>
        <w:trPr>
          <w:trHeight w:val="478" w:hRule="exact"/>
        </w:trPr>
        <w:tc>
          <w:tcPr>
            <w:tcW w:w="2138"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4290" w:type="dxa"/>
            <w:gridSpan w:val="2"/>
            <w:tcBorders>
              <w:top w:val="single" w:sz="12"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
              <w:ind w:left="1392" w:right="0"/>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3236" w:type="dxa"/>
            <w:gridSpan w:val="2"/>
            <w:tcBorders>
              <w:top w:val="single" w:sz="12" w:space="0" w:color="000000"/>
              <w:left w:val="single" w:sz="6" w:space="0" w:color="000000"/>
              <w:bottom w:val="single" w:sz="6" w:space="0" w:color="000000"/>
              <w:right w:val="single" w:sz="12" w:space="0" w:color="000000"/>
            </w:tcBorders>
            <w:shd w:val="clear" w:color="auto" w:fill="D7D7D7"/>
          </w:tcPr>
          <w:p>
            <w:pPr>
              <w:pStyle w:val="TableParagraph"/>
              <w:spacing w:line="240" w:lineRule="auto" w:before="8"/>
              <w:ind w:left="866"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68" w:hRule="exact"/>
        </w:trPr>
        <w:tc>
          <w:tcPr>
            <w:tcW w:w="2138" w:type="dxa"/>
            <w:vMerge/>
            <w:tcBorders>
              <w:left w:val="single" w:sz="12" w:space="0" w:color="000000"/>
              <w:bottom w:val="single" w:sz="6" w:space="0" w:color="000000"/>
              <w:right w:val="single" w:sz="6" w:space="0" w:color="000000"/>
            </w:tcBorders>
            <w:shd w:val="clear" w:color="auto" w:fill="D9D9D9"/>
          </w:tcPr>
          <w:p>
            <w:pPr/>
          </w:p>
        </w:tc>
        <w:tc>
          <w:tcPr>
            <w:tcW w:w="214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2146"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
              <w:ind w:left="885" w:right="0"/>
              <w:jc w:val="left"/>
              <w:rPr>
                <w:rFonts w:ascii="宋体" w:hAnsi="宋体" w:cs="宋体" w:eastAsia="宋体" w:hint="default"/>
                <w:sz w:val="18"/>
                <w:szCs w:val="18"/>
              </w:rPr>
            </w:pPr>
            <w:r>
              <w:rPr>
                <w:rFonts w:ascii="宋体" w:hAnsi="宋体" w:cs="宋体" w:eastAsia="宋体" w:hint="default"/>
                <w:b/>
                <w:bCs/>
                <w:sz w:val="18"/>
                <w:szCs w:val="18"/>
              </w:rPr>
              <w:t>负债</w:t>
            </w:r>
            <w:r>
              <w:rPr>
                <w:rFonts w:ascii="宋体" w:hAnsi="宋体" w:cs="宋体" w:eastAsia="宋体" w:hint="default"/>
                <w:sz w:val="18"/>
                <w:szCs w:val="18"/>
              </w:rPr>
            </w:r>
          </w:p>
        </w:tc>
        <w:tc>
          <w:tcPr>
            <w:tcW w:w="1563"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1673" w:type="dxa"/>
            <w:tcBorders>
              <w:top w:val="single" w:sz="6" w:space="0" w:color="000000"/>
              <w:left w:val="single" w:sz="6" w:space="0" w:color="000000"/>
              <w:bottom w:val="single" w:sz="6" w:space="0" w:color="000000"/>
              <w:right w:val="single" w:sz="12" w:space="0" w:color="000000"/>
            </w:tcBorders>
            <w:shd w:val="clear" w:color="auto" w:fill="D7D7D7"/>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b/>
                <w:bCs/>
                <w:sz w:val="18"/>
                <w:szCs w:val="18"/>
              </w:rPr>
              <w:t>负债</w:t>
            </w:r>
            <w:r>
              <w:rPr>
                <w:rFonts w:ascii="宋体" w:hAnsi="宋体" w:cs="宋体" w:eastAsia="宋体" w:hint="default"/>
                <w:sz w:val="18"/>
                <w:szCs w:val="18"/>
              </w:rPr>
            </w:r>
          </w:p>
        </w:tc>
      </w:tr>
      <w:tr>
        <w:trPr>
          <w:trHeight w:val="468" w:hRule="exact"/>
        </w:trPr>
        <w:tc>
          <w:tcPr>
            <w:tcW w:w="213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22,783,499.98</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907" w:right="0"/>
              <w:jc w:val="left"/>
              <w:rPr>
                <w:rFonts w:ascii="Times New Roman" w:hAnsi="Times New Roman" w:cs="Times New Roman" w:eastAsia="Times New Roman" w:hint="default"/>
                <w:sz w:val="18"/>
                <w:szCs w:val="18"/>
              </w:rPr>
            </w:pPr>
            <w:r>
              <w:rPr>
                <w:rFonts w:ascii="Times New Roman"/>
                <w:sz w:val="18"/>
              </w:rPr>
              <w:t>116,179,932.03</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29,612,032.72</w:t>
            </w:r>
          </w:p>
        </w:tc>
        <w:tc>
          <w:tcPr>
            <w:tcW w:w="16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pacing w:val="-1"/>
                <w:sz w:val="18"/>
              </w:rPr>
              <w:t>161,116,027.92</w:t>
            </w:r>
          </w:p>
        </w:tc>
      </w:tr>
      <w:tr>
        <w:trPr>
          <w:trHeight w:val="470" w:hRule="exact"/>
        </w:trPr>
        <w:tc>
          <w:tcPr>
            <w:tcW w:w="213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pacing w:val="-1"/>
                <w:sz w:val="18"/>
              </w:rPr>
              <w:t>3,161,218.58</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907" w:right="0"/>
              <w:jc w:val="left"/>
              <w:rPr>
                <w:rFonts w:ascii="Times New Roman" w:hAnsi="Times New Roman" w:cs="Times New Roman" w:eastAsia="Times New Roman" w:hint="default"/>
                <w:sz w:val="18"/>
                <w:szCs w:val="18"/>
              </w:rPr>
            </w:pPr>
            <w:r>
              <w:rPr>
                <w:rFonts w:ascii="Times New Roman"/>
                <w:sz w:val="18"/>
              </w:rPr>
              <w:t>422,514,714.76</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pacing w:val="-1"/>
                <w:sz w:val="18"/>
              </w:rPr>
              <w:t>1,914,121.46</w:t>
            </w:r>
          </w:p>
        </w:tc>
        <w:tc>
          <w:tcPr>
            <w:tcW w:w="16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92"/>
              <w:jc w:val="right"/>
              <w:rPr>
                <w:rFonts w:ascii="Times New Roman" w:hAnsi="Times New Roman" w:cs="Times New Roman" w:eastAsia="Times New Roman" w:hint="default"/>
                <w:sz w:val="18"/>
                <w:szCs w:val="18"/>
              </w:rPr>
            </w:pPr>
            <w:r>
              <w:rPr>
                <w:rFonts w:ascii="Times New Roman"/>
                <w:spacing w:val="-1"/>
                <w:sz w:val="18"/>
              </w:rPr>
              <w:t>562,779,174.48</w:t>
            </w:r>
          </w:p>
        </w:tc>
      </w:tr>
      <w:tr>
        <w:trPr>
          <w:trHeight w:val="475" w:hRule="exact"/>
        </w:trPr>
        <w:tc>
          <w:tcPr>
            <w:tcW w:w="213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176,958.00</w:t>
            </w:r>
          </w:p>
        </w:tc>
        <w:tc>
          <w:tcPr>
            <w:tcW w:w="2146" w:type="dxa"/>
            <w:tcBorders>
              <w:top w:val="single" w:sz="6" w:space="0" w:color="000000"/>
              <w:left w:val="single" w:sz="6" w:space="0" w:color="000000"/>
              <w:bottom w:val="single" w:sz="12" w:space="0" w:color="000000"/>
              <w:right w:val="single" w:sz="6" w:space="0" w:color="000000"/>
            </w:tcBorders>
          </w:tcPr>
          <w:p>
            <w:pPr/>
          </w:p>
        </w:tc>
        <w:tc>
          <w:tcPr>
            <w:tcW w:w="15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2,176,601.00</w:t>
            </w:r>
          </w:p>
        </w:tc>
        <w:tc>
          <w:tcPr>
            <w:tcW w:w="1673"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408" w:lineRule="auto" w:before="67"/>
        <w:ind w:left="573" w:right="5"/>
        <w:jc w:val="left"/>
      </w:pPr>
      <w:r>
        <w:rPr/>
        <w:t>本公司目前并无外币对冲政策，但管理层监控外币汇兑风险并将考虑在需要时对冲重大外币风险。</w:t>
      </w:r>
      <w:r>
        <w:rPr>
          <w:w w:val="100"/>
        </w:rPr>
        <w:t> </w:t>
      </w:r>
      <w:r>
        <w:rPr>
          <w:rFonts w:ascii="宋体" w:hAnsi="宋体" w:cs="宋体" w:eastAsia="宋体" w:hint="default"/>
        </w:rPr>
        <w:t>2</w:t>
      </w:r>
      <w:r>
        <w:rPr/>
        <w:t>）利率风险</w:t>
      </w:r>
      <w:r>
        <w:rPr>
          <w:w w:val="100"/>
        </w:rPr>
        <w:t> </w:t>
      </w:r>
      <w:r>
        <w:rPr>
          <w:spacing w:val="-2"/>
        </w:rPr>
        <w:t>本公司的利率风险产生于银行借款等带息债务。浮动利率的金融负债使本公司面临现金流量利率风险，</w:t>
      </w:r>
    </w:p>
    <w:p>
      <w:pPr>
        <w:pStyle w:val="BodyText"/>
        <w:spacing w:line="408" w:lineRule="auto" w:before="46"/>
        <w:ind w:right="326"/>
        <w:jc w:val="both"/>
      </w:pPr>
      <w:r>
        <w:rPr>
          <w:spacing w:val="-2"/>
        </w:rPr>
        <w:t>固定利率的金融负债使本公司面临公允价值利率风险。本公司根据当时的市场环境来决定固定利率及浮动</w:t>
      </w:r>
      <w:r>
        <w:rPr>
          <w:spacing w:val="-43"/>
        </w:rPr>
        <w:t> </w:t>
      </w:r>
      <w:r>
        <w:rPr>
          <w:spacing w:val="-43"/>
        </w:rPr>
      </w:r>
      <w:r>
        <w:rPr>
          <w:spacing w:val="-2"/>
        </w:rPr>
        <w:t>利率合同的相对比例。于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日，本公司的带息债务主要为人民币、美元和港币计价的浮动利率</w:t>
      </w:r>
      <w:r>
        <w:rPr>
          <w:spacing w:val="-40"/>
        </w:rPr>
        <w:t> </w:t>
      </w:r>
      <w:r>
        <w:rPr>
          <w:spacing w:val="-40"/>
        </w:rPr>
      </w:r>
      <w:r>
        <w:rPr>
          <w:spacing w:val="-2"/>
        </w:rPr>
        <w:t>借款合同，金额合计为</w:t>
      </w:r>
      <w:r>
        <w:rPr>
          <w:rFonts w:ascii="宋体" w:hAnsi="宋体" w:cs="宋体" w:eastAsia="宋体" w:hint="default"/>
          <w:spacing w:val="-2"/>
        </w:rPr>
        <w:t>100,269.25</w:t>
      </w:r>
      <w:r>
        <w:rPr>
          <w:spacing w:val="-2"/>
        </w:rPr>
        <w:t>万元（</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日金额为</w:t>
      </w:r>
      <w:r>
        <w:rPr>
          <w:rFonts w:ascii="宋体" w:hAnsi="宋体" w:cs="宋体" w:eastAsia="宋体" w:hint="default"/>
          <w:spacing w:val="-2"/>
        </w:rPr>
        <w:t>122,389.20</w:t>
      </w:r>
      <w:r>
        <w:rPr>
          <w:spacing w:val="-2"/>
        </w:rPr>
        <w:t>万元）。本公司目前没有利率</w:t>
      </w:r>
      <w:r>
        <w:rPr>
          <w:spacing w:val="-20"/>
        </w:rPr>
        <w:t> </w:t>
      </w:r>
      <w:r>
        <w:rPr>
          <w:spacing w:val="-20"/>
        </w:rPr>
      </w:r>
      <w:r>
        <w:rPr>
          <w:spacing w:val="-2"/>
        </w:rPr>
        <w:t>对冲政策，然而，管理层对利率风险实施监察，若预期将会出现重大利率风险，将会考虑采取其他必要的</w:t>
      </w:r>
      <w:r>
        <w:rPr>
          <w:spacing w:val="-47"/>
        </w:rPr>
        <w:t> </w:t>
      </w:r>
      <w:r>
        <w:rPr>
          <w:spacing w:val="-47"/>
        </w:rPr>
      </w:r>
      <w:r>
        <w:rPr/>
        <w:t>行动。</w:t>
      </w:r>
    </w:p>
    <w:p>
      <w:pPr>
        <w:pStyle w:val="BodyText"/>
        <w:spacing w:line="408" w:lineRule="auto" w:before="46"/>
        <w:ind w:right="5" w:firstLine="420"/>
        <w:jc w:val="left"/>
      </w:pPr>
      <w:r>
        <w:rPr>
          <w:spacing w:val="-2"/>
        </w:rPr>
        <w:t>本公司因利率变动引起金融工具公允价值变动的风险主要与固定利率银行借款有关。对于固定利率借</w:t>
      </w:r>
      <w:r>
        <w:rPr>
          <w:w w:val="100"/>
        </w:rPr>
        <w:t> </w:t>
      </w:r>
      <w:r>
        <w:rPr/>
        <w:t>款，本公司的目标是保持其浮动利率。</w:t>
      </w:r>
    </w:p>
    <w:p>
      <w:pPr>
        <w:pStyle w:val="BodyText"/>
        <w:spacing w:line="408" w:lineRule="auto" w:before="46"/>
        <w:ind w:right="5" w:firstLine="420"/>
        <w:jc w:val="left"/>
      </w:pPr>
      <w:r>
        <w:rPr>
          <w:spacing w:val="-2"/>
        </w:rPr>
        <w:t>本公司因利率变动引起金融工具现金流量变动的风险主要与浮动利率银行借款有关。本公司的政策是</w:t>
      </w:r>
      <w:r>
        <w:rPr>
          <w:w w:val="100"/>
        </w:rPr>
        <w:t> </w:t>
      </w:r>
      <w:r>
        <w:rPr/>
        <w:t>保持这些借款的浮动利率，以消除利率变动的公允价值风险。</w:t>
      </w:r>
    </w:p>
    <w:p>
      <w:pPr>
        <w:pStyle w:val="BodyText"/>
        <w:spacing w:line="408" w:lineRule="auto" w:before="46"/>
        <w:ind w:left="573" w:right="5"/>
        <w:jc w:val="left"/>
      </w:pPr>
      <w:r>
        <w:rPr/>
        <w:t>（</w:t>
      </w:r>
      <w:r>
        <w:rPr>
          <w:rFonts w:ascii="宋体" w:hAnsi="宋体" w:cs="宋体" w:eastAsia="宋体" w:hint="default"/>
        </w:rPr>
        <w:t>3</w:t>
      </w:r>
      <w:r>
        <w:rPr/>
        <w:t>）敏感性分析</w:t>
      </w:r>
      <w:r>
        <w:rPr>
          <w:w w:val="100"/>
        </w:rPr>
        <w:t> </w:t>
      </w:r>
      <w:r>
        <w:rPr>
          <w:spacing w:val="-2"/>
        </w:rPr>
        <w:t>本公司采用敏感性分析技术分析风险变量的合理、可能变化对当期损益或所有者权益可能产生的影响。</w:t>
      </w:r>
    </w:p>
    <w:p>
      <w:pPr>
        <w:spacing w:after="0" w:line="408" w:lineRule="auto"/>
        <w:jc w:val="left"/>
        <w:sectPr>
          <w:pgSz w:w="11910" w:h="16840"/>
          <w:pgMar w:header="0" w:footer="1227" w:top="1100" w:bottom="1420" w:left="980" w:right="800"/>
        </w:sectPr>
      </w:pPr>
    </w:p>
    <w:p>
      <w:pPr>
        <w:spacing w:line="240" w:lineRule="auto" w:before="9"/>
        <w:rPr>
          <w:rFonts w:ascii="宋体" w:hAnsi="宋体" w:cs="宋体" w:eastAsia="宋体" w:hint="default"/>
          <w:sz w:val="26"/>
          <w:szCs w:val="26"/>
        </w:rPr>
      </w:pPr>
    </w:p>
    <w:p>
      <w:pPr>
        <w:pStyle w:val="BodyText"/>
        <w:spacing w:line="408" w:lineRule="auto" w:before="36"/>
        <w:ind w:right="140"/>
        <w:jc w:val="left"/>
      </w:pPr>
      <w:r>
        <w:rPr>
          <w:spacing w:val="-2"/>
        </w:rPr>
        <w:t>由于任何风险变量很少孤立的发生变化，而变量之间存在的相关性对某一风险变量变化的最终影响金额将</w:t>
      </w:r>
      <w:r>
        <w:rPr>
          <w:spacing w:val="-43"/>
        </w:rPr>
        <w:t> </w:t>
      </w:r>
      <w:r>
        <w:rPr>
          <w:spacing w:val="-43"/>
        </w:rPr>
      </w:r>
      <w:r>
        <w:rPr/>
        <w:t>产生重大作用，因此下述内容是在假设每一变量的变化是独立的情况下进行的。</w:t>
      </w:r>
    </w:p>
    <w:p>
      <w:pPr>
        <w:pStyle w:val="BodyText"/>
        <w:spacing w:line="398" w:lineRule="auto" w:before="46"/>
        <w:ind w:left="573" w:right="140"/>
        <w:jc w:val="left"/>
      </w:pPr>
      <w:r>
        <w:rPr>
          <w:rFonts w:ascii="宋体" w:hAnsi="宋体" w:cs="宋体" w:eastAsia="宋体" w:hint="default"/>
        </w:rPr>
        <w:t>1)</w:t>
      </w:r>
      <w:r>
        <w:rPr/>
        <w:t>外汇风险敏感性分析</w:t>
      </w:r>
      <w:r>
        <w:rPr>
          <w:w w:val="100"/>
        </w:rPr>
        <w:t> </w:t>
      </w:r>
      <w:r>
        <w:rPr/>
        <w:t>外汇风险敏感性分析假设：所有境外经营净投资套期及现金流量套期均高度有效。</w:t>
      </w:r>
      <w:r>
        <w:rPr>
          <w:w w:val="100"/>
        </w:rPr>
        <w:t> </w:t>
      </w:r>
      <w:r>
        <w:rPr>
          <w:spacing w:val="-3"/>
        </w:rPr>
        <w:t>在上述假设的基础上，在其它变量不变的情况下，汇率可能发生的合理变动对当期损益和权益的税后</w:t>
      </w:r>
    </w:p>
    <w:p>
      <w:pPr>
        <w:spacing w:line="221" w:lineRule="exact" w:before="0"/>
        <w:ind w:left="0" w:right="148" w:firstLine="0"/>
        <w:jc w:val="right"/>
        <w:rPr>
          <w:rFonts w:ascii="宋体" w:hAnsi="宋体" w:cs="宋体" w:eastAsia="宋体" w:hint="default"/>
          <w:sz w:val="18"/>
          <w:szCs w:val="18"/>
        </w:rPr>
      </w:pPr>
      <w:r>
        <w:rPr>
          <w:rFonts w:ascii="宋体" w:hAnsi="宋体" w:cs="宋体" w:eastAsia="宋体" w:hint="default"/>
          <w:spacing w:val="-1"/>
          <w:sz w:val="21"/>
          <w:szCs w:val="21"/>
        </w:rPr>
        <w:t>影响如下：</w:t>
      </w:r>
      <w:r>
        <w:rPr>
          <w:rFonts w:ascii="宋体" w:hAnsi="宋体" w:cs="宋体" w:eastAsia="宋体" w:hint="default"/>
          <w:spacing w:val="-1"/>
          <w:sz w:val="18"/>
          <w:szCs w:val="18"/>
        </w:rPr>
        <w:t>（单位：万元）</w:t>
      </w:r>
    </w:p>
    <w:p>
      <w:pPr>
        <w:spacing w:line="240" w:lineRule="auto" w:before="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816"/>
        <w:gridCol w:w="2086"/>
        <w:gridCol w:w="1688"/>
        <w:gridCol w:w="1690"/>
        <w:gridCol w:w="1690"/>
        <w:gridCol w:w="1690"/>
      </w:tblGrid>
      <w:tr>
        <w:trPr>
          <w:trHeight w:val="478" w:hRule="exact"/>
        </w:trPr>
        <w:tc>
          <w:tcPr>
            <w:tcW w:w="816" w:type="dxa"/>
            <w:vMerge w:val="restart"/>
            <w:tcBorders>
              <w:top w:val="single" w:sz="12" w:space="0" w:color="000000"/>
              <w:left w:val="single" w:sz="12" w:space="0" w:color="000000"/>
              <w:right w:val="single" w:sz="6"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2086" w:type="dxa"/>
            <w:vMerge w:val="restart"/>
            <w:tcBorders>
              <w:top w:val="single" w:sz="12" w:space="0" w:color="000000"/>
              <w:left w:val="single" w:sz="6" w:space="0" w:color="000000"/>
              <w:right w:val="single" w:sz="6"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6"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3377" w:type="dxa"/>
            <w:gridSpan w:val="2"/>
            <w:tcBorders>
              <w:top w:val="single" w:sz="12"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3380" w:type="dxa"/>
            <w:gridSpan w:val="2"/>
            <w:tcBorders>
              <w:top w:val="single" w:sz="12" w:space="0" w:color="000000"/>
              <w:left w:val="single" w:sz="6" w:space="0" w:color="000000"/>
              <w:bottom w:val="single" w:sz="6" w:space="0" w:color="000000"/>
              <w:right w:val="single" w:sz="12" w:space="0" w:color="000000"/>
            </w:tcBorders>
            <w:shd w:val="clear" w:color="auto" w:fill="D7D7D7"/>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638" w:hRule="exact"/>
        </w:trPr>
        <w:tc>
          <w:tcPr>
            <w:tcW w:w="816" w:type="dxa"/>
            <w:vMerge/>
            <w:tcBorders>
              <w:left w:val="single" w:sz="12" w:space="0" w:color="000000"/>
              <w:bottom w:val="single" w:sz="6" w:space="0" w:color="000000"/>
              <w:right w:val="single" w:sz="6" w:space="0" w:color="000000"/>
            </w:tcBorders>
            <w:shd w:val="clear" w:color="auto" w:fill="D7D7D7"/>
          </w:tcPr>
          <w:p>
            <w:pPr/>
          </w:p>
        </w:tc>
        <w:tc>
          <w:tcPr>
            <w:tcW w:w="2086" w:type="dxa"/>
            <w:vMerge/>
            <w:tcBorders>
              <w:left w:val="single" w:sz="6" w:space="0" w:color="000000"/>
              <w:bottom w:val="single" w:sz="6" w:space="0" w:color="000000"/>
              <w:right w:val="single" w:sz="6" w:space="0" w:color="000000"/>
            </w:tcBorders>
            <w:shd w:val="clear" w:color="auto" w:fill="D7D7D7"/>
          </w:tcPr>
          <w:p>
            <w:pPr/>
          </w:p>
        </w:tc>
        <w:tc>
          <w:tcPr>
            <w:tcW w:w="1688"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169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316" w:lineRule="auto" w:before="8"/>
              <w:ind w:left="748" w:right="113" w:hanging="629"/>
              <w:jc w:val="left"/>
              <w:rPr>
                <w:rFonts w:ascii="宋体" w:hAnsi="宋体" w:cs="宋体" w:eastAsia="宋体" w:hint="default"/>
                <w:sz w:val="18"/>
                <w:szCs w:val="18"/>
              </w:rPr>
            </w:pPr>
            <w:r>
              <w:rPr>
                <w:rFonts w:ascii="宋体" w:hAnsi="宋体" w:cs="宋体" w:eastAsia="宋体" w:hint="default"/>
                <w:sz w:val="18"/>
                <w:szCs w:val="18"/>
              </w:rPr>
              <w:t>对所有者权益的影 响</w:t>
            </w:r>
          </w:p>
        </w:tc>
        <w:tc>
          <w:tcPr>
            <w:tcW w:w="169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1690" w:type="dxa"/>
            <w:tcBorders>
              <w:top w:val="single" w:sz="6" w:space="0" w:color="000000"/>
              <w:left w:val="single" w:sz="6" w:space="0" w:color="000000"/>
              <w:bottom w:val="single" w:sz="6" w:space="0" w:color="000000"/>
              <w:right w:val="single" w:sz="12" w:space="0" w:color="000000"/>
            </w:tcBorders>
            <w:shd w:val="clear" w:color="auto" w:fill="D7D7D7"/>
          </w:tcPr>
          <w:p>
            <w:pPr>
              <w:pStyle w:val="TableParagraph"/>
              <w:spacing w:line="316" w:lineRule="auto" w:before="8"/>
              <w:ind w:left="748" w:right="106" w:hanging="629"/>
              <w:jc w:val="left"/>
              <w:rPr>
                <w:rFonts w:ascii="宋体" w:hAnsi="宋体" w:cs="宋体" w:eastAsia="宋体" w:hint="default"/>
                <w:sz w:val="18"/>
                <w:szCs w:val="18"/>
              </w:rPr>
            </w:pPr>
            <w:r>
              <w:rPr>
                <w:rFonts w:ascii="宋体" w:hAnsi="宋体" w:cs="宋体" w:eastAsia="宋体" w:hint="default"/>
                <w:sz w:val="18"/>
                <w:szCs w:val="18"/>
              </w:rPr>
              <w:t>对所有者权益的影 响</w:t>
            </w:r>
          </w:p>
        </w:tc>
      </w:tr>
      <w:tr>
        <w:trPr>
          <w:trHeight w:val="469" w:hRule="exact"/>
        </w:trPr>
        <w:tc>
          <w:tcPr>
            <w:tcW w:w="8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0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若人民币升值</w:t>
            </w:r>
            <w:r>
              <w:rPr>
                <w:rFonts w:ascii="宋体" w:hAnsi="宋体" w:cs="宋体" w:eastAsia="宋体" w:hint="default"/>
                <w:spacing w:val="-42"/>
                <w:sz w:val="18"/>
                <w:szCs w:val="18"/>
              </w:rPr>
              <w:t> </w:t>
            </w:r>
            <w:r>
              <w:rPr>
                <w:rFonts w:ascii="宋体" w:hAnsi="宋体" w:cs="宋体" w:eastAsia="宋体" w:hint="default"/>
                <w:sz w:val="18"/>
                <w:szCs w:val="18"/>
              </w:rPr>
              <w:t>5%</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5"/>
                <w:sz w:val="18"/>
              </w:rPr>
              <w:t>2,895.29</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5"/>
                <w:sz w:val="18"/>
              </w:rPr>
              <w:t>2,895.29</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5"/>
                <w:sz w:val="18"/>
              </w:rPr>
              <w:t>4,050.19</w:t>
            </w:r>
          </w:p>
        </w:tc>
        <w:tc>
          <w:tcPr>
            <w:tcW w:w="16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8"/>
              <w:jc w:val="right"/>
              <w:rPr>
                <w:rFonts w:ascii="Times New Roman" w:hAnsi="Times New Roman" w:cs="Times New Roman" w:eastAsia="Times New Roman" w:hint="default"/>
                <w:sz w:val="18"/>
                <w:szCs w:val="18"/>
              </w:rPr>
            </w:pPr>
            <w:r>
              <w:rPr>
                <w:rFonts w:ascii="Times New Roman"/>
                <w:w w:val="95"/>
                <w:sz w:val="18"/>
              </w:rPr>
              <w:t>4,050.19</w:t>
            </w:r>
          </w:p>
        </w:tc>
      </w:tr>
      <w:tr>
        <w:trPr>
          <w:trHeight w:val="470" w:hRule="exact"/>
        </w:trPr>
        <w:tc>
          <w:tcPr>
            <w:tcW w:w="8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086" w:type="dxa"/>
            <w:vMerge/>
            <w:tcBorders>
              <w:left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w w:val="95"/>
                <w:sz w:val="18"/>
              </w:rPr>
              <w:t>1,677.41</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w w:val="95"/>
                <w:sz w:val="18"/>
              </w:rPr>
              <w:t>1,677.41</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w w:val="95"/>
                <w:sz w:val="18"/>
              </w:rPr>
              <w:t>2,228.91</w:t>
            </w:r>
          </w:p>
        </w:tc>
        <w:tc>
          <w:tcPr>
            <w:tcW w:w="16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w w:val="95"/>
                <w:sz w:val="18"/>
              </w:rPr>
              <w:t>2,228.91</w:t>
            </w:r>
          </w:p>
        </w:tc>
      </w:tr>
      <w:tr>
        <w:trPr>
          <w:trHeight w:val="468" w:hRule="exact"/>
        </w:trPr>
        <w:tc>
          <w:tcPr>
            <w:tcW w:w="8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086" w:type="dxa"/>
            <w:vMerge/>
            <w:tcBorders>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-0.05</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-0.05</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-0.68</w:t>
            </w:r>
          </w:p>
        </w:tc>
        <w:tc>
          <w:tcPr>
            <w:tcW w:w="16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pacing w:val="-1"/>
                <w:sz w:val="18"/>
              </w:rPr>
              <w:t>-0.68</w:t>
            </w:r>
          </w:p>
        </w:tc>
      </w:tr>
      <w:tr>
        <w:trPr>
          <w:trHeight w:val="470" w:hRule="exact"/>
        </w:trPr>
        <w:tc>
          <w:tcPr>
            <w:tcW w:w="8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86"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w w:val="95"/>
                <w:sz w:val="18"/>
              </w:rPr>
              <w:t>4,572.65</w:t>
            </w:r>
            <w:r>
              <w:rPr>
                <w:rFonts w:ascii="Times New Roman"/>
                <w:w w:val="95"/>
                <w:sz w:val="18"/>
              </w:rPr>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w w:val="95"/>
                <w:sz w:val="18"/>
              </w:rPr>
              <w:t>4,572.65</w:t>
            </w:r>
            <w:r>
              <w:rPr>
                <w:rFonts w:ascii="Times New Roman"/>
                <w:w w:val="95"/>
                <w:sz w:val="18"/>
              </w:rPr>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w w:val="95"/>
                <w:sz w:val="18"/>
              </w:rPr>
              <w:t>6,278.42</w:t>
            </w:r>
            <w:r>
              <w:rPr>
                <w:rFonts w:ascii="Times New Roman"/>
                <w:w w:val="95"/>
                <w:sz w:val="18"/>
              </w:rPr>
            </w:r>
          </w:p>
        </w:tc>
        <w:tc>
          <w:tcPr>
            <w:tcW w:w="16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88"/>
              <w:jc w:val="right"/>
              <w:rPr>
                <w:rFonts w:ascii="Times New Roman" w:hAnsi="Times New Roman" w:cs="Times New Roman" w:eastAsia="Times New Roman" w:hint="default"/>
                <w:sz w:val="18"/>
                <w:szCs w:val="18"/>
              </w:rPr>
            </w:pPr>
            <w:r>
              <w:rPr>
                <w:rFonts w:ascii="Times New Roman"/>
                <w:b/>
                <w:w w:val="95"/>
                <w:sz w:val="18"/>
              </w:rPr>
              <w:t>6,278.42</w:t>
            </w:r>
            <w:r>
              <w:rPr>
                <w:rFonts w:ascii="Times New Roman"/>
                <w:w w:val="95"/>
                <w:sz w:val="18"/>
              </w:rPr>
            </w:r>
          </w:p>
        </w:tc>
      </w:tr>
      <w:tr>
        <w:trPr>
          <w:trHeight w:val="468" w:hRule="exact"/>
        </w:trPr>
        <w:tc>
          <w:tcPr>
            <w:tcW w:w="8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0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若人民币贬值</w:t>
            </w:r>
            <w:r>
              <w:rPr>
                <w:rFonts w:ascii="宋体" w:hAnsi="宋体" w:cs="宋体" w:eastAsia="宋体" w:hint="default"/>
                <w:spacing w:val="-42"/>
                <w:sz w:val="18"/>
                <w:szCs w:val="18"/>
              </w:rPr>
              <w:t> </w:t>
            </w:r>
            <w:r>
              <w:rPr>
                <w:rFonts w:ascii="宋体" w:hAnsi="宋体" w:cs="宋体" w:eastAsia="宋体" w:hint="default"/>
                <w:sz w:val="18"/>
                <w:szCs w:val="18"/>
              </w:rPr>
              <w:t>5%</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-2,895.29</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-2,895.29</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-4,050.19</w:t>
            </w:r>
          </w:p>
        </w:tc>
        <w:tc>
          <w:tcPr>
            <w:tcW w:w="16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pacing w:val="-1"/>
                <w:sz w:val="18"/>
              </w:rPr>
              <w:t>-4,050.19</w:t>
            </w:r>
          </w:p>
        </w:tc>
      </w:tr>
      <w:tr>
        <w:trPr>
          <w:trHeight w:val="468" w:hRule="exact"/>
        </w:trPr>
        <w:tc>
          <w:tcPr>
            <w:tcW w:w="8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086" w:type="dxa"/>
            <w:vMerge/>
            <w:tcBorders>
              <w:left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-1,677.41</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-1,677.41</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-2,228.91</w:t>
            </w:r>
          </w:p>
        </w:tc>
        <w:tc>
          <w:tcPr>
            <w:tcW w:w="16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pacing w:val="-1"/>
                <w:sz w:val="18"/>
              </w:rPr>
              <w:t>-2,228.91</w:t>
            </w:r>
          </w:p>
        </w:tc>
      </w:tr>
      <w:tr>
        <w:trPr>
          <w:trHeight w:val="470" w:hRule="exact"/>
        </w:trPr>
        <w:tc>
          <w:tcPr>
            <w:tcW w:w="8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086" w:type="dxa"/>
            <w:vMerge/>
            <w:tcBorders>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pacing w:val="-1"/>
                <w:sz w:val="18"/>
              </w:rPr>
              <w:t>0.05</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pacing w:val="-1"/>
                <w:sz w:val="18"/>
              </w:rPr>
              <w:t>0.05</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pacing w:val="-1"/>
                <w:sz w:val="18"/>
              </w:rPr>
              <w:t>0.68</w:t>
            </w:r>
          </w:p>
        </w:tc>
        <w:tc>
          <w:tcPr>
            <w:tcW w:w="16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pacing w:val="-1"/>
                <w:sz w:val="18"/>
              </w:rPr>
              <w:t>0.68</w:t>
            </w:r>
          </w:p>
        </w:tc>
      </w:tr>
      <w:tr>
        <w:trPr>
          <w:trHeight w:val="476" w:hRule="exact"/>
        </w:trPr>
        <w:tc>
          <w:tcPr>
            <w:tcW w:w="81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86" w:type="dxa"/>
            <w:tcBorders>
              <w:top w:val="single" w:sz="6" w:space="0" w:color="000000"/>
              <w:left w:val="single" w:sz="6" w:space="0" w:color="000000"/>
              <w:bottom w:val="single" w:sz="12" w:space="0" w:color="000000"/>
              <w:right w:val="single" w:sz="6" w:space="0" w:color="000000"/>
            </w:tcBorders>
          </w:tcPr>
          <w:p>
            <w:pP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pacing w:val="-1"/>
                <w:sz w:val="18"/>
              </w:rPr>
              <w:t>-4,572.65</w:t>
            </w:r>
            <w:r>
              <w:rPr>
                <w:rFonts w:ascii="Times New Roman"/>
                <w:spacing w:val="-1"/>
                <w:sz w:val="18"/>
              </w:rPr>
            </w:r>
          </w:p>
        </w:tc>
        <w:tc>
          <w:tcPr>
            <w:tcW w:w="16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pacing w:val="-1"/>
                <w:sz w:val="18"/>
              </w:rPr>
              <w:t>-4,572.65</w:t>
            </w:r>
            <w:r>
              <w:rPr>
                <w:rFonts w:ascii="Times New Roman"/>
                <w:spacing w:val="-1"/>
                <w:sz w:val="18"/>
              </w:rPr>
            </w:r>
          </w:p>
        </w:tc>
        <w:tc>
          <w:tcPr>
            <w:tcW w:w="16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pacing w:val="-1"/>
                <w:sz w:val="18"/>
              </w:rPr>
              <w:t>-6,278.42</w:t>
            </w:r>
            <w:r>
              <w:rPr>
                <w:rFonts w:ascii="Times New Roman"/>
                <w:spacing w:val="-1"/>
                <w:sz w:val="18"/>
              </w:rPr>
            </w:r>
          </w:p>
        </w:tc>
        <w:tc>
          <w:tcPr>
            <w:tcW w:w="16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5"/>
              <w:ind w:right="88"/>
              <w:jc w:val="right"/>
              <w:rPr>
                <w:rFonts w:ascii="Times New Roman" w:hAnsi="Times New Roman" w:cs="Times New Roman" w:eastAsia="Times New Roman" w:hint="default"/>
                <w:sz w:val="18"/>
                <w:szCs w:val="18"/>
              </w:rPr>
            </w:pPr>
            <w:r>
              <w:rPr>
                <w:rFonts w:ascii="Times New Roman"/>
                <w:b/>
                <w:spacing w:val="-1"/>
                <w:sz w:val="18"/>
              </w:rPr>
              <w:t>-6,278.42</w:t>
            </w:r>
            <w:r>
              <w:rPr>
                <w:rFonts w:ascii="Times New Roman"/>
                <w:spacing w:val="-1"/>
                <w:sz w:val="18"/>
              </w:rPr>
            </w:r>
          </w:p>
        </w:tc>
      </w:tr>
    </w:tbl>
    <w:p>
      <w:pPr>
        <w:pStyle w:val="BodyText"/>
        <w:spacing w:line="408" w:lineRule="auto" w:before="66"/>
        <w:ind w:left="573" w:right="3933"/>
        <w:jc w:val="left"/>
      </w:pPr>
      <w:r>
        <w:rPr>
          <w:rFonts w:ascii="宋体" w:hAnsi="宋体" w:cs="宋体" w:eastAsia="宋体" w:hint="default"/>
        </w:rPr>
        <w:t>2)</w:t>
      </w:r>
      <w:r>
        <w:rPr/>
        <w:t>利率风险敏感性分析</w:t>
      </w:r>
      <w:r>
        <w:rPr>
          <w:w w:val="100"/>
        </w:rPr>
        <w:t> </w:t>
      </w:r>
      <w:r>
        <w:rPr/>
        <w:t>利率风险敏感性分析基于下述假设：</w:t>
      </w:r>
      <w:r>
        <w:rPr>
          <w:w w:val="100"/>
        </w:rPr>
        <w:t> </w:t>
      </w:r>
      <w:r>
        <w:rPr>
          <w:spacing w:val="-2"/>
        </w:rPr>
        <w:t>市场利率变化影响可变利率金融工具的利息收入或费用；</w:t>
      </w:r>
    </w:p>
    <w:p>
      <w:pPr>
        <w:pStyle w:val="BodyText"/>
        <w:spacing w:line="408" w:lineRule="auto" w:before="46"/>
        <w:ind w:left="573" w:right="140"/>
        <w:jc w:val="left"/>
      </w:pPr>
      <w:r>
        <w:rPr/>
        <w:t>对于以公允价值计量的固定利率金融工具，市场利率变化仅仅影响其利息收入或费用；</w:t>
      </w:r>
      <w:r>
        <w:rPr>
          <w:w w:val="100"/>
        </w:rPr>
        <w:t> </w:t>
      </w:r>
      <w:r>
        <w:rPr>
          <w:spacing w:val="-2"/>
        </w:rPr>
        <w:t>以资产负债表日市场利率采用现金流量折现法计算衍生金融工具及其它金融资产和负债的公允价值</w:t>
      </w:r>
    </w:p>
    <w:p>
      <w:pPr>
        <w:pStyle w:val="BodyText"/>
        <w:spacing w:line="240" w:lineRule="auto" w:before="46"/>
        <w:ind w:right="140"/>
        <w:jc w:val="left"/>
      </w:pPr>
      <w:r>
        <w:rPr/>
        <w:t>变化。</w:t>
      </w:r>
    </w:p>
    <w:p>
      <w:pPr>
        <w:spacing w:line="240" w:lineRule="auto" w:before="0"/>
        <w:rPr>
          <w:rFonts w:ascii="宋体" w:hAnsi="宋体" w:cs="宋体" w:eastAsia="宋体" w:hint="default"/>
          <w:sz w:val="20"/>
          <w:szCs w:val="20"/>
        </w:rPr>
      </w:pPr>
    </w:p>
    <w:p>
      <w:pPr>
        <w:pStyle w:val="BodyText"/>
        <w:spacing w:line="240" w:lineRule="auto" w:before="150"/>
        <w:ind w:left="592" w:right="140"/>
        <w:jc w:val="left"/>
      </w:pPr>
      <w:r>
        <w:rPr>
          <w:spacing w:val="-3"/>
        </w:rPr>
        <w:t>在上述假设的基础上，在其它变量不变的情况下，利率可能发生的合理变动对当期损益和权益的税后</w:t>
      </w:r>
    </w:p>
    <w:p>
      <w:pPr>
        <w:spacing w:before="85"/>
        <w:ind w:left="0" w:right="148" w:firstLine="0"/>
        <w:jc w:val="right"/>
        <w:rPr>
          <w:rFonts w:ascii="宋体" w:hAnsi="宋体" w:cs="宋体" w:eastAsia="宋体" w:hint="default"/>
          <w:sz w:val="18"/>
          <w:szCs w:val="18"/>
        </w:rPr>
      </w:pPr>
      <w:r>
        <w:rPr>
          <w:rFonts w:ascii="宋体" w:hAnsi="宋体" w:cs="宋体" w:eastAsia="宋体" w:hint="default"/>
          <w:spacing w:val="-1"/>
          <w:sz w:val="21"/>
          <w:szCs w:val="21"/>
        </w:rPr>
        <w:t>影响如下：</w:t>
      </w:r>
      <w:r>
        <w:rPr>
          <w:rFonts w:ascii="宋体" w:hAnsi="宋体" w:cs="宋体" w:eastAsia="宋体" w:hint="default"/>
          <w:spacing w:val="-1"/>
          <w:sz w:val="18"/>
          <w:szCs w:val="18"/>
        </w:rPr>
        <w:t>（单位：万元）</w:t>
      </w:r>
    </w:p>
    <w:p>
      <w:pPr>
        <w:spacing w:line="240" w:lineRule="auto" w:before="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174"/>
        <w:gridCol w:w="1892"/>
        <w:gridCol w:w="1644"/>
        <w:gridCol w:w="1947"/>
        <w:gridCol w:w="1947"/>
      </w:tblGrid>
      <w:tr>
        <w:trPr>
          <w:trHeight w:val="362" w:hRule="exact"/>
        </w:trPr>
        <w:tc>
          <w:tcPr>
            <w:tcW w:w="2174"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712" w:right="0"/>
              <w:jc w:val="left"/>
              <w:rPr>
                <w:rFonts w:ascii="宋体" w:hAnsi="宋体" w:cs="宋体" w:eastAsia="宋体" w:hint="default"/>
                <w:sz w:val="18"/>
                <w:szCs w:val="18"/>
              </w:rPr>
            </w:pPr>
            <w:r>
              <w:rPr>
                <w:rFonts w:ascii="宋体" w:hAnsi="宋体" w:cs="宋体" w:eastAsia="宋体" w:hint="default"/>
                <w:sz w:val="18"/>
                <w:szCs w:val="18"/>
              </w:rPr>
              <w:t>利率变动</w:t>
            </w:r>
          </w:p>
        </w:tc>
        <w:tc>
          <w:tcPr>
            <w:tcW w:w="3536" w:type="dxa"/>
            <w:gridSpan w:val="2"/>
            <w:tcBorders>
              <w:top w:val="single" w:sz="12"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894" w:type="dxa"/>
            <w:gridSpan w:val="2"/>
            <w:tcBorders>
              <w:top w:val="single" w:sz="12" w:space="0" w:color="000000"/>
              <w:left w:val="single" w:sz="6" w:space="0" w:color="000000"/>
              <w:bottom w:val="single" w:sz="6" w:space="0" w:color="000000"/>
              <w:right w:val="single" w:sz="12" w:space="0" w:color="000000"/>
            </w:tcBorders>
            <w:shd w:val="clear" w:color="auto" w:fill="D7D7D7"/>
          </w:tcPr>
          <w:p>
            <w:pPr>
              <w:pStyle w:val="TableParagraph"/>
              <w:spacing w:line="240" w:lineRule="auto" w:before="8"/>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55" w:hRule="exact"/>
        </w:trPr>
        <w:tc>
          <w:tcPr>
            <w:tcW w:w="2174" w:type="dxa"/>
            <w:vMerge/>
            <w:tcBorders>
              <w:left w:val="single" w:sz="12" w:space="0" w:color="000000"/>
              <w:bottom w:val="single" w:sz="6" w:space="0" w:color="FFFFFF"/>
              <w:right w:val="single" w:sz="6" w:space="0" w:color="000000"/>
            </w:tcBorders>
            <w:shd w:val="clear" w:color="auto" w:fill="D9D9D9"/>
          </w:tcPr>
          <w:p>
            <w:pPr/>
          </w:p>
        </w:tc>
        <w:tc>
          <w:tcPr>
            <w:tcW w:w="1892" w:type="dxa"/>
            <w:tcBorders>
              <w:top w:val="single" w:sz="6" w:space="0" w:color="000000"/>
              <w:left w:val="single" w:sz="6" w:space="0" w:color="000000"/>
              <w:bottom w:val="single" w:sz="6" w:space="0" w:color="FFFFFF"/>
              <w:right w:val="single" w:sz="6" w:space="0" w:color="000000"/>
            </w:tcBorders>
            <w:shd w:val="clear" w:color="auto" w:fill="D7D7D7"/>
          </w:tcPr>
          <w:p>
            <w:pPr>
              <w:pStyle w:val="TableParagraph"/>
              <w:spacing w:line="240" w:lineRule="auto" w:before="8"/>
              <w:ind w:left="310"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1644" w:type="dxa"/>
            <w:tcBorders>
              <w:top w:val="single" w:sz="6" w:space="0" w:color="000000"/>
              <w:left w:val="single" w:sz="6" w:space="0" w:color="000000"/>
              <w:bottom w:val="single" w:sz="6" w:space="0" w:color="FFFFFF"/>
              <w:right w:val="single" w:sz="6" w:space="0" w:color="000000"/>
            </w:tcBorders>
            <w:shd w:val="clear" w:color="auto" w:fill="D7D7D7"/>
          </w:tcPr>
          <w:p>
            <w:pPr>
              <w:pStyle w:val="TableParagraph"/>
              <w:spacing w:line="240" w:lineRule="auto" w:before="8"/>
              <w:ind w:left="184"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1947" w:type="dxa"/>
            <w:tcBorders>
              <w:top w:val="single" w:sz="6" w:space="0" w:color="000000"/>
              <w:left w:val="single" w:sz="6" w:space="0" w:color="000000"/>
              <w:bottom w:val="single" w:sz="6" w:space="0" w:color="FFFFFF"/>
              <w:right w:val="single" w:sz="6" w:space="0" w:color="000000"/>
            </w:tcBorders>
            <w:shd w:val="clear" w:color="auto" w:fill="D7D7D7"/>
          </w:tcPr>
          <w:p>
            <w:pPr>
              <w:pStyle w:val="TableParagraph"/>
              <w:spacing w:line="240" w:lineRule="auto" w:before="8"/>
              <w:ind w:left="338"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1947" w:type="dxa"/>
            <w:tcBorders>
              <w:top w:val="single" w:sz="6" w:space="0" w:color="000000"/>
              <w:left w:val="single" w:sz="6" w:space="0" w:color="000000"/>
              <w:bottom w:val="single" w:sz="6" w:space="0" w:color="FFFFFF"/>
              <w:right w:val="single" w:sz="12" w:space="0" w:color="000000"/>
            </w:tcBorders>
            <w:shd w:val="clear" w:color="auto" w:fill="D7D7D7"/>
          </w:tcPr>
          <w:p>
            <w:pPr>
              <w:pStyle w:val="TableParagraph"/>
              <w:spacing w:line="240" w:lineRule="auto" w:before="8"/>
              <w:ind w:left="338"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r>
      <w:tr>
        <w:trPr>
          <w:trHeight w:val="355" w:hRule="exact"/>
        </w:trPr>
        <w:tc>
          <w:tcPr>
            <w:tcW w:w="2174" w:type="dxa"/>
            <w:tcBorders>
              <w:top w:val="single" w:sz="6" w:space="0" w:color="FFFFFF"/>
              <w:left w:val="single" w:sz="12" w:space="0" w:color="000000"/>
              <w:bottom w:val="single" w:sz="6" w:space="0" w:color="000000"/>
              <w:right w:val="single" w:sz="6" w:space="0" w:color="000000"/>
            </w:tcBorders>
            <w:shd w:val="clear" w:color="auto" w:fill="D9D9D9"/>
          </w:tcPr>
          <w:p>
            <w:pPr>
              <w:pStyle w:val="TableParagraph"/>
              <w:spacing w:line="240" w:lineRule="auto" w:before="22"/>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若利率增加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p>
        </w:tc>
        <w:tc>
          <w:tcPr>
            <w:tcW w:w="1892"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-1,002.69</w:t>
            </w:r>
          </w:p>
        </w:tc>
        <w:tc>
          <w:tcPr>
            <w:tcW w:w="1644"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pacing w:val="-1"/>
                <w:sz w:val="18"/>
              </w:rPr>
              <w:t>-1,002.69</w:t>
            </w:r>
          </w:p>
        </w:tc>
        <w:tc>
          <w:tcPr>
            <w:tcW w:w="1947"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pacing w:val="-1"/>
                <w:sz w:val="18"/>
              </w:rPr>
              <w:t>-1,223.89</w:t>
            </w:r>
          </w:p>
        </w:tc>
        <w:tc>
          <w:tcPr>
            <w:tcW w:w="1947" w:type="dxa"/>
            <w:tcBorders>
              <w:top w:val="single" w:sz="6" w:space="0" w:color="FFFFFF"/>
              <w:left w:val="single" w:sz="6" w:space="0" w:color="000000"/>
              <w:bottom w:val="single" w:sz="6" w:space="0" w:color="000000"/>
              <w:right w:val="single" w:sz="12" w:space="0" w:color="000000"/>
            </w:tcBorders>
          </w:tcPr>
          <w:p>
            <w:pPr>
              <w:pStyle w:val="TableParagraph"/>
              <w:spacing w:line="240" w:lineRule="auto" w:before="64"/>
              <w:ind w:right="88"/>
              <w:jc w:val="right"/>
              <w:rPr>
                <w:rFonts w:ascii="Times New Roman" w:hAnsi="Times New Roman" w:cs="Times New Roman" w:eastAsia="Times New Roman" w:hint="default"/>
                <w:sz w:val="18"/>
                <w:szCs w:val="18"/>
              </w:rPr>
            </w:pPr>
            <w:r>
              <w:rPr>
                <w:rFonts w:ascii="Times New Roman"/>
                <w:spacing w:val="-1"/>
                <w:sz w:val="18"/>
              </w:rPr>
              <w:t>-1,223.89</w:t>
            </w:r>
          </w:p>
        </w:tc>
      </w:tr>
      <w:tr>
        <w:trPr>
          <w:trHeight w:val="360" w:hRule="exact"/>
        </w:trPr>
        <w:tc>
          <w:tcPr>
            <w:tcW w:w="2174"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22"/>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若利率减少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p>
        </w:tc>
        <w:tc>
          <w:tcPr>
            <w:tcW w:w="18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w w:val="95"/>
                <w:sz w:val="18"/>
              </w:rPr>
              <w:t>1,002.69</w:t>
            </w:r>
          </w:p>
        </w:tc>
        <w:tc>
          <w:tcPr>
            <w:tcW w:w="16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5"/>
              <w:jc w:val="right"/>
              <w:rPr>
                <w:rFonts w:ascii="Times New Roman" w:hAnsi="Times New Roman" w:cs="Times New Roman" w:eastAsia="Times New Roman" w:hint="default"/>
                <w:sz w:val="18"/>
                <w:szCs w:val="18"/>
              </w:rPr>
            </w:pPr>
            <w:r>
              <w:rPr>
                <w:rFonts w:ascii="Times New Roman"/>
                <w:w w:val="95"/>
                <w:sz w:val="18"/>
              </w:rPr>
              <w:t>1,002.69</w:t>
            </w:r>
          </w:p>
        </w:tc>
        <w:tc>
          <w:tcPr>
            <w:tcW w:w="19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5"/>
              <w:jc w:val="right"/>
              <w:rPr>
                <w:rFonts w:ascii="Times New Roman" w:hAnsi="Times New Roman" w:cs="Times New Roman" w:eastAsia="Times New Roman" w:hint="default"/>
                <w:sz w:val="18"/>
                <w:szCs w:val="18"/>
              </w:rPr>
            </w:pPr>
            <w:r>
              <w:rPr>
                <w:rFonts w:ascii="Times New Roman"/>
                <w:w w:val="95"/>
                <w:sz w:val="18"/>
              </w:rPr>
              <w:t>1,223.89</w:t>
            </w:r>
          </w:p>
        </w:tc>
        <w:tc>
          <w:tcPr>
            <w:tcW w:w="194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4"/>
              <w:ind w:right="88"/>
              <w:jc w:val="right"/>
              <w:rPr>
                <w:rFonts w:ascii="Times New Roman" w:hAnsi="Times New Roman" w:cs="Times New Roman" w:eastAsia="Times New Roman" w:hint="default"/>
                <w:sz w:val="18"/>
                <w:szCs w:val="18"/>
              </w:rPr>
            </w:pPr>
            <w:r>
              <w:rPr>
                <w:rFonts w:ascii="Times New Roman"/>
                <w:w w:val="95"/>
                <w:sz w:val="18"/>
              </w:rPr>
              <w:t>1,223.89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2"/>
        <w:rPr>
          <w:rFonts w:ascii="宋体" w:hAnsi="宋体" w:cs="宋体" w:eastAsia="宋体" w:hint="default"/>
          <w:sz w:val="23"/>
          <w:szCs w:val="23"/>
        </w:rPr>
      </w:pPr>
    </w:p>
    <w:p>
      <w:pPr>
        <w:pStyle w:val="Heading2"/>
        <w:spacing w:line="240" w:lineRule="auto"/>
        <w:ind w:right="0"/>
        <w:jc w:val="left"/>
        <w:rPr>
          <w:b w:val="0"/>
          <w:bCs w:val="0"/>
        </w:rPr>
      </w:pPr>
      <w:r>
        <w:rPr/>
        <w:t>十一、关联方及关联交易</w:t>
      </w:r>
      <w:r>
        <w:rPr>
          <w:b w:val="0"/>
          <w:bCs w:val="0"/>
        </w:rPr>
      </w:r>
    </w:p>
    <w:p>
      <w:pPr>
        <w:spacing w:line="240" w:lineRule="auto" w:before="2"/>
        <w:rPr>
          <w:rFonts w:ascii="宋体" w:hAnsi="宋体" w:cs="宋体" w:eastAsia="宋体" w:hint="default"/>
          <w:b/>
          <w:bCs/>
          <w:sz w:val="29"/>
          <w:szCs w:val="29"/>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
        <w:rPr>
          <w:rFonts w:ascii="宋体" w:hAnsi="宋体" w:cs="宋体" w:eastAsia="宋体" w:hint="default"/>
          <w:b/>
          <w:bCs/>
          <w:sz w:val="25"/>
          <w:szCs w:val="25"/>
        </w:rPr>
      </w:pPr>
    </w:p>
    <w:tbl>
      <w:tblPr>
        <w:tblW w:w="0" w:type="auto"/>
        <w:jc w:val="left"/>
        <w:tblInd w:w="140" w:type="dxa"/>
        <w:tblLayout w:type="fixed"/>
        <w:tblCellMar>
          <w:top w:w="0" w:type="dxa"/>
          <w:left w:w="0" w:type="dxa"/>
          <w:bottom w:w="0" w:type="dxa"/>
          <w:right w:w="0" w:type="dxa"/>
        </w:tblCellMar>
        <w:tblLook w:val="01E0"/>
      </w:tblPr>
      <w:tblGrid>
        <w:gridCol w:w="1890"/>
        <w:gridCol w:w="1441"/>
        <w:gridCol w:w="1452"/>
        <w:gridCol w:w="1594"/>
        <w:gridCol w:w="1594"/>
        <w:gridCol w:w="1596"/>
      </w:tblGrid>
      <w:tr>
        <w:trPr>
          <w:trHeight w:val="822" w:hRule="exact"/>
        </w:trPr>
        <w:tc>
          <w:tcPr>
            <w:tcW w:w="189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44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45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64" w:lineRule="auto" w:before="117"/>
              <w:ind w:left="430" w:right="68"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64" w:lineRule="auto" w:before="117"/>
              <w:ind w:left="340" w:right="63"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61" w:hRule="exact"/>
        </w:trPr>
        <w:tc>
          <w:tcPr>
            <w:tcW w:w="189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6"/>
              <w:ind w:right="39"/>
              <w:jc w:val="center"/>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4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4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left="360"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600 </w:t>
            </w:r>
            <w:r>
              <w:rPr>
                <w:rFonts w:ascii="宋体" w:hAnsi="宋体" w:cs="宋体" w:eastAsia="宋体" w:hint="default"/>
                <w:sz w:val="18"/>
                <w:szCs w:val="18"/>
              </w:rPr>
              <w:t>万美元</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left="1006" w:right="0"/>
              <w:jc w:val="left"/>
              <w:rPr>
                <w:rFonts w:ascii="Times New Roman" w:hAnsi="Times New Roman" w:cs="Times New Roman" w:eastAsia="Times New Roman" w:hint="default"/>
                <w:sz w:val="18"/>
                <w:szCs w:val="18"/>
              </w:rPr>
            </w:pPr>
            <w:r>
              <w:rPr>
                <w:rFonts w:ascii="Times New Roman"/>
                <w:sz w:val="18"/>
              </w:rPr>
              <w:t>42.44%</w:t>
            </w:r>
          </w:p>
        </w:tc>
        <w:tc>
          <w:tcPr>
            <w:tcW w:w="159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left="1006" w:right="0"/>
              <w:jc w:val="left"/>
              <w:rPr>
                <w:rFonts w:ascii="Times New Roman" w:hAnsi="Times New Roman" w:cs="Times New Roman" w:eastAsia="Times New Roman" w:hint="default"/>
                <w:sz w:val="18"/>
                <w:szCs w:val="18"/>
              </w:rPr>
            </w:pPr>
            <w:r>
              <w:rPr>
                <w:rFonts w:ascii="Times New Roman"/>
                <w:sz w:val="18"/>
              </w:rPr>
              <w:t>42.44%</w:t>
            </w:r>
          </w:p>
        </w:tc>
      </w:tr>
    </w:tbl>
    <w:p>
      <w:pPr>
        <w:pStyle w:val="BodyText"/>
        <w:spacing w:line="240" w:lineRule="auto" w:before="66"/>
        <w:ind w:right="0"/>
        <w:jc w:val="left"/>
      </w:pPr>
      <w:r>
        <w:rPr/>
        <w:t>本企业最终控制方是</w:t>
      </w:r>
      <w:r>
        <w:rPr>
          <w:rFonts w:ascii="宋体" w:hAnsi="宋体" w:cs="宋体" w:eastAsia="宋体" w:hint="default"/>
        </w:rPr>
        <w:t>Digital China Holdings</w:t>
      </w:r>
      <w:r>
        <w:rPr>
          <w:rFonts w:ascii="宋体" w:hAnsi="宋体" w:cs="宋体" w:eastAsia="宋体" w:hint="default"/>
          <w:spacing w:val="-7"/>
        </w:rPr>
        <w:t> </w:t>
      </w:r>
      <w:r>
        <w:rPr>
          <w:rFonts w:ascii="宋体" w:hAnsi="宋体" w:cs="宋体" w:eastAsia="宋体" w:hint="default"/>
        </w:rPr>
        <w:t>Limited</w:t>
      </w:r>
      <w:r>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line="564" w:lineRule="auto" w:before="0"/>
        <w:ind w:left="153" w:right="10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本企业子公司的情况详见附注“九、</w:t>
      </w:r>
      <w:r>
        <w:rPr>
          <w:rFonts w:ascii="宋体" w:hAnsi="宋体" w:cs="宋体" w:eastAsia="宋体" w:hint="default"/>
          <w:spacing w:val="-2"/>
          <w:sz w:val="21"/>
          <w:szCs w:val="21"/>
        </w:rPr>
        <w:t>1.</w:t>
      </w: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）企业集团的构成”相关内容。</w:t>
      </w:r>
    </w:p>
    <w:p>
      <w:pPr>
        <w:spacing w:line="240" w:lineRule="auto" w:before="5"/>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11"/>
        <w:rPr>
          <w:rFonts w:ascii="宋体" w:hAnsi="宋体" w:cs="宋体" w:eastAsia="宋体" w:hint="default"/>
          <w:b/>
          <w:bCs/>
          <w:sz w:val="29"/>
          <w:szCs w:val="29"/>
        </w:rPr>
      </w:pPr>
    </w:p>
    <w:p>
      <w:pPr>
        <w:pStyle w:val="BodyText"/>
        <w:spacing w:line="408" w:lineRule="auto"/>
        <w:ind w:right="0" w:firstLine="420"/>
        <w:jc w:val="left"/>
      </w:pPr>
      <w:r>
        <w:rPr/>
        <w:t>本企业重要的合营或联营企业详见附注“九、</w:t>
      </w:r>
      <w:r>
        <w:rPr>
          <w:rFonts w:ascii="宋体" w:hAnsi="宋体" w:cs="宋体" w:eastAsia="宋体" w:hint="default"/>
        </w:rPr>
        <w:t>2</w:t>
      </w:r>
      <w:r>
        <w:rPr>
          <w:rFonts w:ascii="宋体" w:hAnsi="宋体" w:cs="宋体" w:eastAsia="宋体" w:hint="default"/>
          <w:spacing w:val="-2"/>
        </w:rPr>
        <w:t> </w:t>
      </w:r>
      <w:r>
        <w:rPr>
          <w:rFonts w:ascii="宋体" w:hAnsi="宋体" w:cs="宋体" w:eastAsia="宋体" w:hint="default"/>
        </w:rPr>
        <w:t>.</w:t>
      </w:r>
      <w:r>
        <w:rPr/>
        <w:t>（</w:t>
      </w:r>
      <w:r>
        <w:rPr>
          <w:rFonts w:ascii="宋体" w:hAnsi="宋体" w:cs="宋体" w:eastAsia="宋体" w:hint="default"/>
        </w:rPr>
        <w:t>1</w:t>
      </w:r>
      <w:r>
        <w:rPr/>
        <w:t>）重要的合营企业或联营企业”相关内容。</w:t>
      </w:r>
      <w:r>
        <w:rPr>
          <w:w w:val="100"/>
        </w:rPr>
        <w:t> </w:t>
      </w:r>
      <w:r>
        <w:rPr>
          <w:spacing w:val="-2"/>
        </w:rPr>
        <w:t>本期与本公司发生关联方交易，或前期与本公司发生关联方交易形成余额的其他合营或联营企业情况如下：</w:t>
      </w:r>
    </w:p>
    <w:tbl>
      <w:tblPr>
        <w:tblW w:w="0" w:type="auto"/>
        <w:jc w:val="left"/>
        <w:tblInd w:w="138" w:type="dxa"/>
        <w:tblLayout w:type="fixed"/>
        <w:tblCellMar>
          <w:top w:w="0" w:type="dxa"/>
          <w:left w:w="0" w:type="dxa"/>
          <w:bottom w:w="0" w:type="dxa"/>
          <w:right w:w="0" w:type="dxa"/>
        </w:tblCellMar>
        <w:tblLook w:val="01E0"/>
      </w:tblPr>
      <w:tblGrid>
        <w:gridCol w:w="4784"/>
        <w:gridCol w:w="4787"/>
      </w:tblGrid>
      <w:tr>
        <w:trPr>
          <w:trHeight w:val="449" w:hRule="exact"/>
        </w:trPr>
        <w:tc>
          <w:tcPr>
            <w:tcW w:w="478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8"/>
              <w:ind w:right="6"/>
              <w:jc w:val="center"/>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8"/>
              <w:ind w:left="7"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61" w:hRule="exact"/>
        </w:trPr>
        <w:tc>
          <w:tcPr>
            <w:tcW w:w="478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2"/>
              <w:ind w:right="8"/>
              <w:jc w:val="center"/>
              <w:rPr>
                <w:rFonts w:ascii="宋体" w:hAnsi="宋体" w:cs="宋体" w:eastAsia="宋体" w:hint="default"/>
                <w:sz w:val="18"/>
                <w:szCs w:val="18"/>
              </w:rPr>
            </w:pPr>
            <w:r>
              <w:rPr>
                <w:rFonts w:ascii="宋体" w:hAnsi="宋体" w:cs="宋体" w:eastAsia="宋体" w:hint="default"/>
                <w:sz w:val="18"/>
                <w:szCs w:val="18"/>
              </w:rPr>
              <w:t>苏州神州数码捷通科技有限公司</w:t>
            </w:r>
          </w:p>
        </w:tc>
        <w:tc>
          <w:tcPr>
            <w:tcW w:w="47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2"/>
              <w:ind w:left="7" w:right="0"/>
              <w:jc w:val="center"/>
              <w:rPr>
                <w:rFonts w:ascii="宋体" w:hAnsi="宋体" w:cs="宋体" w:eastAsia="宋体" w:hint="default"/>
                <w:sz w:val="18"/>
                <w:szCs w:val="18"/>
              </w:rPr>
            </w:pPr>
            <w:r>
              <w:rPr>
                <w:rFonts w:ascii="宋体" w:hAnsi="宋体" w:cs="宋体" w:eastAsia="宋体" w:hint="default"/>
                <w:sz w:val="18"/>
                <w:szCs w:val="18"/>
              </w:rPr>
              <w:t>其他</w:t>
            </w:r>
          </w:p>
        </w:tc>
      </w:tr>
    </w:tbl>
    <w:p>
      <w:pPr>
        <w:spacing w:line="240" w:lineRule="auto" w:before="4"/>
        <w:rPr>
          <w:rFonts w:ascii="宋体" w:hAnsi="宋体" w:cs="宋体" w:eastAsia="宋体" w:hint="default"/>
          <w:sz w:val="23"/>
          <w:szCs w:val="23"/>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4"/>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4784"/>
        <w:gridCol w:w="4787"/>
      </w:tblGrid>
      <w:tr>
        <w:trPr>
          <w:trHeight w:val="448" w:hRule="exact"/>
        </w:trPr>
        <w:tc>
          <w:tcPr>
            <w:tcW w:w="478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5"/>
              <w:ind w:right="6"/>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5"/>
              <w:ind w:left="1396"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80" w:hRule="exact"/>
        </w:trPr>
        <w:tc>
          <w:tcPr>
            <w:tcW w:w="4784" w:type="dxa"/>
            <w:tcBorders>
              <w:top w:val="single" w:sz="8"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Digital China Technology</w:t>
            </w:r>
            <w:r>
              <w:rPr>
                <w:rFonts w:ascii="Times New Roman"/>
                <w:spacing w:val="-29"/>
                <w:sz w:val="18"/>
              </w:rPr>
              <w:t> </w:t>
            </w:r>
            <w:r>
              <w:rPr>
                <w:rFonts w:ascii="Times New Roman"/>
                <w:sz w:val="18"/>
              </w:rPr>
              <w:t>Limited</w:t>
            </w:r>
          </w:p>
        </w:tc>
        <w:tc>
          <w:tcPr>
            <w:tcW w:w="4787" w:type="dxa"/>
            <w:tcBorders>
              <w:top w:val="single" w:sz="8" w:space="0" w:color="000000"/>
              <w:left w:val="single" w:sz="6" w:space="0" w:color="000000"/>
              <w:bottom w:val="single" w:sz="6" w:space="0" w:color="000000"/>
              <w:right w:val="single" w:sz="12" w:space="0" w:color="000000"/>
            </w:tcBorders>
          </w:tcPr>
          <w:p>
            <w:pPr>
              <w:pStyle w:val="TableParagraph"/>
              <w:spacing w:line="240" w:lineRule="auto" w:before="13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8"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70"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成都神州数码有限公司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8"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广州神州数码有限公司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71"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杭州神州数码有限公司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4"/>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8"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南京神州数码有限公司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8"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70"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神州数码（合肥）有限公司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8"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75" w:hRule="exact"/>
        </w:trPr>
        <w:tc>
          <w:tcPr>
            <w:tcW w:w="478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神州数码（郑州）有限公司</w:t>
            </w:r>
          </w:p>
        </w:tc>
        <w:tc>
          <w:tcPr>
            <w:tcW w:w="47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bl>
    <w:p>
      <w:pPr>
        <w:spacing w:after="0" w:line="240" w:lineRule="auto"/>
        <w:jc w:val="left"/>
        <w:rPr>
          <w:rFonts w:ascii="宋体" w:hAnsi="宋体" w:cs="宋体" w:eastAsia="宋体" w:hint="default"/>
          <w:sz w:val="18"/>
          <w:szCs w:val="18"/>
        </w:rPr>
        <w:sectPr>
          <w:pgSz w:w="11910" w:h="16840"/>
          <w:pgMar w:header="0" w:footer="1227" w:top="1100" w:bottom="1420" w:left="980" w:right="82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4784"/>
        <w:gridCol w:w="4787"/>
      </w:tblGrid>
      <w:tr>
        <w:trPr>
          <w:trHeight w:val="478" w:hRule="exact"/>
        </w:trPr>
        <w:tc>
          <w:tcPr>
            <w:tcW w:w="478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478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8"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神州数码网络（北京）有限公司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8"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70"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8"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沈阳神州数码有限公司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70"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西安神州数码有限公司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8"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长沙神州数码有限公司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70"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福州神州数码有限公司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9"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济南神州数码有限公司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4"/>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8"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西安神州数码有限公司新疆分公司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70"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北京神州数码供应链服务有限公司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8"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上海神州数码通信技术有限公司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70"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神州数码上海网络有限公司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8"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沈阳神州数码有限公司哈尔滨分公司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8"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北京神州数码科捷技术服务有限公司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71"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6"/>
              <w:ind w:left="14" w:right="0"/>
              <w:jc w:val="left"/>
              <w:rPr>
                <w:rFonts w:ascii="宋体" w:hAnsi="宋体" w:cs="宋体" w:eastAsia="宋体" w:hint="default"/>
                <w:sz w:val="18"/>
                <w:szCs w:val="18"/>
              </w:rPr>
            </w:pPr>
            <w:r>
              <w:rPr>
                <w:rFonts w:ascii="宋体" w:hAnsi="宋体" w:cs="宋体" w:eastAsia="宋体" w:hint="default"/>
                <w:sz w:val="18"/>
                <w:szCs w:val="18"/>
              </w:rPr>
              <w:t>广州神州数码信息科技有限公司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8"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70"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上海神州数码有限公司深圳分公司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8"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佛山神州数码东方红运营服务有限公司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70"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福州神州数码东方红运营服务有限公司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8"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西安神州数码实业有限公司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8"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71"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北京鼎捷软件有限公司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8"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广州鼎捷软件有限公司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70"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上海鼎崴信息技术有限公司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8"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昆山开发区国投控股有限公司</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75" w:hRule="exact"/>
        </w:trPr>
        <w:tc>
          <w:tcPr>
            <w:tcW w:w="478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昆山龙腾光电有限公司</w:t>
            </w:r>
          </w:p>
        </w:tc>
        <w:tc>
          <w:tcPr>
            <w:tcW w:w="47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0" w:footer="1227" w:top="1100" w:bottom="1420" w:left="980" w:right="980"/>
        </w:sectPr>
      </w:pPr>
    </w:p>
    <w:p>
      <w:pPr>
        <w:spacing w:line="240" w:lineRule="auto" w:before="6"/>
        <w:rPr>
          <w:rFonts w:ascii="Times New Roman" w:hAnsi="Times New Roman" w:cs="Times New Roman" w:eastAsia="Times New Roman" w:hint="default"/>
          <w:sz w:val="28"/>
          <w:szCs w:val="28"/>
        </w:rPr>
      </w:pPr>
    </w:p>
    <w:p>
      <w:pPr>
        <w:pStyle w:val="Heading4"/>
        <w:spacing w:line="240" w:lineRule="auto" w:before="36"/>
        <w:ind w:right="140"/>
        <w:jc w:val="left"/>
        <w:rPr>
          <w:b w:val="0"/>
          <w:bCs w:val="0"/>
        </w:rPr>
      </w:pPr>
      <w:r>
        <w:rPr>
          <w:rFonts w:ascii="Times New Roman" w:hAnsi="Times New Roman" w:cs="Times New Roman" w:eastAsia="Times New Roman" w:hint="default"/>
        </w:rPr>
        <w:t>5</w:t>
      </w:r>
      <w:r>
        <w:rPr/>
        <w:t>、关联交易情况</w:t>
      </w:r>
      <w:r>
        <w:rPr>
          <w:b w:val="0"/>
          <w:bCs w:val="0"/>
        </w:rPr>
      </w:r>
    </w:p>
    <w:p>
      <w:pPr>
        <w:spacing w:line="682" w:lineRule="exact" w:before="69"/>
        <w:ind w:left="153" w:right="452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before="138"/>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972"/>
        <w:gridCol w:w="1685"/>
        <w:gridCol w:w="2365"/>
        <w:gridCol w:w="2549"/>
      </w:tblGrid>
      <w:tr>
        <w:trPr>
          <w:trHeight w:val="469" w:hRule="exact"/>
        </w:trPr>
        <w:tc>
          <w:tcPr>
            <w:tcW w:w="297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1"/>
              <w:ind w:right="8"/>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8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36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1"/>
              <w:ind w:left="72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4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21"/>
              <w:ind w:left="81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2" w:hRule="exact"/>
        </w:trPr>
        <w:tc>
          <w:tcPr>
            <w:tcW w:w="2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7"/>
              <w:ind w:left="1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13,389,799.33</w:t>
            </w:r>
          </w:p>
        </w:tc>
        <w:tc>
          <w:tcPr>
            <w:tcW w:w="25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20,446,198.31</w:t>
            </w:r>
          </w:p>
        </w:tc>
      </w:tr>
      <w:tr>
        <w:trPr>
          <w:trHeight w:val="470" w:hRule="exact"/>
        </w:trPr>
        <w:tc>
          <w:tcPr>
            <w:tcW w:w="2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成都神州数码有限公司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2365"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3,127,529.91</w:t>
            </w:r>
          </w:p>
        </w:tc>
      </w:tr>
      <w:tr>
        <w:trPr>
          <w:trHeight w:val="469" w:hRule="exact"/>
        </w:trPr>
        <w:tc>
          <w:tcPr>
            <w:tcW w:w="2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济南神州数码有限公司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21,367.52</w:t>
            </w:r>
          </w:p>
        </w:tc>
        <w:tc>
          <w:tcPr>
            <w:tcW w:w="25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21,367.52</w:t>
            </w:r>
          </w:p>
        </w:tc>
      </w:tr>
      <w:tr>
        <w:trPr>
          <w:trHeight w:val="470" w:hRule="exact"/>
        </w:trPr>
        <w:tc>
          <w:tcPr>
            <w:tcW w:w="2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南京神州数码有限公司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2365"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33,333.33</w:t>
            </w:r>
          </w:p>
        </w:tc>
      </w:tr>
      <w:tr>
        <w:trPr>
          <w:trHeight w:val="468" w:hRule="exact"/>
        </w:trPr>
        <w:tc>
          <w:tcPr>
            <w:tcW w:w="2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473,938.34</w:t>
            </w:r>
          </w:p>
        </w:tc>
        <w:tc>
          <w:tcPr>
            <w:tcW w:w="25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3,080,059.83</w:t>
            </w:r>
          </w:p>
        </w:tc>
      </w:tr>
      <w:tr>
        <w:trPr>
          <w:trHeight w:val="468" w:hRule="exact"/>
        </w:trPr>
        <w:tc>
          <w:tcPr>
            <w:tcW w:w="2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404,206.70</w:t>
            </w:r>
          </w:p>
        </w:tc>
        <w:tc>
          <w:tcPr>
            <w:tcW w:w="25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120,342.69</w:t>
            </w:r>
          </w:p>
        </w:tc>
      </w:tr>
      <w:tr>
        <w:trPr>
          <w:trHeight w:val="470" w:hRule="exact"/>
        </w:trPr>
        <w:tc>
          <w:tcPr>
            <w:tcW w:w="2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195,633,529.09</w:t>
            </w:r>
          </w:p>
        </w:tc>
        <w:tc>
          <w:tcPr>
            <w:tcW w:w="25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291,867,273.41</w:t>
            </w:r>
          </w:p>
        </w:tc>
      </w:tr>
      <w:tr>
        <w:trPr>
          <w:trHeight w:val="468" w:hRule="exact"/>
        </w:trPr>
        <w:tc>
          <w:tcPr>
            <w:tcW w:w="2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沈阳神州数码有限公司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2365"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18,300.00</w:t>
            </w:r>
          </w:p>
        </w:tc>
      </w:tr>
      <w:tr>
        <w:trPr>
          <w:trHeight w:val="470" w:hRule="exact"/>
        </w:trPr>
        <w:tc>
          <w:tcPr>
            <w:tcW w:w="2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北京神州数码供应链服务有限公司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9,042.45</w:t>
            </w:r>
          </w:p>
        </w:tc>
        <w:tc>
          <w:tcPr>
            <w:tcW w:w="25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66,554.22</w:t>
            </w:r>
          </w:p>
        </w:tc>
      </w:tr>
      <w:tr>
        <w:trPr>
          <w:trHeight w:val="468" w:hRule="exact"/>
        </w:trPr>
        <w:tc>
          <w:tcPr>
            <w:tcW w:w="2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上海神州数码通信技术有限公司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2365"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836,681.20</w:t>
            </w:r>
          </w:p>
        </w:tc>
      </w:tr>
      <w:tr>
        <w:trPr>
          <w:trHeight w:val="470" w:hRule="exact"/>
        </w:trPr>
        <w:tc>
          <w:tcPr>
            <w:tcW w:w="2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领航动力信息系统有限公司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2365"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113,207.55</w:t>
            </w:r>
          </w:p>
        </w:tc>
      </w:tr>
      <w:tr>
        <w:trPr>
          <w:trHeight w:val="468" w:hRule="exact"/>
        </w:trPr>
        <w:tc>
          <w:tcPr>
            <w:tcW w:w="2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北京鼎捷软件有限公司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软件服务</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259,246.02</w:t>
            </w:r>
          </w:p>
        </w:tc>
        <w:tc>
          <w:tcPr>
            <w:tcW w:w="25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259,329.07</w:t>
            </w:r>
          </w:p>
        </w:tc>
      </w:tr>
      <w:tr>
        <w:trPr>
          <w:trHeight w:val="468" w:hRule="exact"/>
        </w:trPr>
        <w:tc>
          <w:tcPr>
            <w:tcW w:w="2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软件服务</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104,622.64</w:t>
            </w:r>
          </w:p>
        </w:tc>
        <w:tc>
          <w:tcPr>
            <w:tcW w:w="25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244,800.00</w:t>
            </w:r>
          </w:p>
        </w:tc>
      </w:tr>
      <w:tr>
        <w:trPr>
          <w:trHeight w:val="470" w:hRule="exact"/>
        </w:trPr>
        <w:tc>
          <w:tcPr>
            <w:tcW w:w="2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广州神州数码信息科技有限公司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2,670,541.87</w:t>
            </w:r>
          </w:p>
        </w:tc>
        <w:tc>
          <w:tcPr>
            <w:tcW w:w="25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3,557,592.31</w:t>
            </w:r>
          </w:p>
        </w:tc>
      </w:tr>
      <w:tr>
        <w:trPr>
          <w:trHeight w:val="468" w:hRule="exact"/>
        </w:trPr>
        <w:tc>
          <w:tcPr>
            <w:tcW w:w="2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昆山龙腾光电有限公司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2365"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11,304,666.00</w:t>
            </w:r>
          </w:p>
        </w:tc>
      </w:tr>
      <w:tr>
        <w:trPr>
          <w:trHeight w:val="470" w:hRule="exact"/>
        </w:trPr>
        <w:tc>
          <w:tcPr>
            <w:tcW w:w="2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神州数码（合肥）有限公司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151,282.05</w:t>
            </w:r>
          </w:p>
        </w:tc>
        <w:tc>
          <w:tcPr>
            <w:tcW w:w="2549"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1,805.08</w:t>
            </w:r>
          </w:p>
        </w:tc>
        <w:tc>
          <w:tcPr>
            <w:tcW w:w="2549" w:type="dxa"/>
            <w:tcBorders>
              <w:top w:val="single" w:sz="6" w:space="0" w:color="000000"/>
              <w:left w:val="single" w:sz="6" w:space="0" w:color="000000"/>
              <w:bottom w:val="single" w:sz="6" w:space="0" w:color="000000"/>
              <w:right w:val="single" w:sz="12" w:space="0" w:color="000000"/>
            </w:tcBorders>
          </w:tcPr>
          <w:p>
            <w:pPr/>
          </w:p>
        </w:tc>
      </w:tr>
      <w:tr>
        <w:trPr>
          <w:trHeight w:val="476" w:hRule="exact"/>
        </w:trPr>
        <w:tc>
          <w:tcPr>
            <w:tcW w:w="297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北京神州数码科捷技术服务有限公司</w:t>
            </w: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23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1,508,493.73</w:t>
            </w:r>
          </w:p>
        </w:tc>
        <w:tc>
          <w:tcPr>
            <w:tcW w:w="2549"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36"/>
        <w:ind w:right="140"/>
        <w:jc w:val="left"/>
      </w:pPr>
      <w:r>
        <w:rPr/>
        <w:t>出售商品</w:t>
      </w:r>
      <w:r>
        <w:rPr>
          <w:rFonts w:ascii="宋体" w:hAnsi="宋体" w:cs="宋体" w:eastAsia="宋体" w:hint="default"/>
        </w:rPr>
        <w:t>/</w:t>
      </w:r>
      <w:r>
        <w:rPr/>
        <w:t>提供劳务情况表</w:t>
      </w:r>
    </w:p>
    <w:p>
      <w:pPr>
        <w:spacing w:line="240" w:lineRule="auto" w:before="4"/>
        <w:rPr>
          <w:rFonts w:ascii="宋体" w:hAnsi="宋体" w:cs="宋体" w:eastAsia="宋体" w:hint="default"/>
          <w:sz w:val="15"/>
          <w:szCs w:val="1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977"/>
        <w:gridCol w:w="2696"/>
        <w:gridCol w:w="1949"/>
        <w:gridCol w:w="1949"/>
      </w:tblGrid>
      <w:tr>
        <w:trPr>
          <w:trHeight w:val="448" w:hRule="exact"/>
        </w:trPr>
        <w:tc>
          <w:tcPr>
            <w:tcW w:w="297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6"/>
              <w:ind w:right="3"/>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6"/>
              <w:ind w:left="2"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9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6"/>
              <w:ind w:left="5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4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6"/>
              <w:ind w:left="5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86" w:hRule="exact"/>
        </w:trPr>
        <w:tc>
          <w:tcPr>
            <w:tcW w:w="2977" w:type="dxa"/>
            <w:tcBorders>
              <w:top w:val="single" w:sz="9" w:space="0" w:color="000000"/>
              <w:left w:val="single" w:sz="12" w:space="0" w:color="000000"/>
              <w:bottom w:val="single" w:sz="12" w:space="0" w:color="000000"/>
              <w:right w:val="single" w:sz="6" w:space="0" w:color="000000"/>
            </w:tcBorders>
          </w:tcPr>
          <w:p>
            <w:pPr>
              <w:pStyle w:val="TableParagraph"/>
              <w:spacing w:line="240" w:lineRule="auto" w:before="130"/>
              <w:ind w:left="1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2696" w:type="dxa"/>
            <w:tcBorders>
              <w:top w:val="single" w:sz="9" w:space="0" w:color="000000"/>
              <w:left w:val="single" w:sz="6" w:space="0" w:color="000000"/>
              <w:bottom w:val="single" w:sz="12" w:space="0" w:color="000000"/>
              <w:right w:val="single" w:sz="6" w:space="0" w:color="000000"/>
            </w:tcBorders>
          </w:tcPr>
          <w:p>
            <w:pPr>
              <w:pStyle w:val="TableParagraph"/>
              <w:spacing w:line="240" w:lineRule="auto" w:before="130"/>
              <w:ind w:right="11"/>
              <w:jc w:val="center"/>
              <w:rPr>
                <w:rFonts w:ascii="宋体" w:hAnsi="宋体" w:cs="宋体" w:eastAsia="宋体" w:hint="default"/>
                <w:sz w:val="18"/>
                <w:szCs w:val="18"/>
              </w:rPr>
            </w:pPr>
            <w:r>
              <w:rPr>
                <w:rFonts w:ascii="宋体" w:hAnsi="宋体" w:cs="宋体" w:eastAsia="宋体" w:hint="default"/>
                <w:sz w:val="18"/>
                <w:szCs w:val="18"/>
              </w:rPr>
              <w:t>技术服务</w:t>
            </w:r>
            <w:r>
              <w:rPr>
                <w:rFonts w:ascii="Times New Roman" w:hAnsi="Times New Roman" w:cs="Times New Roman" w:eastAsia="Times New Roman" w:hint="default"/>
                <w:sz w:val="18"/>
                <w:szCs w:val="18"/>
              </w:rPr>
              <w:t>/</w:t>
            </w:r>
            <w:r>
              <w:rPr>
                <w:rFonts w:ascii="宋体" w:hAnsi="宋体" w:cs="宋体" w:eastAsia="宋体" w:hint="default"/>
                <w:sz w:val="18"/>
                <w:szCs w:val="18"/>
              </w:rPr>
              <w:t>应用软件开发</w:t>
            </w:r>
            <w:r>
              <w:rPr>
                <w:rFonts w:ascii="Times New Roman" w:hAnsi="Times New Roman" w:cs="Times New Roman" w:eastAsia="Times New Roman" w:hint="default"/>
                <w:sz w:val="18"/>
                <w:szCs w:val="18"/>
              </w:rPr>
              <w:t>/</w:t>
            </w:r>
            <w:r>
              <w:rPr>
                <w:rFonts w:ascii="宋体" w:hAnsi="宋体" w:cs="宋体" w:eastAsia="宋体" w:hint="default"/>
                <w:sz w:val="18"/>
                <w:szCs w:val="18"/>
              </w:rPr>
              <w:t>系统集成</w:t>
            </w:r>
          </w:p>
        </w:tc>
        <w:tc>
          <w:tcPr>
            <w:tcW w:w="1949" w:type="dxa"/>
            <w:tcBorders>
              <w:top w:val="single" w:sz="9"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80" w:right="0"/>
              <w:jc w:val="left"/>
              <w:rPr>
                <w:rFonts w:ascii="Times New Roman" w:hAnsi="Times New Roman" w:cs="Times New Roman" w:eastAsia="Times New Roman" w:hint="default"/>
                <w:sz w:val="18"/>
                <w:szCs w:val="18"/>
              </w:rPr>
            </w:pPr>
            <w:r>
              <w:rPr>
                <w:rFonts w:ascii="Times New Roman"/>
                <w:sz w:val="18"/>
              </w:rPr>
              <w:t>25,233,004.28</w:t>
            </w:r>
          </w:p>
        </w:tc>
        <w:tc>
          <w:tcPr>
            <w:tcW w:w="1949" w:type="dxa"/>
            <w:tcBorders>
              <w:top w:val="single" w:sz="9" w:space="0" w:color="000000"/>
              <w:left w:val="single" w:sz="6"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80" w:right="0"/>
              <w:jc w:val="left"/>
              <w:rPr>
                <w:rFonts w:ascii="Times New Roman" w:hAnsi="Times New Roman" w:cs="Times New Roman" w:eastAsia="Times New Roman" w:hint="default"/>
                <w:sz w:val="18"/>
                <w:szCs w:val="18"/>
              </w:rPr>
            </w:pPr>
            <w:r>
              <w:rPr>
                <w:rFonts w:ascii="Times New Roman"/>
                <w:sz w:val="18"/>
              </w:rPr>
              <w:t>20,524,192.93</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977"/>
        <w:gridCol w:w="2696"/>
        <w:gridCol w:w="1949"/>
        <w:gridCol w:w="1949"/>
      </w:tblGrid>
      <w:tr>
        <w:trPr>
          <w:trHeight w:val="478" w:hRule="exact"/>
        </w:trPr>
        <w:tc>
          <w:tcPr>
            <w:tcW w:w="297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天津神州数码融资租赁有限公司</w:t>
            </w:r>
          </w:p>
        </w:tc>
        <w:tc>
          <w:tcPr>
            <w:tcW w:w="26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金融专用设备销售</w:t>
            </w:r>
          </w:p>
        </w:tc>
        <w:tc>
          <w:tcPr>
            <w:tcW w:w="19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4,961,538.46</w:t>
            </w:r>
          </w:p>
        </w:tc>
        <w:tc>
          <w:tcPr>
            <w:tcW w:w="1949" w:type="dxa"/>
            <w:tcBorders>
              <w:top w:val="single" w:sz="12" w:space="0" w:color="000000"/>
              <w:left w:val="single" w:sz="6" w:space="0" w:color="000000"/>
              <w:bottom w:val="single" w:sz="6" w:space="0" w:color="000000"/>
              <w:right w:val="single" w:sz="12" w:space="0" w:color="000000"/>
            </w:tcBorders>
          </w:tcPr>
          <w:p>
            <w:pPr/>
          </w:p>
        </w:tc>
      </w:tr>
      <w:tr>
        <w:trPr>
          <w:trHeight w:val="468" w:hRule="exact"/>
        </w:trPr>
        <w:tc>
          <w:tcPr>
            <w:tcW w:w="29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技术服务</w:t>
            </w:r>
            <w:r>
              <w:rPr>
                <w:rFonts w:ascii="Times New Roman" w:hAnsi="Times New Roman" w:cs="Times New Roman" w:eastAsia="Times New Roman" w:hint="default"/>
                <w:sz w:val="18"/>
                <w:szCs w:val="18"/>
              </w:rPr>
              <w:t>/</w:t>
            </w:r>
            <w:r>
              <w:rPr>
                <w:rFonts w:ascii="宋体" w:hAnsi="宋体" w:cs="宋体" w:eastAsia="宋体" w:hint="default"/>
                <w:sz w:val="18"/>
                <w:szCs w:val="18"/>
              </w:rPr>
              <w:t>应用软件开发</w:t>
            </w:r>
            <w:r>
              <w:rPr>
                <w:rFonts w:ascii="Times New Roman" w:hAnsi="Times New Roman" w:cs="Times New Roman" w:eastAsia="Times New Roman" w:hint="default"/>
                <w:sz w:val="18"/>
                <w:szCs w:val="18"/>
              </w:rPr>
              <w:t>/</w:t>
            </w:r>
            <w:r>
              <w:rPr>
                <w:rFonts w:ascii="宋体" w:hAnsi="宋体" w:cs="宋体" w:eastAsia="宋体" w:hint="default"/>
                <w:sz w:val="18"/>
                <w:szCs w:val="18"/>
              </w:rPr>
              <w:t>系统集成</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4,312,500.00</w:t>
            </w:r>
          </w:p>
        </w:tc>
        <w:tc>
          <w:tcPr>
            <w:tcW w:w="19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1,257,998.56</w:t>
            </w:r>
          </w:p>
        </w:tc>
      </w:tr>
      <w:tr>
        <w:trPr>
          <w:trHeight w:val="468" w:hRule="exact"/>
        </w:trPr>
        <w:tc>
          <w:tcPr>
            <w:tcW w:w="29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苏州神州数码捷通科技有限公司</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1,360,000.00</w:t>
            </w:r>
          </w:p>
        </w:tc>
        <w:tc>
          <w:tcPr>
            <w:tcW w:w="19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890,000.00</w:t>
            </w:r>
          </w:p>
        </w:tc>
      </w:tr>
      <w:tr>
        <w:trPr>
          <w:trHeight w:val="470" w:hRule="exact"/>
        </w:trPr>
        <w:tc>
          <w:tcPr>
            <w:tcW w:w="29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神州数码（南京）信息科技有限公司</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698,113.21</w:t>
            </w:r>
          </w:p>
        </w:tc>
        <w:tc>
          <w:tcPr>
            <w:tcW w:w="1949"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9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广州神州数码有限公司</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金融专用设备销售</w:t>
            </w:r>
            <w:r>
              <w:rPr>
                <w:rFonts w:ascii="Times New Roman" w:hAnsi="Times New Roman" w:cs="Times New Roman" w:eastAsia="Times New Roman" w:hint="default"/>
                <w:sz w:val="18"/>
                <w:szCs w:val="18"/>
              </w:rPr>
              <w:t>/</w:t>
            </w:r>
            <w:r>
              <w:rPr>
                <w:rFonts w:ascii="宋体" w:hAnsi="宋体" w:cs="宋体" w:eastAsia="宋体" w:hint="default"/>
                <w:sz w:val="18"/>
                <w:szCs w:val="18"/>
              </w:rPr>
              <w:t>技术服务</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56,132.07</w:t>
            </w:r>
          </w:p>
        </w:tc>
        <w:tc>
          <w:tcPr>
            <w:tcW w:w="19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22,670.90</w:t>
            </w:r>
          </w:p>
        </w:tc>
      </w:tr>
      <w:tr>
        <w:trPr>
          <w:trHeight w:val="470" w:hRule="exact"/>
        </w:trPr>
        <w:tc>
          <w:tcPr>
            <w:tcW w:w="29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168,512.39</w:t>
            </w:r>
          </w:p>
        </w:tc>
        <w:tc>
          <w:tcPr>
            <w:tcW w:w="19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277,002.95</w:t>
            </w:r>
          </w:p>
        </w:tc>
      </w:tr>
      <w:tr>
        <w:trPr>
          <w:trHeight w:val="468" w:hRule="exact"/>
        </w:trPr>
        <w:tc>
          <w:tcPr>
            <w:tcW w:w="29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北京神州数码科捷技术服务有限公司</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30,188.68</w:t>
            </w:r>
          </w:p>
        </w:tc>
        <w:tc>
          <w:tcPr>
            <w:tcW w:w="1949" w:type="dxa"/>
            <w:tcBorders>
              <w:top w:val="single" w:sz="6" w:space="0" w:color="000000"/>
              <w:left w:val="single" w:sz="6" w:space="0" w:color="000000"/>
              <w:bottom w:val="single" w:sz="6" w:space="0" w:color="000000"/>
              <w:right w:val="single" w:sz="12" w:space="0" w:color="000000"/>
            </w:tcBorders>
          </w:tcPr>
          <w:p>
            <w:pPr/>
          </w:p>
        </w:tc>
      </w:tr>
      <w:tr>
        <w:trPr>
          <w:trHeight w:val="475" w:hRule="exact"/>
        </w:trPr>
        <w:tc>
          <w:tcPr>
            <w:tcW w:w="297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Digital China Technology</w:t>
            </w:r>
            <w:r>
              <w:rPr>
                <w:rFonts w:ascii="Times New Roman"/>
                <w:spacing w:val="-28"/>
                <w:sz w:val="18"/>
              </w:rPr>
              <w:t> </w:t>
            </w:r>
            <w:r>
              <w:rPr>
                <w:rFonts w:ascii="Times New Roman"/>
                <w:sz w:val="18"/>
              </w:rPr>
              <w:t>Limited</w:t>
            </w:r>
          </w:p>
        </w:tc>
        <w:tc>
          <w:tcPr>
            <w:tcW w:w="26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949" w:type="dxa"/>
            <w:tcBorders>
              <w:top w:val="single" w:sz="6" w:space="0" w:color="000000"/>
              <w:left w:val="single" w:sz="6" w:space="0" w:color="000000"/>
              <w:bottom w:val="single" w:sz="12" w:space="0" w:color="000000"/>
              <w:right w:val="single" w:sz="6" w:space="0" w:color="000000"/>
            </w:tcBorders>
          </w:tcPr>
          <w:p>
            <w:pPr/>
          </w:p>
        </w:tc>
        <w:tc>
          <w:tcPr>
            <w:tcW w:w="194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194,243.59</w:t>
            </w:r>
          </w:p>
        </w:tc>
      </w:tr>
    </w:tbl>
    <w:p>
      <w:pPr>
        <w:pStyle w:val="BodyText"/>
        <w:spacing w:line="408" w:lineRule="auto" w:before="67"/>
        <w:ind w:right="140"/>
        <w:jc w:val="left"/>
      </w:pPr>
      <w:r>
        <w:rPr>
          <w:spacing w:val="-2"/>
        </w:rPr>
        <w:t>向关联方采购商品的价格和接受关联方技术服务支出以市场价格确认；向关联方销售商品价格和向关联方</w:t>
      </w:r>
      <w:r>
        <w:rPr>
          <w:spacing w:val="-43"/>
        </w:rPr>
        <w:t> </w:t>
      </w:r>
      <w:r>
        <w:rPr>
          <w:spacing w:val="-43"/>
        </w:rPr>
      </w:r>
      <w:r>
        <w:rPr/>
        <w:t>提供技术服务收入以市场价格确认。</w:t>
      </w:r>
    </w:p>
    <w:p>
      <w:pPr>
        <w:spacing w:line="240" w:lineRule="auto" w:before="11"/>
        <w:rPr>
          <w:rFonts w:ascii="宋体" w:hAnsi="宋体" w:cs="宋体" w:eastAsia="宋体" w:hint="default"/>
          <w:sz w:val="24"/>
          <w:szCs w:val="24"/>
        </w:rPr>
      </w:pPr>
    </w:p>
    <w:p>
      <w:pPr>
        <w:pStyle w:val="Heading4"/>
        <w:spacing w:line="240" w:lineRule="auto"/>
        <w:ind w:right="140"/>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1"/>
        <w:rPr>
          <w:rFonts w:ascii="宋体" w:hAnsi="宋体" w:cs="宋体" w:eastAsia="宋体" w:hint="default"/>
          <w:b/>
          <w:bCs/>
          <w:sz w:val="25"/>
          <w:szCs w:val="25"/>
        </w:rPr>
      </w:pPr>
    </w:p>
    <w:tbl>
      <w:tblPr>
        <w:tblW w:w="0" w:type="auto"/>
        <w:jc w:val="left"/>
        <w:tblInd w:w="124" w:type="dxa"/>
        <w:tblLayout w:type="fixed"/>
        <w:tblCellMar>
          <w:top w:w="0" w:type="dxa"/>
          <w:left w:w="0" w:type="dxa"/>
          <w:bottom w:w="0" w:type="dxa"/>
          <w:right w:w="0" w:type="dxa"/>
        </w:tblCellMar>
        <w:tblLook w:val="01E0"/>
      </w:tblPr>
      <w:tblGrid>
        <w:gridCol w:w="1433"/>
        <w:gridCol w:w="1558"/>
        <w:gridCol w:w="710"/>
        <w:gridCol w:w="1702"/>
        <w:gridCol w:w="1558"/>
        <w:gridCol w:w="1418"/>
        <w:gridCol w:w="1198"/>
      </w:tblGrid>
      <w:tr>
        <w:trPr>
          <w:trHeight w:val="647" w:hRule="exact"/>
        </w:trPr>
        <w:tc>
          <w:tcPr>
            <w:tcW w:w="1433" w:type="dxa"/>
            <w:tcBorders>
              <w:top w:val="single" w:sz="12" w:space="0" w:color="000000"/>
              <w:left w:val="single" w:sz="12" w:space="0" w:color="000000"/>
              <w:bottom w:val="single" w:sz="6" w:space="0" w:color="000000"/>
              <w:right w:val="single" w:sz="6" w:space="0" w:color="000000"/>
            </w:tcBorders>
            <w:shd w:val="clear" w:color="auto" w:fill="D7D7D7"/>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担保方名称</w:t>
            </w:r>
          </w:p>
        </w:tc>
        <w:tc>
          <w:tcPr>
            <w:tcW w:w="1558" w:type="dxa"/>
            <w:tcBorders>
              <w:top w:val="single" w:sz="12"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被担保方名称</w:t>
            </w:r>
          </w:p>
        </w:tc>
        <w:tc>
          <w:tcPr>
            <w:tcW w:w="710" w:type="dxa"/>
            <w:tcBorders>
              <w:top w:val="single" w:sz="12"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702" w:type="dxa"/>
            <w:tcBorders>
              <w:top w:val="single" w:sz="12"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58" w:type="dxa"/>
            <w:tcBorders>
              <w:top w:val="single" w:sz="12"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418" w:type="dxa"/>
            <w:tcBorders>
              <w:top w:val="single" w:sz="12"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198" w:type="dxa"/>
            <w:tcBorders>
              <w:top w:val="single" w:sz="12" w:space="0" w:color="000000"/>
              <w:left w:val="single" w:sz="6" w:space="0" w:color="000000"/>
              <w:bottom w:val="single" w:sz="6" w:space="0" w:color="000000"/>
              <w:right w:val="single" w:sz="12" w:space="0" w:color="000000"/>
            </w:tcBorders>
            <w:shd w:val="clear" w:color="auto" w:fill="D7D7D7"/>
          </w:tcPr>
          <w:p>
            <w:pPr>
              <w:pStyle w:val="TableParagraph"/>
              <w:spacing w:line="316" w:lineRule="auto" w:before="9"/>
              <w:ind w:left="324" w:right="130" w:hanging="180"/>
              <w:jc w:val="left"/>
              <w:rPr>
                <w:rFonts w:ascii="宋体" w:hAnsi="宋体" w:cs="宋体" w:eastAsia="宋体" w:hint="default"/>
                <w:sz w:val="18"/>
                <w:szCs w:val="18"/>
              </w:rPr>
            </w:pPr>
            <w:r>
              <w:rPr>
                <w:rFonts w:ascii="宋体" w:hAnsi="宋体" w:cs="宋体" w:eastAsia="宋体" w:hint="default"/>
                <w:sz w:val="18"/>
                <w:szCs w:val="18"/>
              </w:rPr>
              <w:t>担保是否履 行完毕</w:t>
            </w:r>
          </w:p>
        </w:tc>
      </w:tr>
      <w:tr>
        <w:trPr>
          <w:trHeight w:val="468" w:hRule="exact"/>
        </w:trPr>
        <w:tc>
          <w:tcPr>
            <w:tcW w:w="1433"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54"/>
              <w:ind w:left="160" w:right="168"/>
              <w:jc w:val="left"/>
              <w:rPr>
                <w:rFonts w:ascii="宋体" w:hAnsi="宋体" w:cs="宋体" w:eastAsia="宋体" w:hint="default"/>
                <w:sz w:val="18"/>
                <w:szCs w:val="18"/>
              </w:rPr>
            </w:pPr>
            <w:r>
              <w:rPr>
                <w:rFonts w:ascii="宋体" w:hAnsi="宋体" w:cs="宋体" w:eastAsia="宋体" w:hint="default"/>
                <w:sz w:val="18"/>
                <w:szCs w:val="18"/>
              </w:rPr>
              <w:t>神州数码信息 系统有限公司</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362" w:lineRule="auto"/>
              <w:ind w:left="165" w:right="164" w:hanging="1"/>
              <w:jc w:val="center"/>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sz w:val="18"/>
              </w:rPr>
              <w:t> Advanced Systems</w:t>
            </w:r>
            <w:r>
              <w:rPr>
                <w:rFonts w:ascii="Times New Roman"/>
                <w:spacing w:val="-9"/>
                <w:sz w:val="18"/>
              </w:rPr>
              <w:t> </w:t>
            </w:r>
            <w:r>
              <w:rPr>
                <w:rFonts w:ascii="Times New Roman"/>
                <w:sz w:val="18"/>
              </w:rPr>
              <w:t>Limited</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pacing w:val="-1"/>
                <w:sz w:val="18"/>
              </w:rPr>
              <w:t>2013/3/18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2014/2/7</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w w:val="95"/>
                <w:sz w:val="18"/>
              </w:rPr>
              <w:t>2013/10/15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2014/9/26</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1"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2014/1/13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2014/12/19</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2014/2/7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2015/1/24</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433" w:type="dxa"/>
            <w:vMerge/>
            <w:tcBorders>
              <w:left w:val="single" w:sz="12"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w w:val="95"/>
                <w:sz w:val="18"/>
              </w:rPr>
              <w:t>2014/12/19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2015/12/4</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433"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56"/>
              <w:ind w:left="136" w:right="141" w:hanging="3"/>
              <w:jc w:val="center"/>
              <w:rPr>
                <w:rFonts w:ascii="宋体" w:hAnsi="宋体" w:cs="宋体" w:eastAsia="宋体" w:hint="default"/>
                <w:sz w:val="18"/>
                <w:szCs w:val="18"/>
              </w:rPr>
            </w:pPr>
            <w:r>
              <w:rPr>
                <w:rFonts w:ascii="宋体" w:hAnsi="宋体" w:cs="宋体" w:eastAsia="宋体" w:hint="default"/>
                <w:sz w:val="18"/>
                <w:szCs w:val="18"/>
              </w:rPr>
              <w:t>神州数码信息 服务股份有限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神州数码 信息系统有限 公司</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362" w:lineRule="auto"/>
              <w:ind w:left="165" w:right="164" w:hanging="1"/>
              <w:jc w:val="center"/>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sz w:val="18"/>
              </w:rPr>
              <w:t> Advanced Systems</w:t>
            </w:r>
            <w:r>
              <w:rPr>
                <w:rFonts w:ascii="Times New Roman"/>
                <w:spacing w:val="-9"/>
                <w:sz w:val="18"/>
              </w:rPr>
              <w:t> </w:t>
            </w:r>
            <w:r>
              <w:rPr>
                <w:rFonts w:ascii="Times New Roman"/>
                <w:sz w:val="18"/>
              </w:rPr>
              <w:t>Limited</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34,131,940.88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w w:val="95"/>
                <w:sz w:val="18"/>
              </w:rPr>
              <w:t>2014/10/30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5"/>
              <w:jc w:val="right"/>
              <w:rPr>
                <w:rFonts w:ascii="Times New Roman" w:hAnsi="Times New Roman" w:cs="Times New Roman" w:eastAsia="Times New Roman" w:hint="default"/>
                <w:sz w:val="18"/>
                <w:szCs w:val="18"/>
              </w:rPr>
            </w:pPr>
            <w:r>
              <w:rPr>
                <w:rFonts w:ascii="Times New Roman"/>
                <w:w w:val="95"/>
                <w:sz w:val="18"/>
              </w:rPr>
              <w:t>2015/10/12</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left="5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11,021,197.87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2013/1/29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2014/1/21</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9,151,318.11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2013/9/10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2014/9/3</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10,397,174.34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2014/2/13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2014/12/15</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1" w:hRule="exact"/>
        </w:trPr>
        <w:tc>
          <w:tcPr>
            <w:tcW w:w="1433" w:type="dxa"/>
            <w:vMerge/>
            <w:tcBorders>
              <w:left w:val="single" w:sz="12"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99"/>
              <w:jc w:val="right"/>
              <w:rPr>
                <w:rFonts w:ascii="Times New Roman" w:hAnsi="Times New Roman" w:cs="Times New Roman" w:eastAsia="Times New Roman" w:hint="default"/>
                <w:sz w:val="18"/>
                <w:szCs w:val="18"/>
              </w:rPr>
            </w:pPr>
            <w:r>
              <w:rPr>
                <w:rFonts w:ascii="Times New Roman"/>
                <w:spacing w:val="-1"/>
                <w:sz w:val="18"/>
              </w:rPr>
              <w:t>14,836,957.79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96"/>
              <w:jc w:val="right"/>
              <w:rPr>
                <w:rFonts w:ascii="Times New Roman" w:hAnsi="Times New Roman" w:cs="Times New Roman" w:eastAsia="Times New Roman" w:hint="default"/>
                <w:sz w:val="18"/>
                <w:szCs w:val="18"/>
              </w:rPr>
            </w:pPr>
            <w:r>
              <w:rPr>
                <w:rFonts w:ascii="Times New Roman"/>
                <w:spacing w:val="-1"/>
                <w:sz w:val="18"/>
              </w:rPr>
              <w:t>2014/4/17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95"/>
              <w:jc w:val="right"/>
              <w:rPr>
                <w:rFonts w:ascii="Times New Roman" w:hAnsi="Times New Roman" w:cs="Times New Roman" w:eastAsia="Times New Roman" w:hint="default"/>
                <w:sz w:val="18"/>
                <w:szCs w:val="18"/>
              </w:rPr>
            </w:pPr>
            <w:r>
              <w:rPr>
                <w:rFonts w:ascii="Times New Roman"/>
                <w:w w:val="95"/>
                <w:sz w:val="18"/>
              </w:rPr>
              <w:t>2014/10/10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316" w:lineRule="auto"/>
              <w:ind w:left="160" w:right="168"/>
              <w:jc w:val="center"/>
              <w:rPr>
                <w:rFonts w:ascii="宋体" w:hAnsi="宋体" w:cs="宋体" w:eastAsia="宋体" w:hint="default"/>
                <w:sz w:val="18"/>
                <w:szCs w:val="18"/>
              </w:rPr>
            </w:pPr>
            <w:r>
              <w:rPr>
                <w:rFonts w:ascii="宋体" w:hAnsi="宋体" w:cs="宋体" w:eastAsia="宋体" w:hint="default"/>
                <w:sz w:val="18"/>
                <w:szCs w:val="18"/>
              </w:rPr>
              <w:t>神州数码信息 服务股份有限 公司</w:t>
            </w:r>
          </w:p>
        </w:tc>
        <w:tc>
          <w:tcPr>
            <w:tcW w:w="1558" w:type="dxa"/>
            <w:vMerge w:val="restart"/>
            <w:tcBorders>
              <w:top w:val="single" w:sz="6" w:space="0" w:color="000000"/>
              <w:left w:val="single" w:sz="6" w:space="0" w:color="000000"/>
              <w:right w:val="single" w:sz="6" w:space="0" w:color="000000"/>
            </w:tcBorders>
          </w:tcPr>
          <w:p>
            <w:pPr>
              <w:pStyle w:val="TableParagraph"/>
              <w:spacing w:line="316" w:lineRule="auto" w:before="157"/>
              <w:ind w:left="141" w:right="140"/>
              <w:jc w:val="left"/>
              <w:rPr>
                <w:rFonts w:ascii="宋体" w:hAnsi="宋体" w:cs="宋体" w:eastAsia="宋体" w:hint="default"/>
                <w:sz w:val="18"/>
                <w:szCs w:val="18"/>
              </w:rPr>
            </w:pPr>
            <w:r>
              <w:rPr>
                <w:rFonts w:ascii="宋体" w:hAnsi="宋体" w:cs="宋体" w:eastAsia="宋体" w:hint="default"/>
                <w:sz w:val="18"/>
                <w:szCs w:val="18"/>
              </w:rPr>
              <w:t>神州数码系统集 成服务有限公司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6,172,559.44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2013/10/9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2014/1/7</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4,313,742.25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2013/10/9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2014/1/7</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362" w:lineRule="auto"/>
              <w:ind w:left="165" w:right="164" w:hanging="1"/>
              <w:jc w:val="center"/>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sz w:val="18"/>
              </w:rPr>
              <w:t> Advanced Systems</w:t>
            </w:r>
            <w:r>
              <w:rPr>
                <w:rFonts w:ascii="Times New Roman"/>
                <w:spacing w:val="-9"/>
                <w:sz w:val="18"/>
              </w:rPr>
              <w:t> </w:t>
            </w:r>
            <w:r>
              <w:rPr>
                <w:rFonts w:ascii="Times New Roman"/>
                <w:sz w:val="18"/>
              </w:rPr>
              <w:t>Limited</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HKD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300,000,000.00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pacing w:val="-1"/>
                <w:sz w:val="18"/>
              </w:rPr>
              <w:t>2013/1/28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5"/>
              <w:jc w:val="right"/>
              <w:rPr>
                <w:rFonts w:ascii="Times New Roman" w:hAnsi="Times New Roman" w:cs="Times New Roman" w:eastAsia="Times New Roman" w:hint="default"/>
                <w:sz w:val="18"/>
                <w:szCs w:val="18"/>
              </w:rPr>
            </w:pPr>
            <w:r>
              <w:rPr>
                <w:rFonts w:ascii="Times New Roman"/>
                <w:w w:val="95"/>
                <w:sz w:val="18"/>
              </w:rPr>
              <w:t>2013/12/31</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HKD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2013/5/29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2013/12/31</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4,000,000.00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2013/12/2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2013/12/31</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5" w:hRule="exact"/>
        </w:trPr>
        <w:tc>
          <w:tcPr>
            <w:tcW w:w="1433" w:type="dxa"/>
            <w:vMerge/>
            <w:tcBorders>
              <w:left w:val="single" w:sz="12" w:space="0" w:color="000000"/>
              <w:bottom w:val="single" w:sz="12" w:space="0" w:color="000000"/>
              <w:right w:val="single" w:sz="6" w:space="0" w:color="000000"/>
            </w:tcBorders>
          </w:tcPr>
          <w:p>
            <w:pPr/>
          </w:p>
        </w:tc>
        <w:tc>
          <w:tcPr>
            <w:tcW w:w="1558" w:type="dxa"/>
            <w:vMerge/>
            <w:tcBorders>
              <w:left w:val="single" w:sz="6" w:space="0" w:color="000000"/>
              <w:bottom w:val="single" w:sz="12" w:space="0" w:color="000000"/>
              <w:right w:val="single" w:sz="6" w:space="0" w:color="000000"/>
            </w:tcBorders>
          </w:tcPr>
          <w:p>
            <w:pP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3,001,136.30</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2013/12/2</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2013/12/31</w:t>
            </w:r>
          </w:p>
        </w:tc>
        <w:tc>
          <w:tcPr>
            <w:tcW w:w="119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0"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433"/>
        <w:gridCol w:w="1558"/>
        <w:gridCol w:w="710"/>
        <w:gridCol w:w="1702"/>
        <w:gridCol w:w="1558"/>
        <w:gridCol w:w="1418"/>
        <w:gridCol w:w="1198"/>
      </w:tblGrid>
      <w:tr>
        <w:trPr>
          <w:trHeight w:val="478" w:hRule="exact"/>
        </w:trPr>
        <w:tc>
          <w:tcPr>
            <w:tcW w:w="1433" w:type="dxa"/>
            <w:vMerge w:val="restart"/>
            <w:tcBorders>
              <w:top w:val="single" w:sz="12" w:space="0" w:color="000000"/>
              <w:left w:val="single" w:sz="12" w:space="0" w:color="000000"/>
              <w:right w:val="single" w:sz="6" w:space="0" w:color="000000"/>
            </w:tcBorders>
          </w:tcPr>
          <w:p>
            <w:pPr/>
          </w:p>
        </w:tc>
        <w:tc>
          <w:tcPr>
            <w:tcW w:w="1558" w:type="dxa"/>
            <w:vMerge w:val="restart"/>
            <w:tcBorders>
              <w:top w:val="single" w:sz="12" w:space="0" w:color="000000"/>
              <w:left w:val="single" w:sz="6" w:space="0" w:color="000000"/>
              <w:right w:val="single" w:sz="6" w:space="0" w:color="000000"/>
            </w:tcBorders>
          </w:tcPr>
          <w:p>
            <w:pPr/>
          </w:p>
        </w:tc>
        <w:tc>
          <w:tcPr>
            <w:tcW w:w="7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1,018,861.66</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2013/12/4</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2013/12/31</w:t>
            </w:r>
          </w:p>
        </w:tc>
        <w:tc>
          <w:tcPr>
            <w:tcW w:w="119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812,014.35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w w:val="95"/>
                <w:sz w:val="18"/>
              </w:rPr>
              <w:t>2013/12/18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2013/12/31</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w w:val="95"/>
                <w:sz w:val="18"/>
              </w:rPr>
              <w:t>2013/12/27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2013/12/31</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963,797.04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w w:val="95"/>
                <w:sz w:val="18"/>
              </w:rPr>
              <w:t>2013/12/27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2013/12/31</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1,950,424.28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w w:val="95"/>
                <w:sz w:val="18"/>
              </w:rPr>
              <w:t>2013/12/31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2013/12/31</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2,012,000.00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2013/6/25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2014/6/25</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HKD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2013/7/30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2014/6/30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HKD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2013/8/5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2014/6/30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9"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HKD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50,350,000.00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2013/9/3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5"/>
              <w:jc w:val="right"/>
              <w:rPr>
                <w:rFonts w:ascii="Times New Roman" w:hAnsi="Times New Roman" w:cs="Times New Roman" w:eastAsia="Times New Roman" w:hint="default"/>
                <w:sz w:val="18"/>
                <w:szCs w:val="18"/>
              </w:rPr>
            </w:pPr>
            <w:r>
              <w:rPr>
                <w:rFonts w:ascii="Times New Roman"/>
                <w:spacing w:val="-1"/>
                <w:sz w:val="18"/>
              </w:rPr>
              <w:t>2014/6/30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8"/>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3,180,369.75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2013/11/4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2014/1/13</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2,715,791.99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w w:val="95"/>
                <w:sz w:val="18"/>
              </w:rPr>
              <w:t>2013/12/17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2014/1/13</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7,363,150.63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2014/1/27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2014/4/22</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392,424.76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2014/2/19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2014/5/8</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6" w:lineRule="auto"/>
              <w:ind w:left="160" w:right="168"/>
              <w:jc w:val="center"/>
              <w:rPr>
                <w:rFonts w:ascii="宋体" w:hAnsi="宋体" w:cs="宋体" w:eastAsia="宋体" w:hint="default"/>
                <w:sz w:val="18"/>
                <w:szCs w:val="18"/>
              </w:rPr>
            </w:pPr>
            <w:r>
              <w:rPr>
                <w:rFonts w:ascii="宋体" w:hAnsi="宋体" w:cs="宋体" w:eastAsia="宋体" w:hint="default"/>
                <w:sz w:val="18"/>
                <w:szCs w:val="18"/>
              </w:rPr>
              <w:t>神州数码系统 集成服务有限 公司</w:t>
            </w:r>
          </w:p>
        </w:tc>
        <w:tc>
          <w:tcPr>
            <w:tcW w:w="1558" w:type="dxa"/>
            <w:vMerge w:val="restart"/>
            <w:tcBorders>
              <w:top w:val="single" w:sz="6" w:space="0" w:color="000000"/>
              <w:left w:val="single" w:sz="6" w:space="0" w:color="000000"/>
              <w:right w:val="single" w:sz="6" w:space="0" w:color="000000"/>
            </w:tcBorders>
          </w:tcPr>
          <w:p>
            <w:pPr>
              <w:pStyle w:val="TableParagraph"/>
              <w:spacing w:line="316" w:lineRule="auto" w:before="157"/>
              <w:ind w:left="141" w:right="140"/>
              <w:jc w:val="left"/>
              <w:rPr>
                <w:rFonts w:ascii="宋体" w:hAnsi="宋体" w:cs="宋体" w:eastAsia="宋体" w:hint="default"/>
                <w:sz w:val="18"/>
                <w:szCs w:val="18"/>
              </w:rPr>
            </w:pPr>
            <w:r>
              <w:rPr>
                <w:rFonts w:ascii="宋体" w:hAnsi="宋体" w:cs="宋体" w:eastAsia="宋体" w:hint="default"/>
                <w:sz w:val="18"/>
                <w:szCs w:val="18"/>
              </w:rPr>
              <w:t>神州数码金信科 技股份有限公司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RMB</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500,000.00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w w:val="95"/>
                <w:sz w:val="18"/>
              </w:rPr>
              <w:t>2013/11/14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5"/>
              <w:jc w:val="right"/>
              <w:rPr>
                <w:rFonts w:ascii="Times New Roman" w:hAnsi="Times New Roman" w:cs="Times New Roman" w:eastAsia="Times New Roman" w:hint="default"/>
                <w:sz w:val="18"/>
                <w:szCs w:val="18"/>
              </w:rPr>
            </w:pPr>
            <w:r>
              <w:rPr>
                <w:rFonts w:ascii="Times New Roman"/>
                <w:spacing w:val="-1"/>
                <w:sz w:val="18"/>
              </w:rPr>
              <w:t>2014/5/13</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RMB</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1,189,320.00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2014/9/25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2014/11/25</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1" w:hRule="exact"/>
        </w:trPr>
        <w:tc>
          <w:tcPr>
            <w:tcW w:w="1433" w:type="dxa"/>
            <w:vMerge/>
            <w:tcBorders>
              <w:left w:val="single" w:sz="12" w:space="0" w:color="000000"/>
              <w:right w:val="single" w:sz="6" w:space="0" w:color="000000"/>
            </w:tcBorders>
          </w:tcPr>
          <w:p>
            <w:pP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62" w:lineRule="auto"/>
              <w:ind w:left="165" w:right="164" w:hanging="1"/>
              <w:jc w:val="center"/>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sz w:val="18"/>
              </w:rPr>
              <w:t> Advanced Systems</w:t>
            </w:r>
            <w:r>
              <w:rPr>
                <w:rFonts w:ascii="Times New Roman"/>
                <w:spacing w:val="-9"/>
                <w:sz w:val="18"/>
              </w:rPr>
              <w:t> </w:t>
            </w:r>
            <w:r>
              <w:rPr>
                <w:rFonts w:ascii="Times New Roman"/>
                <w:sz w:val="18"/>
              </w:rPr>
              <w:t>Limited</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HKD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300,000,000.00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2014/1/28</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HKD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2014/2/28</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4,000,000.00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2014/1/13</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3,001,136.30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2014/2/13</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1,018,861.66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2014/2/13</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812,014.35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2014/1/1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5"/>
              <w:jc w:val="right"/>
              <w:rPr>
                <w:rFonts w:ascii="Times New Roman" w:hAnsi="Times New Roman" w:cs="Times New Roman" w:eastAsia="Times New Roman" w:hint="default"/>
                <w:sz w:val="18"/>
                <w:szCs w:val="18"/>
              </w:rPr>
            </w:pPr>
            <w:r>
              <w:rPr>
                <w:rFonts w:ascii="Times New Roman"/>
                <w:spacing w:val="-1"/>
                <w:sz w:val="18"/>
              </w:rPr>
              <w:t>2014/2/13</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2014/2/14</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1"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963,797.04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2014/2/19</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1,950,424.28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2014/1/28</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1,341,840.12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2014/1/6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2014/3/18</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119,280.00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2014/1/6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5"/>
              <w:jc w:val="right"/>
              <w:rPr>
                <w:rFonts w:ascii="Times New Roman" w:hAnsi="Times New Roman" w:cs="Times New Roman" w:eastAsia="Times New Roman" w:hint="default"/>
                <w:sz w:val="18"/>
                <w:szCs w:val="18"/>
              </w:rPr>
            </w:pPr>
            <w:r>
              <w:rPr>
                <w:rFonts w:ascii="Times New Roman"/>
                <w:spacing w:val="-1"/>
                <w:sz w:val="18"/>
              </w:rPr>
              <w:t>2014/3/18</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526,720.23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2014/1/9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2014/3/18</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8,252,028.38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2014/1/17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2014/3/18</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5" w:hRule="exact"/>
        </w:trPr>
        <w:tc>
          <w:tcPr>
            <w:tcW w:w="1433" w:type="dxa"/>
            <w:vMerge/>
            <w:tcBorders>
              <w:left w:val="single" w:sz="12" w:space="0" w:color="000000"/>
              <w:bottom w:val="single" w:sz="12" w:space="0" w:color="000000"/>
              <w:right w:val="single" w:sz="6" w:space="0" w:color="000000"/>
            </w:tcBorders>
          </w:tcPr>
          <w:p>
            <w:pPr/>
          </w:p>
        </w:tc>
        <w:tc>
          <w:tcPr>
            <w:tcW w:w="1558" w:type="dxa"/>
            <w:vMerge/>
            <w:tcBorders>
              <w:left w:val="single" w:sz="6" w:space="0" w:color="000000"/>
              <w:bottom w:val="single" w:sz="12" w:space="0" w:color="000000"/>
              <w:right w:val="single" w:sz="6" w:space="0" w:color="000000"/>
            </w:tcBorders>
          </w:tcPr>
          <w:p>
            <w:pP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1,336,336.64</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2014/1/28</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2014/3/18</w:t>
            </w:r>
          </w:p>
        </w:tc>
        <w:tc>
          <w:tcPr>
            <w:tcW w:w="119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0"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433"/>
        <w:gridCol w:w="1558"/>
        <w:gridCol w:w="710"/>
        <w:gridCol w:w="1702"/>
        <w:gridCol w:w="1558"/>
        <w:gridCol w:w="1418"/>
        <w:gridCol w:w="1205"/>
      </w:tblGrid>
      <w:tr>
        <w:trPr>
          <w:trHeight w:val="478" w:hRule="exact"/>
        </w:trPr>
        <w:tc>
          <w:tcPr>
            <w:tcW w:w="1433" w:type="dxa"/>
            <w:vMerge w:val="restart"/>
            <w:tcBorders>
              <w:top w:val="single" w:sz="12" w:space="0" w:color="000000"/>
              <w:left w:val="single" w:sz="12" w:space="0" w:color="000000"/>
              <w:right w:val="single" w:sz="6" w:space="0" w:color="000000"/>
            </w:tcBorders>
          </w:tcPr>
          <w:p>
            <w:pPr/>
          </w:p>
        </w:tc>
        <w:tc>
          <w:tcPr>
            <w:tcW w:w="1558" w:type="dxa"/>
            <w:vMerge w:val="restart"/>
            <w:tcBorders>
              <w:top w:val="single" w:sz="12" w:space="0" w:color="000000"/>
              <w:left w:val="single" w:sz="6" w:space="0" w:color="000000"/>
              <w:right w:val="single" w:sz="6" w:space="0" w:color="000000"/>
            </w:tcBorders>
          </w:tcPr>
          <w:p>
            <w:pPr/>
          </w:p>
        </w:tc>
        <w:tc>
          <w:tcPr>
            <w:tcW w:w="7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930,919.36</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2014/1/28</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2014/3/18</w:t>
            </w:r>
          </w:p>
        </w:tc>
        <w:tc>
          <w:tcPr>
            <w:tcW w:w="120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485,875.00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2014/1/28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2014/3/18</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HKD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15,000,000.00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2014/1/28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2015/1/28</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HKD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300,000,000.00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2014/1/28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2016/9/30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6,597,785.23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2014/2/11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2014/5/8</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1,509,006.64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2014/2/27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2014/5/8</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HKD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2014/2/28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2015/2/28</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204,912.49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2014/3/3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2014/5/30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9"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711,120.13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2014/3/3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5"/>
              <w:jc w:val="right"/>
              <w:rPr>
                <w:rFonts w:ascii="Times New Roman" w:hAnsi="Times New Roman" w:cs="Times New Roman" w:eastAsia="Times New Roman" w:hint="default"/>
                <w:sz w:val="18"/>
                <w:szCs w:val="18"/>
              </w:rPr>
            </w:pPr>
            <w:r>
              <w:rPr>
                <w:rFonts w:ascii="Times New Roman"/>
                <w:spacing w:val="-1"/>
                <w:sz w:val="18"/>
              </w:rPr>
              <w:t>2014/5/30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8"/>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767,249.68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2014/3/11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2014/6/9</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443,105.00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2014/3/18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2014/6/10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568,570.07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2014/3/19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2014/6/10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288,360.00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2014/3/19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2014/6/10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195,119.34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pacing w:val="-1"/>
                <w:sz w:val="18"/>
              </w:rPr>
              <w:t>2014/3/19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5"/>
              <w:jc w:val="right"/>
              <w:rPr>
                <w:rFonts w:ascii="Times New Roman" w:hAnsi="Times New Roman" w:cs="Times New Roman" w:eastAsia="Times New Roman" w:hint="default"/>
                <w:sz w:val="18"/>
                <w:szCs w:val="18"/>
              </w:rPr>
            </w:pPr>
            <w:r>
              <w:rPr>
                <w:rFonts w:ascii="Times New Roman"/>
                <w:spacing w:val="-1"/>
                <w:sz w:val="18"/>
              </w:rPr>
              <w:t>2014/6/10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589,090.40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2014/3/28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2014/6/10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1"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240,192.00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2014/3/31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2014/6/10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3,496,021.12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2014/4/3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2014/6/23</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141,896.88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2014/4/4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2014/6/10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886,767.30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2014/4/10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2014/6/23</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934,693.27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2014/4/17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2014/6/23</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578,240.46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pacing w:val="-1"/>
                <w:sz w:val="18"/>
              </w:rPr>
              <w:t>2014/4/25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5"/>
              <w:jc w:val="right"/>
              <w:rPr>
                <w:rFonts w:ascii="Times New Roman" w:hAnsi="Times New Roman" w:cs="Times New Roman" w:eastAsia="Times New Roman" w:hint="default"/>
                <w:sz w:val="18"/>
                <w:szCs w:val="18"/>
              </w:rPr>
            </w:pPr>
            <w:r>
              <w:rPr>
                <w:rFonts w:ascii="Times New Roman"/>
                <w:spacing w:val="-1"/>
                <w:sz w:val="18"/>
              </w:rPr>
              <w:t>2014/7/24</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1,053,211.28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2014/4/30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2014/7/24</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1"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1,778,187.42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2014/5/9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2014/7/24</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495,749.45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2014/5/19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2014/7/24</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752,314.27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2014/5/27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2014/7/24</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650,305.99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pacing w:val="-1"/>
                <w:sz w:val="18"/>
              </w:rPr>
              <w:t>2014/5/30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5"/>
              <w:jc w:val="right"/>
              <w:rPr>
                <w:rFonts w:ascii="Times New Roman" w:hAnsi="Times New Roman" w:cs="Times New Roman" w:eastAsia="Times New Roman" w:hint="default"/>
                <w:sz w:val="18"/>
                <w:szCs w:val="18"/>
              </w:rPr>
            </w:pPr>
            <w:r>
              <w:rPr>
                <w:rFonts w:ascii="Times New Roman"/>
                <w:spacing w:val="-1"/>
                <w:sz w:val="18"/>
              </w:rPr>
              <w:t>2014/7/24</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2,476,972.70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2014/6/3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2014/7/24</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2,417,452.08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2014/6/11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2014/7/24</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5" w:hRule="exact"/>
        </w:trPr>
        <w:tc>
          <w:tcPr>
            <w:tcW w:w="1433" w:type="dxa"/>
            <w:vMerge/>
            <w:tcBorders>
              <w:left w:val="single" w:sz="12" w:space="0" w:color="000000"/>
              <w:bottom w:val="single" w:sz="12" w:space="0" w:color="000000"/>
              <w:right w:val="single" w:sz="6" w:space="0" w:color="000000"/>
            </w:tcBorders>
          </w:tcPr>
          <w:p>
            <w:pPr/>
          </w:p>
        </w:tc>
        <w:tc>
          <w:tcPr>
            <w:tcW w:w="1558" w:type="dxa"/>
            <w:vMerge/>
            <w:tcBorders>
              <w:left w:val="single" w:sz="6" w:space="0" w:color="000000"/>
              <w:bottom w:val="single" w:sz="12" w:space="0" w:color="000000"/>
              <w:right w:val="single" w:sz="6" w:space="0" w:color="000000"/>
            </w:tcBorders>
          </w:tcPr>
          <w:p>
            <w:pP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USD</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1,580,055.87</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2014/6/19</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2014/9/10</w:t>
            </w:r>
          </w:p>
        </w:tc>
        <w:tc>
          <w:tcPr>
            <w:tcW w:w="120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0"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433"/>
        <w:gridCol w:w="1558"/>
        <w:gridCol w:w="710"/>
        <w:gridCol w:w="1702"/>
        <w:gridCol w:w="1558"/>
        <w:gridCol w:w="1418"/>
        <w:gridCol w:w="1205"/>
      </w:tblGrid>
      <w:tr>
        <w:trPr>
          <w:trHeight w:val="478" w:hRule="exact"/>
        </w:trPr>
        <w:tc>
          <w:tcPr>
            <w:tcW w:w="1433" w:type="dxa"/>
            <w:vMerge w:val="restart"/>
            <w:tcBorders>
              <w:top w:val="single" w:sz="12" w:space="0" w:color="000000"/>
              <w:left w:val="single" w:sz="12" w:space="0" w:color="000000"/>
              <w:right w:val="single" w:sz="6" w:space="0" w:color="000000"/>
            </w:tcBorders>
          </w:tcPr>
          <w:p>
            <w:pPr/>
          </w:p>
        </w:tc>
        <w:tc>
          <w:tcPr>
            <w:tcW w:w="1558" w:type="dxa"/>
            <w:vMerge w:val="restart"/>
            <w:tcBorders>
              <w:top w:val="single" w:sz="12" w:space="0" w:color="000000"/>
              <w:left w:val="single" w:sz="6" w:space="0" w:color="000000"/>
              <w:right w:val="single" w:sz="6" w:space="0" w:color="000000"/>
            </w:tcBorders>
          </w:tcPr>
          <w:p>
            <w:pPr/>
          </w:p>
        </w:tc>
        <w:tc>
          <w:tcPr>
            <w:tcW w:w="7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2,140,970.30</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2014/6/27</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2014/9/10</w:t>
            </w:r>
          </w:p>
        </w:tc>
        <w:tc>
          <w:tcPr>
            <w:tcW w:w="120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2,983,824.60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2014/6/30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2014/9/10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2,284,523.51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2014/7/3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2014/9/10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2,003,382.51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2014/7/11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2014/9/10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495,679.90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2014/7/18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2014/9/10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429,343.84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2014/7/28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2014/9/26</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3,430,687.07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2014/7/28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2014/9/26</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2,581,924.55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2014/8/1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2014/10/30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9"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4,179,410.46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pacing w:val="-1"/>
                <w:sz w:val="18"/>
              </w:rPr>
              <w:t>2014/8/11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5"/>
              <w:jc w:val="right"/>
              <w:rPr>
                <w:rFonts w:ascii="Times New Roman" w:hAnsi="Times New Roman" w:cs="Times New Roman" w:eastAsia="Times New Roman" w:hint="default"/>
                <w:sz w:val="18"/>
                <w:szCs w:val="18"/>
              </w:rPr>
            </w:pPr>
            <w:r>
              <w:rPr>
                <w:rFonts w:ascii="Times New Roman"/>
                <w:spacing w:val="-1"/>
                <w:sz w:val="18"/>
              </w:rPr>
              <w:t>2014/9/26</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8"/>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5,600,630.13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2014/8/19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2014/11/12</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2,452,207.08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2014/8/27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2014/11/12</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3,687,346.07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2014/8/29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2014/11/12</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229,700.65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2014/9/4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2014/11/12</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598,454.40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pacing w:val="-1"/>
                <w:sz w:val="18"/>
              </w:rPr>
              <w:t>2014/9/10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5"/>
              <w:jc w:val="right"/>
              <w:rPr>
                <w:rFonts w:ascii="Times New Roman" w:hAnsi="Times New Roman" w:cs="Times New Roman" w:eastAsia="Times New Roman" w:hint="default"/>
                <w:sz w:val="18"/>
                <w:szCs w:val="18"/>
              </w:rPr>
            </w:pPr>
            <w:r>
              <w:rPr>
                <w:rFonts w:ascii="Times New Roman"/>
                <w:w w:val="95"/>
                <w:sz w:val="18"/>
              </w:rPr>
              <w:t>2014/11/12</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4,248,517.44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2014/9/18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2014/11/12</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1"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3,244,918.08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2014/9/25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2014/11/12</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479,848.40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2014/9/26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2014/11/12</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1,271,863.60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2014/10/9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2014/12/23</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1,051,039.10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w w:val="95"/>
                <w:sz w:val="18"/>
              </w:rPr>
              <w:t>2014/10/17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2014/12/23</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1,834,945.00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w w:val="95"/>
                <w:sz w:val="18"/>
              </w:rPr>
              <w:t>2014/10/22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2014/12/23</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2,065,019.65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w w:val="95"/>
                <w:sz w:val="18"/>
              </w:rPr>
              <w:t>2014/10/27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5"/>
              <w:jc w:val="right"/>
              <w:rPr>
                <w:rFonts w:ascii="Times New Roman" w:hAnsi="Times New Roman" w:cs="Times New Roman" w:eastAsia="Times New Roman" w:hint="default"/>
                <w:sz w:val="18"/>
                <w:szCs w:val="18"/>
              </w:rPr>
            </w:pPr>
            <w:r>
              <w:rPr>
                <w:rFonts w:ascii="Times New Roman"/>
                <w:w w:val="95"/>
                <w:sz w:val="18"/>
              </w:rPr>
              <w:t>2014/12/23</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2,337,700.59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2014/11/3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w w:val="95"/>
                <w:sz w:val="18"/>
              </w:rPr>
              <w:t>2014/12/23</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1"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427,847.72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w w:val="95"/>
                <w:sz w:val="18"/>
              </w:rPr>
              <w:t>2014/11/11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2015/2/9</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785,231.02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w w:val="95"/>
                <w:sz w:val="18"/>
              </w:rPr>
              <w:t>2014/11/19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2015/2/17</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330,888.00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w w:val="95"/>
                <w:sz w:val="18"/>
              </w:rPr>
              <w:t>2014/11/19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2015/2/17</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250,795.68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w w:val="95"/>
                <w:sz w:val="18"/>
              </w:rPr>
              <w:t>2014/11/25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5"/>
              <w:jc w:val="right"/>
              <w:rPr>
                <w:rFonts w:ascii="Times New Roman" w:hAnsi="Times New Roman" w:cs="Times New Roman" w:eastAsia="Times New Roman" w:hint="default"/>
                <w:sz w:val="18"/>
                <w:szCs w:val="18"/>
              </w:rPr>
            </w:pPr>
            <w:r>
              <w:rPr>
                <w:rFonts w:ascii="Times New Roman"/>
                <w:spacing w:val="-1"/>
                <w:sz w:val="18"/>
              </w:rPr>
              <w:t>2015/2/23</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left="5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433" w:type="dxa"/>
            <w:vMerge/>
            <w:tcBorders>
              <w:left w:val="single" w:sz="12"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1,004,111.92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w w:val="95"/>
                <w:sz w:val="18"/>
              </w:rPr>
              <w:t>2014/11/27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2015/2/25</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1433" w:type="dxa"/>
            <w:vMerge/>
            <w:tcBorders>
              <w:left w:val="single" w:sz="12" w:space="0" w:color="000000"/>
              <w:bottom w:val="single" w:sz="12" w:space="0" w:color="000000"/>
              <w:right w:val="single" w:sz="6" w:space="0" w:color="000000"/>
            </w:tcBorders>
          </w:tcPr>
          <w:p>
            <w:pPr/>
          </w:p>
        </w:tc>
        <w:tc>
          <w:tcPr>
            <w:tcW w:w="1558" w:type="dxa"/>
            <w:vMerge/>
            <w:tcBorders>
              <w:left w:val="single" w:sz="6" w:space="0" w:color="000000"/>
              <w:bottom w:val="single" w:sz="12" w:space="0" w:color="000000"/>
              <w:right w:val="single" w:sz="6" w:space="0" w:color="000000"/>
            </w:tcBorders>
          </w:tcPr>
          <w:p>
            <w:pP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167"/>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1,217,893.97</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w w:val="95"/>
                <w:sz w:val="18"/>
              </w:rPr>
              <w:t>2014/12/30</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2015/3/30</w:t>
            </w:r>
          </w:p>
        </w:tc>
        <w:tc>
          <w:tcPr>
            <w:tcW w:w="120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1227" w:top="1100" w:bottom="1420" w:left="980" w:right="980"/>
        </w:sectPr>
      </w:pPr>
    </w:p>
    <w:p>
      <w:pPr>
        <w:spacing w:line="240" w:lineRule="auto" w:before="6"/>
        <w:rPr>
          <w:rFonts w:ascii="Times New Roman" w:hAnsi="Times New Roman" w:cs="Times New Roman" w:eastAsia="Times New Roman" w:hint="default"/>
          <w:sz w:val="28"/>
          <w:szCs w:val="28"/>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3</w:t>
      </w:r>
      <w:r>
        <w:rPr/>
        <w:t>）关联方资产转让、债务重组情况</w:t>
      </w:r>
      <w:r>
        <w:rPr>
          <w:b w:val="0"/>
          <w:bCs w:val="0"/>
        </w:rPr>
      </w:r>
    </w:p>
    <w:p>
      <w:pPr>
        <w:spacing w:line="240" w:lineRule="auto" w:before="10"/>
        <w:rPr>
          <w:rFonts w:ascii="宋体" w:hAnsi="宋体" w:cs="宋体" w:eastAsia="宋体" w:hint="default"/>
          <w:b/>
          <w:bCs/>
          <w:sz w:val="13"/>
          <w:szCs w:val="1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2391"/>
        <w:gridCol w:w="2393"/>
        <w:gridCol w:w="2393"/>
        <w:gridCol w:w="2393"/>
      </w:tblGrid>
      <w:tr>
        <w:trPr>
          <w:trHeight w:val="456" w:hRule="exact"/>
        </w:trPr>
        <w:tc>
          <w:tcPr>
            <w:tcW w:w="23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5"/>
              <w:ind w:right="3"/>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5"/>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5"/>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9" w:hRule="exact"/>
        </w:trPr>
        <w:tc>
          <w:tcPr>
            <w:tcW w:w="239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7"/>
              <w:ind w:right="5"/>
              <w:jc w:val="center"/>
              <w:rPr>
                <w:rFonts w:ascii="宋体" w:hAnsi="宋体" w:cs="宋体" w:eastAsia="宋体" w:hint="default"/>
                <w:sz w:val="18"/>
                <w:szCs w:val="18"/>
              </w:rPr>
            </w:pPr>
            <w:r>
              <w:rPr>
                <w:rFonts w:ascii="宋体" w:hAnsi="宋体" w:cs="宋体" w:eastAsia="宋体" w:hint="default"/>
                <w:sz w:val="18"/>
                <w:szCs w:val="18"/>
              </w:rPr>
              <w:t>西安神州数码实业有限公司</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购买房屋建筑物</w:t>
            </w:r>
          </w:p>
        </w:tc>
        <w:tc>
          <w:tcPr>
            <w:tcW w:w="2393" w:type="dxa"/>
            <w:tcBorders>
              <w:top w:val="single" w:sz="6" w:space="0" w:color="000000"/>
              <w:left w:val="single" w:sz="6" w:space="0" w:color="000000"/>
              <w:bottom w:val="single" w:sz="12" w:space="0" w:color="000000"/>
              <w:right w:val="single" w:sz="6" w:space="0" w:color="000000"/>
            </w:tcBorders>
          </w:tcPr>
          <w:p>
            <w:pPr/>
          </w:p>
        </w:tc>
        <w:tc>
          <w:tcPr>
            <w:tcW w:w="23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22" w:right="0"/>
              <w:jc w:val="left"/>
              <w:rPr>
                <w:rFonts w:ascii="Times New Roman" w:hAnsi="Times New Roman" w:cs="Times New Roman" w:eastAsia="Times New Roman" w:hint="default"/>
                <w:sz w:val="18"/>
                <w:szCs w:val="18"/>
              </w:rPr>
            </w:pPr>
            <w:r>
              <w:rPr>
                <w:rFonts w:ascii="Times New Roman"/>
                <w:sz w:val="18"/>
              </w:rPr>
              <w:t>43,907,700.00</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4</w:t>
      </w:r>
      <w:r>
        <w:rPr/>
        <w:t>）其他关联交易</w:t>
      </w:r>
      <w:r>
        <w:rPr>
          <w:b w:val="0"/>
          <w:bCs w:val="0"/>
        </w:rPr>
      </w:r>
    </w:p>
    <w:p>
      <w:pPr>
        <w:spacing w:line="240" w:lineRule="auto" w:before="11"/>
        <w:rPr>
          <w:rFonts w:ascii="宋体" w:hAnsi="宋体" w:cs="宋体" w:eastAsia="宋体" w:hint="default"/>
          <w:b/>
          <w:bCs/>
          <w:sz w:val="29"/>
          <w:szCs w:val="29"/>
        </w:rPr>
      </w:pPr>
    </w:p>
    <w:p>
      <w:pPr>
        <w:pStyle w:val="BodyText"/>
        <w:spacing w:line="408" w:lineRule="auto"/>
        <w:ind w:right="140" w:firstLine="420"/>
        <w:jc w:val="left"/>
      </w:pPr>
      <w:r>
        <w:rPr>
          <w:rFonts w:ascii="宋体" w:hAnsi="宋体" w:cs="宋体" w:eastAsia="宋体" w:hint="default"/>
        </w:rPr>
        <w:t>2013 </w:t>
      </w:r>
      <w:r>
        <w:rPr/>
        <w:t>年</w:t>
      </w:r>
      <w:r>
        <w:rPr>
          <w:rFonts w:ascii="宋体" w:hAnsi="宋体" w:cs="宋体" w:eastAsia="宋体" w:hint="default"/>
        </w:rPr>
        <w:t>10 </w:t>
      </w:r>
      <w:r>
        <w:rPr/>
        <w:t>月</w:t>
      </w:r>
      <w:r>
        <w:rPr>
          <w:rFonts w:ascii="宋体" w:hAnsi="宋体" w:cs="宋体" w:eastAsia="宋体" w:hint="default"/>
        </w:rPr>
        <w:t>28</w:t>
      </w:r>
      <w:r>
        <w:rPr>
          <w:rFonts w:ascii="宋体" w:hAnsi="宋体" w:cs="宋体" w:eastAsia="宋体" w:hint="default"/>
          <w:spacing w:val="-8"/>
        </w:rPr>
        <w:t> </w:t>
      </w:r>
      <w:r>
        <w:rPr/>
        <w:t>日，神州信息与神州数码（中国）有限公司（以下简称“神州数码（中国）”）签</w:t>
      </w:r>
      <w:r>
        <w:rPr>
          <w:spacing w:val="-3"/>
          <w:w w:val="100"/>
        </w:rPr>
        <w:t> </w:t>
      </w:r>
      <w:r>
        <w:rPr>
          <w:spacing w:val="-2"/>
        </w:rPr>
        <w:t>署了《注册商标许可使用合同》，神州数码（中国）以独占使用许可方式授权神州信息在商标有效期内无</w:t>
      </w:r>
      <w:r>
        <w:rPr>
          <w:spacing w:val="-43"/>
        </w:rPr>
        <w:t> </w:t>
      </w:r>
      <w:r>
        <w:rPr>
          <w:spacing w:val="-43"/>
        </w:rPr>
      </w:r>
      <w:r>
        <w:rPr/>
        <w:t>限期无偿使用“神州信息”商标（注册号为</w:t>
      </w:r>
      <w:r>
        <w:rPr>
          <w:rFonts w:ascii="宋体" w:hAnsi="宋体" w:cs="宋体" w:eastAsia="宋体" w:hint="default"/>
        </w:rPr>
        <w:t>9809013</w:t>
      </w:r>
      <w:r>
        <w:rPr/>
        <w:t>）；</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25</w:t>
      </w:r>
      <w:r>
        <w:rPr/>
        <w:t>日，为了配合神州信息与原上市公</w:t>
      </w:r>
      <w:r>
        <w:rPr>
          <w:w w:val="100"/>
        </w:rPr>
        <w:t> </w:t>
      </w:r>
      <w:r>
        <w:rPr/>
        <w:t>司之间的重大资产重组，神州数码（中国）不可撤销地承诺，将在</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25</w:t>
      </w:r>
      <w:r>
        <w:rPr/>
        <w:t>日之前完成持有的注册号</w:t>
      </w:r>
      <w:r>
        <w:rPr>
          <w:w w:val="100"/>
        </w:rPr>
        <w:t> </w:t>
      </w:r>
      <w:r>
        <w:rPr>
          <w:spacing w:val="-4"/>
        </w:rPr>
        <w:t>为</w:t>
      </w:r>
      <w:r>
        <w:rPr>
          <w:rFonts w:ascii="宋体" w:hAnsi="宋体" w:cs="宋体" w:eastAsia="宋体" w:hint="default"/>
          <w:spacing w:val="-4"/>
        </w:rPr>
        <w:t>9809013</w:t>
      </w:r>
      <w:r>
        <w:rPr>
          <w:spacing w:val="-4"/>
        </w:rPr>
        <w:t>的“神州信息”商标注销手续；</w:t>
      </w:r>
      <w:r>
        <w:rPr>
          <w:rFonts w:ascii="宋体" w:hAnsi="宋体" w:cs="宋体" w:eastAsia="宋体" w:hint="default"/>
          <w:spacing w:val="-4"/>
        </w:rPr>
        <w:t>2014</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2</w:t>
      </w:r>
      <w:r>
        <w:rPr>
          <w:spacing w:val="-4"/>
        </w:rPr>
        <w:t>日，神州数码（中国）已经按承诺将前述商标注销。</w:t>
      </w:r>
      <w:r>
        <w:rPr>
          <w:spacing w:val="-32"/>
        </w:rPr>
        <w:t> </w:t>
      </w:r>
      <w:r>
        <w:rPr>
          <w:spacing w:val="-32"/>
        </w:rPr>
      </w:r>
      <w:r>
        <w:rPr>
          <w:rFonts w:ascii="宋体" w:hAnsi="宋体" w:cs="宋体" w:eastAsia="宋体" w:hint="default"/>
        </w:rPr>
        <w:t>2013 </w:t>
      </w:r>
      <w:r>
        <w:rPr/>
        <w:t>年</w:t>
      </w:r>
      <w:r>
        <w:rPr>
          <w:rFonts w:ascii="宋体" w:hAnsi="宋体" w:cs="宋体" w:eastAsia="宋体" w:hint="default"/>
        </w:rPr>
        <w:t>10 </w:t>
      </w:r>
      <w:r>
        <w:rPr/>
        <w:t>月</w:t>
      </w:r>
      <w:r>
        <w:rPr>
          <w:rFonts w:ascii="宋体" w:hAnsi="宋体" w:cs="宋体" w:eastAsia="宋体" w:hint="default"/>
        </w:rPr>
        <w:t>28</w:t>
      </w:r>
      <w:r>
        <w:rPr>
          <w:rFonts w:ascii="宋体" w:hAnsi="宋体" w:cs="宋体" w:eastAsia="宋体" w:hint="default"/>
          <w:spacing w:val="-7"/>
        </w:rPr>
        <w:t> </w:t>
      </w:r>
      <w:r>
        <w:rPr/>
        <w:t>日，神州信息与神州数码（中国）签署了《注册商标许可使用合同》，以普通使用许可</w:t>
      </w:r>
      <w:r>
        <w:rPr>
          <w:w w:val="100"/>
        </w:rPr>
        <w:t> </w:t>
      </w:r>
      <w:r>
        <w:rPr/>
        <w:t>的方式授权神州信息在商标有效期内无限期无偿使用“风火轮”图案相关的</w:t>
      </w:r>
      <w:r>
        <w:rPr>
          <w:rFonts w:ascii="宋体" w:hAnsi="宋体" w:cs="宋体" w:eastAsia="宋体" w:hint="default"/>
        </w:rPr>
        <w:t>6</w:t>
      </w:r>
      <w:r>
        <w:rPr>
          <w:rFonts w:ascii="宋体" w:hAnsi="宋体" w:cs="宋体" w:eastAsia="宋体" w:hint="default"/>
          <w:spacing w:val="-4"/>
        </w:rPr>
        <w:t> </w:t>
      </w:r>
      <w:r>
        <w:rPr/>
        <w:t>项商标（注册号分别为：</w:t>
      </w:r>
      <w:r>
        <w:rPr>
          <w:w w:val="100"/>
        </w:rPr>
        <w:t> </w:t>
      </w:r>
      <w:r>
        <w:rPr>
          <w:rFonts w:ascii="宋体" w:hAnsi="宋体" w:cs="宋体" w:eastAsia="宋体" w:hint="default"/>
          <w:spacing w:val="-2"/>
        </w:rPr>
        <w:t>1981387</w:t>
      </w:r>
      <w:r>
        <w:rPr>
          <w:spacing w:val="-2"/>
        </w:rPr>
        <w:t>、</w:t>
      </w:r>
      <w:r>
        <w:rPr>
          <w:rFonts w:ascii="宋体" w:hAnsi="宋体" w:cs="宋体" w:eastAsia="宋体" w:hint="default"/>
          <w:spacing w:val="-2"/>
        </w:rPr>
        <w:t>1958296</w:t>
      </w:r>
      <w:r>
        <w:rPr>
          <w:spacing w:val="-2"/>
        </w:rPr>
        <w:t>、</w:t>
      </w:r>
      <w:r>
        <w:rPr>
          <w:rFonts w:ascii="宋体" w:hAnsi="宋体" w:cs="宋体" w:eastAsia="宋体" w:hint="default"/>
          <w:spacing w:val="-2"/>
        </w:rPr>
        <w:t>1958736</w:t>
      </w:r>
      <w:r>
        <w:rPr>
          <w:spacing w:val="-2"/>
        </w:rPr>
        <w:t>、</w:t>
      </w:r>
      <w:r>
        <w:rPr>
          <w:rFonts w:ascii="宋体" w:hAnsi="宋体" w:cs="宋体" w:eastAsia="宋体" w:hint="default"/>
          <w:spacing w:val="-2"/>
        </w:rPr>
        <w:t>1958790</w:t>
      </w:r>
      <w:r>
        <w:rPr>
          <w:spacing w:val="-2"/>
        </w:rPr>
        <w:t>、</w:t>
      </w:r>
      <w:r>
        <w:rPr>
          <w:rFonts w:ascii="宋体" w:hAnsi="宋体" w:cs="宋体" w:eastAsia="宋体" w:hint="default"/>
          <w:spacing w:val="-2"/>
        </w:rPr>
        <w:t>1956439</w:t>
      </w:r>
      <w:r>
        <w:rPr>
          <w:spacing w:val="-2"/>
        </w:rPr>
        <w:t>、</w:t>
      </w:r>
      <w:r>
        <w:rPr>
          <w:rFonts w:ascii="宋体" w:hAnsi="宋体" w:cs="宋体" w:eastAsia="宋体" w:hint="default"/>
          <w:spacing w:val="-2"/>
        </w:rPr>
        <w:t>1964768</w:t>
      </w:r>
      <w:r>
        <w:rPr>
          <w:spacing w:val="-2"/>
        </w:rPr>
        <w:t>），目前此系列商标均在有效期内；在前述合</w:t>
      </w:r>
      <w:r>
        <w:rPr>
          <w:spacing w:val="-10"/>
        </w:rPr>
        <w:t> </w:t>
      </w:r>
      <w:r>
        <w:rPr>
          <w:spacing w:val="-10"/>
        </w:rPr>
      </w:r>
      <w:r>
        <w:rPr/>
        <w:t>同中，神州数码（中国）以普通使用许可的方式授权神州信息在商标有效期内无限期无偿使用“风火</w:t>
      </w:r>
      <w:r>
        <w:rPr>
          <w:w w:val="100"/>
        </w:rPr>
        <w:t> </w:t>
      </w:r>
      <w:r>
        <w:rPr>
          <w:spacing w:val="-2"/>
        </w:rPr>
        <w:t>轮”+“神州数码”商标（注册号：</w:t>
      </w:r>
      <w:r>
        <w:rPr>
          <w:rFonts w:ascii="宋体" w:hAnsi="宋体" w:cs="宋体" w:eastAsia="宋体" w:hint="default"/>
          <w:spacing w:val="-2"/>
        </w:rPr>
        <w:t>3030645</w:t>
      </w:r>
      <w:r>
        <w:rPr>
          <w:spacing w:val="-2"/>
        </w:rPr>
        <w:t>），该商标在</w:t>
      </w:r>
      <w:r>
        <w:rPr>
          <w:rFonts w:ascii="宋体" w:hAnsi="宋体" w:cs="宋体" w:eastAsia="宋体" w:hint="default"/>
          <w:spacing w:val="-2"/>
        </w:rPr>
        <w:t>2014</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6</w:t>
      </w:r>
      <w:r>
        <w:rPr>
          <w:spacing w:val="-2"/>
        </w:rPr>
        <w:t>日已经到期，神州数码（中国）已对</w:t>
      </w:r>
      <w:r>
        <w:rPr>
          <w:spacing w:val="-35"/>
        </w:rPr>
        <w:t> </w:t>
      </w:r>
      <w:r>
        <w:rPr>
          <w:spacing w:val="-35"/>
        </w:rPr>
      </w:r>
      <w:r>
        <w:rPr/>
        <w:t>该商标进行续展，续展注册有效期自</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7</w:t>
      </w:r>
      <w:r>
        <w:rPr/>
        <w:t>日至</w:t>
      </w:r>
      <w:r>
        <w:rPr>
          <w:rFonts w:ascii="宋体" w:hAnsi="宋体" w:cs="宋体" w:eastAsia="宋体" w:hint="default"/>
        </w:rPr>
        <w:t>2024</w:t>
      </w:r>
      <w:r>
        <w:rPr/>
        <w:t>年</w:t>
      </w:r>
      <w:r>
        <w:rPr>
          <w:rFonts w:ascii="宋体" w:hAnsi="宋体" w:cs="宋体" w:eastAsia="宋体" w:hint="default"/>
        </w:rPr>
        <w:t>9</w:t>
      </w:r>
      <w:r>
        <w:rPr/>
        <w:t>月</w:t>
      </w:r>
      <w:r>
        <w:rPr>
          <w:rFonts w:ascii="宋体" w:hAnsi="宋体" w:cs="宋体" w:eastAsia="宋体" w:hint="default"/>
        </w:rPr>
        <w:t>6</w:t>
      </w:r>
      <w:r>
        <w:rPr/>
        <w:t>日。</w:t>
      </w:r>
    </w:p>
    <w:tbl>
      <w:tblPr>
        <w:tblW w:w="0" w:type="auto"/>
        <w:jc w:val="left"/>
        <w:tblInd w:w="124" w:type="dxa"/>
        <w:tblLayout w:type="fixed"/>
        <w:tblCellMar>
          <w:top w:w="0" w:type="dxa"/>
          <w:left w:w="0" w:type="dxa"/>
          <w:bottom w:w="0" w:type="dxa"/>
          <w:right w:w="0" w:type="dxa"/>
        </w:tblCellMar>
        <w:tblLook w:val="01E0"/>
      </w:tblPr>
      <w:tblGrid>
        <w:gridCol w:w="3380"/>
        <w:gridCol w:w="1676"/>
        <w:gridCol w:w="2302"/>
        <w:gridCol w:w="2302"/>
      </w:tblGrid>
      <w:tr>
        <w:trPr>
          <w:trHeight w:val="946" w:hRule="exact"/>
        </w:trPr>
        <w:tc>
          <w:tcPr>
            <w:tcW w:w="3380" w:type="dxa"/>
            <w:tcBorders>
              <w:top w:val="single" w:sz="12" w:space="0" w:color="000000"/>
              <w:left w:val="single" w:sz="12" w:space="0" w:color="000000"/>
              <w:bottom w:val="single" w:sz="6" w:space="0" w:color="000000"/>
              <w:right w:val="single" w:sz="6" w:space="0" w:color="000000"/>
            </w:tcBorders>
            <w:shd w:val="clear" w:color="auto" w:fill="D7D7D7"/>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676" w:type="dxa"/>
            <w:tcBorders>
              <w:top w:val="single" w:sz="12"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sz w:val="18"/>
                <w:szCs w:val="18"/>
              </w:rPr>
              <w:t>交易性质</w:t>
            </w:r>
          </w:p>
        </w:tc>
        <w:tc>
          <w:tcPr>
            <w:tcW w:w="2302" w:type="dxa"/>
            <w:tcBorders>
              <w:top w:val="single" w:sz="12"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7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02" w:type="dxa"/>
            <w:tcBorders>
              <w:top w:val="single" w:sz="12" w:space="0" w:color="000000"/>
              <w:left w:val="single" w:sz="6" w:space="0" w:color="000000"/>
              <w:bottom w:val="single" w:sz="6" w:space="0" w:color="000000"/>
              <w:right w:val="single" w:sz="12" w:space="0" w:color="000000"/>
            </w:tcBorders>
            <w:shd w:val="clear" w:color="auto" w:fill="D7D7D7"/>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7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68" w:hRule="exact"/>
        </w:trPr>
        <w:tc>
          <w:tcPr>
            <w:tcW w:w="33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6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行政办公费</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pacing w:val="-1"/>
                <w:sz w:val="18"/>
              </w:rPr>
              <w:t>1,042,431.57</w:t>
            </w:r>
          </w:p>
        </w:tc>
        <w:tc>
          <w:tcPr>
            <w:tcW w:w="23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pacing w:val="-1"/>
                <w:sz w:val="18"/>
              </w:rPr>
              <w:t>1,005,216.70</w:t>
            </w:r>
          </w:p>
        </w:tc>
      </w:tr>
      <w:tr>
        <w:trPr>
          <w:trHeight w:val="468" w:hRule="exact"/>
        </w:trPr>
        <w:tc>
          <w:tcPr>
            <w:tcW w:w="33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18"/>
                <w:szCs w:val="18"/>
              </w:rPr>
            </w:pPr>
            <w:r>
              <w:rPr>
                <w:rFonts w:ascii="宋体" w:hAnsi="宋体" w:cs="宋体" w:eastAsia="宋体" w:hint="default"/>
                <w:sz w:val="18"/>
                <w:szCs w:val="18"/>
              </w:rPr>
              <w:t>广州神州数码信息科技有限公司</w:t>
            </w:r>
          </w:p>
        </w:tc>
        <w:tc>
          <w:tcPr>
            <w:tcW w:w="1676" w:type="dxa"/>
            <w:vMerge/>
            <w:tcBorders>
              <w:left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4"/>
              <w:ind w:right="88"/>
              <w:jc w:val="right"/>
              <w:rPr>
                <w:rFonts w:ascii="Times New Roman" w:hAnsi="Times New Roman" w:cs="Times New Roman" w:eastAsia="Times New Roman" w:hint="default"/>
                <w:sz w:val="18"/>
                <w:szCs w:val="18"/>
              </w:rPr>
            </w:pPr>
            <w:r>
              <w:rPr>
                <w:rFonts w:ascii="Times New Roman"/>
                <w:w w:val="95"/>
                <w:sz w:val="18"/>
              </w:rPr>
              <w:t>2,612.48</w:t>
            </w:r>
          </w:p>
        </w:tc>
      </w:tr>
      <w:tr>
        <w:trPr>
          <w:trHeight w:val="470" w:hRule="exact"/>
        </w:trPr>
        <w:tc>
          <w:tcPr>
            <w:tcW w:w="33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676" w:type="dxa"/>
            <w:vMerge/>
            <w:tcBorders>
              <w:left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4"/>
              <w:ind w:right="88"/>
              <w:jc w:val="right"/>
              <w:rPr>
                <w:rFonts w:ascii="Times New Roman" w:hAnsi="Times New Roman" w:cs="Times New Roman" w:eastAsia="Times New Roman" w:hint="default"/>
                <w:sz w:val="18"/>
                <w:szCs w:val="18"/>
              </w:rPr>
            </w:pPr>
            <w:r>
              <w:rPr>
                <w:rFonts w:ascii="Times New Roman"/>
                <w:spacing w:val="-1"/>
                <w:sz w:val="18"/>
              </w:rPr>
              <w:t>13,216.44</w:t>
            </w:r>
          </w:p>
        </w:tc>
      </w:tr>
      <w:tr>
        <w:trPr>
          <w:trHeight w:val="469" w:hRule="exact"/>
        </w:trPr>
        <w:tc>
          <w:tcPr>
            <w:tcW w:w="33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1676" w:type="dxa"/>
            <w:vMerge/>
            <w:tcBorders>
              <w:left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4"/>
              <w:ind w:right="88"/>
              <w:jc w:val="right"/>
              <w:rPr>
                <w:rFonts w:ascii="Times New Roman" w:hAnsi="Times New Roman" w:cs="Times New Roman" w:eastAsia="Times New Roman" w:hint="default"/>
                <w:sz w:val="18"/>
                <w:szCs w:val="18"/>
              </w:rPr>
            </w:pPr>
            <w:r>
              <w:rPr>
                <w:rFonts w:ascii="Times New Roman"/>
                <w:sz w:val="18"/>
              </w:rPr>
              <w:t>35.87</w:t>
            </w:r>
          </w:p>
        </w:tc>
      </w:tr>
      <w:tr>
        <w:trPr>
          <w:trHeight w:val="470" w:hRule="exact"/>
        </w:trPr>
        <w:tc>
          <w:tcPr>
            <w:tcW w:w="33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676" w:type="dxa"/>
            <w:vMerge/>
            <w:tcBorders>
              <w:left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7"/>
              <w:jc w:val="right"/>
              <w:rPr>
                <w:rFonts w:ascii="Times New Roman" w:hAnsi="Times New Roman" w:cs="Times New Roman" w:eastAsia="Times New Roman" w:hint="default"/>
                <w:sz w:val="18"/>
                <w:szCs w:val="18"/>
              </w:rPr>
            </w:pPr>
            <w:r>
              <w:rPr>
                <w:rFonts w:ascii="Times New Roman"/>
                <w:spacing w:val="-1"/>
                <w:sz w:val="18"/>
              </w:rPr>
              <w:t>12,070,561.56</w:t>
            </w:r>
          </w:p>
        </w:tc>
        <w:tc>
          <w:tcPr>
            <w:tcW w:w="23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4"/>
              <w:ind w:right="89"/>
              <w:jc w:val="right"/>
              <w:rPr>
                <w:rFonts w:ascii="Times New Roman" w:hAnsi="Times New Roman" w:cs="Times New Roman" w:eastAsia="Times New Roman" w:hint="default"/>
                <w:sz w:val="18"/>
                <w:szCs w:val="18"/>
              </w:rPr>
            </w:pPr>
            <w:r>
              <w:rPr>
                <w:rFonts w:ascii="Times New Roman"/>
                <w:spacing w:val="-1"/>
                <w:sz w:val="18"/>
              </w:rPr>
              <w:t>12,373,253.06</w:t>
            </w:r>
          </w:p>
        </w:tc>
      </w:tr>
      <w:tr>
        <w:trPr>
          <w:trHeight w:val="468" w:hRule="exact"/>
        </w:trPr>
        <w:tc>
          <w:tcPr>
            <w:tcW w:w="33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676" w:type="dxa"/>
            <w:vMerge/>
            <w:tcBorders>
              <w:left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4"/>
              <w:ind w:right="88"/>
              <w:jc w:val="right"/>
              <w:rPr>
                <w:rFonts w:ascii="Times New Roman" w:hAnsi="Times New Roman" w:cs="Times New Roman" w:eastAsia="Times New Roman" w:hint="default"/>
                <w:sz w:val="18"/>
                <w:szCs w:val="18"/>
              </w:rPr>
            </w:pPr>
            <w:r>
              <w:rPr>
                <w:rFonts w:ascii="Times New Roman"/>
                <w:spacing w:val="-1"/>
                <w:sz w:val="18"/>
              </w:rPr>
              <w:t>672.03</w:t>
            </w:r>
          </w:p>
        </w:tc>
      </w:tr>
      <w:tr>
        <w:trPr>
          <w:trHeight w:val="470" w:hRule="exact"/>
        </w:trPr>
        <w:tc>
          <w:tcPr>
            <w:tcW w:w="33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18"/>
                <w:szCs w:val="18"/>
              </w:rPr>
            </w:pPr>
            <w:r>
              <w:rPr>
                <w:rFonts w:ascii="宋体" w:hAnsi="宋体" w:cs="宋体" w:eastAsia="宋体" w:hint="default"/>
                <w:sz w:val="18"/>
                <w:szCs w:val="18"/>
              </w:rPr>
              <w:t>北京神州数码供应链服务有限公司</w:t>
            </w:r>
          </w:p>
        </w:tc>
        <w:tc>
          <w:tcPr>
            <w:tcW w:w="1676" w:type="dxa"/>
            <w:vMerge/>
            <w:tcBorders>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4"/>
              <w:ind w:right="88"/>
              <w:jc w:val="right"/>
              <w:rPr>
                <w:rFonts w:ascii="Times New Roman" w:hAnsi="Times New Roman" w:cs="Times New Roman" w:eastAsia="Times New Roman" w:hint="default"/>
                <w:sz w:val="18"/>
                <w:szCs w:val="18"/>
              </w:rPr>
            </w:pPr>
            <w:r>
              <w:rPr>
                <w:rFonts w:ascii="Times New Roman"/>
                <w:spacing w:val="-1"/>
                <w:sz w:val="18"/>
              </w:rPr>
              <w:t>48,883.48</w:t>
            </w:r>
          </w:p>
        </w:tc>
      </w:tr>
      <w:tr>
        <w:trPr>
          <w:trHeight w:val="468" w:hRule="exact"/>
        </w:trPr>
        <w:tc>
          <w:tcPr>
            <w:tcW w:w="33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676"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7"/>
              <w:jc w:val="right"/>
              <w:rPr>
                <w:rFonts w:ascii="Times New Roman" w:hAnsi="Times New Roman" w:cs="Times New Roman" w:eastAsia="Times New Roman" w:hint="default"/>
                <w:sz w:val="18"/>
                <w:szCs w:val="18"/>
              </w:rPr>
            </w:pPr>
            <w:r>
              <w:rPr>
                <w:rFonts w:ascii="Times New Roman"/>
                <w:b/>
                <w:spacing w:val="-1"/>
                <w:sz w:val="18"/>
              </w:rPr>
              <w:t>13,112,993.13</w:t>
            </w:r>
            <w:r>
              <w:rPr>
                <w:rFonts w:ascii="Times New Roman"/>
                <w:spacing w:val="-1"/>
                <w:sz w:val="18"/>
              </w:rPr>
            </w:r>
          </w:p>
        </w:tc>
        <w:tc>
          <w:tcPr>
            <w:tcW w:w="23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89"/>
              <w:jc w:val="right"/>
              <w:rPr>
                <w:rFonts w:ascii="Times New Roman" w:hAnsi="Times New Roman" w:cs="Times New Roman" w:eastAsia="Times New Roman" w:hint="default"/>
                <w:sz w:val="18"/>
                <w:szCs w:val="18"/>
              </w:rPr>
            </w:pPr>
            <w:r>
              <w:rPr>
                <w:rFonts w:ascii="Times New Roman"/>
                <w:b/>
                <w:spacing w:val="-1"/>
                <w:sz w:val="18"/>
              </w:rPr>
              <w:t>13,443,890.06</w:t>
            </w:r>
            <w:r>
              <w:rPr>
                <w:rFonts w:ascii="Times New Roman"/>
                <w:spacing w:val="-1"/>
                <w:sz w:val="18"/>
              </w:rPr>
            </w:r>
          </w:p>
        </w:tc>
      </w:tr>
      <w:tr>
        <w:trPr>
          <w:trHeight w:val="468" w:hRule="exact"/>
        </w:trPr>
        <w:tc>
          <w:tcPr>
            <w:tcW w:w="33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167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sz w:val="18"/>
                <w:szCs w:val="18"/>
              </w:rPr>
              <w:t>货运仓储</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6"/>
              <w:jc w:val="right"/>
              <w:rPr>
                <w:rFonts w:ascii="Times New Roman" w:hAnsi="Times New Roman" w:cs="Times New Roman" w:eastAsia="Times New Roman" w:hint="default"/>
                <w:sz w:val="18"/>
                <w:szCs w:val="18"/>
              </w:rPr>
            </w:pPr>
            <w:r>
              <w:rPr>
                <w:rFonts w:ascii="Times New Roman"/>
                <w:spacing w:val="-1"/>
                <w:sz w:val="18"/>
              </w:rPr>
              <w:t>6,081,086.20</w:t>
            </w:r>
          </w:p>
        </w:tc>
        <w:tc>
          <w:tcPr>
            <w:tcW w:w="23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4"/>
              <w:ind w:right="89"/>
              <w:jc w:val="right"/>
              <w:rPr>
                <w:rFonts w:ascii="Times New Roman" w:hAnsi="Times New Roman" w:cs="Times New Roman" w:eastAsia="Times New Roman" w:hint="default"/>
                <w:sz w:val="18"/>
                <w:szCs w:val="18"/>
              </w:rPr>
            </w:pPr>
            <w:r>
              <w:rPr>
                <w:rFonts w:ascii="Times New Roman"/>
                <w:spacing w:val="-1"/>
                <w:sz w:val="18"/>
              </w:rPr>
              <w:t>8,584,837.41</w:t>
            </w:r>
          </w:p>
        </w:tc>
      </w:tr>
      <w:tr>
        <w:trPr>
          <w:trHeight w:val="475" w:hRule="exact"/>
        </w:trPr>
        <w:tc>
          <w:tcPr>
            <w:tcW w:w="338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1676" w:type="dxa"/>
            <w:vMerge/>
            <w:tcBorders>
              <w:left w:val="single" w:sz="6" w:space="0" w:color="000000"/>
              <w:bottom w:val="single" w:sz="12" w:space="0" w:color="000000"/>
              <w:right w:val="single" w:sz="6" w:space="0" w:color="000000"/>
            </w:tcBorders>
          </w:tcPr>
          <w:p>
            <w:pPr/>
          </w:p>
        </w:tc>
        <w:tc>
          <w:tcPr>
            <w:tcW w:w="23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4"/>
              <w:ind w:right="96"/>
              <w:jc w:val="right"/>
              <w:rPr>
                <w:rFonts w:ascii="Times New Roman" w:hAnsi="Times New Roman" w:cs="Times New Roman" w:eastAsia="Times New Roman" w:hint="default"/>
                <w:sz w:val="18"/>
                <w:szCs w:val="18"/>
              </w:rPr>
            </w:pPr>
            <w:r>
              <w:rPr>
                <w:rFonts w:ascii="Times New Roman"/>
                <w:spacing w:val="-1"/>
                <w:sz w:val="18"/>
              </w:rPr>
              <w:t>3,975,227.59</w:t>
            </w:r>
          </w:p>
        </w:tc>
        <w:tc>
          <w:tcPr>
            <w:tcW w:w="23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4"/>
              <w:ind w:right="89"/>
              <w:jc w:val="right"/>
              <w:rPr>
                <w:rFonts w:ascii="Times New Roman" w:hAnsi="Times New Roman" w:cs="Times New Roman" w:eastAsia="Times New Roman" w:hint="default"/>
                <w:sz w:val="18"/>
                <w:szCs w:val="18"/>
              </w:rPr>
            </w:pPr>
            <w:r>
              <w:rPr>
                <w:rFonts w:ascii="Times New Roman"/>
                <w:spacing w:val="-1"/>
                <w:sz w:val="18"/>
              </w:rPr>
              <w:t>6,275,128.30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380"/>
        <w:gridCol w:w="1676"/>
        <w:gridCol w:w="2302"/>
        <w:gridCol w:w="2302"/>
      </w:tblGrid>
      <w:tr>
        <w:trPr>
          <w:trHeight w:val="478" w:hRule="exact"/>
        </w:trPr>
        <w:tc>
          <w:tcPr>
            <w:tcW w:w="338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1676" w:type="dxa"/>
            <w:tcBorders>
              <w:top w:val="single" w:sz="12" w:space="0" w:color="000000"/>
              <w:left w:val="single" w:sz="6" w:space="0" w:color="000000"/>
              <w:bottom w:val="single" w:sz="6" w:space="0" w:color="000000"/>
              <w:right w:val="single" w:sz="6" w:space="0" w:color="000000"/>
            </w:tcBorders>
          </w:tcPr>
          <w:p>
            <w:pPr/>
          </w:p>
        </w:tc>
        <w:tc>
          <w:tcPr>
            <w:tcW w:w="23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2,801,751.81</w:t>
            </w:r>
          </w:p>
        </w:tc>
        <w:tc>
          <w:tcPr>
            <w:tcW w:w="230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2"/>
              <w:ind w:right="89"/>
              <w:jc w:val="right"/>
              <w:rPr>
                <w:rFonts w:ascii="Times New Roman" w:hAnsi="Times New Roman" w:cs="Times New Roman" w:eastAsia="Times New Roman" w:hint="default"/>
                <w:sz w:val="18"/>
                <w:szCs w:val="18"/>
              </w:rPr>
            </w:pPr>
            <w:r>
              <w:rPr>
                <w:rFonts w:ascii="Times New Roman"/>
                <w:spacing w:val="-1"/>
                <w:sz w:val="18"/>
              </w:rPr>
              <w:t>773,084.20</w:t>
            </w:r>
          </w:p>
        </w:tc>
      </w:tr>
      <w:tr>
        <w:trPr>
          <w:trHeight w:val="468" w:hRule="exact"/>
        </w:trPr>
        <w:tc>
          <w:tcPr>
            <w:tcW w:w="33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676"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b/>
                <w:spacing w:val="-1"/>
                <w:sz w:val="18"/>
              </w:rPr>
              <w:t>12,858,065.60</w:t>
            </w:r>
            <w:r>
              <w:rPr>
                <w:rFonts w:ascii="Times New Roman"/>
                <w:spacing w:val="-1"/>
                <w:sz w:val="18"/>
              </w:rPr>
            </w:r>
          </w:p>
        </w:tc>
        <w:tc>
          <w:tcPr>
            <w:tcW w:w="23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7"/>
              <w:ind w:right="89"/>
              <w:jc w:val="right"/>
              <w:rPr>
                <w:rFonts w:ascii="Times New Roman" w:hAnsi="Times New Roman" w:cs="Times New Roman" w:eastAsia="Times New Roman" w:hint="default"/>
                <w:sz w:val="18"/>
                <w:szCs w:val="18"/>
              </w:rPr>
            </w:pPr>
            <w:r>
              <w:rPr>
                <w:rFonts w:ascii="Times New Roman"/>
                <w:b/>
                <w:spacing w:val="-1"/>
                <w:sz w:val="18"/>
              </w:rPr>
              <w:t>15,633,049.91</w:t>
            </w:r>
            <w:r>
              <w:rPr>
                <w:rFonts w:ascii="Times New Roman"/>
                <w:spacing w:val="-1"/>
                <w:sz w:val="18"/>
              </w:rPr>
            </w:r>
          </w:p>
        </w:tc>
      </w:tr>
      <w:tr>
        <w:trPr>
          <w:trHeight w:val="475" w:hRule="exact"/>
        </w:trPr>
        <w:tc>
          <w:tcPr>
            <w:tcW w:w="338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6" w:type="dxa"/>
            <w:tcBorders>
              <w:top w:val="single" w:sz="6" w:space="0" w:color="000000"/>
              <w:left w:val="single" w:sz="6" w:space="0" w:color="000000"/>
              <w:bottom w:val="single" w:sz="12" w:space="0" w:color="000000"/>
              <w:right w:val="single" w:sz="6" w:space="0" w:color="000000"/>
            </w:tcBorders>
          </w:tcPr>
          <w:p>
            <w:pPr/>
          </w:p>
        </w:tc>
        <w:tc>
          <w:tcPr>
            <w:tcW w:w="23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b/>
                <w:spacing w:val="-1"/>
                <w:sz w:val="18"/>
              </w:rPr>
              <w:t>25,971,058.73</w:t>
            </w:r>
            <w:r>
              <w:rPr>
                <w:rFonts w:ascii="Times New Roman"/>
                <w:spacing w:val="-1"/>
                <w:sz w:val="18"/>
              </w:rPr>
            </w:r>
          </w:p>
        </w:tc>
        <w:tc>
          <w:tcPr>
            <w:tcW w:w="23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7"/>
              <w:ind w:right="89"/>
              <w:jc w:val="right"/>
              <w:rPr>
                <w:rFonts w:ascii="Times New Roman" w:hAnsi="Times New Roman" w:cs="Times New Roman" w:eastAsia="Times New Roman" w:hint="default"/>
                <w:sz w:val="18"/>
                <w:szCs w:val="18"/>
              </w:rPr>
            </w:pPr>
            <w:r>
              <w:rPr>
                <w:rFonts w:ascii="Times New Roman"/>
                <w:b/>
                <w:spacing w:val="-1"/>
                <w:sz w:val="18"/>
              </w:rPr>
              <w:t>29,076,939.97</w:t>
            </w:r>
            <w:r>
              <w:rPr>
                <w:rFonts w:ascii="Times New Roman"/>
                <w:spacing w:val="-1"/>
                <w:sz w:val="18"/>
              </w:rPr>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277"/>
        <w:gridCol w:w="2977"/>
        <w:gridCol w:w="1328"/>
        <w:gridCol w:w="1330"/>
        <w:gridCol w:w="1327"/>
        <w:gridCol w:w="1330"/>
      </w:tblGrid>
      <w:tr>
        <w:trPr>
          <w:trHeight w:val="458" w:hRule="exact"/>
        </w:trPr>
        <w:tc>
          <w:tcPr>
            <w:tcW w:w="1277"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77"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58"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57" w:type="dxa"/>
            <w:gridSpan w:val="2"/>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4" w:hRule="exact"/>
        </w:trPr>
        <w:tc>
          <w:tcPr>
            <w:tcW w:w="1277" w:type="dxa"/>
            <w:vMerge/>
            <w:tcBorders>
              <w:left w:val="single" w:sz="12" w:space="0" w:color="000000"/>
              <w:bottom w:val="single" w:sz="6" w:space="0" w:color="000000"/>
              <w:right w:val="single" w:sz="6" w:space="0" w:color="000000"/>
            </w:tcBorders>
            <w:shd w:val="clear" w:color="auto" w:fill="D2D2D2"/>
          </w:tcPr>
          <w:p>
            <w:pPr/>
          </w:p>
        </w:tc>
        <w:tc>
          <w:tcPr>
            <w:tcW w:w="2977" w:type="dxa"/>
            <w:vMerge/>
            <w:tcBorders>
              <w:left w:val="single" w:sz="6" w:space="0" w:color="000000"/>
              <w:bottom w:val="single" w:sz="6" w:space="0" w:color="000000"/>
              <w:right w:val="single" w:sz="6" w:space="0" w:color="000000"/>
            </w:tcBorders>
            <w:shd w:val="clear" w:color="auto" w:fill="D2D2D2"/>
          </w:tcPr>
          <w:p>
            <w:pPr/>
          </w:p>
        </w:tc>
        <w:tc>
          <w:tcPr>
            <w:tcW w:w="13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left="2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left="2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27"/>
              <w:ind w:left="2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68"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328"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9" w:space="0" w:color="000000"/>
              <w:left w:val="single" w:sz="6" w:space="0" w:color="000000"/>
              <w:bottom w:val="single" w:sz="6" w:space="0" w:color="000000"/>
              <w:right w:val="single" w:sz="6" w:space="0" w:color="000000"/>
            </w:tcBorders>
          </w:tcPr>
          <w:p>
            <w:pPr/>
          </w:p>
        </w:tc>
        <w:tc>
          <w:tcPr>
            <w:tcW w:w="1327"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162"/>
              <w:ind w:left="348" w:right="0"/>
              <w:jc w:val="left"/>
              <w:rPr>
                <w:rFonts w:ascii="Times New Roman" w:hAnsi="Times New Roman" w:cs="Times New Roman" w:eastAsia="Times New Roman" w:hint="default"/>
                <w:sz w:val="18"/>
                <w:szCs w:val="18"/>
              </w:rPr>
            </w:pPr>
            <w:r>
              <w:rPr>
                <w:rFonts w:ascii="Times New Roman"/>
                <w:sz w:val="18"/>
              </w:rPr>
              <w:t>2,870,645.53</w:t>
            </w:r>
          </w:p>
        </w:tc>
        <w:tc>
          <w:tcPr>
            <w:tcW w:w="1330" w:type="dxa"/>
            <w:tcBorders>
              <w:top w:val="single" w:sz="9" w:space="0" w:color="000000"/>
              <w:left w:val="single" w:sz="6" w:space="0" w:color="000000"/>
              <w:bottom w:val="single" w:sz="6" w:space="0" w:color="000000"/>
              <w:right w:val="single" w:sz="12" w:space="0" w:color="000000"/>
            </w:tcBorders>
          </w:tcPr>
          <w:p>
            <w:pPr/>
          </w:p>
        </w:tc>
      </w:tr>
      <w:tr>
        <w:trPr>
          <w:trHeight w:val="470"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4,312,500.00</w:t>
            </w:r>
          </w:p>
        </w:tc>
        <w:tc>
          <w:tcPr>
            <w:tcW w:w="1330"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5,909,158.19</w:t>
            </w:r>
          </w:p>
        </w:tc>
        <w:tc>
          <w:tcPr>
            <w:tcW w:w="133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天津神州数码融资租赁有限公司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5,805,000.00</w:t>
            </w:r>
          </w:p>
        </w:tc>
        <w:tc>
          <w:tcPr>
            <w:tcW w:w="1330"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12" w:space="0" w:color="000000"/>
            </w:tcBorders>
          </w:tcPr>
          <w:p>
            <w:pPr/>
          </w:p>
        </w:tc>
      </w:tr>
      <w:tr>
        <w:trPr>
          <w:trHeight w:val="475" w:hRule="exact"/>
        </w:trPr>
        <w:tc>
          <w:tcPr>
            <w:tcW w:w="127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神州数码（南京）信息科技有限公司</w:t>
            </w:r>
          </w:p>
        </w:tc>
        <w:tc>
          <w:tcPr>
            <w:tcW w:w="13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740,000.00</w:t>
            </w:r>
          </w:p>
        </w:tc>
        <w:tc>
          <w:tcPr>
            <w:tcW w:w="1330" w:type="dxa"/>
            <w:tcBorders>
              <w:top w:val="single" w:sz="6" w:space="0" w:color="000000"/>
              <w:left w:val="single" w:sz="6" w:space="0" w:color="000000"/>
              <w:bottom w:val="single" w:sz="12" w:space="0" w:color="000000"/>
              <w:right w:val="single" w:sz="6" w:space="0" w:color="000000"/>
            </w:tcBorders>
          </w:tcPr>
          <w:p>
            <w:pPr/>
          </w:p>
        </w:tc>
        <w:tc>
          <w:tcPr>
            <w:tcW w:w="1327" w:type="dxa"/>
            <w:tcBorders>
              <w:top w:val="single" w:sz="6" w:space="0" w:color="000000"/>
              <w:left w:val="single" w:sz="6" w:space="0" w:color="000000"/>
              <w:bottom w:val="single" w:sz="12" w:space="0" w:color="000000"/>
              <w:right w:val="single" w:sz="6" w:space="0" w:color="000000"/>
            </w:tcBorders>
          </w:tcPr>
          <w:p>
            <w:pPr/>
          </w:p>
        </w:tc>
        <w:tc>
          <w:tcPr>
            <w:tcW w:w="1330" w:type="dxa"/>
            <w:tcBorders>
              <w:top w:val="single" w:sz="6" w:space="0" w:color="000000"/>
              <w:left w:val="single" w:sz="6" w:space="0" w:color="000000"/>
              <w:bottom w:val="single" w:sz="12" w:space="0" w:color="000000"/>
              <w:right w:val="single" w:sz="12" w:space="0" w:color="000000"/>
            </w:tcBorders>
          </w:tcPr>
          <w:p>
            <w:pPr/>
          </w:p>
        </w:tc>
      </w:tr>
    </w:tbl>
    <w:p>
      <w:pPr>
        <w:spacing w:after="0"/>
        <w:sectPr>
          <w:footerReference w:type="default" r:id="rId66"/>
          <w:pgSz w:w="11910" w:h="16840"/>
          <w:pgMar w:footer="1227" w:header="0" w:top="1100" w:bottom="1420" w:left="980" w:right="980"/>
        </w:sectPr>
      </w:pPr>
    </w:p>
    <w:p>
      <w:pPr>
        <w:spacing w:line="240" w:lineRule="auto" w:before="1"/>
        <w:rPr>
          <w:rFonts w:ascii="宋体" w:hAnsi="宋体" w:cs="宋体" w:eastAsia="宋体" w:hint="default"/>
          <w:sz w:val="25"/>
          <w:szCs w:val="25"/>
        </w:rPr>
      </w:pPr>
    </w:p>
    <w:p>
      <w:pPr>
        <w:pStyle w:val="Heading4"/>
        <w:spacing w:line="240" w:lineRule="auto" w:before="36"/>
        <w:ind w:right="98"/>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5"/>
        <w:rPr>
          <w:rFonts w:ascii="宋体" w:hAnsi="宋体" w:cs="宋体" w:eastAsia="宋体" w:hint="default"/>
          <w:b/>
          <w:bCs/>
          <w:sz w:val="27"/>
          <w:szCs w:val="27"/>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1985"/>
        <w:gridCol w:w="3404"/>
        <w:gridCol w:w="2089"/>
        <w:gridCol w:w="2093"/>
      </w:tblGrid>
      <w:tr>
        <w:trPr>
          <w:trHeight w:val="462" w:hRule="exact"/>
        </w:trPr>
        <w:tc>
          <w:tcPr>
            <w:tcW w:w="198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5"/>
              <w:ind w:left="6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4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08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49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09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5"/>
              <w:ind w:left="50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5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1" w:right="0"/>
              <w:jc w:val="left"/>
              <w:rPr>
                <w:rFonts w:ascii="宋体" w:hAnsi="宋体" w:cs="宋体" w:eastAsia="宋体" w:hint="default"/>
                <w:sz w:val="18"/>
                <w:szCs w:val="18"/>
              </w:rPr>
            </w:pPr>
            <w:r>
              <w:rPr>
                <w:rFonts w:ascii="宋体" w:hAnsi="宋体" w:cs="宋体" w:eastAsia="宋体" w:hint="default"/>
                <w:sz w:val="18"/>
                <w:szCs w:val="18"/>
              </w:rPr>
              <w:t>济南神州数码有限公司</w:t>
            </w:r>
          </w:p>
        </w:tc>
        <w:tc>
          <w:tcPr>
            <w:tcW w:w="2089" w:type="dxa"/>
            <w:tcBorders>
              <w:top w:val="single" w:sz="6" w:space="0" w:color="000000"/>
              <w:left w:val="single" w:sz="6" w:space="0" w:color="000000"/>
              <w:bottom w:val="single" w:sz="6" w:space="0" w:color="000000"/>
              <w:right w:val="single" w:sz="6" w:space="0" w:color="000000"/>
            </w:tcBorders>
          </w:tcPr>
          <w:p>
            <w:pPr/>
          </w:p>
        </w:tc>
        <w:tc>
          <w:tcPr>
            <w:tcW w:w="20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9"/>
              <w:jc w:val="right"/>
              <w:rPr>
                <w:rFonts w:ascii="Times New Roman" w:hAnsi="Times New Roman" w:cs="Times New Roman" w:eastAsia="Times New Roman" w:hint="default"/>
                <w:sz w:val="18"/>
                <w:szCs w:val="18"/>
              </w:rPr>
            </w:pPr>
            <w:r>
              <w:rPr>
                <w:rFonts w:ascii="Times New Roman"/>
                <w:spacing w:val="-1"/>
                <w:sz w:val="18"/>
              </w:rPr>
              <w:t>21,367.52</w:t>
            </w:r>
          </w:p>
        </w:tc>
      </w:tr>
      <w:tr>
        <w:trPr>
          <w:trHeight w:val="456"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1" w:right="0"/>
              <w:jc w:val="left"/>
              <w:rPr>
                <w:rFonts w:ascii="宋体" w:hAnsi="宋体" w:cs="宋体" w:eastAsia="宋体" w:hint="default"/>
                <w:sz w:val="18"/>
                <w:szCs w:val="18"/>
              </w:rPr>
            </w:pPr>
            <w:r>
              <w:rPr>
                <w:rFonts w:ascii="宋体" w:hAnsi="宋体" w:cs="宋体" w:eastAsia="宋体" w:hint="default"/>
                <w:sz w:val="18"/>
                <w:szCs w:val="18"/>
              </w:rPr>
              <w:t>南京神州数码有限公司</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301,925.00</w:t>
            </w:r>
          </w:p>
        </w:tc>
        <w:tc>
          <w:tcPr>
            <w:tcW w:w="20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603,850.00</w:t>
            </w:r>
          </w:p>
        </w:tc>
      </w:tr>
      <w:tr>
        <w:trPr>
          <w:trHeight w:val="45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1"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27,277,508.56</w:t>
            </w:r>
          </w:p>
        </w:tc>
        <w:tc>
          <w:tcPr>
            <w:tcW w:w="20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60,312,593.66</w:t>
            </w:r>
          </w:p>
        </w:tc>
      </w:tr>
      <w:tr>
        <w:trPr>
          <w:trHeight w:val="456"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8"/>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21"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5,283,388.00</w:t>
            </w:r>
          </w:p>
        </w:tc>
        <w:tc>
          <w:tcPr>
            <w:tcW w:w="20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2,520,598.28</w:t>
            </w:r>
          </w:p>
        </w:tc>
      </w:tr>
      <w:tr>
        <w:trPr>
          <w:trHeight w:val="45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1" w:right="0"/>
              <w:jc w:val="left"/>
              <w:rPr>
                <w:rFonts w:ascii="宋体" w:hAnsi="宋体" w:cs="宋体" w:eastAsia="宋体" w:hint="default"/>
                <w:sz w:val="18"/>
                <w:szCs w:val="18"/>
              </w:rPr>
            </w:pPr>
            <w:r>
              <w:rPr>
                <w:rFonts w:ascii="宋体" w:hAnsi="宋体" w:cs="宋体" w:eastAsia="宋体" w:hint="default"/>
                <w:sz w:val="18"/>
                <w:szCs w:val="18"/>
              </w:rPr>
              <w:t>神州数码网络</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w w:val="95"/>
                <w:sz w:val="18"/>
              </w:rPr>
              <w:t>4,700.48</w:t>
            </w:r>
          </w:p>
        </w:tc>
        <w:tc>
          <w:tcPr>
            <w:tcW w:w="20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9"/>
              <w:jc w:val="right"/>
              <w:rPr>
                <w:rFonts w:ascii="Times New Roman" w:hAnsi="Times New Roman" w:cs="Times New Roman" w:eastAsia="Times New Roman" w:hint="default"/>
                <w:sz w:val="18"/>
                <w:szCs w:val="18"/>
              </w:rPr>
            </w:pPr>
            <w:r>
              <w:rPr>
                <w:rFonts w:ascii="Times New Roman"/>
                <w:w w:val="95"/>
                <w:sz w:val="18"/>
              </w:rPr>
              <w:t>4,700.48</w:t>
            </w:r>
          </w:p>
        </w:tc>
      </w:tr>
      <w:tr>
        <w:trPr>
          <w:trHeight w:val="456"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8"/>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21"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6"/>
              <w:jc w:val="right"/>
              <w:rPr>
                <w:rFonts w:ascii="Times New Roman" w:hAnsi="Times New Roman" w:cs="Times New Roman" w:eastAsia="Times New Roman" w:hint="default"/>
                <w:sz w:val="18"/>
                <w:szCs w:val="18"/>
              </w:rPr>
            </w:pPr>
            <w:r>
              <w:rPr>
                <w:rFonts w:ascii="Times New Roman"/>
                <w:spacing w:val="-1"/>
                <w:sz w:val="18"/>
              </w:rPr>
              <w:t>345,688.22</w:t>
            </w:r>
          </w:p>
        </w:tc>
        <w:tc>
          <w:tcPr>
            <w:tcW w:w="20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9"/>
              <w:jc w:val="right"/>
              <w:rPr>
                <w:rFonts w:ascii="Times New Roman" w:hAnsi="Times New Roman" w:cs="Times New Roman" w:eastAsia="Times New Roman" w:hint="default"/>
                <w:sz w:val="18"/>
                <w:szCs w:val="18"/>
              </w:rPr>
            </w:pPr>
            <w:r>
              <w:rPr>
                <w:rFonts w:ascii="Times New Roman"/>
                <w:spacing w:val="-1"/>
                <w:w w:val="95"/>
                <w:sz w:val="18"/>
              </w:rPr>
              <w:t>11,048.22</w:t>
            </w:r>
          </w:p>
        </w:tc>
      </w:tr>
      <w:tr>
        <w:trPr>
          <w:trHeight w:val="456"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1" w:right="0"/>
              <w:jc w:val="left"/>
              <w:rPr>
                <w:rFonts w:ascii="宋体" w:hAnsi="宋体" w:cs="宋体" w:eastAsia="宋体" w:hint="default"/>
                <w:sz w:val="18"/>
                <w:szCs w:val="18"/>
              </w:rPr>
            </w:pPr>
            <w:r>
              <w:rPr>
                <w:rFonts w:ascii="宋体" w:hAnsi="宋体" w:cs="宋体" w:eastAsia="宋体" w:hint="default"/>
                <w:sz w:val="18"/>
                <w:szCs w:val="18"/>
              </w:rPr>
              <w:t>上海神州数码通信技术有限公司</w:t>
            </w:r>
          </w:p>
        </w:tc>
        <w:tc>
          <w:tcPr>
            <w:tcW w:w="2089" w:type="dxa"/>
            <w:tcBorders>
              <w:top w:val="single" w:sz="6" w:space="0" w:color="000000"/>
              <w:left w:val="single" w:sz="6" w:space="0" w:color="000000"/>
              <w:bottom w:val="single" w:sz="6" w:space="0" w:color="000000"/>
              <w:right w:val="single" w:sz="6" w:space="0" w:color="000000"/>
            </w:tcBorders>
          </w:tcPr>
          <w:p>
            <w:pPr/>
          </w:p>
        </w:tc>
        <w:tc>
          <w:tcPr>
            <w:tcW w:w="20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481,957.00</w:t>
            </w:r>
          </w:p>
        </w:tc>
      </w:tr>
      <w:tr>
        <w:trPr>
          <w:trHeight w:val="45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1" w:right="0"/>
              <w:jc w:val="left"/>
              <w:rPr>
                <w:rFonts w:ascii="宋体" w:hAnsi="宋体" w:cs="宋体" w:eastAsia="宋体" w:hint="default"/>
                <w:sz w:val="18"/>
                <w:szCs w:val="18"/>
              </w:rPr>
            </w:pPr>
            <w:r>
              <w:rPr>
                <w:rFonts w:ascii="宋体" w:hAnsi="宋体" w:cs="宋体" w:eastAsia="宋体" w:hint="default"/>
                <w:sz w:val="18"/>
                <w:szCs w:val="18"/>
              </w:rPr>
              <w:t>广州神州数码信息科技有限公司</w:t>
            </w:r>
          </w:p>
        </w:tc>
        <w:tc>
          <w:tcPr>
            <w:tcW w:w="2089" w:type="dxa"/>
            <w:tcBorders>
              <w:top w:val="single" w:sz="6" w:space="0" w:color="000000"/>
              <w:left w:val="single" w:sz="6" w:space="0" w:color="000000"/>
              <w:bottom w:val="single" w:sz="6" w:space="0" w:color="000000"/>
              <w:right w:val="single" w:sz="6" w:space="0" w:color="000000"/>
            </w:tcBorders>
          </w:tcPr>
          <w:p>
            <w:pPr/>
          </w:p>
        </w:tc>
        <w:tc>
          <w:tcPr>
            <w:tcW w:w="20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1,850,000.00</w:t>
            </w:r>
          </w:p>
        </w:tc>
      </w:tr>
      <w:tr>
        <w:trPr>
          <w:trHeight w:val="456"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1" w:right="0"/>
              <w:jc w:val="left"/>
              <w:rPr>
                <w:rFonts w:ascii="宋体" w:hAnsi="宋体" w:cs="宋体" w:eastAsia="宋体" w:hint="default"/>
                <w:sz w:val="18"/>
                <w:szCs w:val="18"/>
              </w:rPr>
            </w:pPr>
            <w:r>
              <w:rPr>
                <w:rFonts w:ascii="宋体" w:hAnsi="宋体" w:cs="宋体" w:eastAsia="宋体" w:hint="default"/>
                <w:sz w:val="18"/>
                <w:szCs w:val="18"/>
              </w:rPr>
              <w:t>北京神州数码供应链服务有限公司</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75,840.00</w:t>
            </w:r>
          </w:p>
        </w:tc>
        <w:tc>
          <w:tcPr>
            <w:tcW w:w="20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9"/>
              <w:jc w:val="right"/>
              <w:rPr>
                <w:rFonts w:ascii="Times New Roman" w:hAnsi="Times New Roman" w:cs="Times New Roman" w:eastAsia="Times New Roman" w:hint="default"/>
                <w:sz w:val="18"/>
                <w:szCs w:val="18"/>
              </w:rPr>
            </w:pPr>
            <w:r>
              <w:rPr>
                <w:rFonts w:ascii="Times New Roman"/>
                <w:spacing w:val="-1"/>
                <w:sz w:val="18"/>
              </w:rPr>
              <w:t>75,840.00</w:t>
            </w:r>
          </w:p>
        </w:tc>
      </w:tr>
      <w:tr>
        <w:trPr>
          <w:trHeight w:val="45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1"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2089" w:type="dxa"/>
            <w:tcBorders>
              <w:top w:val="single" w:sz="6" w:space="0" w:color="000000"/>
              <w:left w:val="single" w:sz="6" w:space="0" w:color="000000"/>
              <w:bottom w:val="single" w:sz="6" w:space="0" w:color="000000"/>
              <w:right w:val="single" w:sz="6" w:space="0" w:color="000000"/>
            </w:tcBorders>
          </w:tcPr>
          <w:p>
            <w:pPr/>
          </w:p>
        </w:tc>
        <w:tc>
          <w:tcPr>
            <w:tcW w:w="20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9"/>
              <w:jc w:val="right"/>
              <w:rPr>
                <w:rFonts w:ascii="Times New Roman" w:hAnsi="Times New Roman" w:cs="Times New Roman" w:eastAsia="Times New Roman" w:hint="default"/>
                <w:sz w:val="18"/>
                <w:szCs w:val="18"/>
              </w:rPr>
            </w:pPr>
            <w:r>
              <w:rPr>
                <w:rFonts w:ascii="Times New Roman"/>
                <w:spacing w:val="-1"/>
                <w:sz w:val="18"/>
              </w:rPr>
              <w:t>62,910.00</w:t>
            </w:r>
          </w:p>
        </w:tc>
      </w:tr>
      <w:tr>
        <w:trPr>
          <w:trHeight w:val="456"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8"/>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21"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2089" w:type="dxa"/>
            <w:tcBorders>
              <w:top w:val="single" w:sz="6" w:space="0" w:color="000000"/>
              <w:left w:val="single" w:sz="6" w:space="0" w:color="000000"/>
              <w:bottom w:val="single" w:sz="6" w:space="0" w:color="000000"/>
              <w:right w:val="single" w:sz="6" w:space="0" w:color="000000"/>
            </w:tcBorders>
          </w:tcPr>
          <w:p>
            <w:pPr/>
          </w:p>
        </w:tc>
        <w:tc>
          <w:tcPr>
            <w:tcW w:w="20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3,455,585.12</w:t>
            </w:r>
          </w:p>
        </w:tc>
      </w:tr>
      <w:tr>
        <w:trPr>
          <w:trHeight w:val="456"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1" w:right="0"/>
              <w:jc w:val="left"/>
              <w:rPr>
                <w:rFonts w:ascii="宋体" w:hAnsi="宋体" w:cs="宋体" w:eastAsia="宋体" w:hint="default"/>
                <w:sz w:val="18"/>
                <w:szCs w:val="18"/>
              </w:rPr>
            </w:pPr>
            <w:r>
              <w:rPr>
                <w:rFonts w:ascii="宋体" w:hAnsi="宋体" w:cs="宋体" w:eastAsia="宋体" w:hint="default"/>
                <w:sz w:val="18"/>
                <w:szCs w:val="18"/>
              </w:rPr>
              <w:t>昆山龙腾光电有限公司</w:t>
            </w:r>
          </w:p>
        </w:tc>
        <w:tc>
          <w:tcPr>
            <w:tcW w:w="2089" w:type="dxa"/>
            <w:tcBorders>
              <w:top w:val="single" w:sz="6" w:space="0" w:color="000000"/>
              <w:left w:val="single" w:sz="6" w:space="0" w:color="000000"/>
              <w:bottom w:val="single" w:sz="6" w:space="0" w:color="000000"/>
              <w:right w:val="single" w:sz="6" w:space="0" w:color="000000"/>
            </w:tcBorders>
          </w:tcPr>
          <w:p>
            <w:pPr/>
          </w:p>
        </w:tc>
        <w:tc>
          <w:tcPr>
            <w:tcW w:w="20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1,637,118.99</w:t>
            </w:r>
          </w:p>
        </w:tc>
      </w:tr>
      <w:tr>
        <w:trPr>
          <w:trHeight w:val="45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1" w:right="0"/>
              <w:jc w:val="left"/>
              <w:rPr>
                <w:rFonts w:ascii="宋体" w:hAnsi="宋体" w:cs="宋体" w:eastAsia="宋体" w:hint="default"/>
                <w:sz w:val="18"/>
                <w:szCs w:val="18"/>
              </w:rPr>
            </w:pPr>
            <w:r>
              <w:rPr>
                <w:rFonts w:ascii="宋体" w:hAnsi="宋体" w:cs="宋体" w:eastAsia="宋体" w:hint="default"/>
                <w:sz w:val="18"/>
                <w:szCs w:val="18"/>
              </w:rPr>
              <w:t>北京鼎捷软件有限公司</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134,950.00</w:t>
            </w:r>
          </w:p>
        </w:tc>
        <w:tc>
          <w:tcPr>
            <w:tcW w:w="20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9"/>
              <w:jc w:val="right"/>
              <w:rPr>
                <w:rFonts w:ascii="Times New Roman" w:hAnsi="Times New Roman" w:cs="Times New Roman" w:eastAsia="Times New Roman" w:hint="default"/>
                <w:sz w:val="18"/>
                <w:szCs w:val="18"/>
              </w:rPr>
            </w:pPr>
            <w:r>
              <w:rPr>
                <w:rFonts w:ascii="Times New Roman"/>
                <w:spacing w:val="-1"/>
                <w:sz w:val="18"/>
              </w:rPr>
              <w:t>12,500.00</w:t>
            </w:r>
          </w:p>
        </w:tc>
      </w:tr>
      <w:tr>
        <w:trPr>
          <w:trHeight w:val="456"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1" w:right="0"/>
              <w:jc w:val="left"/>
              <w:rPr>
                <w:rFonts w:ascii="宋体" w:hAnsi="宋体" w:cs="宋体" w:eastAsia="宋体" w:hint="default"/>
                <w:sz w:val="18"/>
                <w:szCs w:val="18"/>
              </w:rPr>
            </w:pPr>
            <w:r>
              <w:rPr>
                <w:rFonts w:ascii="宋体" w:hAnsi="宋体" w:cs="宋体" w:eastAsia="宋体" w:hint="default"/>
                <w:sz w:val="18"/>
                <w:szCs w:val="18"/>
              </w:rPr>
              <w:t>北京神州数码科捷技术服务有限公司</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201,529.00</w:t>
            </w:r>
          </w:p>
        </w:tc>
        <w:tc>
          <w:tcPr>
            <w:tcW w:w="2093"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1"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470,000.00</w:t>
            </w:r>
          </w:p>
        </w:tc>
        <w:tc>
          <w:tcPr>
            <w:tcW w:w="2093"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8"/>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21"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6"/>
              <w:jc w:val="right"/>
              <w:rPr>
                <w:rFonts w:ascii="Times New Roman" w:hAnsi="Times New Roman" w:cs="Times New Roman" w:eastAsia="Times New Roman" w:hint="default"/>
                <w:sz w:val="18"/>
                <w:szCs w:val="18"/>
              </w:rPr>
            </w:pPr>
            <w:r>
              <w:rPr>
                <w:rFonts w:ascii="Times New Roman"/>
                <w:spacing w:val="-1"/>
                <w:sz w:val="18"/>
              </w:rPr>
              <w:t>20,000.00</w:t>
            </w:r>
          </w:p>
        </w:tc>
        <w:tc>
          <w:tcPr>
            <w:tcW w:w="2093"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1"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369,814.30</w:t>
            </w:r>
          </w:p>
        </w:tc>
        <w:tc>
          <w:tcPr>
            <w:tcW w:w="20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369,814.30</w:t>
            </w:r>
          </w:p>
        </w:tc>
      </w:tr>
      <w:tr>
        <w:trPr>
          <w:trHeight w:val="463" w:hRule="exact"/>
        </w:trPr>
        <w:tc>
          <w:tcPr>
            <w:tcW w:w="19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8"/>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8"/>
              <w:ind w:left="21"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20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0"/>
              <w:ind w:right="16"/>
              <w:jc w:val="right"/>
              <w:rPr>
                <w:rFonts w:ascii="Times New Roman" w:hAnsi="Times New Roman" w:cs="Times New Roman" w:eastAsia="Times New Roman" w:hint="default"/>
                <w:sz w:val="18"/>
                <w:szCs w:val="18"/>
              </w:rPr>
            </w:pPr>
            <w:r>
              <w:rPr>
                <w:rFonts w:ascii="Times New Roman"/>
                <w:spacing w:val="-1"/>
                <w:sz w:val="18"/>
              </w:rPr>
              <w:t>86,214.53</w:t>
            </w:r>
          </w:p>
        </w:tc>
        <w:tc>
          <w:tcPr>
            <w:tcW w:w="209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9"/>
        <w:rPr>
          <w:rFonts w:ascii="宋体" w:hAnsi="宋体" w:cs="宋体" w:eastAsia="宋体" w:hint="default"/>
          <w:sz w:val="21"/>
          <w:szCs w:val="21"/>
        </w:rPr>
      </w:pPr>
    </w:p>
    <w:p>
      <w:pPr>
        <w:pStyle w:val="Heading2"/>
        <w:spacing w:line="240" w:lineRule="auto"/>
        <w:ind w:right="98"/>
        <w:jc w:val="left"/>
        <w:rPr>
          <w:b w:val="0"/>
          <w:bCs w:val="0"/>
        </w:rPr>
      </w:pPr>
      <w:r>
        <w:rPr/>
        <w:t>十二、承诺及或有事项</w:t>
      </w:r>
      <w:r>
        <w:rPr>
          <w:b w:val="0"/>
          <w:bCs w:val="0"/>
        </w:rPr>
      </w:r>
    </w:p>
    <w:p>
      <w:pPr>
        <w:spacing w:line="240" w:lineRule="auto" w:before="2"/>
        <w:rPr>
          <w:rFonts w:ascii="宋体" w:hAnsi="宋体" w:cs="宋体" w:eastAsia="宋体" w:hint="default"/>
          <w:b/>
          <w:bCs/>
          <w:sz w:val="29"/>
          <w:szCs w:val="29"/>
        </w:rPr>
      </w:pPr>
    </w:p>
    <w:p>
      <w:pPr>
        <w:pStyle w:val="Heading4"/>
        <w:spacing w:line="240" w:lineRule="auto"/>
        <w:ind w:right="98"/>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9"/>
          <w:szCs w:val="29"/>
        </w:rPr>
      </w:pPr>
    </w:p>
    <w:p>
      <w:pPr>
        <w:pStyle w:val="Heading3"/>
        <w:spacing w:line="240" w:lineRule="auto" w:before="0"/>
        <w:ind w:right="0"/>
        <w:jc w:val="left"/>
      </w:pP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(T)</w:t>
      </w:r>
      <w:r>
        <w:rPr/>
        <w:t>，本公司就房屋租赁等项目之不可撤销经营租赁所需于下列期间承担款项如下：</w:t>
      </w:r>
    </w:p>
    <w:p>
      <w:pPr>
        <w:spacing w:line="240" w:lineRule="auto" w:before="3"/>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4268"/>
        <w:gridCol w:w="5248"/>
      </w:tblGrid>
      <w:tr>
        <w:trPr>
          <w:trHeight w:val="476" w:hRule="exact"/>
        </w:trPr>
        <w:tc>
          <w:tcPr>
            <w:tcW w:w="4268" w:type="dxa"/>
            <w:tcBorders>
              <w:top w:val="single" w:sz="12" w:space="0" w:color="000000"/>
              <w:left w:val="single" w:sz="12" w:space="0" w:color="000000"/>
              <w:bottom w:val="single" w:sz="6" w:space="0" w:color="000000"/>
              <w:right w:val="single" w:sz="6" w:space="0" w:color="000000"/>
            </w:tcBorders>
            <w:shd w:val="clear" w:color="auto" w:fill="D7D7D7"/>
          </w:tcPr>
          <w:p>
            <w:pPr>
              <w:pStyle w:val="TableParagraph"/>
              <w:spacing w:line="240" w:lineRule="auto" w:before="81"/>
              <w:ind w:left="-1" w:right="5"/>
              <w:jc w:val="center"/>
              <w:rPr>
                <w:rFonts w:ascii="宋体" w:hAnsi="宋体" w:cs="宋体" w:eastAsia="宋体" w:hint="default"/>
                <w:sz w:val="18"/>
                <w:szCs w:val="18"/>
              </w:rPr>
            </w:pPr>
            <w:r>
              <w:rPr>
                <w:rFonts w:ascii="宋体" w:hAnsi="宋体" w:cs="宋体" w:eastAsia="宋体" w:hint="default"/>
                <w:sz w:val="18"/>
                <w:szCs w:val="18"/>
              </w:rPr>
              <w:t>期间</w:t>
            </w:r>
          </w:p>
        </w:tc>
        <w:tc>
          <w:tcPr>
            <w:tcW w:w="5248" w:type="dxa"/>
            <w:tcBorders>
              <w:top w:val="single" w:sz="12" w:space="0" w:color="000000"/>
              <w:left w:val="single" w:sz="6" w:space="0" w:color="000000"/>
              <w:bottom w:val="single" w:sz="6" w:space="0" w:color="000000"/>
              <w:right w:val="single" w:sz="12" w:space="0" w:color="000000"/>
            </w:tcBorders>
            <w:shd w:val="clear" w:color="auto" w:fill="D7D7D7"/>
          </w:tcPr>
          <w:p>
            <w:pPr>
              <w:pStyle w:val="TableParagraph"/>
              <w:spacing w:line="240" w:lineRule="auto" w:before="81"/>
              <w:ind w:left="6" w:right="0"/>
              <w:jc w:val="center"/>
              <w:rPr>
                <w:rFonts w:ascii="宋体" w:hAnsi="宋体" w:cs="宋体" w:eastAsia="宋体" w:hint="default"/>
                <w:sz w:val="18"/>
                <w:szCs w:val="18"/>
              </w:rPr>
            </w:pPr>
            <w:r>
              <w:rPr>
                <w:rFonts w:ascii="宋体" w:hAnsi="宋体" w:cs="宋体" w:eastAsia="宋体" w:hint="default"/>
                <w:sz w:val="18"/>
                <w:szCs w:val="18"/>
              </w:rPr>
              <w:t>经营租赁</w:t>
            </w:r>
          </w:p>
        </w:tc>
      </w:tr>
      <w:tr>
        <w:trPr>
          <w:trHeight w:val="470" w:hRule="exact"/>
        </w:trPr>
        <w:tc>
          <w:tcPr>
            <w:tcW w:w="42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T+1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tc>
        <w:tc>
          <w:tcPr>
            <w:tcW w:w="52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pacing w:val="-1"/>
                <w:sz w:val="18"/>
              </w:rPr>
              <w:t>10,652,000.97</w:t>
            </w:r>
          </w:p>
        </w:tc>
      </w:tr>
      <w:tr>
        <w:trPr>
          <w:trHeight w:val="468" w:hRule="exact"/>
        </w:trPr>
        <w:tc>
          <w:tcPr>
            <w:tcW w:w="42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T+2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tc>
        <w:tc>
          <w:tcPr>
            <w:tcW w:w="52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1,890,948.76</w:t>
            </w:r>
          </w:p>
        </w:tc>
      </w:tr>
      <w:tr>
        <w:trPr>
          <w:trHeight w:val="475" w:hRule="exact"/>
        </w:trPr>
        <w:tc>
          <w:tcPr>
            <w:tcW w:w="426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524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5"/>
              <w:ind w:right="92"/>
              <w:jc w:val="right"/>
              <w:rPr>
                <w:rFonts w:ascii="Times New Roman" w:hAnsi="Times New Roman" w:cs="Times New Roman" w:eastAsia="Times New Roman" w:hint="default"/>
                <w:sz w:val="18"/>
                <w:szCs w:val="18"/>
              </w:rPr>
            </w:pPr>
            <w:r>
              <w:rPr>
                <w:rFonts w:ascii="Times New Roman"/>
                <w:b/>
                <w:spacing w:val="-1"/>
                <w:sz w:val="18"/>
              </w:rPr>
              <w:t>12,542,949.73</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67"/>
          <w:pgSz w:w="11910" w:h="16840"/>
          <w:pgMar w:footer="1227" w:header="0" w:top="1100" w:bottom="1420" w:left="980" w:right="920"/>
          <w:pgNumType w:start="201"/>
        </w:sectPr>
      </w:pPr>
    </w:p>
    <w:p>
      <w:pPr>
        <w:spacing w:line="240" w:lineRule="auto" w:before="6"/>
        <w:rPr>
          <w:rFonts w:ascii="宋体" w:hAnsi="宋体" w:cs="宋体" w:eastAsia="宋体" w:hint="default"/>
          <w:sz w:val="24"/>
          <w:szCs w:val="24"/>
        </w:rPr>
      </w:pPr>
    </w:p>
    <w:p>
      <w:pPr>
        <w:pStyle w:val="Heading3"/>
        <w:spacing w:line="240" w:lineRule="auto" w:before="32"/>
        <w:ind w:right="14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日，除上述事项外，本公司无需披露的其他重大承诺事项。</w:t>
      </w:r>
    </w:p>
    <w:p>
      <w:pPr>
        <w:spacing w:line="240" w:lineRule="auto" w:before="1"/>
        <w:rPr>
          <w:rFonts w:ascii="宋体" w:hAnsi="宋体" w:cs="宋体" w:eastAsia="宋体" w:hint="default"/>
          <w:sz w:val="28"/>
          <w:szCs w:val="28"/>
        </w:rPr>
      </w:pPr>
    </w:p>
    <w:p>
      <w:pPr>
        <w:pStyle w:val="Heading4"/>
        <w:spacing w:line="240" w:lineRule="auto"/>
        <w:ind w:right="14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right="14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9"/>
          <w:szCs w:val="29"/>
        </w:rPr>
      </w:pPr>
    </w:p>
    <w:p>
      <w:pPr>
        <w:pStyle w:val="Heading3"/>
        <w:spacing w:line="391" w:lineRule="auto" w:before="0"/>
        <w:ind w:right="146" w:firstLine="439"/>
        <w:jc w:val="both"/>
      </w:pPr>
      <w:r>
        <w:rPr>
          <w:rFonts w:ascii="宋体" w:hAnsi="宋体" w:cs="宋体" w:eastAsia="宋体" w:hint="default"/>
          <w:spacing w:val="-2"/>
        </w:rPr>
        <w:t>2012</w:t>
      </w:r>
      <w:r>
        <w:rPr>
          <w:spacing w:val="-2"/>
        </w:rPr>
        <w:t>年神州数码信息系统有限公司</w:t>
      </w:r>
      <w:r>
        <w:rPr>
          <w:rFonts w:ascii="宋体" w:hAnsi="宋体" w:cs="宋体" w:eastAsia="宋体" w:hint="default"/>
          <w:spacing w:val="-2"/>
        </w:rPr>
        <w:t>(</w:t>
      </w:r>
      <w:r>
        <w:rPr>
          <w:spacing w:val="-2"/>
        </w:rPr>
        <w:t>以下简称信息系统公司</w:t>
      </w:r>
      <w:r>
        <w:rPr>
          <w:rFonts w:ascii="宋体" w:hAnsi="宋体" w:cs="宋体" w:eastAsia="宋体" w:hint="default"/>
          <w:spacing w:val="-2"/>
        </w:rPr>
        <w:t>)</w:t>
      </w:r>
      <w:r>
        <w:rPr>
          <w:spacing w:val="-2"/>
        </w:rPr>
        <w:t>与富力南京地产开发有限公司（以下</w:t>
      </w:r>
      <w:r>
        <w:rPr>
          <w:w w:val="100"/>
        </w:rPr>
        <w:t> </w:t>
      </w:r>
      <w:r>
        <w:rPr>
          <w:spacing w:val="-2"/>
        </w:rPr>
        <w:t>简称富力南京）签订设备采购合同，合同签订后信息系统公司已按合同约定交付了产品，并取得了验</w:t>
      </w:r>
      <w:r>
        <w:rPr>
          <w:spacing w:val="-67"/>
        </w:rPr>
        <w:t> </w:t>
      </w:r>
      <w:r>
        <w:rPr>
          <w:spacing w:val="-67"/>
        </w:rPr>
      </w:r>
      <w:r>
        <w:rPr/>
        <w:t>收单。但对方未按照合同约定付款。</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17</w:t>
      </w:r>
      <w:r>
        <w:rPr/>
        <w:t>日，信息系统公司向南京市江宁区人民法院提出诉</w:t>
      </w:r>
      <w:r>
        <w:rPr>
          <w:spacing w:val="-46"/>
        </w:rPr>
        <w:t> </w:t>
      </w:r>
      <w:r>
        <w:rPr>
          <w:spacing w:val="-46"/>
        </w:rPr>
      </w:r>
      <w:r>
        <w:rPr>
          <w:spacing w:val="-2"/>
        </w:rPr>
        <w:t>讼申请，请求南京市江宁区人民法院判决富力南京继续履行双方签订的设备合同，向信息系统公司支</w:t>
      </w:r>
      <w:r>
        <w:rPr>
          <w:spacing w:val="-70"/>
        </w:rPr>
        <w:t> </w:t>
      </w:r>
      <w:r>
        <w:rPr>
          <w:spacing w:val="-70"/>
        </w:rPr>
      </w:r>
      <w:r>
        <w:rPr>
          <w:spacing w:val="-2"/>
        </w:rPr>
        <w:t>付拖欠的合同款</w:t>
      </w:r>
      <w:r>
        <w:rPr>
          <w:rFonts w:ascii="宋体" w:hAnsi="宋体" w:cs="宋体" w:eastAsia="宋体" w:hint="default"/>
          <w:spacing w:val="-2"/>
        </w:rPr>
        <w:t>6,708,560.18</w:t>
      </w:r>
      <w:r>
        <w:rPr>
          <w:spacing w:val="-2"/>
        </w:rPr>
        <w:t>元，并支付违约金</w:t>
      </w:r>
      <w:r>
        <w:rPr>
          <w:rFonts w:ascii="宋体" w:hAnsi="宋体" w:cs="宋体" w:eastAsia="宋体" w:hint="default"/>
          <w:spacing w:val="-2"/>
        </w:rPr>
        <w:t>335,428.00</w:t>
      </w:r>
      <w:r>
        <w:rPr>
          <w:spacing w:val="-2"/>
        </w:rPr>
        <w:t>元，同时承担本案的全部诉讼费。</w:t>
      </w:r>
      <w:r>
        <w:rPr>
          <w:rFonts w:ascii="宋体" w:hAnsi="宋体" w:cs="宋体" w:eastAsia="宋体" w:hint="default"/>
          <w:spacing w:val="-2"/>
        </w:rPr>
        <w:t>2015</w:t>
      </w:r>
      <w:r>
        <w:rPr>
          <w:spacing w:val="-2"/>
        </w:rPr>
        <w:t>年</w:t>
      </w:r>
      <w:r>
        <w:rPr>
          <w:spacing w:val="-41"/>
        </w:rPr>
        <w:t> </w:t>
      </w:r>
      <w:r>
        <w:rPr>
          <w:rFonts w:ascii="宋体" w:hAnsi="宋体" w:cs="宋体" w:eastAsia="宋体" w:hint="default"/>
        </w:rPr>
        <w:t>2</w:t>
      </w:r>
      <w:r>
        <w:rPr/>
        <w:t>月</w:t>
      </w:r>
      <w:r>
        <w:rPr>
          <w:rFonts w:ascii="宋体" w:hAnsi="宋体" w:cs="宋体" w:eastAsia="宋体" w:hint="default"/>
        </w:rPr>
        <w:t>3</w:t>
      </w:r>
      <w:r>
        <w:rPr/>
        <w:t>日，法院就此案开庭审理，截止目前尚未收到法院的判决书。</w:t>
      </w:r>
    </w:p>
    <w:p>
      <w:pPr>
        <w:pStyle w:val="Heading3"/>
        <w:spacing w:line="391" w:lineRule="auto"/>
        <w:ind w:right="149" w:firstLine="439"/>
        <w:jc w:val="both"/>
      </w:pPr>
      <w:r>
        <w:rPr/>
        <w:t>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日，信息系统对富力南京的应收账款</w:t>
      </w:r>
      <w:r>
        <w:rPr>
          <w:rFonts w:ascii="宋体" w:hAnsi="宋体" w:cs="宋体" w:eastAsia="宋体" w:hint="default"/>
        </w:rPr>
        <w:t>6,708,560.18</w:t>
      </w:r>
      <w:r>
        <w:rPr/>
        <w:t>元其账期超过</w:t>
      </w:r>
      <w:r>
        <w:rPr>
          <w:rFonts w:ascii="宋体" w:hAnsi="宋体" w:cs="宋体" w:eastAsia="宋体" w:hint="default"/>
        </w:rPr>
        <w:t>360</w:t>
      </w:r>
      <w:r>
        <w:rPr/>
        <w:t>天，已按</w:t>
      </w:r>
      <w:r>
        <w:rPr>
          <w:w w:val="100"/>
        </w:rPr>
        <w:t> </w:t>
      </w:r>
      <w:r>
        <w:rPr/>
        <w:t>照政策全额计提了坏账准备。</w:t>
      </w:r>
    </w:p>
    <w:p>
      <w:pPr>
        <w:pStyle w:val="Heading3"/>
        <w:spacing w:line="240" w:lineRule="auto"/>
        <w:ind w:left="592" w:right="140"/>
        <w:jc w:val="left"/>
      </w:pPr>
      <w:r>
        <w:rPr/>
        <w:t>除上述事项外，本公司无需披露其他重大或有事项。</w:t>
      </w:r>
    </w:p>
    <w:p>
      <w:pPr>
        <w:spacing w:line="240" w:lineRule="auto" w:before="0"/>
        <w:rPr>
          <w:rFonts w:ascii="宋体" w:hAnsi="宋体" w:cs="宋体" w:eastAsia="宋体" w:hint="default"/>
          <w:sz w:val="22"/>
          <w:szCs w:val="22"/>
        </w:rPr>
      </w:pPr>
    </w:p>
    <w:p>
      <w:pPr>
        <w:spacing w:line="578" w:lineRule="auto" w:before="180"/>
        <w:ind w:left="153" w:right="4524" w:firstLine="0"/>
        <w:jc w:val="left"/>
        <w:rPr>
          <w:rFonts w:ascii="宋体" w:hAnsi="宋体" w:cs="宋体" w:eastAsia="宋体" w:hint="default"/>
          <w:sz w:val="24"/>
          <w:szCs w:val="24"/>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）公司没有需要披露的重要或有事项，也应予以说明</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2"/>
          <w:szCs w:val="22"/>
        </w:rPr>
        <w:t>公司不存在需要披露的重要或有事项。</w:t>
      </w:r>
      <w:r>
        <w:rPr>
          <w:rFonts w:ascii="宋体" w:hAnsi="宋体" w:cs="宋体" w:eastAsia="宋体" w:hint="default"/>
          <w:w w:val="100"/>
          <w:sz w:val="22"/>
          <w:szCs w:val="22"/>
        </w:rPr>
        <w:t> </w:t>
      </w:r>
      <w:r>
        <w:rPr>
          <w:rFonts w:ascii="宋体" w:hAnsi="宋体" w:cs="宋体" w:eastAsia="宋体" w:hint="default"/>
          <w:b/>
          <w:bCs/>
          <w:sz w:val="24"/>
          <w:szCs w:val="24"/>
        </w:rPr>
        <w:t>十三、资产负债表日后事项</w:t>
      </w:r>
      <w:r>
        <w:rPr>
          <w:rFonts w:ascii="宋体" w:hAnsi="宋体" w:cs="宋体" w:eastAsia="宋体" w:hint="default"/>
          <w:sz w:val="24"/>
          <w:szCs w:val="24"/>
        </w:rPr>
      </w:r>
    </w:p>
    <w:p>
      <w:pPr>
        <w:pStyle w:val="Heading4"/>
        <w:spacing w:line="240" w:lineRule="auto" w:before="42"/>
        <w:ind w:right="14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9"/>
        <w:rPr>
          <w:rFonts w:ascii="宋体" w:hAnsi="宋体" w:cs="宋体" w:eastAsia="宋体" w:hint="default"/>
          <w:b/>
          <w:bCs/>
          <w:sz w:val="30"/>
          <w:szCs w:val="30"/>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4982"/>
        <w:gridCol w:w="4587"/>
      </w:tblGrid>
      <w:tr>
        <w:trPr>
          <w:trHeight w:val="460" w:hRule="exact"/>
        </w:trPr>
        <w:tc>
          <w:tcPr>
            <w:tcW w:w="498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5"/>
              <w:ind w:left="1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57"/>
              <w:ind w:right="12"/>
              <w:jc w:val="right"/>
              <w:rPr>
                <w:rFonts w:ascii="Times New Roman" w:hAnsi="Times New Roman" w:cs="Times New Roman" w:eastAsia="Times New Roman" w:hint="default"/>
                <w:sz w:val="18"/>
                <w:szCs w:val="18"/>
              </w:rPr>
            </w:pPr>
            <w:r>
              <w:rPr>
                <w:rFonts w:ascii="Times New Roman"/>
                <w:spacing w:val="-1"/>
                <w:sz w:val="18"/>
              </w:rPr>
              <w:t>27,534,357.48</w:t>
            </w:r>
          </w:p>
        </w:tc>
      </w:tr>
      <w:tr>
        <w:trPr>
          <w:trHeight w:val="463" w:hRule="exact"/>
        </w:trPr>
        <w:tc>
          <w:tcPr>
            <w:tcW w:w="498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0"/>
              <w:ind w:right="12"/>
              <w:jc w:val="right"/>
              <w:rPr>
                <w:rFonts w:ascii="Times New Roman" w:hAnsi="Times New Roman" w:cs="Times New Roman" w:eastAsia="Times New Roman" w:hint="default"/>
                <w:sz w:val="18"/>
                <w:szCs w:val="18"/>
              </w:rPr>
            </w:pPr>
            <w:r>
              <w:rPr>
                <w:rFonts w:ascii="Times New Roman"/>
                <w:spacing w:val="-1"/>
                <w:sz w:val="18"/>
              </w:rPr>
              <w:t>27,534,357.48</w:t>
            </w:r>
          </w:p>
        </w:tc>
      </w:tr>
    </w:tbl>
    <w:p>
      <w:pPr>
        <w:spacing w:line="240" w:lineRule="auto" w:before="9"/>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2"/>
        <w:rPr>
          <w:rFonts w:ascii="宋体" w:hAnsi="宋体" w:cs="宋体" w:eastAsia="宋体" w:hint="default"/>
          <w:b/>
          <w:bCs/>
          <w:sz w:val="29"/>
          <w:szCs w:val="29"/>
        </w:rPr>
      </w:pPr>
    </w:p>
    <w:p>
      <w:pPr>
        <w:pStyle w:val="Heading3"/>
        <w:spacing w:line="240" w:lineRule="auto" w:before="0"/>
        <w:ind w:left="592" w:right="140"/>
        <w:jc w:val="left"/>
      </w:pPr>
      <w:r>
        <w:rPr/>
        <w:t>（</w:t>
      </w:r>
      <w:r>
        <w:rPr>
          <w:rFonts w:ascii="宋体" w:hAnsi="宋体" w:cs="宋体" w:eastAsia="宋体" w:hint="default"/>
        </w:rPr>
        <w:t>1</w:t>
      </w:r>
      <w:r>
        <w:rPr/>
        <w:t>）、</w:t>
      </w:r>
      <w:r>
        <w:rPr>
          <w:rFonts w:ascii="Times New Roman" w:hAnsi="Times New Roman" w:cs="Times New Roman" w:eastAsia="Times New Roman" w:hint="default"/>
        </w:rPr>
        <w:t>2015</w:t>
      </w:r>
      <w:r>
        <w:rPr/>
        <w:t>年</w:t>
      </w:r>
      <w:r>
        <w:rPr>
          <w:rFonts w:ascii="宋体" w:hAnsi="宋体" w:cs="宋体" w:eastAsia="宋体" w:hint="default"/>
        </w:rPr>
        <w:t>1</w:t>
      </w:r>
      <w:r>
        <w:rPr/>
        <w:t>月</w:t>
      </w:r>
      <w:r>
        <w:rPr>
          <w:rFonts w:ascii="宋体" w:hAnsi="宋体" w:cs="宋体" w:eastAsia="宋体" w:hint="default"/>
        </w:rPr>
        <w:t>13</w:t>
      </w:r>
      <w:r>
        <w:rPr/>
        <w:t>日，本公司向特定投资者发行的</w:t>
      </w:r>
      <w:r>
        <w:rPr>
          <w:rFonts w:ascii="宋体" w:hAnsi="宋体" w:cs="宋体" w:eastAsia="宋体" w:hint="default"/>
        </w:rPr>
        <w:t>7,171,717.00</w:t>
      </w:r>
      <w:r>
        <w:rPr/>
        <w:t>股股份正式上市。</w:t>
      </w:r>
    </w:p>
    <w:p>
      <w:pPr>
        <w:pStyle w:val="Heading3"/>
        <w:spacing w:line="391" w:lineRule="auto" w:before="163"/>
        <w:ind w:right="140" w:firstLine="439"/>
        <w:jc w:val="left"/>
      </w:pPr>
      <w:r>
        <w:rPr>
          <w:spacing w:val="-2"/>
        </w:rPr>
        <w:t>（</w:t>
      </w:r>
      <w:r>
        <w:rPr>
          <w:rFonts w:ascii="宋体" w:hAnsi="宋体" w:cs="宋体" w:eastAsia="宋体" w:hint="default"/>
          <w:spacing w:val="-2"/>
        </w:rPr>
        <w:t>2</w:t>
      </w:r>
      <w:r>
        <w:rPr>
          <w:spacing w:val="-2"/>
        </w:rPr>
        <w:t>）、经本公司</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9</w:t>
      </w:r>
      <w:r>
        <w:rPr>
          <w:spacing w:val="-2"/>
        </w:rPr>
        <w:t>日召开的第六届董事会</w:t>
      </w:r>
      <w:r>
        <w:rPr>
          <w:rFonts w:ascii="宋体" w:hAnsi="宋体" w:cs="宋体" w:eastAsia="宋体" w:hint="default"/>
          <w:spacing w:val="-2"/>
        </w:rPr>
        <w:t>2015</w:t>
      </w:r>
      <w:r>
        <w:rPr>
          <w:spacing w:val="-2"/>
        </w:rPr>
        <w:t>年第一次临时会议、</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27</w:t>
      </w:r>
      <w:r>
        <w:rPr>
          <w:spacing w:val="-2"/>
        </w:rPr>
        <w:t>日召开</w:t>
      </w:r>
      <w:r>
        <w:rPr>
          <w:w w:val="100"/>
        </w:rPr>
        <w:t> </w:t>
      </w:r>
      <w:r>
        <w:rPr/>
        <w:t>的</w:t>
      </w:r>
      <w:r>
        <w:rPr>
          <w:rFonts w:ascii="宋体" w:hAnsi="宋体" w:cs="宋体" w:eastAsia="宋体" w:hint="default"/>
        </w:rPr>
        <w:t>2015</w:t>
      </w:r>
      <w:r>
        <w:rPr/>
        <w:t>年度第一次临时股东大会审议通过：</w:t>
      </w:r>
    </w:p>
    <w:p>
      <w:pPr>
        <w:pStyle w:val="Heading3"/>
        <w:spacing w:line="391" w:lineRule="auto"/>
        <w:ind w:right="140" w:firstLine="549"/>
        <w:jc w:val="left"/>
      </w:pPr>
      <w:r>
        <w:rPr>
          <w:rFonts w:ascii="宋体" w:hAnsi="宋体" w:cs="宋体" w:eastAsia="宋体" w:hint="default"/>
          <w:spacing w:val="-2"/>
        </w:rPr>
        <w:t>1</w:t>
      </w:r>
      <w:r>
        <w:rPr>
          <w:spacing w:val="-2"/>
        </w:rPr>
        <w:t>）</w:t>
      </w:r>
      <w:r>
        <w:rPr>
          <w:rFonts w:ascii="宋体" w:hAnsi="宋体" w:cs="宋体" w:eastAsia="宋体" w:hint="default"/>
          <w:spacing w:val="-2"/>
        </w:rPr>
        <w:t>2015</w:t>
      </w:r>
      <w:r>
        <w:rPr>
          <w:spacing w:val="-2"/>
        </w:rPr>
        <w:t>年本公司之子公司信息系统公司、神州数码金信科技股份有限公司（以下简称金信科技</w:t>
      </w:r>
      <w:r>
        <w:rPr>
          <w:w w:val="100"/>
        </w:rPr>
        <w:t> </w:t>
      </w:r>
      <w:r>
        <w:rPr>
          <w:spacing w:val="-2"/>
        </w:rPr>
        <w:t>公司）拟向中国工商银行中关村支行申请最高</w:t>
      </w:r>
      <w:r>
        <w:rPr>
          <w:rFonts w:ascii="宋体" w:hAnsi="宋体" w:cs="宋体" w:eastAsia="宋体" w:hint="default"/>
          <w:spacing w:val="-2"/>
        </w:rPr>
        <w:t>1.5</w:t>
      </w:r>
      <w:r>
        <w:rPr>
          <w:spacing w:val="-2"/>
        </w:rPr>
        <w:t>亿元人民币（期限</w:t>
      </w:r>
      <w:r>
        <w:rPr>
          <w:rFonts w:ascii="宋体" w:hAnsi="宋体" w:cs="宋体" w:eastAsia="宋体" w:hint="default"/>
          <w:spacing w:val="-2"/>
        </w:rPr>
        <w:t>1</w:t>
      </w:r>
      <w:r>
        <w:rPr>
          <w:spacing w:val="-2"/>
        </w:rPr>
        <w:t>年）的授信额度，并由本公司之</w:t>
      </w:r>
    </w:p>
    <w:p>
      <w:pPr>
        <w:spacing w:after="0" w:line="391" w:lineRule="auto"/>
        <w:jc w:val="left"/>
        <w:sectPr>
          <w:pgSz w:w="11910" w:h="16840"/>
          <w:pgMar w:header="0" w:footer="1227" w:top="1100" w:bottom="1420" w:left="980" w:right="980"/>
        </w:sectPr>
      </w:pPr>
    </w:p>
    <w:p>
      <w:pPr>
        <w:spacing w:line="240" w:lineRule="auto" w:before="4"/>
        <w:rPr>
          <w:rFonts w:ascii="宋体" w:hAnsi="宋体" w:cs="宋体" w:eastAsia="宋体" w:hint="default"/>
          <w:sz w:val="26"/>
          <w:szCs w:val="26"/>
        </w:rPr>
      </w:pPr>
    </w:p>
    <w:p>
      <w:pPr>
        <w:pStyle w:val="Heading3"/>
        <w:spacing w:line="391" w:lineRule="auto" w:before="32"/>
        <w:ind w:left="702" w:right="207" w:hanging="550"/>
        <w:jc w:val="left"/>
        <w:rPr>
          <w:rFonts w:ascii="宋体" w:hAnsi="宋体" w:cs="宋体" w:eastAsia="宋体" w:hint="default"/>
        </w:rPr>
      </w:pPr>
      <w:r>
        <w:rPr/>
        <w:t>子公司神州数码系统集成服务有限公司（以下简称系统集成公司）提供担保的议案；</w:t>
      </w:r>
      <w:r>
        <w:rPr>
          <w:w w:val="100"/>
        </w:rPr>
        <w:t> </w:t>
      </w:r>
      <w:r>
        <w:rPr>
          <w:rFonts w:ascii="宋体" w:hAnsi="宋体" w:cs="宋体" w:eastAsia="宋体" w:hint="default"/>
          <w:spacing w:val="10"/>
        </w:rPr>
        <w:t>2</w:t>
      </w:r>
      <w:r>
        <w:rPr>
          <w:spacing w:val="10"/>
        </w:rPr>
        <w:t>）</w:t>
      </w:r>
      <w:r>
        <w:rPr>
          <w:rFonts w:ascii="宋体" w:hAnsi="宋体" w:cs="宋体" w:eastAsia="宋体" w:hint="default"/>
          <w:spacing w:val="10"/>
        </w:rPr>
        <w:t>2015</w:t>
      </w:r>
      <w:r>
        <w:rPr>
          <w:spacing w:val="10"/>
        </w:rPr>
        <w:t>年本公司之子公司神州数码集成系统有限公司（ </w:t>
      </w:r>
      <w:r>
        <w:rPr>
          <w:rFonts w:ascii="宋体" w:hAnsi="宋体" w:cs="宋体" w:eastAsia="宋体" w:hint="default"/>
        </w:rPr>
        <w:t>Digital China Advanced</w:t>
      </w:r>
      <w:r>
        <w:rPr>
          <w:rFonts w:ascii="宋体" w:hAnsi="宋体" w:cs="宋体" w:eastAsia="宋体" w:hint="default"/>
          <w:spacing w:val="-3"/>
        </w:rPr>
        <w:t> </w:t>
      </w:r>
      <w:r>
        <w:rPr>
          <w:rFonts w:ascii="宋体" w:hAnsi="宋体" w:cs="宋体" w:eastAsia="宋体" w:hint="default"/>
        </w:rPr>
        <w:t>Systems</w:t>
      </w:r>
    </w:p>
    <w:p>
      <w:pPr>
        <w:pStyle w:val="Heading3"/>
        <w:spacing w:line="391" w:lineRule="auto"/>
        <w:ind w:right="98"/>
        <w:jc w:val="left"/>
      </w:pPr>
      <w:r>
        <w:rPr>
          <w:rFonts w:ascii="宋体" w:hAnsi="宋体" w:cs="宋体" w:eastAsia="宋体" w:hint="default"/>
          <w:spacing w:val="-2"/>
        </w:rPr>
        <w:t>Limited</w:t>
      </w:r>
      <w:r>
        <w:rPr>
          <w:spacing w:val="-2"/>
        </w:rPr>
        <w:t>，以下简称</w:t>
      </w:r>
      <w:r>
        <w:rPr>
          <w:rFonts w:ascii="宋体" w:hAnsi="宋体" w:cs="宋体" w:eastAsia="宋体" w:hint="default"/>
          <w:spacing w:val="-2"/>
        </w:rPr>
        <w:t>DCA</w:t>
      </w:r>
      <w:r>
        <w:rPr>
          <w:spacing w:val="-2"/>
        </w:rPr>
        <w:t>公司）拟向中国工商银行（亚洲）有限公司申请最高</w:t>
      </w:r>
      <w:r>
        <w:rPr>
          <w:rFonts w:ascii="宋体" w:hAnsi="宋体" w:cs="宋体" w:eastAsia="宋体" w:hint="default"/>
          <w:spacing w:val="-2"/>
        </w:rPr>
        <w:t>3</w:t>
      </w:r>
      <w:r>
        <w:rPr>
          <w:spacing w:val="-2"/>
        </w:rPr>
        <w:t>千万美元（期限</w:t>
      </w:r>
      <w:r>
        <w:rPr>
          <w:rFonts w:ascii="宋体" w:hAnsi="宋体" w:cs="宋体" w:eastAsia="宋体" w:hint="default"/>
          <w:spacing w:val="-2"/>
        </w:rPr>
        <w:t>1</w:t>
      </w:r>
      <w:r>
        <w:rPr>
          <w:spacing w:val="-2"/>
        </w:rPr>
        <w:t>年）的</w:t>
      </w:r>
      <w:r>
        <w:rPr>
          <w:spacing w:val="-58"/>
        </w:rPr>
        <w:t> </w:t>
      </w:r>
      <w:r>
        <w:rPr>
          <w:spacing w:val="-58"/>
        </w:rPr>
      </w:r>
      <w:r>
        <w:rPr/>
        <w:t>授信额度，并由本公司提供担保；</w:t>
      </w:r>
    </w:p>
    <w:p>
      <w:pPr>
        <w:pStyle w:val="Heading3"/>
        <w:spacing w:line="391" w:lineRule="auto"/>
        <w:ind w:right="208" w:firstLine="549"/>
        <w:jc w:val="both"/>
      </w:pPr>
      <w:r>
        <w:rPr>
          <w:rFonts w:ascii="宋体" w:hAnsi="宋体" w:cs="宋体" w:eastAsia="宋体" w:hint="default"/>
        </w:rPr>
        <w:t>3</w:t>
      </w:r>
      <w:r>
        <w:rPr/>
        <w:t>）</w:t>
      </w:r>
      <w:r>
        <w:rPr>
          <w:rFonts w:ascii="宋体" w:hAnsi="宋体" w:cs="宋体" w:eastAsia="宋体" w:hint="default"/>
        </w:rPr>
        <w:t>2015</w:t>
      </w:r>
      <w:r>
        <w:rPr/>
        <w:t>年本公司之子公司系统集成公司拟向永亨银行（中国）有限公司北京分行申请最高</w:t>
      </w:r>
      <w:r>
        <w:rPr>
          <w:rFonts w:ascii="宋体" w:hAnsi="宋体" w:cs="宋体" w:eastAsia="宋体" w:hint="default"/>
        </w:rPr>
        <w:t>1</w:t>
      </w:r>
      <w:r>
        <w:rPr/>
        <w:t>亿</w:t>
      </w:r>
      <w:r>
        <w:rPr>
          <w:w w:val="100"/>
        </w:rPr>
        <w:t> </w:t>
      </w:r>
      <w:r>
        <w:rPr/>
        <w:t>元人民币（期限</w:t>
      </w:r>
      <w:r>
        <w:rPr>
          <w:rFonts w:ascii="宋体" w:hAnsi="宋体" w:cs="宋体" w:eastAsia="宋体" w:hint="default"/>
        </w:rPr>
        <w:t>1</w:t>
      </w:r>
      <w:r>
        <w:rPr/>
        <w:t>年）的授信额度并由本公司提供担保；</w:t>
      </w:r>
    </w:p>
    <w:p>
      <w:pPr>
        <w:pStyle w:val="Heading3"/>
        <w:spacing w:line="391" w:lineRule="auto"/>
        <w:ind w:right="210" w:firstLine="549"/>
        <w:jc w:val="both"/>
      </w:pPr>
      <w:r>
        <w:rPr>
          <w:rFonts w:ascii="宋体" w:hAnsi="宋体" w:cs="宋体" w:eastAsia="宋体" w:hint="default"/>
          <w:spacing w:val="-2"/>
        </w:rPr>
        <w:t>4</w:t>
      </w:r>
      <w:r>
        <w:rPr>
          <w:spacing w:val="-2"/>
        </w:rPr>
        <w:t>）</w:t>
      </w:r>
      <w:r>
        <w:rPr>
          <w:rFonts w:ascii="宋体" w:hAnsi="宋体" w:cs="宋体" w:eastAsia="宋体" w:hint="default"/>
          <w:spacing w:val="-2"/>
        </w:rPr>
        <w:t>2015</w:t>
      </w:r>
      <w:r>
        <w:rPr>
          <w:spacing w:val="-2"/>
        </w:rPr>
        <w:t>年本公司、本公司之子公司系统集成公司、信息系统公司、金信科技公司拟向招商银行</w:t>
      </w:r>
      <w:r>
        <w:rPr>
          <w:w w:val="100"/>
        </w:rPr>
        <w:t> </w:t>
      </w:r>
      <w:r>
        <w:rPr>
          <w:spacing w:val="-2"/>
        </w:rPr>
        <w:t>北京双榆树支行申请最高</w:t>
      </w:r>
      <w:r>
        <w:rPr>
          <w:rFonts w:ascii="宋体" w:hAnsi="宋体" w:cs="宋体" w:eastAsia="宋体" w:hint="default"/>
          <w:spacing w:val="-2"/>
        </w:rPr>
        <w:t>6</w:t>
      </w:r>
      <w:r>
        <w:rPr>
          <w:spacing w:val="-2"/>
        </w:rPr>
        <w:t>亿元人民币（期限</w:t>
      </w:r>
      <w:r>
        <w:rPr>
          <w:rFonts w:ascii="宋体" w:hAnsi="宋体" w:cs="宋体" w:eastAsia="宋体" w:hint="default"/>
          <w:spacing w:val="-2"/>
        </w:rPr>
        <w:t>1</w:t>
      </w:r>
      <w:r>
        <w:rPr>
          <w:spacing w:val="-2"/>
        </w:rPr>
        <w:t>年）的授信额度，当本公司、系统集成公司、信息系统</w:t>
      </w:r>
      <w:r>
        <w:rPr>
          <w:spacing w:val="-70"/>
        </w:rPr>
        <w:t> </w:t>
      </w:r>
      <w:r>
        <w:rPr>
          <w:spacing w:val="-70"/>
        </w:rPr>
      </w:r>
      <w:r>
        <w:rPr/>
        <w:t>公司中任何一方使用上述授信额度时，由其他二方提供担保。</w:t>
      </w:r>
    </w:p>
    <w:p>
      <w:pPr>
        <w:pStyle w:val="Heading3"/>
        <w:spacing w:line="391" w:lineRule="auto"/>
        <w:ind w:left="592" w:right="98"/>
        <w:jc w:val="left"/>
      </w:pPr>
      <w:r>
        <w:rPr/>
        <w:t>（</w:t>
      </w:r>
      <w:r>
        <w:rPr>
          <w:rFonts w:ascii="宋体" w:hAnsi="宋体" w:cs="宋体" w:eastAsia="宋体" w:hint="default"/>
        </w:rPr>
        <w:t>3</w:t>
      </w:r>
      <w:r>
        <w:rPr/>
        <w:t>）、</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27</w:t>
      </w:r>
      <w:r>
        <w:rPr/>
        <w:t>日，本公司召开第六届董事会</w:t>
      </w:r>
      <w:r>
        <w:rPr>
          <w:rFonts w:ascii="宋体" w:hAnsi="宋体" w:cs="宋体" w:eastAsia="宋体" w:hint="default"/>
        </w:rPr>
        <w:t>2015</w:t>
      </w:r>
      <w:r>
        <w:rPr/>
        <w:t>年第八次会议，会议审议通过了：</w:t>
      </w:r>
      <w:r>
        <w:rPr>
          <w:w w:val="100"/>
        </w:rPr>
        <w:t> </w:t>
      </w:r>
      <w:r>
        <w:rPr>
          <w:rFonts w:ascii="宋体" w:hAnsi="宋体" w:cs="宋体" w:eastAsia="宋体" w:hint="default"/>
        </w:rPr>
        <w:t>1</w:t>
      </w:r>
      <w:r>
        <w:rPr/>
        <w:t>）</w:t>
      </w:r>
      <w:r>
        <w:rPr>
          <w:rFonts w:ascii="宋体" w:hAnsi="宋体" w:cs="宋体" w:eastAsia="宋体" w:hint="default"/>
        </w:rPr>
        <w:t>2014</w:t>
      </w:r>
      <w:r>
        <w:rPr/>
        <w:t>年度公司利润分配预案：拟以未来实施</w:t>
      </w:r>
      <w:r>
        <w:rPr>
          <w:rFonts w:ascii="宋体" w:hAnsi="宋体" w:cs="宋体" w:eastAsia="宋体" w:hint="default"/>
        </w:rPr>
        <w:t>2014</w:t>
      </w:r>
      <w:r>
        <w:rPr/>
        <w:t>年度权益分配方案时股权登记日的总股本为</w:t>
      </w:r>
    </w:p>
    <w:p>
      <w:pPr>
        <w:pStyle w:val="Heading3"/>
        <w:spacing w:line="391" w:lineRule="auto"/>
        <w:ind w:left="592" w:right="98" w:hanging="440"/>
        <w:jc w:val="left"/>
      </w:pPr>
      <w:r>
        <w:rPr/>
        <w:t>基数，向全体股东每</w:t>
      </w:r>
      <w:r>
        <w:rPr>
          <w:rFonts w:ascii="宋体" w:hAnsi="宋体" w:cs="宋体" w:eastAsia="宋体" w:hint="default"/>
        </w:rPr>
        <w:t>10</w:t>
      </w:r>
      <w:r>
        <w:rPr/>
        <w:t>股派发现金红利</w:t>
      </w:r>
      <w:r>
        <w:rPr>
          <w:rFonts w:ascii="宋体" w:hAnsi="宋体" w:cs="宋体" w:eastAsia="宋体" w:hint="default"/>
        </w:rPr>
        <w:t>0.60</w:t>
      </w:r>
      <w:r>
        <w:rPr/>
        <w:t>元（含税），不送红股，不以公积金转增股本。</w:t>
      </w:r>
      <w:r>
        <w:rPr>
          <w:w w:val="100"/>
        </w:rPr>
        <w:t> </w:t>
      </w:r>
      <w:r>
        <w:rPr>
          <w:rFonts w:ascii="宋体" w:hAnsi="宋体" w:cs="宋体" w:eastAsia="宋体" w:hint="default"/>
          <w:spacing w:val="-2"/>
        </w:rPr>
        <w:t>2</w:t>
      </w:r>
      <w:r>
        <w:rPr>
          <w:spacing w:val="-2"/>
        </w:rPr>
        <w:t>）</w:t>
      </w:r>
      <w:r>
        <w:rPr>
          <w:rFonts w:ascii="宋体" w:hAnsi="宋体" w:cs="宋体" w:eastAsia="宋体" w:hint="default"/>
          <w:spacing w:val="-2"/>
        </w:rPr>
        <w:t>2015</w:t>
      </w:r>
      <w:r>
        <w:rPr>
          <w:spacing w:val="-2"/>
        </w:rPr>
        <w:t>年，本公司之子公司系统集成公司和</w:t>
      </w:r>
      <w:r>
        <w:rPr>
          <w:rFonts w:ascii="宋体" w:hAnsi="宋体" w:cs="宋体" w:eastAsia="宋体" w:hint="default"/>
          <w:spacing w:val="-2"/>
        </w:rPr>
        <w:t>DCA</w:t>
      </w:r>
      <w:r>
        <w:rPr>
          <w:spacing w:val="-2"/>
        </w:rPr>
        <w:t>公司拟向中信银行（国际）有限公司申请最高不</w:t>
      </w:r>
    </w:p>
    <w:p>
      <w:pPr>
        <w:pStyle w:val="Heading3"/>
        <w:spacing w:line="391" w:lineRule="auto"/>
        <w:ind w:left="592" w:right="98" w:hanging="440"/>
        <w:jc w:val="left"/>
      </w:pPr>
      <w:r>
        <w:rPr/>
        <w:t>超过</w:t>
      </w:r>
      <w:r>
        <w:rPr>
          <w:rFonts w:ascii="宋体" w:hAnsi="宋体" w:cs="宋体" w:eastAsia="宋体" w:hint="default"/>
        </w:rPr>
        <w:t>4</w:t>
      </w:r>
      <w:r>
        <w:rPr/>
        <w:t>亿元港币（期限</w:t>
      </w:r>
      <w:r>
        <w:rPr>
          <w:rFonts w:ascii="宋体" w:hAnsi="宋体" w:cs="宋体" w:eastAsia="宋体" w:hint="default"/>
        </w:rPr>
        <w:t>1</w:t>
      </w:r>
      <w:r>
        <w:rPr/>
        <w:t>年）的授信额度并由本公司提供担保；</w:t>
      </w:r>
      <w:r>
        <w:rPr>
          <w:w w:val="100"/>
        </w:rPr>
        <w:t> </w:t>
      </w:r>
      <w:r>
        <w:rPr>
          <w:rFonts w:ascii="宋体" w:hAnsi="宋体" w:cs="宋体" w:eastAsia="宋体" w:hint="default"/>
        </w:rPr>
        <w:t>3</w:t>
      </w:r>
      <w:r>
        <w:rPr/>
        <w:t>）</w:t>
      </w:r>
      <w:r>
        <w:rPr>
          <w:rFonts w:ascii="宋体" w:hAnsi="宋体" w:cs="宋体" w:eastAsia="宋体" w:hint="default"/>
        </w:rPr>
        <w:t>2015</w:t>
      </w:r>
      <w:r>
        <w:rPr/>
        <w:t>年，本公司之子公司系统集成公司拟向中国建设银行北京石景山支行申请最高</w:t>
      </w:r>
      <w:r>
        <w:rPr>
          <w:rFonts w:ascii="宋体" w:hAnsi="宋体" w:cs="宋体" w:eastAsia="宋体" w:hint="default"/>
        </w:rPr>
        <w:t>13</w:t>
      </w:r>
      <w:r>
        <w:rPr/>
        <w:t>亿元人</w:t>
      </w:r>
    </w:p>
    <w:p>
      <w:pPr>
        <w:pStyle w:val="Heading3"/>
        <w:spacing w:line="391" w:lineRule="auto" w:before="42"/>
        <w:ind w:left="592" w:right="98" w:hanging="440"/>
        <w:jc w:val="left"/>
      </w:pPr>
      <w:r>
        <w:rPr/>
        <w:t>民币（</w:t>
      </w:r>
      <w:r>
        <w:rPr>
          <w:rFonts w:ascii="宋体" w:hAnsi="宋体" w:cs="宋体" w:eastAsia="宋体" w:hint="default"/>
        </w:rPr>
        <w:t>2015</w:t>
      </w:r>
      <w:r>
        <w:rPr/>
        <w:t>年</w:t>
      </w:r>
      <w:r>
        <w:rPr>
          <w:rFonts w:ascii="宋体" w:hAnsi="宋体" w:cs="宋体" w:eastAsia="宋体" w:hint="default"/>
        </w:rPr>
        <w:t>5</w:t>
      </w:r>
      <w:r>
        <w:rPr/>
        <w:t>月至</w:t>
      </w:r>
      <w:r>
        <w:rPr>
          <w:rFonts w:ascii="宋体" w:hAnsi="宋体" w:cs="宋体" w:eastAsia="宋体" w:hint="default"/>
        </w:rPr>
        <w:t>2017</w:t>
      </w:r>
      <w:r>
        <w:rPr/>
        <w:t>年</w:t>
      </w:r>
      <w:r>
        <w:rPr>
          <w:rFonts w:ascii="宋体" w:hAnsi="宋体" w:cs="宋体" w:eastAsia="宋体" w:hint="default"/>
        </w:rPr>
        <w:t>7</w:t>
      </w:r>
      <w:r>
        <w:rPr/>
        <w:t>月）的授信额度并由本公司提供担保；</w:t>
      </w:r>
      <w:r>
        <w:rPr>
          <w:w w:val="100"/>
        </w:rPr>
        <w:t> </w:t>
      </w:r>
      <w:r>
        <w:rPr>
          <w:rFonts w:ascii="宋体" w:hAnsi="宋体" w:cs="宋体" w:eastAsia="宋体" w:hint="default"/>
          <w:spacing w:val="-2"/>
        </w:rPr>
        <w:t>4</w:t>
      </w:r>
      <w:r>
        <w:rPr>
          <w:spacing w:val="-2"/>
        </w:rPr>
        <w:t>）</w:t>
      </w:r>
      <w:r>
        <w:rPr>
          <w:rFonts w:ascii="宋体" w:hAnsi="宋体" w:cs="宋体" w:eastAsia="宋体" w:hint="default"/>
          <w:spacing w:val="-2"/>
        </w:rPr>
        <w:t>2015</w:t>
      </w:r>
      <w:r>
        <w:rPr>
          <w:spacing w:val="-2"/>
        </w:rPr>
        <w:t>年，本公司之北京分公司拟向北京银行中关村科技园区支行拟申请最高</w:t>
      </w:r>
      <w:r>
        <w:rPr>
          <w:rFonts w:ascii="宋体" w:hAnsi="宋体" w:cs="宋体" w:eastAsia="宋体" w:hint="default"/>
          <w:spacing w:val="-2"/>
        </w:rPr>
        <w:t>5</w:t>
      </w:r>
      <w:r>
        <w:rPr>
          <w:spacing w:val="-2"/>
        </w:rPr>
        <w:t>亿元人民币的授</w:t>
      </w:r>
    </w:p>
    <w:p>
      <w:pPr>
        <w:pStyle w:val="Heading3"/>
        <w:spacing w:line="391" w:lineRule="auto"/>
        <w:ind w:left="592" w:right="98" w:hanging="440"/>
        <w:jc w:val="left"/>
      </w:pPr>
      <w:r>
        <w:rPr/>
        <w:t>信额度（</w:t>
      </w:r>
      <w:r>
        <w:rPr>
          <w:rFonts w:ascii="宋体" w:hAnsi="宋体" w:cs="宋体" w:eastAsia="宋体" w:hint="default"/>
        </w:rPr>
        <w:t>2015</w:t>
      </w:r>
      <w:r>
        <w:rPr/>
        <w:t>年</w:t>
      </w:r>
      <w:r>
        <w:rPr>
          <w:rFonts w:ascii="宋体" w:hAnsi="宋体" w:cs="宋体" w:eastAsia="宋体" w:hint="default"/>
        </w:rPr>
        <w:t>7</w:t>
      </w:r>
      <w:r>
        <w:rPr/>
        <w:t>月至</w:t>
      </w:r>
      <w:r>
        <w:rPr>
          <w:rFonts w:ascii="宋体" w:hAnsi="宋体" w:cs="宋体" w:eastAsia="宋体" w:hint="default"/>
        </w:rPr>
        <w:t>2018</w:t>
      </w:r>
      <w:r>
        <w:rPr/>
        <w:t>年</w:t>
      </w:r>
      <w:r>
        <w:rPr>
          <w:rFonts w:ascii="宋体" w:hAnsi="宋体" w:cs="宋体" w:eastAsia="宋体" w:hint="default"/>
        </w:rPr>
        <w:t>9</w:t>
      </w:r>
      <w:r>
        <w:rPr/>
        <w:t>月）并由本公司之子公司系统集成公司提供担保；</w:t>
      </w:r>
      <w:r>
        <w:rPr>
          <w:w w:val="100"/>
        </w:rPr>
        <w:t> </w:t>
      </w:r>
      <w:r>
        <w:rPr>
          <w:rFonts w:ascii="宋体" w:hAnsi="宋体" w:cs="宋体" w:eastAsia="宋体" w:hint="default"/>
        </w:rPr>
        <w:t>5</w:t>
      </w:r>
      <w:r>
        <w:rPr/>
        <w:t>）</w:t>
      </w:r>
      <w:r>
        <w:rPr>
          <w:rFonts w:ascii="宋体" w:hAnsi="宋体" w:cs="宋体" w:eastAsia="宋体" w:hint="default"/>
        </w:rPr>
        <w:t>2015</w:t>
      </w:r>
      <w:r>
        <w:rPr/>
        <w:t>年，本公司之子公司北京中农信达信息技术有限公司拟向中国工商银行中关村支行申请</w:t>
      </w:r>
    </w:p>
    <w:p>
      <w:pPr>
        <w:pStyle w:val="Heading3"/>
        <w:spacing w:line="391" w:lineRule="auto"/>
        <w:ind w:left="592" w:right="98" w:hanging="440"/>
        <w:jc w:val="left"/>
      </w:pPr>
      <w:r>
        <w:rPr>
          <w:spacing w:val="-5"/>
        </w:rPr>
        <w:t>最高不超过人民币</w:t>
      </w:r>
      <w:r>
        <w:rPr>
          <w:rFonts w:ascii="宋体" w:hAnsi="宋体" w:cs="宋体" w:eastAsia="宋体" w:hint="default"/>
          <w:spacing w:val="-5"/>
        </w:rPr>
        <w:t>3</w:t>
      </w:r>
      <w:r>
        <w:rPr>
          <w:spacing w:val="-5"/>
        </w:rPr>
        <w:t>千万元人民币（期限</w:t>
      </w:r>
      <w:r>
        <w:rPr>
          <w:rFonts w:ascii="宋体" w:hAnsi="宋体" w:cs="宋体" w:eastAsia="宋体" w:hint="default"/>
          <w:spacing w:val="-5"/>
        </w:rPr>
        <w:t>1</w:t>
      </w:r>
      <w:r>
        <w:rPr>
          <w:spacing w:val="-5"/>
        </w:rPr>
        <w:t>年）的授信额度并由本公司之子公司系统集成公司提供担保；</w:t>
      </w:r>
      <w:r>
        <w:rPr>
          <w:spacing w:val="-41"/>
        </w:rPr>
        <w:t> </w:t>
      </w:r>
      <w:r>
        <w:rPr>
          <w:spacing w:val="-41"/>
        </w:rPr>
      </w:r>
      <w:r>
        <w:rPr>
          <w:rFonts w:ascii="宋体" w:hAnsi="宋体" w:cs="宋体" w:eastAsia="宋体" w:hint="default"/>
        </w:rPr>
        <w:t>6</w:t>
      </w:r>
      <w:r>
        <w:rPr/>
        <w:t>）</w:t>
      </w:r>
      <w:r>
        <w:rPr>
          <w:rFonts w:ascii="宋体" w:hAnsi="宋体" w:cs="宋体" w:eastAsia="宋体" w:hint="default"/>
        </w:rPr>
        <w:t>2015</w:t>
      </w:r>
      <w:r>
        <w:rPr/>
        <w:t>年，本公司及本公司之子公司系统集成公司、信息系统公司拟向广发银行北京分行申请</w:t>
      </w:r>
    </w:p>
    <w:p>
      <w:pPr>
        <w:pStyle w:val="Heading3"/>
        <w:spacing w:line="391" w:lineRule="auto"/>
        <w:ind w:right="98"/>
        <w:jc w:val="left"/>
      </w:pPr>
      <w:r>
        <w:rPr>
          <w:spacing w:val="-2"/>
        </w:rPr>
        <w:t>最高</w:t>
      </w:r>
      <w:r>
        <w:rPr>
          <w:rFonts w:ascii="宋体" w:hAnsi="宋体" w:cs="宋体" w:eastAsia="宋体" w:hint="default"/>
          <w:spacing w:val="-2"/>
        </w:rPr>
        <w:t>3</w:t>
      </w:r>
      <w:r>
        <w:rPr>
          <w:spacing w:val="-2"/>
        </w:rPr>
        <w:t>亿元人民币（期限</w:t>
      </w:r>
      <w:r>
        <w:rPr>
          <w:rFonts w:ascii="宋体" w:hAnsi="宋体" w:cs="宋体" w:eastAsia="宋体" w:hint="default"/>
          <w:spacing w:val="-2"/>
        </w:rPr>
        <w:t>1</w:t>
      </w:r>
      <w:r>
        <w:rPr>
          <w:spacing w:val="-2"/>
        </w:rPr>
        <w:t>年）的授信额度，当系统集成公司、信息系统公司使用上述授信额度时，由</w:t>
      </w:r>
      <w:r>
        <w:rPr>
          <w:spacing w:val="-71"/>
        </w:rPr>
        <w:t> </w:t>
      </w:r>
      <w:r>
        <w:rPr>
          <w:spacing w:val="-71"/>
        </w:rPr>
      </w:r>
      <w:r>
        <w:rPr/>
        <w:t>本公司提供担保，当本公司使用上述额度时，由系统集成公司提供担保。</w:t>
      </w:r>
    </w:p>
    <w:p>
      <w:pPr>
        <w:pStyle w:val="Heading3"/>
        <w:spacing w:line="391" w:lineRule="auto" w:before="42"/>
        <w:ind w:right="98" w:firstLine="439"/>
        <w:jc w:val="left"/>
      </w:pPr>
      <w:r>
        <w:rPr>
          <w:rFonts w:ascii="宋体" w:hAnsi="宋体" w:cs="宋体" w:eastAsia="宋体" w:hint="default"/>
        </w:rPr>
        <w:t>7</w:t>
      </w:r>
      <w:r>
        <w:rPr/>
        <w:t>）</w:t>
      </w:r>
      <w:r>
        <w:rPr>
          <w:rFonts w:ascii="宋体" w:hAnsi="宋体" w:cs="宋体" w:eastAsia="宋体" w:hint="default"/>
        </w:rPr>
        <w:t>2015</w:t>
      </w:r>
      <w:r>
        <w:rPr/>
        <w:t>年，本公司之子公司系统集成公司拟向中国建设银行（亚洲）股份有限公司申请最高不</w:t>
      </w:r>
      <w:r>
        <w:rPr>
          <w:w w:val="100"/>
        </w:rPr>
        <w:t> </w:t>
      </w:r>
      <w:r>
        <w:rPr/>
        <w:t>超过</w:t>
      </w:r>
      <w:r>
        <w:rPr>
          <w:rFonts w:ascii="宋体" w:hAnsi="宋体" w:cs="宋体" w:eastAsia="宋体" w:hint="default"/>
        </w:rPr>
        <w:t>6</w:t>
      </w:r>
      <w:r>
        <w:rPr/>
        <w:t>千万美元（期限</w:t>
      </w:r>
      <w:r>
        <w:rPr>
          <w:rFonts w:ascii="宋体" w:hAnsi="宋体" w:cs="宋体" w:eastAsia="宋体" w:hint="default"/>
        </w:rPr>
        <w:t>1</w:t>
      </w:r>
      <w:r>
        <w:rPr/>
        <w:t>年）的授信额度并由本公司提供担保。</w:t>
      </w:r>
    </w:p>
    <w:p>
      <w:pPr>
        <w:pStyle w:val="Heading3"/>
        <w:spacing w:line="240" w:lineRule="auto"/>
        <w:ind w:left="592" w:right="98"/>
        <w:jc w:val="left"/>
      </w:pPr>
      <w:r>
        <w:rPr/>
        <w:t>截至本报告出具日，除上述事项外，本公司无需披露的其他重大资产负债表日后事项。</w:t>
      </w:r>
    </w:p>
    <w:p>
      <w:pPr>
        <w:spacing w:after="0" w:line="240" w:lineRule="auto"/>
        <w:jc w:val="left"/>
        <w:sectPr>
          <w:pgSz w:w="11910" w:h="16840"/>
          <w:pgMar w:header="0" w:footer="1227" w:top="1100" w:bottom="1420" w:left="980" w:right="920"/>
        </w:sectPr>
      </w:pPr>
    </w:p>
    <w:p>
      <w:pPr>
        <w:spacing w:line="240" w:lineRule="auto" w:before="2"/>
        <w:rPr>
          <w:rFonts w:ascii="宋体" w:hAnsi="宋体" w:cs="宋体" w:eastAsia="宋体" w:hint="default"/>
          <w:sz w:val="23"/>
          <w:szCs w:val="23"/>
        </w:rPr>
      </w:pPr>
    </w:p>
    <w:p>
      <w:pPr>
        <w:pStyle w:val="Heading2"/>
        <w:spacing w:line="240" w:lineRule="auto"/>
        <w:ind w:right="140"/>
        <w:jc w:val="left"/>
        <w:rPr>
          <w:b w:val="0"/>
          <w:bCs w:val="0"/>
        </w:rPr>
      </w:pPr>
      <w:r>
        <w:rPr/>
        <w:t>十四、母公司财务报表主要项目注释</w:t>
      </w:r>
      <w:r>
        <w:rPr>
          <w:b w:val="0"/>
          <w:bCs w:val="0"/>
        </w:rPr>
      </w:r>
    </w:p>
    <w:p>
      <w:pPr>
        <w:pStyle w:val="Heading4"/>
        <w:spacing w:line="240" w:lineRule="auto" w:before="201"/>
        <w:ind w:right="140"/>
        <w:jc w:val="left"/>
        <w:rPr>
          <w:b w:val="0"/>
          <w:bCs w:val="0"/>
        </w:rPr>
      </w:pPr>
      <w:r>
        <w:rPr>
          <w:rFonts w:ascii="Times New Roman" w:hAnsi="Times New Roman" w:cs="Times New Roman" w:eastAsia="Times New Roman" w:hint="default"/>
        </w:rPr>
        <w:t>1</w:t>
      </w:r>
      <w:r>
        <w:rPr/>
        <w:t>、应收账款</w:t>
      </w:r>
      <w:r>
        <w:rPr>
          <w:b w:val="0"/>
          <w:bCs w:val="0"/>
        </w:rPr>
      </w:r>
    </w:p>
    <w:p>
      <w:pPr>
        <w:pStyle w:val="Heading4"/>
        <w:spacing w:line="240" w:lineRule="auto" w:before="189"/>
        <w:ind w:right="14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7"/>
        <w:rPr>
          <w:rFonts w:ascii="宋体" w:hAnsi="宋体" w:cs="宋体" w:eastAsia="宋体" w:hint="default"/>
          <w:b/>
          <w:bCs/>
          <w:sz w:val="13"/>
          <w:szCs w:val="1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2283"/>
        <w:gridCol w:w="1277"/>
        <w:gridCol w:w="1275"/>
        <w:gridCol w:w="1844"/>
        <w:gridCol w:w="1277"/>
        <w:gridCol w:w="1700"/>
      </w:tblGrid>
      <w:tr>
        <w:trPr>
          <w:trHeight w:val="476" w:hRule="exact"/>
        </w:trPr>
        <w:tc>
          <w:tcPr>
            <w:tcW w:w="2283" w:type="dxa"/>
            <w:vMerge w:val="restart"/>
            <w:tcBorders>
              <w:top w:val="single" w:sz="12" w:space="0" w:color="000000"/>
              <w:left w:val="single" w:sz="12" w:space="0" w:color="000000"/>
              <w:right w:val="single" w:sz="6"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类别</w:t>
            </w:r>
          </w:p>
        </w:tc>
        <w:tc>
          <w:tcPr>
            <w:tcW w:w="7372" w:type="dxa"/>
            <w:gridSpan w:val="5"/>
            <w:tcBorders>
              <w:top w:val="single" w:sz="12" w:space="0" w:color="000000"/>
              <w:left w:val="single" w:sz="6" w:space="0" w:color="000000"/>
              <w:bottom w:val="single" w:sz="6" w:space="0" w:color="000000"/>
              <w:right w:val="single" w:sz="12" w:space="0" w:color="000000"/>
            </w:tcBorders>
            <w:shd w:val="clear" w:color="auto" w:fill="D7D7D7"/>
          </w:tcPr>
          <w:p>
            <w:pPr>
              <w:pStyle w:val="TableParagraph"/>
              <w:spacing w:line="240" w:lineRule="auto" w:before="80"/>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69" w:hRule="exact"/>
        </w:trPr>
        <w:tc>
          <w:tcPr>
            <w:tcW w:w="2283" w:type="dxa"/>
            <w:vMerge/>
            <w:tcBorders>
              <w:left w:val="single" w:sz="12" w:space="0" w:color="000000"/>
              <w:right w:val="single" w:sz="6" w:space="0" w:color="000000"/>
            </w:tcBorders>
            <w:shd w:val="clear" w:color="auto" w:fill="D7D7D7"/>
          </w:tcPr>
          <w:p>
            <w:pPr/>
          </w:p>
        </w:tc>
        <w:tc>
          <w:tcPr>
            <w:tcW w:w="2552" w:type="dxa"/>
            <w:gridSpan w:val="2"/>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7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21" w:type="dxa"/>
            <w:gridSpan w:val="2"/>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0" w:type="dxa"/>
            <w:vMerge w:val="restart"/>
            <w:tcBorders>
              <w:top w:val="single" w:sz="6" w:space="0" w:color="000000"/>
              <w:left w:val="single" w:sz="6" w:space="0" w:color="000000"/>
              <w:right w:val="single" w:sz="12" w:space="0" w:color="000000"/>
            </w:tcBorders>
            <w:shd w:val="clear" w:color="auto" w:fill="D7D7D7"/>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443"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468" w:hRule="exact"/>
        </w:trPr>
        <w:tc>
          <w:tcPr>
            <w:tcW w:w="2283" w:type="dxa"/>
            <w:vMerge/>
            <w:tcBorders>
              <w:left w:val="single" w:sz="12" w:space="0" w:color="000000"/>
              <w:bottom w:val="single" w:sz="6" w:space="0" w:color="000000"/>
              <w:right w:val="single" w:sz="6" w:space="0" w:color="000000"/>
            </w:tcBorders>
            <w:shd w:val="clear" w:color="auto" w:fill="D7D7D7"/>
          </w:tcPr>
          <w:p>
            <w:pPr/>
          </w:p>
        </w:tc>
        <w:tc>
          <w:tcPr>
            <w:tcW w:w="1277"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5"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0"/>
              <w:ind w:left="22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84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0"/>
              <w:ind w:left="22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700" w:type="dxa"/>
            <w:vMerge/>
            <w:tcBorders>
              <w:left w:val="single" w:sz="6" w:space="0" w:color="000000"/>
              <w:bottom w:val="single" w:sz="6" w:space="0" w:color="000000"/>
              <w:right w:val="single" w:sz="12" w:space="0" w:color="000000"/>
            </w:tcBorders>
            <w:shd w:val="clear" w:color="auto" w:fill="D7D7D7"/>
          </w:tcPr>
          <w:p>
            <w:pPr/>
          </w:p>
        </w:tc>
      </w:tr>
      <w:tr>
        <w:trPr>
          <w:trHeight w:val="639" w:hRule="exact"/>
        </w:trPr>
        <w:tc>
          <w:tcPr>
            <w:tcW w:w="2283" w:type="dxa"/>
            <w:tcBorders>
              <w:top w:val="single" w:sz="6" w:space="0" w:color="000000"/>
              <w:left w:val="single" w:sz="12" w:space="0" w:color="000000"/>
              <w:bottom w:val="single" w:sz="6" w:space="0" w:color="000000"/>
              <w:right w:val="single" w:sz="6" w:space="0" w:color="000000"/>
            </w:tcBorders>
            <w:shd w:val="clear" w:color="auto" w:fill="D7D7D7"/>
          </w:tcPr>
          <w:p>
            <w:pPr>
              <w:pStyle w:val="TableParagraph"/>
              <w:spacing w:line="316" w:lineRule="auto" w:before="8"/>
              <w:ind w:left="93" w:right="99"/>
              <w:jc w:val="left"/>
              <w:rPr>
                <w:rFonts w:ascii="宋体" w:hAnsi="宋体" w:cs="宋体" w:eastAsia="宋体" w:hint="default"/>
                <w:sz w:val="18"/>
                <w:szCs w:val="18"/>
              </w:rPr>
            </w:pPr>
            <w:r>
              <w:rPr>
                <w:rFonts w:ascii="宋体" w:hAnsi="宋体" w:cs="宋体" w:eastAsia="宋体" w:hint="default"/>
                <w:spacing w:val="7"/>
                <w:sz w:val="18"/>
                <w:szCs w:val="18"/>
              </w:rPr>
              <w:t>单项金额重大并单项计提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坏账准备的应收账款</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641" w:hRule="exact"/>
        </w:trPr>
        <w:tc>
          <w:tcPr>
            <w:tcW w:w="2283" w:type="dxa"/>
            <w:tcBorders>
              <w:top w:val="single" w:sz="6" w:space="0" w:color="000000"/>
              <w:left w:val="single" w:sz="12" w:space="0" w:color="000000"/>
              <w:bottom w:val="single" w:sz="6" w:space="0" w:color="000000"/>
              <w:right w:val="single" w:sz="6" w:space="0" w:color="000000"/>
            </w:tcBorders>
            <w:shd w:val="clear" w:color="auto" w:fill="D7D7D7"/>
          </w:tcPr>
          <w:p>
            <w:pPr>
              <w:pStyle w:val="TableParagraph"/>
              <w:spacing w:line="316" w:lineRule="auto" w:before="10"/>
              <w:ind w:left="93" w:right="99"/>
              <w:jc w:val="left"/>
              <w:rPr>
                <w:rFonts w:ascii="宋体" w:hAnsi="宋体" w:cs="宋体" w:eastAsia="宋体" w:hint="default"/>
                <w:sz w:val="18"/>
                <w:szCs w:val="18"/>
              </w:rPr>
            </w:pPr>
            <w:r>
              <w:rPr>
                <w:rFonts w:ascii="宋体" w:hAnsi="宋体" w:cs="宋体" w:eastAsia="宋体" w:hint="default"/>
                <w:spacing w:val="7"/>
                <w:sz w:val="18"/>
                <w:szCs w:val="18"/>
              </w:rPr>
              <w:t>按组合计提坏账准备的应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收账款</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283" w:type="dxa"/>
            <w:tcBorders>
              <w:top w:val="single" w:sz="6" w:space="0" w:color="000000"/>
              <w:left w:val="single" w:sz="12" w:space="0" w:color="000000"/>
              <w:bottom w:val="single" w:sz="6" w:space="0" w:color="000000"/>
              <w:right w:val="single" w:sz="6" w:space="0" w:color="000000"/>
            </w:tcBorders>
            <w:shd w:val="clear" w:color="auto" w:fill="D7D7D7"/>
          </w:tcPr>
          <w:p>
            <w:pPr>
              <w:pStyle w:val="TableParagraph"/>
              <w:spacing w:line="240" w:lineRule="auto" w:before="77"/>
              <w:ind w:left="93" w:right="0"/>
              <w:jc w:val="left"/>
              <w:rPr>
                <w:rFonts w:ascii="宋体" w:hAnsi="宋体" w:cs="宋体" w:eastAsia="宋体" w:hint="default"/>
                <w:sz w:val="18"/>
                <w:szCs w:val="18"/>
              </w:rPr>
            </w:pPr>
            <w:r>
              <w:rPr>
                <w:rFonts w:ascii="宋体" w:hAnsi="宋体" w:cs="宋体" w:eastAsia="宋体" w:hint="default"/>
                <w:sz w:val="18"/>
                <w:szCs w:val="18"/>
              </w:rPr>
              <w:t>账期组合</w:t>
            </w:r>
            <w:r>
              <w:rPr>
                <w:rFonts w:ascii="宋体" w:hAnsi="宋体" w:cs="宋体" w:eastAsia="宋体" w:hint="default"/>
                <w:spacing w:val="-45"/>
                <w:sz w:val="18"/>
                <w:szCs w:val="18"/>
              </w:rPr>
              <w:t> </w:t>
            </w:r>
            <w:r>
              <w:rPr>
                <w:rFonts w:ascii="宋体" w:hAnsi="宋体" w:cs="宋体" w:eastAsia="宋体" w:hint="default"/>
                <w:sz w:val="18"/>
                <w:szCs w:val="18"/>
              </w:rPr>
              <w:t>I</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120" w:right="0"/>
              <w:jc w:val="center"/>
              <w:rPr>
                <w:rFonts w:ascii="Times New Roman" w:hAnsi="Times New Roman" w:cs="Times New Roman" w:eastAsia="Times New Roman" w:hint="default"/>
                <w:sz w:val="18"/>
                <w:szCs w:val="18"/>
              </w:rPr>
            </w:pPr>
            <w:r>
              <w:rPr>
                <w:rFonts w:ascii="Times New Roman"/>
                <w:sz w:val="18"/>
              </w:rPr>
              <w:t>2,300,000.00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4.61%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pacing w:val="-1"/>
                <w:sz w:val="18"/>
              </w:rPr>
              <w:t>2,300,000.00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sz w:val="18"/>
              </w:rPr>
              <w:t>100%</w:t>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0"/>
              <w:ind w:right="8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68" w:hRule="exact"/>
        </w:trPr>
        <w:tc>
          <w:tcPr>
            <w:tcW w:w="2283" w:type="dxa"/>
            <w:tcBorders>
              <w:top w:val="single" w:sz="6" w:space="0" w:color="000000"/>
              <w:left w:val="single" w:sz="12" w:space="0" w:color="000000"/>
              <w:bottom w:val="single" w:sz="6" w:space="0" w:color="000000"/>
              <w:right w:val="single" w:sz="6" w:space="0" w:color="000000"/>
            </w:tcBorders>
            <w:shd w:val="clear" w:color="auto" w:fill="D7D7D7"/>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账期组合</w:t>
            </w:r>
            <w:r>
              <w:rPr>
                <w:rFonts w:ascii="宋体" w:hAnsi="宋体" w:cs="宋体" w:eastAsia="宋体" w:hint="default"/>
                <w:spacing w:val="-43"/>
                <w:sz w:val="18"/>
                <w:szCs w:val="18"/>
              </w:rPr>
              <w:t> </w:t>
            </w:r>
            <w:r>
              <w:rPr>
                <w:rFonts w:ascii="宋体" w:hAnsi="宋体" w:cs="宋体" w:eastAsia="宋体" w:hint="default"/>
                <w:sz w:val="18"/>
                <w:szCs w:val="18"/>
              </w:rPr>
              <w:t>II</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1" w:right="0"/>
              <w:jc w:val="center"/>
              <w:rPr>
                <w:rFonts w:ascii="Times New Roman" w:hAnsi="Times New Roman" w:cs="Times New Roman" w:eastAsia="Times New Roman" w:hint="default"/>
                <w:sz w:val="18"/>
                <w:szCs w:val="18"/>
              </w:rPr>
            </w:pPr>
            <w:r>
              <w:rPr>
                <w:rFonts w:ascii="Times New Roman"/>
                <w:sz w:val="18"/>
              </w:rPr>
              <w:t>39,791,896.93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3"/>
              <w:jc w:val="right"/>
              <w:rPr>
                <w:rFonts w:ascii="Times New Roman" w:hAnsi="Times New Roman" w:cs="Times New Roman" w:eastAsia="Times New Roman" w:hint="default"/>
                <w:sz w:val="18"/>
                <w:szCs w:val="18"/>
              </w:rPr>
            </w:pPr>
            <w:r>
              <w:rPr>
                <w:rFonts w:ascii="Times New Roman"/>
                <w:sz w:val="18"/>
              </w:rPr>
              <w:t>79.82%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61,481.65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0.15%</w:t>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right="89"/>
              <w:jc w:val="right"/>
              <w:rPr>
                <w:rFonts w:ascii="Times New Roman" w:hAnsi="Times New Roman" w:cs="Times New Roman" w:eastAsia="Times New Roman" w:hint="default"/>
                <w:sz w:val="18"/>
                <w:szCs w:val="18"/>
              </w:rPr>
            </w:pPr>
            <w:r>
              <w:rPr>
                <w:rFonts w:ascii="Times New Roman"/>
                <w:spacing w:val="-1"/>
                <w:sz w:val="18"/>
              </w:rPr>
              <w:t>39,730,415.28</w:t>
            </w:r>
          </w:p>
        </w:tc>
      </w:tr>
      <w:tr>
        <w:trPr>
          <w:trHeight w:val="470" w:hRule="exact"/>
        </w:trPr>
        <w:tc>
          <w:tcPr>
            <w:tcW w:w="2283" w:type="dxa"/>
            <w:tcBorders>
              <w:top w:val="single" w:sz="6" w:space="0" w:color="000000"/>
              <w:left w:val="single" w:sz="12" w:space="0" w:color="000000"/>
              <w:bottom w:val="single" w:sz="6" w:space="0" w:color="000000"/>
              <w:right w:val="single" w:sz="6" w:space="0" w:color="000000"/>
            </w:tcBorders>
            <w:shd w:val="clear" w:color="auto" w:fill="D7D7D7"/>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283" w:type="dxa"/>
            <w:tcBorders>
              <w:top w:val="single" w:sz="6" w:space="0" w:color="000000"/>
              <w:left w:val="single" w:sz="12" w:space="0" w:color="000000"/>
              <w:bottom w:val="single" w:sz="6" w:space="0" w:color="000000"/>
              <w:right w:val="single" w:sz="6" w:space="0" w:color="000000"/>
            </w:tcBorders>
            <w:shd w:val="clear" w:color="auto" w:fill="D7D7D7"/>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31" w:right="0"/>
              <w:jc w:val="center"/>
              <w:rPr>
                <w:rFonts w:ascii="Times New Roman" w:hAnsi="Times New Roman" w:cs="Times New Roman" w:eastAsia="Times New Roman" w:hint="default"/>
                <w:sz w:val="18"/>
                <w:szCs w:val="18"/>
              </w:rPr>
            </w:pPr>
            <w:r>
              <w:rPr>
                <w:rFonts w:ascii="Times New Roman"/>
                <w:b/>
                <w:sz w:val="18"/>
              </w:rPr>
              <w:t>42,091,896.93</w:t>
            </w:r>
            <w:r>
              <w:rPr>
                <w:rFonts w:ascii="Times New Roman"/>
                <w:sz w:val="18"/>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b/>
                <w:sz w:val="18"/>
              </w:rPr>
              <w:t>84.43%</w:t>
            </w:r>
            <w:r>
              <w:rPr>
                <w:rFonts w:ascii="Times New Roman"/>
                <w:sz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b/>
                <w:spacing w:val="-1"/>
                <w:sz w:val="18"/>
              </w:rPr>
              <w:t>2,361,481.65</w:t>
            </w:r>
            <w:r>
              <w:rPr>
                <w:rFonts w:ascii="Times New Roman"/>
                <w:spacing w:val="-1"/>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b/>
                <w:sz w:val="18"/>
              </w:rPr>
              <w:t>5.61%</w:t>
            </w:r>
            <w:r>
              <w:rPr>
                <w:rFonts w:ascii="Times New Roman"/>
                <w:sz w:val="18"/>
              </w:rPr>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7"/>
              <w:ind w:right="89"/>
              <w:jc w:val="right"/>
              <w:rPr>
                <w:rFonts w:ascii="Times New Roman" w:hAnsi="Times New Roman" w:cs="Times New Roman" w:eastAsia="Times New Roman" w:hint="default"/>
                <w:sz w:val="18"/>
                <w:szCs w:val="18"/>
              </w:rPr>
            </w:pPr>
            <w:r>
              <w:rPr>
                <w:rFonts w:ascii="Times New Roman"/>
                <w:b/>
                <w:spacing w:val="-1"/>
                <w:sz w:val="18"/>
              </w:rPr>
              <w:t>39,730,415.28</w:t>
            </w:r>
            <w:r>
              <w:rPr>
                <w:rFonts w:ascii="Times New Roman"/>
                <w:spacing w:val="-1"/>
                <w:sz w:val="18"/>
              </w:rPr>
            </w:r>
          </w:p>
        </w:tc>
      </w:tr>
      <w:tr>
        <w:trPr>
          <w:trHeight w:val="641" w:hRule="exact"/>
        </w:trPr>
        <w:tc>
          <w:tcPr>
            <w:tcW w:w="2283" w:type="dxa"/>
            <w:tcBorders>
              <w:top w:val="single" w:sz="6" w:space="0" w:color="000000"/>
              <w:left w:val="single" w:sz="12" w:space="0" w:color="000000"/>
              <w:bottom w:val="single" w:sz="6" w:space="0" w:color="000000"/>
              <w:right w:val="single" w:sz="6" w:space="0" w:color="000000"/>
            </w:tcBorders>
            <w:shd w:val="clear" w:color="auto" w:fill="D7D7D7"/>
          </w:tcPr>
          <w:p>
            <w:pPr>
              <w:pStyle w:val="TableParagraph"/>
              <w:spacing w:line="316" w:lineRule="auto" w:before="10"/>
              <w:ind w:left="93" w:right="99"/>
              <w:jc w:val="left"/>
              <w:rPr>
                <w:rFonts w:ascii="宋体" w:hAnsi="宋体" w:cs="宋体" w:eastAsia="宋体" w:hint="default"/>
                <w:sz w:val="18"/>
                <w:szCs w:val="18"/>
              </w:rPr>
            </w:pPr>
            <w:r>
              <w:rPr>
                <w:rFonts w:ascii="宋体" w:hAnsi="宋体" w:cs="宋体" w:eastAsia="宋体" w:hint="default"/>
                <w:spacing w:val="7"/>
                <w:sz w:val="18"/>
                <w:szCs w:val="18"/>
              </w:rPr>
              <w:t>单项金额虽不重大但单项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计提坏账准备的应收账款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7,762,363.27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15.57%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7,762,363.27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100%</w:t>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73" w:hRule="exact"/>
        </w:trPr>
        <w:tc>
          <w:tcPr>
            <w:tcW w:w="2283" w:type="dxa"/>
            <w:tcBorders>
              <w:top w:val="single" w:sz="6" w:space="0" w:color="000000"/>
              <w:left w:val="single" w:sz="12" w:space="0" w:color="000000"/>
              <w:bottom w:val="single" w:sz="12" w:space="0" w:color="000000"/>
              <w:right w:val="single" w:sz="6" w:space="0" w:color="000000"/>
            </w:tcBorders>
            <w:shd w:val="clear" w:color="auto" w:fill="D7D7D7"/>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left="31" w:right="0"/>
              <w:jc w:val="center"/>
              <w:rPr>
                <w:rFonts w:ascii="Times New Roman" w:hAnsi="Times New Roman" w:cs="Times New Roman" w:eastAsia="Times New Roman" w:hint="default"/>
                <w:sz w:val="18"/>
                <w:szCs w:val="18"/>
              </w:rPr>
            </w:pPr>
            <w:r>
              <w:rPr>
                <w:rFonts w:ascii="Times New Roman"/>
                <w:b/>
                <w:sz w:val="18"/>
              </w:rPr>
              <w:t>49,854,260.20</w:t>
            </w:r>
            <w:r>
              <w:rPr>
                <w:rFonts w:ascii="Times New Roman"/>
                <w:sz w:val="18"/>
              </w:rPr>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93"/>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97"/>
              <w:jc w:val="right"/>
              <w:rPr>
                <w:rFonts w:ascii="Times New Roman" w:hAnsi="Times New Roman" w:cs="Times New Roman" w:eastAsia="Times New Roman" w:hint="default"/>
                <w:sz w:val="18"/>
                <w:szCs w:val="18"/>
              </w:rPr>
            </w:pPr>
            <w:r>
              <w:rPr>
                <w:rFonts w:ascii="Times New Roman"/>
                <w:b/>
                <w:spacing w:val="-1"/>
                <w:sz w:val="18"/>
              </w:rPr>
              <w:t>10,123,844.92</w:t>
            </w:r>
            <w:r>
              <w:rPr>
                <w:rFonts w:ascii="Times New Roman"/>
                <w:spacing w:val="-1"/>
                <w:sz w:val="18"/>
              </w:rPr>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96"/>
              <w:jc w:val="right"/>
              <w:rPr>
                <w:rFonts w:ascii="Times New Roman" w:hAnsi="Times New Roman" w:cs="Times New Roman" w:eastAsia="Times New Roman" w:hint="default"/>
                <w:sz w:val="18"/>
                <w:szCs w:val="18"/>
              </w:rPr>
            </w:pPr>
            <w:r>
              <w:rPr>
                <w:rFonts w:ascii="Times New Roman"/>
                <w:b/>
                <w:sz w:val="18"/>
              </w:rPr>
              <w:t>20.31%</w:t>
            </w:r>
            <w:r>
              <w:rPr>
                <w:rFonts w:ascii="Times New Roman"/>
                <w:sz w:val="18"/>
              </w:rPr>
            </w:r>
          </w:p>
        </w:tc>
        <w:tc>
          <w:tcPr>
            <w:tcW w:w="17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5"/>
              <w:ind w:right="89"/>
              <w:jc w:val="right"/>
              <w:rPr>
                <w:rFonts w:ascii="Times New Roman" w:hAnsi="Times New Roman" w:cs="Times New Roman" w:eastAsia="Times New Roman" w:hint="default"/>
                <w:sz w:val="18"/>
                <w:szCs w:val="18"/>
              </w:rPr>
            </w:pPr>
            <w:r>
              <w:rPr>
                <w:rFonts w:ascii="Times New Roman"/>
                <w:b/>
                <w:spacing w:val="-1"/>
                <w:sz w:val="18"/>
              </w:rPr>
              <w:t>39,730,415.28</w:t>
            </w:r>
            <w:r>
              <w:rPr>
                <w:rFonts w:ascii="Times New Roman"/>
                <w:spacing w:val="-1"/>
                <w:sz w:val="18"/>
              </w:rPr>
            </w:r>
          </w:p>
        </w:tc>
      </w:tr>
    </w:tbl>
    <w:p>
      <w:pPr>
        <w:pStyle w:val="BodyText"/>
        <w:spacing w:line="240" w:lineRule="auto" w:before="83"/>
        <w:ind w:right="140"/>
        <w:jc w:val="left"/>
      </w:pPr>
      <w:r>
        <w:rPr/>
        <w:t>（续）</w:t>
      </w:r>
    </w:p>
    <w:p>
      <w:pPr>
        <w:spacing w:line="240" w:lineRule="auto" w:before="7"/>
        <w:rPr>
          <w:rFonts w:ascii="宋体" w:hAnsi="宋体" w:cs="宋体" w:eastAsia="宋体"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2119"/>
        <w:gridCol w:w="1467"/>
        <w:gridCol w:w="1248"/>
        <w:gridCol w:w="1815"/>
        <w:gridCol w:w="1306"/>
        <w:gridCol w:w="1714"/>
      </w:tblGrid>
      <w:tr>
        <w:trPr>
          <w:trHeight w:val="476" w:hRule="exact"/>
        </w:trPr>
        <w:tc>
          <w:tcPr>
            <w:tcW w:w="2119" w:type="dxa"/>
            <w:vMerge w:val="restart"/>
            <w:tcBorders>
              <w:top w:val="single" w:sz="12" w:space="0" w:color="000000"/>
              <w:left w:val="single" w:sz="12" w:space="0" w:color="000000"/>
              <w:right w:val="single" w:sz="6"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7550" w:type="dxa"/>
            <w:gridSpan w:val="5"/>
            <w:tcBorders>
              <w:top w:val="single" w:sz="12" w:space="0" w:color="000000"/>
              <w:left w:val="single" w:sz="6" w:space="0" w:color="000000"/>
              <w:bottom w:val="single" w:sz="6" w:space="0" w:color="000000"/>
              <w:right w:val="single" w:sz="12" w:space="0" w:color="000000"/>
            </w:tcBorders>
            <w:shd w:val="clear" w:color="auto" w:fill="D7D7D7"/>
          </w:tcPr>
          <w:p>
            <w:pPr>
              <w:pStyle w:val="TableParagraph"/>
              <w:spacing w:line="240" w:lineRule="auto" w:before="8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69" w:hRule="exact"/>
        </w:trPr>
        <w:tc>
          <w:tcPr>
            <w:tcW w:w="2119" w:type="dxa"/>
            <w:vMerge/>
            <w:tcBorders>
              <w:left w:val="single" w:sz="12" w:space="0" w:color="000000"/>
              <w:right w:val="single" w:sz="6" w:space="0" w:color="000000"/>
            </w:tcBorders>
            <w:shd w:val="clear" w:color="auto" w:fill="D7D7D7"/>
          </w:tcPr>
          <w:p>
            <w:pPr/>
          </w:p>
        </w:tc>
        <w:tc>
          <w:tcPr>
            <w:tcW w:w="2715" w:type="dxa"/>
            <w:gridSpan w:val="2"/>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7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21" w:type="dxa"/>
            <w:gridSpan w:val="2"/>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14" w:type="dxa"/>
            <w:vMerge w:val="restart"/>
            <w:tcBorders>
              <w:top w:val="single" w:sz="6" w:space="0" w:color="000000"/>
              <w:left w:val="single" w:sz="6" w:space="0" w:color="000000"/>
              <w:right w:val="single" w:sz="12" w:space="0" w:color="000000"/>
            </w:tcBorders>
            <w:shd w:val="clear" w:color="auto" w:fill="D7D7D7"/>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448"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468" w:hRule="exact"/>
        </w:trPr>
        <w:tc>
          <w:tcPr>
            <w:tcW w:w="2119" w:type="dxa"/>
            <w:vMerge/>
            <w:tcBorders>
              <w:left w:val="single" w:sz="12" w:space="0" w:color="000000"/>
              <w:bottom w:val="single" w:sz="6" w:space="0" w:color="000000"/>
              <w:right w:val="single" w:sz="6" w:space="0" w:color="000000"/>
            </w:tcBorders>
            <w:shd w:val="clear" w:color="auto" w:fill="D7D7D7"/>
          </w:tcPr>
          <w:p>
            <w:pPr/>
          </w:p>
        </w:tc>
        <w:tc>
          <w:tcPr>
            <w:tcW w:w="1467"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0"/>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48"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0"/>
              <w:ind w:left="21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815"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06"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0"/>
              <w:ind w:left="23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714" w:type="dxa"/>
            <w:vMerge/>
            <w:tcBorders>
              <w:left w:val="single" w:sz="6" w:space="0" w:color="000000"/>
              <w:bottom w:val="single" w:sz="6" w:space="0" w:color="000000"/>
              <w:right w:val="single" w:sz="12" w:space="0" w:color="000000"/>
            </w:tcBorders>
            <w:shd w:val="clear" w:color="auto" w:fill="D7D7D7"/>
          </w:tcPr>
          <w:p>
            <w:pPr/>
          </w:p>
        </w:tc>
      </w:tr>
      <w:tr>
        <w:trPr>
          <w:trHeight w:val="641" w:hRule="exact"/>
        </w:trPr>
        <w:tc>
          <w:tcPr>
            <w:tcW w:w="2119" w:type="dxa"/>
            <w:tcBorders>
              <w:top w:val="single" w:sz="6" w:space="0" w:color="000000"/>
              <w:left w:val="single" w:sz="12" w:space="0" w:color="000000"/>
              <w:bottom w:val="single" w:sz="6" w:space="0" w:color="000000"/>
              <w:right w:val="single" w:sz="6" w:space="0" w:color="000000"/>
            </w:tcBorders>
            <w:shd w:val="clear" w:color="auto" w:fill="D7D7D7"/>
          </w:tcPr>
          <w:p>
            <w:pPr>
              <w:pStyle w:val="TableParagraph"/>
              <w:spacing w:line="316" w:lineRule="auto" w:before="10"/>
              <w:ind w:left="93" w:right="84"/>
              <w:jc w:val="left"/>
              <w:rPr>
                <w:rFonts w:ascii="宋体" w:hAnsi="宋体" w:cs="宋体" w:eastAsia="宋体" w:hint="default"/>
                <w:sz w:val="18"/>
                <w:szCs w:val="18"/>
              </w:rPr>
            </w:pPr>
            <w:r>
              <w:rPr>
                <w:rFonts w:ascii="宋体" w:hAnsi="宋体" w:cs="宋体" w:eastAsia="宋体" w:hint="default"/>
                <w:spacing w:val="11"/>
                <w:sz w:val="18"/>
                <w:szCs w:val="18"/>
              </w:rPr>
              <w:t>单项金额重大并单项计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提坏账准备的应收账款</w:t>
            </w:r>
          </w:p>
        </w:tc>
        <w:tc>
          <w:tcPr>
            <w:tcW w:w="146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815"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2119" w:type="dxa"/>
            <w:tcBorders>
              <w:top w:val="single" w:sz="6" w:space="0" w:color="000000"/>
              <w:left w:val="single" w:sz="12" w:space="0" w:color="000000"/>
              <w:bottom w:val="single" w:sz="6" w:space="0" w:color="000000"/>
              <w:right w:val="single" w:sz="6" w:space="0" w:color="000000"/>
            </w:tcBorders>
            <w:shd w:val="clear" w:color="auto" w:fill="D7D7D7"/>
          </w:tcPr>
          <w:p>
            <w:pPr>
              <w:pStyle w:val="TableParagraph"/>
              <w:spacing w:line="316" w:lineRule="auto" w:before="8"/>
              <w:ind w:left="93" w:right="84"/>
              <w:jc w:val="left"/>
              <w:rPr>
                <w:rFonts w:ascii="宋体" w:hAnsi="宋体" w:cs="宋体" w:eastAsia="宋体" w:hint="default"/>
                <w:sz w:val="18"/>
                <w:szCs w:val="18"/>
              </w:rPr>
            </w:pPr>
            <w:r>
              <w:rPr>
                <w:rFonts w:ascii="宋体" w:hAnsi="宋体" w:cs="宋体" w:eastAsia="宋体" w:hint="default"/>
                <w:spacing w:val="11"/>
                <w:sz w:val="18"/>
                <w:szCs w:val="18"/>
              </w:rPr>
              <w:t>按组合计提坏账准备的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应收账款</w:t>
            </w:r>
          </w:p>
        </w:tc>
        <w:tc>
          <w:tcPr>
            <w:tcW w:w="146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815"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12" w:space="0" w:color="000000"/>
            </w:tcBorders>
          </w:tcPr>
          <w:p>
            <w:pPr/>
          </w:p>
        </w:tc>
      </w:tr>
      <w:tr>
        <w:trPr>
          <w:trHeight w:val="469" w:hRule="exact"/>
        </w:trPr>
        <w:tc>
          <w:tcPr>
            <w:tcW w:w="2119" w:type="dxa"/>
            <w:tcBorders>
              <w:top w:val="single" w:sz="6" w:space="0" w:color="000000"/>
              <w:left w:val="single" w:sz="12" w:space="0" w:color="000000"/>
              <w:bottom w:val="single" w:sz="6" w:space="0" w:color="000000"/>
              <w:right w:val="single" w:sz="6" w:space="0" w:color="000000"/>
            </w:tcBorders>
            <w:shd w:val="clear" w:color="auto" w:fill="D7D7D7"/>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账期组合</w:t>
            </w:r>
            <w:r>
              <w:rPr>
                <w:rFonts w:ascii="宋体" w:hAnsi="宋体" w:cs="宋体" w:eastAsia="宋体" w:hint="default"/>
                <w:spacing w:val="-45"/>
                <w:sz w:val="18"/>
                <w:szCs w:val="18"/>
              </w:rPr>
              <w:t> </w:t>
            </w:r>
            <w:r>
              <w:rPr>
                <w:rFonts w:ascii="宋体" w:hAnsi="宋体" w:cs="宋体" w:eastAsia="宋体" w:hint="default"/>
                <w:sz w:val="18"/>
                <w:szCs w:val="18"/>
              </w:rPr>
              <w:t>I</w:t>
            </w:r>
          </w:p>
        </w:tc>
        <w:tc>
          <w:tcPr>
            <w:tcW w:w="146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815"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2119" w:type="dxa"/>
            <w:tcBorders>
              <w:top w:val="single" w:sz="6" w:space="0" w:color="000000"/>
              <w:left w:val="single" w:sz="12" w:space="0" w:color="000000"/>
              <w:bottom w:val="single" w:sz="6" w:space="0" w:color="000000"/>
              <w:right w:val="single" w:sz="6" w:space="0" w:color="000000"/>
            </w:tcBorders>
            <w:shd w:val="clear" w:color="auto" w:fill="D7D7D7"/>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账期组合</w:t>
            </w:r>
            <w:r>
              <w:rPr>
                <w:rFonts w:ascii="宋体" w:hAnsi="宋体" w:cs="宋体" w:eastAsia="宋体" w:hint="default"/>
                <w:spacing w:val="-43"/>
                <w:sz w:val="18"/>
                <w:szCs w:val="18"/>
              </w:rPr>
              <w:t> </w:t>
            </w:r>
            <w:r>
              <w:rPr>
                <w:rFonts w:ascii="宋体" w:hAnsi="宋体" w:cs="宋体" w:eastAsia="宋体" w:hint="default"/>
                <w:sz w:val="18"/>
                <w:szCs w:val="18"/>
              </w:rPr>
              <w:t>II</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253,624,986.97</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97.03</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131,468.09</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0.05</w:t>
            </w:r>
          </w:p>
        </w:tc>
        <w:tc>
          <w:tcPr>
            <w:tcW w:w="17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right="92"/>
              <w:jc w:val="right"/>
              <w:rPr>
                <w:rFonts w:ascii="Times New Roman" w:hAnsi="Times New Roman" w:cs="Times New Roman" w:eastAsia="Times New Roman" w:hint="default"/>
                <w:sz w:val="18"/>
                <w:szCs w:val="18"/>
              </w:rPr>
            </w:pPr>
            <w:r>
              <w:rPr>
                <w:rFonts w:ascii="Times New Roman"/>
                <w:spacing w:val="-1"/>
                <w:sz w:val="18"/>
              </w:rPr>
              <w:t>253,493,518.88</w:t>
            </w:r>
          </w:p>
        </w:tc>
      </w:tr>
      <w:tr>
        <w:trPr>
          <w:trHeight w:val="468" w:hRule="exact"/>
        </w:trPr>
        <w:tc>
          <w:tcPr>
            <w:tcW w:w="2119" w:type="dxa"/>
            <w:tcBorders>
              <w:top w:val="single" w:sz="6" w:space="0" w:color="000000"/>
              <w:left w:val="single" w:sz="12" w:space="0" w:color="000000"/>
              <w:bottom w:val="single" w:sz="6" w:space="0" w:color="000000"/>
              <w:right w:val="single" w:sz="6" w:space="0" w:color="000000"/>
            </w:tcBorders>
            <w:shd w:val="clear" w:color="auto" w:fill="D7D7D7"/>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6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815"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119" w:type="dxa"/>
            <w:tcBorders>
              <w:top w:val="single" w:sz="6" w:space="0" w:color="000000"/>
              <w:left w:val="single" w:sz="12" w:space="0" w:color="000000"/>
              <w:bottom w:val="single" w:sz="6" w:space="0" w:color="000000"/>
              <w:right w:val="single" w:sz="6" w:space="0" w:color="000000"/>
            </w:tcBorders>
            <w:shd w:val="clear" w:color="auto" w:fill="D7D7D7"/>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7"/>
              <w:jc w:val="right"/>
              <w:rPr>
                <w:rFonts w:ascii="Times New Roman" w:hAnsi="Times New Roman" w:cs="Times New Roman" w:eastAsia="Times New Roman" w:hint="default"/>
                <w:sz w:val="20"/>
                <w:szCs w:val="20"/>
              </w:rPr>
            </w:pPr>
            <w:r>
              <w:rPr>
                <w:rFonts w:ascii="Times New Roman"/>
                <w:b/>
                <w:w w:val="95"/>
                <w:sz w:val="20"/>
              </w:rPr>
              <w:t>253,624,986.97</w:t>
            </w:r>
            <w:r>
              <w:rPr>
                <w:rFonts w:ascii="Times New Roman"/>
                <w:sz w:val="20"/>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8"/>
              <w:jc w:val="right"/>
              <w:rPr>
                <w:rFonts w:ascii="Times New Roman" w:hAnsi="Times New Roman" w:cs="Times New Roman" w:eastAsia="Times New Roman" w:hint="default"/>
                <w:sz w:val="20"/>
                <w:szCs w:val="20"/>
              </w:rPr>
            </w:pPr>
            <w:r>
              <w:rPr>
                <w:rFonts w:ascii="Times New Roman"/>
                <w:b/>
                <w:sz w:val="20"/>
              </w:rPr>
              <w:t>97.03</w:t>
            </w:r>
            <w:r>
              <w:rPr>
                <w:rFonts w:ascii="Times New Roman"/>
                <w:sz w:val="20"/>
              </w:rPr>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9"/>
              <w:jc w:val="right"/>
              <w:rPr>
                <w:rFonts w:ascii="Times New Roman" w:hAnsi="Times New Roman" w:cs="Times New Roman" w:eastAsia="Times New Roman" w:hint="default"/>
                <w:sz w:val="20"/>
                <w:szCs w:val="20"/>
              </w:rPr>
            </w:pPr>
            <w:r>
              <w:rPr>
                <w:rFonts w:ascii="Times New Roman"/>
                <w:b/>
                <w:w w:val="95"/>
                <w:sz w:val="20"/>
              </w:rPr>
              <w:t>131,468.09</w:t>
            </w:r>
            <w:r>
              <w:rPr>
                <w:rFonts w:ascii="Times New Roman"/>
                <w:sz w:val="20"/>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8"/>
              <w:jc w:val="right"/>
              <w:rPr>
                <w:rFonts w:ascii="Times New Roman" w:hAnsi="Times New Roman" w:cs="Times New Roman" w:eastAsia="Times New Roman" w:hint="default"/>
                <w:sz w:val="20"/>
                <w:szCs w:val="20"/>
              </w:rPr>
            </w:pPr>
            <w:r>
              <w:rPr>
                <w:rFonts w:ascii="Times New Roman"/>
                <w:b/>
                <w:sz w:val="20"/>
              </w:rPr>
              <w:t>0.05</w:t>
            </w:r>
            <w:r>
              <w:rPr>
                <w:rFonts w:ascii="Times New Roman"/>
                <w:sz w:val="20"/>
              </w:rPr>
            </w:r>
          </w:p>
        </w:tc>
        <w:tc>
          <w:tcPr>
            <w:tcW w:w="17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7"/>
              <w:ind w:right="92"/>
              <w:jc w:val="right"/>
              <w:rPr>
                <w:rFonts w:ascii="Times New Roman" w:hAnsi="Times New Roman" w:cs="Times New Roman" w:eastAsia="Times New Roman" w:hint="default"/>
                <w:sz w:val="18"/>
                <w:szCs w:val="18"/>
              </w:rPr>
            </w:pPr>
            <w:r>
              <w:rPr>
                <w:rFonts w:ascii="Times New Roman"/>
                <w:b/>
                <w:spacing w:val="-1"/>
                <w:sz w:val="18"/>
              </w:rPr>
              <w:t>253,493,518.88</w:t>
            </w:r>
            <w:r>
              <w:rPr>
                <w:rFonts w:ascii="Times New Roman"/>
                <w:spacing w:val="-1"/>
                <w:sz w:val="18"/>
              </w:rPr>
            </w:r>
          </w:p>
        </w:tc>
      </w:tr>
      <w:tr>
        <w:trPr>
          <w:trHeight w:val="958" w:hRule="exact"/>
        </w:trPr>
        <w:tc>
          <w:tcPr>
            <w:tcW w:w="2119" w:type="dxa"/>
            <w:tcBorders>
              <w:top w:val="single" w:sz="6" w:space="0" w:color="000000"/>
              <w:left w:val="single" w:sz="12" w:space="0" w:color="000000"/>
              <w:bottom w:val="single" w:sz="12" w:space="0" w:color="000000"/>
              <w:right w:val="single" w:sz="6" w:space="0" w:color="000000"/>
            </w:tcBorders>
            <w:shd w:val="clear" w:color="auto" w:fill="D7D7D7"/>
          </w:tcPr>
          <w:p>
            <w:pPr>
              <w:pStyle w:val="TableParagraph"/>
              <w:spacing w:line="316" w:lineRule="auto" w:before="10"/>
              <w:ind w:left="93" w:right="84"/>
              <w:jc w:val="both"/>
              <w:rPr>
                <w:rFonts w:ascii="宋体" w:hAnsi="宋体" w:cs="宋体" w:eastAsia="宋体" w:hint="default"/>
                <w:sz w:val="18"/>
                <w:szCs w:val="18"/>
              </w:rPr>
            </w:pPr>
            <w:r>
              <w:rPr>
                <w:rFonts w:ascii="宋体" w:hAnsi="宋体" w:cs="宋体" w:eastAsia="宋体" w:hint="default"/>
                <w:spacing w:val="11"/>
                <w:sz w:val="18"/>
                <w:szCs w:val="18"/>
              </w:rPr>
              <w:t>单项金额虽不重大但单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项计提坏账准备的应收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账款</w:t>
            </w:r>
          </w:p>
        </w:tc>
        <w:tc>
          <w:tcPr>
            <w:tcW w:w="14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6"/>
              <w:jc w:val="right"/>
              <w:rPr>
                <w:rFonts w:ascii="Times New Roman" w:hAnsi="Times New Roman" w:cs="Times New Roman" w:eastAsia="Times New Roman" w:hint="default"/>
                <w:sz w:val="18"/>
                <w:szCs w:val="18"/>
              </w:rPr>
            </w:pPr>
            <w:r>
              <w:rPr>
                <w:rFonts w:ascii="Times New Roman"/>
                <w:spacing w:val="-1"/>
                <w:sz w:val="18"/>
              </w:rPr>
              <w:t>7,762,363.27</w:t>
            </w:r>
          </w:p>
        </w:tc>
        <w:tc>
          <w:tcPr>
            <w:tcW w:w="12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2.97</w:t>
            </w:r>
          </w:p>
        </w:tc>
        <w:tc>
          <w:tcPr>
            <w:tcW w:w="18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7,762,363.27</w:t>
            </w:r>
          </w:p>
        </w:tc>
        <w:tc>
          <w:tcPr>
            <w:tcW w:w="13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6"/>
              <w:jc w:val="right"/>
              <w:rPr>
                <w:rFonts w:ascii="Times New Roman" w:hAnsi="Times New Roman" w:cs="Times New Roman" w:eastAsia="Times New Roman" w:hint="default"/>
                <w:sz w:val="18"/>
                <w:szCs w:val="18"/>
              </w:rPr>
            </w:pPr>
            <w:r>
              <w:rPr>
                <w:rFonts w:ascii="Times New Roman"/>
                <w:sz w:val="18"/>
              </w:rPr>
              <w:t>100</w:t>
            </w:r>
          </w:p>
        </w:tc>
        <w:tc>
          <w:tcPr>
            <w:tcW w:w="171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0"/>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119"/>
        <w:gridCol w:w="1467"/>
        <w:gridCol w:w="1248"/>
        <w:gridCol w:w="1815"/>
        <w:gridCol w:w="1306"/>
        <w:gridCol w:w="1714"/>
      </w:tblGrid>
      <w:tr>
        <w:trPr>
          <w:trHeight w:val="483" w:hRule="exact"/>
        </w:trPr>
        <w:tc>
          <w:tcPr>
            <w:tcW w:w="2119" w:type="dxa"/>
            <w:tcBorders>
              <w:top w:val="single" w:sz="12" w:space="0" w:color="000000"/>
              <w:left w:val="single" w:sz="12" w:space="0" w:color="000000"/>
              <w:bottom w:val="single" w:sz="12" w:space="0" w:color="000000"/>
              <w:right w:val="single" w:sz="6" w:space="0" w:color="000000"/>
            </w:tcBorders>
            <w:shd w:val="clear" w:color="auto" w:fill="D7D7D7"/>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left="228" w:right="0"/>
              <w:jc w:val="left"/>
              <w:rPr>
                <w:rFonts w:ascii="Times New Roman" w:hAnsi="Times New Roman" w:cs="Times New Roman" w:eastAsia="Times New Roman" w:hint="default"/>
                <w:sz w:val="18"/>
                <w:szCs w:val="18"/>
              </w:rPr>
            </w:pPr>
            <w:r>
              <w:rPr>
                <w:rFonts w:ascii="Times New Roman"/>
                <w:b/>
                <w:sz w:val="18"/>
              </w:rPr>
              <w:t>261,387,350.24</w:t>
            </w:r>
            <w:r>
              <w:rPr>
                <w:rFonts w:ascii="Times New Roman"/>
                <w:sz w:val="18"/>
              </w:rPr>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left="753" w:right="0"/>
              <w:jc w:val="left"/>
              <w:rPr>
                <w:rFonts w:ascii="Times New Roman" w:hAnsi="Times New Roman" w:cs="Times New Roman" w:eastAsia="Times New Roman" w:hint="default"/>
                <w:sz w:val="18"/>
                <w:szCs w:val="18"/>
              </w:rPr>
            </w:pPr>
            <w:r>
              <w:rPr>
                <w:rFonts w:ascii="Times New Roman"/>
                <w:b/>
                <w:sz w:val="18"/>
              </w:rPr>
              <w:t>7,893,831.36</w:t>
            </w:r>
            <w:r>
              <w:rPr>
                <w:rFonts w:ascii="Times New Roman"/>
                <w:sz w:val="18"/>
              </w:rPr>
            </w:r>
          </w:p>
        </w:tc>
        <w:tc>
          <w:tcPr>
            <w:tcW w:w="13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b/>
                <w:spacing w:val="-1"/>
                <w:sz w:val="18"/>
              </w:rPr>
              <w:t>3.02</w:t>
            </w:r>
            <w:r>
              <w:rPr>
                <w:rFonts w:ascii="Times New Roman"/>
                <w:spacing w:val="-1"/>
                <w:sz w:val="18"/>
              </w:rPr>
            </w:r>
          </w:p>
        </w:tc>
        <w:tc>
          <w:tcPr>
            <w:tcW w:w="171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27"/>
              <w:ind w:left="472" w:right="0"/>
              <w:jc w:val="left"/>
              <w:rPr>
                <w:rFonts w:ascii="Times New Roman" w:hAnsi="Times New Roman" w:cs="Times New Roman" w:eastAsia="Times New Roman" w:hint="default"/>
                <w:sz w:val="18"/>
                <w:szCs w:val="18"/>
              </w:rPr>
            </w:pPr>
            <w:r>
              <w:rPr>
                <w:rFonts w:ascii="Times New Roman"/>
                <w:b/>
                <w:sz w:val="18"/>
              </w:rPr>
              <w:t>253,493,518.88</w:t>
            </w:r>
            <w:r>
              <w:rPr>
                <w:rFonts w:ascii="Times New Roman"/>
                <w:sz w:val="18"/>
              </w:rPr>
            </w:r>
          </w:p>
        </w:tc>
      </w:tr>
    </w:tbl>
    <w:p>
      <w:pPr>
        <w:spacing w:line="240" w:lineRule="auto" w:before="8"/>
        <w:rPr>
          <w:rFonts w:ascii="宋体" w:hAnsi="宋体" w:cs="宋体" w:eastAsia="宋体" w:hint="default"/>
          <w:sz w:val="23"/>
          <w:szCs w:val="23"/>
        </w:rPr>
      </w:pPr>
    </w:p>
    <w:p>
      <w:pPr>
        <w:spacing w:line="561" w:lineRule="auto" w:before="36"/>
        <w:ind w:left="153" w:right="452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）本期计提、收回或转回的坏账准备情况</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本期计提坏账准备金额</w:t>
      </w:r>
      <w:r>
        <w:rPr>
          <w:rFonts w:ascii="宋体" w:hAnsi="宋体" w:cs="宋体" w:eastAsia="宋体" w:hint="default"/>
          <w:spacing w:val="-55"/>
          <w:sz w:val="21"/>
          <w:szCs w:val="21"/>
        </w:rPr>
        <w:t> </w:t>
      </w:r>
      <w:r>
        <w:rPr>
          <w:rFonts w:ascii="宋体" w:hAnsi="宋体" w:cs="宋体" w:eastAsia="宋体" w:hint="default"/>
          <w:sz w:val="21"/>
          <w:szCs w:val="21"/>
        </w:rPr>
        <w:t>2,230,013.56</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7"/>
        <w:rPr>
          <w:rFonts w:ascii="宋体" w:hAnsi="宋体" w:cs="宋体" w:eastAsia="宋体" w:hint="default"/>
          <w:sz w:val="14"/>
          <w:szCs w:val="14"/>
        </w:rPr>
      </w:pPr>
    </w:p>
    <w:p>
      <w:pPr>
        <w:pStyle w:val="Heading4"/>
        <w:spacing w:line="240" w:lineRule="auto"/>
        <w:ind w:right="14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1"/>
        <w:rPr>
          <w:rFonts w:ascii="宋体" w:hAnsi="宋体" w:cs="宋体" w:eastAsia="宋体" w:hint="default"/>
          <w:b/>
          <w:bCs/>
          <w:sz w:val="29"/>
          <w:szCs w:val="29"/>
        </w:rPr>
      </w:pPr>
    </w:p>
    <w:p>
      <w:pPr>
        <w:pStyle w:val="BodyText"/>
        <w:spacing w:line="408" w:lineRule="auto"/>
        <w:ind w:right="140"/>
        <w:jc w:val="left"/>
      </w:pPr>
      <w:r>
        <w:rPr/>
        <w:t>本年按欠款方归集的年末余额前五名应收账款汇总金额</w:t>
      </w:r>
      <w:r>
        <w:rPr>
          <w:spacing w:val="-46"/>
        </w:rPr>
        <w:t> </w:t>
      </w:r>
      <w:r>
        <w:rPr>
          <w:rFonts w:ascii="宋体" w:hAnsi="宋体" w:cs="宋体" w:eastAsia="宋体" w:hint="default"/>
        </w:rPr>
        <w:t>27,953,634.44</w:t>
      </w:r>
      <w:r>
        <w:rPr>
          <w:rFonts w:ascii="宋体" w:hAnsi="宋体" w:cs="宋体" w:eastAsia="宋体" w:hint="default"/>
          <w:spacing w:val="-48"/>
        </w:rPr>
        <w:t> </w:t>
      </w:r>
      <w:r>
        <w:rPr>
          <w:spacing w:val="-3"/>
        </w:rPr>
        <w:t>元，占应收账款年末余额合计数的</w:t>
      </w:r>
      <w:r>
        <w:rPr>
          <w:spacing w:val="-102"/>
        </w:rPr>
        <w:t> </w:t>
      </w:r>
      <w:r>
        <w:rPr>
          <w:spacing w:val="-102"/>
        </w:rPr>
      </w:r>
      <w:r>
        <w:rPr/>
        <w:t>比例</w:t>
      </w:r>
      <w:r>
        <w:rPr>
          <w:spacing w:val="-5"/>
        </w:rPr>
        <w:t> </w:t>
      </w:r>
      <w:r>
        <w:rPr>
          <w:rFonts w:ascii="宋体" w:hAnsi="宋体" w:cs="宋体" w:eastAsia="宋体" w:hint="default"/>
          <w:spacing w:val="-2"/>
        </w:rPr>
        <w:t>56.07%</w:t>
      </w:r>
      <w:r>
        <w:rPr>
          <w:spacing w:val="-2"/>
        </w:rPr>
        <w:t>，相应计提的坏账准备年末余额汇总金额为零。</w:t>
      </w:r>
    </w:p>
    <w:p>
      <w:pPr>
        <w:spacing w:after="0" w:line="408" w:lineRule="auto"/>
        <w:jc w:val="left"/>
        <w:sectPr>
          <w:pgSz w:w="11910" w:h="16840"/>
          <w:pgMar w:header="0" w:footer="1227" w:top="1100" w:bottom="1420" w:left="980" w:right="980"/>
        </w:sectPr>
      </w:pPr>
    </w:p>
    <w:p>
      <w:pPr>
        <w:spacing w:line="240" w:lineRule="auto" w:before="3"/>
        <w:rPr>
          <w:rFonts w:ascii="宋体" w:hAnsi="宋体" w:cs="宋体" w:eastAsia="宋体" w:hint="default"/>
          <w:sz w:val="28"/>
          <w:szCs w:val="28"/>
        </w:rPr>
      </w:pPr>
    </w:p>
    <w:p>
      <w:pPr>
        <w:pStyle w:val="Heading4"/>
        <w:spacing w:line="240" w:lineRule="auto"/>
        <w:ind w:left="140" w:right="-6"/>
        <w:jc w:val="left"/>
        <w:rPr>
          <w:b w:val="0"/>
          <w:bCs w:val="0"/>
        </w:rPr>
      </w:pPr>
      <w:r>
        <w:rPr/>
        <w:pict>
          <v:group style="position:absolute;margin-left:70.559998pt;margin-top:-3.216318pt;width:700.9pt;height:.1pt;mso-position-horizontal-relative:page;mso-position-vertical-relative:paragraph;z-index:1792" coordorigin="1411,-64" coordsize="14018,2">
            <v:shape style="position:absolute;left:1411;top:-64;width:14018;height:2" coordorigin="1411,-64" coordsize="14018,0" path="m1411,-64l15429,-64e" filled="false" stroked="true" strokeweight=".72pt" strokecolor="#000000">
              <v:path arrowok="t"/>
            </v:shape>
            <w10:wrap type="none"/>
          </v:group>
        </w:pict>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8"/>
          <w:szCs w:val="28"/>
        </w:rPr>
      </w:pPr>
    </w:p>
    <w:p>
      <w:pPr>
        <w:pStyle w:val="Heading4"/>
        <w:spacing w:line="240" w:lineRule="auto"/>
        <w:ind w:left="140" w:right="-6"/>
        <w:jc w:val="left"/>
        <w:rPr>
          <w:b w:val="0"/>
          <w:bCs w:val="0"/>
        </w:rPr>
      </w:pPr>
      <w:r>
        <w:rPr>
          <w:spacing w:val="-1"/>
        </w:rPr>
        <w:t>（</w:t>
      </w:r>
      <w:r>
        <w:rPr>
          <w:rFonts w:ascii="Times New Roman" w:hAnsi="Times New Roman" w:cs="Times New Roman" w:eastAsia="Times New Roman" w:hint="default"/>
          <w:spacing w:val="-1"/>
        </w:rPr>
        <w:t>1</w:t>
      </w:r>
      <w:r>
        <w:rPr>
          <w:spacing w:val="-1"/>
        </w:rPr>
        <w:t>）其他应收款分类披露</w:t>
      </w:r>
      <w:r>
        <w:rPr>
          <w:b w:val="0"/>
          <w:bCs w:val="0"/>
          <w:spacing w:val="-1"/>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68"/>
          <w:footerReference w:type="default" r:id="rId69"/>
          <w:pgSz w:w="16840" w:h="11910" w:orient="landscape"/>
          <w:pgMar w:header="0" w:footer="0" w:top="800" w:bottom="280" w:left="1300" w:right="1280"/>
          <w:cols w:num="2" w:equalWidth="0">
            <w:col w:w="2567" w:space="7161"/>
            <w:col w:w="4532"/>
          </w:cols>
        </w:sectPr>
      </w:pPr>
    </w:p>
    <w:p>
      <w:pPr>
        <w:spacing w:line="240" w:lineRule="auto" w:before="4"/>
        <w:rPr>
          <w:rFonts w:ascii="宋体" w:hAnsi="宋体" w:cs="宋体" w:eastAsia="宋体" w:hint="default"/>
          <w:sz w:val="27"/>
          <w:szCs w:val="27"/>
        </w:rPr>
      </w:pPr>
    </w:p>
    <w:p>
      <w:pPr>
        <w:spacing w:before="44"/>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350"/>
        <w:gridCol w:w="1190"/>
        <w:gridCol w:w="1090"/>
        <w:gridCol w:w="1090"/>
        <w:gridCol w:w="1087"/>
        <w:gridCol w:w="1181"/>
        <w:gridCol w:w="1092"/>
        <w:gridCol w:w="1090"/>
        <w:gridCol w:w="1165"/>
        <w:gridCol w:w="1337"/>
        <w:gridCol w:w="1339"/>
      </w:tblGrid>
      <w:tr>
        <w:trPr>
          <w:trHeight w:val="414" w:hRule="exact"/>
        </w:trPr>
        <w:tc>
          <w:tcPr>
            <w:tcW w:w="2350" w:type="dxa"/>
            <w:tcBorders>
              <w:top w:val="single" w:sz="12" w:space="0" w:color="000000"/>
              <w:left w:val="single" w:sz="12" w:space="0" w:color="000000"/>
              <w:bottom w:val="nil" w:sz="6" w:space="0" w:color="auto"/>
              <w:right w:val="single" w:sz="6" w:space="0" w:color="000000"/>
            </w:tcBorders>
            <w:shd w:val="clear" w:color="auto" w:fill="D2D2D2"/>
          </w:tcPr>
          <w:p>
            <w:pPr/>
          </w:p>
        </w:tc>
        <w:tc>
          <w:tcPr>
            <w:tcW w:w="5639" w:type="dxa"/>
            <w:gridSpan w:val="5"/>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22" w:type="dxa"/>
            <w:gridSpan w:val="5"/>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12" w:hRule="exact"/>
        </w:trPr>
        <w:tc>
          <w:tcPr>
            <w:tcW w:w="2350"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2281"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7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7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tcBorders>
              <w:top w:val="single" w:sz="6" w:space="0" w:color="000000"/>
              <w:left w:val="single" w:sz="6" w:space="0" w:color="000000"/>
              <w:bottom w:val="nil" w:sz="6" w:space="0" w:color="auto"/>
              <w:right w:val="single" w:sz="6" w:space="0" w:color="000000"/>
            </w:tcBorders>
            <w:shd w:val="clear" w:color="auto" w:fill="D2D2D2"/>
          </w:tcPr>
          <w:p>
            <w:pPr/>
          </w:p>
        </w:tc>
        <w:tc>
          <w:tcPr>
            <w:tcW w:w="218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7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501"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39"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97" w:hRule="exact"/>
        </w:trPr>
        <w:tc>
          <w:tcPr>
            <w:tcW w:w="2350" w:type="dxa"/>
            <w:vMerge/>
            <w:tcBorders>
              <w:left w:val="single" w:sz="12" w:space="0" w:color="000000"/>
              <w:bottom w:val="nil" w:sz="6" w:space="0" w:color="auto"/>
              <w:right w:val="single" w:sz="6" w:space="0" w:color="000000"/>
            </w:tcBorders>
            <w:shd w:val="clear" w:color="auto" w:fill="D2D2D2"/>
          </w:tcPr>
          <w:p>
            <w:pPr/>
          </w:p>
        </w:tc>
        <w:tc>
          <w:tcPr>
            <w:tcW w:w="2281" w:type="dxa"/>
            <w:gridSpan w:val="2"/>
            <w:vMerge/>
            <w:tcBorders>
              <w:left w:val="single" w:sz="6" w:space="0" w:color="000000"/>
              <w:bottom w:val="single" w:sz="6" w:space="0" w:color="000000"/>
              <w:right w:val="single" w:sz="6" w:space="0" w:color="000000"/>
            </w:tcBorders>
            <w:shd w:val="clear" w:color="auto" w:fill="D2D2D2"/>
          </w:tcPr>
          <w:p>
            <w:pPr/>
          </w:p>
        </w:tc>
        <w:tc>
          <w:tcPr>
            <w:tcW w:w="2177" w:type="dxa"/>
            <w:gridSpan w:val="2"/>
            <w:vMerge/>
            <w:tcBorders>
              <w:left w:val="single" w:sz="6" w:space="0" w:color="000000"/>
              <w:bottom w:val="single" w:sz="6" w:space="0" w:color="000000"/>
              <w:right w:val="single" w:sz="6" w:space="0" w:color="000000"/>
            </w:tcBorders>
            <w:shd w:val="clear" w:color="auto" w:fill="D2D2D2"/>
          </w:tcPr>
          <w:p>
            <w:pPr/>
          </w:p>
        </w:tc>
        <w:tc>
          <w:tcPr>
            <w:tcW w:w="11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182" w:type="dxa"/>
            <w:gridSpan w:val="2"/>
            <w:vMerge/>
            <w:tcBorders>
              <w:left w:val="single" w:sz="6" w:space="0" w:color="000000"/>
              <w:bottom w:val="single" w:sz="6" w:space="0" w:color="000000"/>
              <w:right w:val="single" w:sz="6" w:space="0" w:color="000000"/>
            </w:tcBorders>
            <w:shd w:val="clear" w:color="auto" w:fill="D2D2D2"/>
          </w:tcPr>
          <w:p>
            <w:pPr/>
          </w:p>
        </w:tc>
        <w:tc>
          <w:tcPr>
            <w:tcW w:w="2501" w:type="dxa"/>
            <w:gridSpan w:val="2"/>
            <w:vMerge/>
            <w:tcBorders>
              <w:left w:val="single" w:sz="6" w:space="0" w:color="000000"/>
              <w:bottom w:val="single" w:sz="6" w:space="0" w:color="000000"/>
              <w:right w:val="single" w:sz="6" w:space="0" w:color="000000"/>
            </w:tcBorders>
            <w:shd w:val="clear" w:color="auto" w:fill="D2D2D2"/>
          </w:tcPr>
          <w:p>
            <w:pPr/>
          </w:p>
        </w:tc>
        <w:tc>
          <w:tcPr>
            <w:tcW w:w="1339"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2350" w:type="dxa"/>
            <w:vMerge w:val="restart"/>
            <w:tcBorders>
              <w:top w:val="nil" w:sz="6" w:space="0" w:color="auto"/>
              <w:left w:val="single" w:sz="12" w:space="0" w:color="000000"/>
              <w:right w:val="single" w:sz="6" w:space="0" w:color="000000"/>
            </w:tcBorders>
            <w:shd w:val="clear" w:color="auto" w:fill="D2D2D2"/>
          </w:tcPr>
          <w:p>
            <w:pPr/>
          </w:p>
        </w:tc>
        <w:tc>
          <w:tcPr>
            <w:tcW w:w="11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35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8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81" w:type="dxa"/>
            <w:vMerge/>
            <w:tcBorders>
              <w:left w:val="single" w:sz="6" w:space="0" w:color="000000"/>
              <w:bottom w:val="nil" w:sz="6" w:space="0" w:color="auto"/>
              <w:right w:val="single" w:sz="6" w:space="0" w:color="000000"/>
            </w:tcBorders>
            <w:shd w:val="clear" w:color="auto" w:fill="D2D2D2"/>
          </w:tcPr>
          <w:p>
            <w:pPr/>
          </w:p>
        </w:tc>
        <w:tc>
          <w:tcPr>
            <w:tcW w:w="10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6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3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39" w:type="dxa"/>
            <w:vMerge/>
            <w:tcBorders>
              <w:left w:val="single" w:sz="6" w:space="0" w:color="000000"/>
              <w:bottom w:val="nil" w:sz="6" w:space="0" w:color="auto"/>
              <w:right w:val="single" w:sz="12" w:space="0" w:color="000000"/>
            </w:tcBorders>
            <w:shd w:val="clear" w:color="auto" w:fill="D2D2D2"/>
          </w:tcPr>
          <w:p>
            <w:pPr/>
          </w:p>
        </w:tc>
      </w:tr>
      <w:tr>
        <w:trPr>
          <w:trHeight w:val="211" w:hRule="exact"/>
        </w:trPr>
        <w:tc>
          <w:tcPr>
            <w:tcW w:w="2350" w:type="dxa"/>
            <w:vMerge/>
            <w:tcBorders>
              <w:left w:val="single" w:sz="12" w:space="0" w:color="000000"/>
              <w:bottom w:val="single" w:sz="6" w:space="0" w:color="000000"/>
              <w:right w:val="single" w:sz="6" w:space="0" w:color="000000"/>
            </w:tcBorders>
            <w:shd w:val="clear" w:color="auto" w:fill="D2D2D2"/>
          </w:tcPr>
          <w:p>
            <w:pPr/>
          </w:p>
        </w:tc>
        <w:tc>
          <w:tcPr>
            <w:tcW w:w="1190" w:type="dxa"/>
            <w:vMerge/>
            <w:tcBorders>
              <w:left w:val="single" w:sz="6" w:space="0" w:color="000000"/>
              <w:bottom w:val="single" w:sz="6" w:space="0" w:color="000000"/>
              <w:right w:val="single" w:sz="6" w:space="0" w:color="000000"/>
            </w:tcBorders>
            <w:shd w:val="clear" w:color="auto" w:fill="D2D2D2"/>
          </w:tcPr>
          <w:p>
            <w:pPr/>
          </w:p>
        </w:tc>
        <w:tc>
          <w:tcPr>
            <w:tcW w:w="1090" w:type="dxa"/>
            <w:vMerge/>
            <w:tcBorders>
              <w:left w:val="single" w:sz="6" w:space="0" w:color="000000"/>
              <w:bottom w:val="single" w:sz="6" w:space="0" w:color="000000"/>
              <w:right w:val="single" w:sz="6" w:space="0" w:color="000000"/>
            </w:tcBorders>
            <w:shd w:val="clear" w:color="auto" w:fill="D2D2D2"/>
          </w:tcPr>
          <w:p>
            <w:pPr/>
          </w:p>
        </w:tc>
        <w:tc>
          <w:tcPr>
            <w:tcW w:w="1090" w:type="dxa"/>
            <w:vMerge/>
            <w:tcBorders>
              <w:left w:val="single" w:sz="6" w:space="0" w:color="000000"/>
              <w:bottom w:val="single" w:sz="6" w:space="0" w:color="000000"/>
              <w:right w:val="single" w:sz="6" w:space="0" w:color="000000"/>
            </w:tcBorders>
            <w:shd w:val="clear" w:color="auto" w:fill="D2D2D2"/>
          </w:tcPr>
          <w:p>
            <w:pPr/>
          </w:p>
        </w:tc>
        <w:tc>
          <w:tcPr>
            <w:tcW w:w="1087" w:type="dxa"/>
            <w:vMerge/>
            <w:tcBorders>
              <w:left w:val="single" w:sz="6" w:space="0" w:color="000000"/>
              <w:bottom w:val="single" w:sz="6" w:space="0" w:color="000000"/>
              <w:right w:val="single" w:sz="6" w:space="0" w:color="000000"/>
            </w:tcBorders>
            <w:shd w:val="clear" w:color="auto" w:fill="D2D2D2"/>
          </w:tcPr>
          <w:p>
            <w:pPr/>
          </w:p>
        </w:tc>
        <w:tc>
          <w:tcPr>
            <w:tcW w:w="1181" w:type="dxa"/>
            <w:tcBorders>
              <w:top w:val="nil" w:sz="6" w:space="0" w:color="auto"/>
              <w:left w:val="single" w:sz="6" w:space="0" w:color="000000"/>
              <w:bottom w:val="single" w:sz="6" w:space="0" w:color="000000"/>
              <w:right w:val="single" w:sz="6" w:space="0" w:color="000000"/>
            </w:tcBorders>
            <w:shd w:val="clear" w:color="auto" w:fill="D2D2D2"/>
          </w:tcPr>
          <w:p>
            <w:pPr/>
          </w:p>
        </w:tc>
        <w:tc>
          <w:tcPr>
            <w:tcW w:w="1092" w:type="dxa"/>
            <w:vMerge/>
            <w:tcBorders>
              <w:left w:val="single" w:sz="6" w:space="0" w:color="000000"/>
              <w:bottom w:val="single" w:sz="6" w:space="0" w:color="000000"/>
              <w:right w:val="single" w:sz="6" w:space="0" w:color="000000"/>
            </w:tcBorders>
            <w:shd w:val="clear" w:color="auto" w:fill="D2D2D2"/>
          </w:tcPr>
          <w:p>
            <w:pPr/>
          </w:p>
        </w:tc>
        <w:tc>
          <w:tcPr>
            <w:tcW w:w="1090" w:type="dxa"/>
            <w:vMerge/>
            <w:tcBorders>
              <w:left w:val="single" w:sz="6" w:space="0" w:color="000000"/>
              <w:bottom w:val="single" w:sz="6" w:space="0" w:color="000000"/>
              <w:right w:val="single" w:sz="6" w:space="0" w:color="000000"/>
            </w:tcBorders>
            <w:shd w:val="clear" w:color="auto" w:fill="D2D2D2"/>
          </w:tcPr>
          <w:p>
            <w:pPr/>
          </w:p>
        </w:tc>
        <w:tc>
          <w:tcPr>
            <w:tcW w:w="1165" w:type="dxa"/>
            <w:vMerge/>
            <w:tcBorders>
              <w:left w:val="single" w:sz="6" w:space="0" w:color="000000"/>
              <w:bottom w:val="single" w:sz="6" w:space="0" w:color="000000"/>
              <w:right w:val="single" w:sz="6" w:space="0" w:color="000000"/>
            </w:tcBorders>
            <w:shd w:val="clear" w:color="auto" w:fill="D2D2D2"/>
          </w:tcPr>
          <w:p>
            <w:pPr/>
          </w:p>
        </w:tc>
        <w:tc>
          <w:tcPr>
            <w:tcW w:w="1337" w:type="dxa"/>
            <w:vMerge/>
            <w:tcBorders>
              <w:left w:val="single" w:sz="6" w:space="0" w:color="000000"/>
              <w:bottom w:val="single" w:sz="6" w:space="0" w:color="000000"/>
              <w:right w:val="single" w:sz="6" w:space="0" w:color="000000"/>
            </w:tcBorders>
            <w:shd w:val="clear" w:color="auto" w:fill="D2D2D2"/>
          </w:tcPr>
          <w:p>
            <w:pPr/>
          </w:p>
        </w:tc>
        <w:tc>
          <w:tcPr>
            <w:tcW w:w="1339"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720" w:hRule="exact"/>
        </w:trPr>
        <w:tc>
          <w:tcPr>
            <w:tcW w:w="235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159"/>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账准备的其他应收款</w:t>
            </w:r>
          </w:p>
        </w:tc>
        <w:tc>
          <w:tcPr>
            <w:tcW w:w="1190"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30,804,760.00</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17.54%</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30,804,760.00</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30,804,760.00</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78.77%</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30,804,760.00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8" w:hRule="exact"/>
        </w:trPr>
        <w:tc>
          <w:tcPr>
            <w:tcW w:w="235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159"/>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190"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137,603,942.25</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78.32%</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562.00</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137,603,380.25</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1,028,421.11</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1,027,859.11</w:t>
            </w:r>
          </w:p>
        </w:tc>
      </w:tr>
      <w:tr>
        <w:trPr>
          <w:trHeight w:val="720" w:hRule="exact"/>
        </w:trPr>
        <w:tc>
          <w:tcPr>
            <w:tcW w:w="235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1"/>
              <w:ind w:left="7" w:right="159"/>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坏账准备的其他应收款</w:t>
            </w:r>
          </w:p>
        </w:tc>
        <w:tc>
          <w:tcPr>
            <w:tcW w:w="1190"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7,275,499.29</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7,275,499.29</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7,275,499.29</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18.60%</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7,275,499.29</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13" w:hRule="exact"/>
        </w:trPr>
        <w:tc>
          <w:tcPr>
            <w:tcW w:w="235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0"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175,684,201.54</w:t>
            </w:r>
          </w:p>
        </w:tc>
        <w:tc>
          <w:tcPr>
            <w:tcW w:w="10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38,080,821.29</w:t>
            </w:r>
          </w:p>
        </w:tc>
        <w:tc>
          <w:tcPr>
            <w:tcW w:w="10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21.68%</w:t>
            </w:r>
          </w:p>
        </w:tc>
        <w:tc>
          <w:tcPr>
            <w:tcW w:w="11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137,603,380.25</w:t>
            </w:r>
          </w:p>
        </w:tc>
        <w:tc>
          <w:tcPr>
            <w:tcW w:w="10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39,108,680.40</w:t>
            </w:r>
          </w:p>
        </w:tc>
        <w:tc>
          <w:tcPr>
            <w:tcW w:w="10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38,080,821.29</w:t>
            </w:r>
          </w:p>
        </w:tc>
        <w:tc>
          <w:tcPr>
            <w:tcW w:w="13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97.37%</w:t>
            </w:r>
          </w:p>
        </w:tc>
        <w:tc>
          <w:tcPr>
            <w:tcW w:w="13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1,027,859.11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76"/>
        <w:ind w:left="5173" w:right="5190" w:firstLine="0"/>
        <w:jc w:val="center"/>
        <w:rPr>
          <w:rFonts w:ascii="Times New Roman" w:hAnsi="Times New Roman" w:cs="Times New Roman" w:eastAsia="Times New Roman" w:hint="default"/>
          <w:sz w:val="18"/>
          <w:szCs w:val="18"/>
        </w:rPr>
      </w:pPr>
      <w:r>
        <w:rPr>
          <w:rFonts w:ascii="Times New Roman"/>
          <w:sz w:val="18"/>
        </w:rPr>
        <w:t>206</w:t>
      </w:r>
    </w:p>
    <w:p>
      <w:pPr>
        <w:spacing w:after="0"/>
        <w:jc w:val="center"/>
        <w:rPr>
          <w:rFonts w:ascii="Times New Roman" w:hAnsi="Times New Roman" w:cs="Times New Roman" w:eastAsia="Times New Roman" w:hint="default"/>
          <w:sz w:val="18"/>
          <w:szCs w:val="18"/>
        </w:rPr>
        <w:sectPr>
          <w:type w:val="continuous"/>
          <w:pgSz w:w="16840" w:h="11910" w:orient="landscape"/>
          <w:pgMar w:top="1060" w:bottom="1420" w:left="1300" w:right="12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6"/>
        <w:ind w:right="140"/>
        <w:jc w:val="left"/>
      </w:pPr>
      <w:r>
        <w:rPr/>
        <w:t>期末单项金额重大并单项计提坏账准备的其他应收款：</w:t>
      </w:r>
    </w:p>
    <w:p>
      <w:pPr>
        <w:spacing w:line="240" w:lineRule="auto" w:before="10"/>
        <w:rPr>
          <w:rFonts w:ascii="宋体" w:hAnsi="宋体" w:cs="宋体" w:eastAsia="宋体" w:hint="default"/>
          <w:sz w:val="14"/>
          <w:szCs w:val="14"/>
        </w:rPr>
      </w:pPr>
    </w:p>
    <w:p>
      <w:pPr>
        <w:pStyle w:val="BodyText"/>
        <w:spacing w:line="240" w:lineRule="auto"/>
        <w:ind w:right="140"/>
        <w:jc w:val="left"/>
      </w:pPr>
      <w:r>
        <w:rPr/>
        <w:t>√</w:t>
      </w:r>
      <w:r>
        <w:rPr>
          <w:spacing w:val="-1"/>
        </w:rPr>
        <w:t> </w:t>
      </w:r>
      <w:r>
        <w:rPr/>
        <w:t>适用□不适用</w:t>
      </w:r>
    </w:p>
    <w:p>
      <w:pPr>
        <w:spacing w:line="240" w:lineRule="auto" w:before="4"/>
        <w:rPr>
          <w:rFonts w:ascii="宋体" w:hAnsi="宋体" w:cs="宋体" w:eastAsia="宋体" w:hint="default"/>
          <w:sz w:val="15"/>
          <w:szCs w:val="1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1993"/>
        <w:gridCol w:w="1837"/>
        <w:gridCol w:w="1913"/>
        <w:gridCol w:w="1913"/>
        <w:gridCol w:w="1916"/>
      </w:tblGrid>
      <w:tr>
        <w:trPr>
          <w:trHeight w:val="469" w:hRule="exact"/>
        </w:trPr>
        <w:tc>
          <w:tcPr>
            <w:tcW w:w="1993"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8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9" w:type="dxa"/>
            <w:gridSpan w:val="4"/>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2" w:hRule="exact"/>
        </w:trPr>
        <w:tc>
          <w:tcPr>
            <w:tcW w:w="1993" w:type="dxa"/>
            <w:vMerge/>
            <w:tcBorders>
              <w:left w:val="single" w:sz="12" w:space="0" w:color="000000"/>
              <w:bottom w:val="single" w:sz="6" w:space="0" w:color="000000"/>
              <w:right w:val="single" w:sz="6" w:space="0" w:color="000000"/>
            </w:tcBorders>
            <w:shd w:val="clear" w:color="auto" w:fill="D9D9D9"/>
          </w:tcPr>
          <w:p>
            <w:pPr/>
          </w:p>
        </w:tc>
        <w:tc>
          <w:tcPr>
            <w:tcW w:w="18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left="46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7"/>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27"/>
              <w:ind w:left="11"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70" w:hRule="exact"/>
        </w:trPr>
        <w:tc>
          <w:tcPr>
            <w:tcW w:w="199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5"/>
              <w:ind w:left="13" w:right="0"/>
              <w:jc w:val="left"/>
              <w:rPr>
                <w:rFonts w:ascii="宋体" w:hAnsi="宋体" w:cs="宋体" w:eastAsia="宋体" w:hint="default"/>
                <w:sz w:val="18"/>
                <w:szCs w:val="18"/>
              </w:rPr>
            </w:pPr>
            <w:r>
              <w:rPr>
                <w:rFonts w:ascii="宋体" w:hAnsi="宋体" w:cs="宋体" w:eastAsia="宋体" w:hint="default"/>
                <w:sz w:val="18"/>
                <w:szCs w:val="18"/>
              </w:rPr>
              <w:t>北京新美房地产</w:t>
            </w:r>
          </w:p>
        </w:tc>
        <w:tc>
          <w:tcPr>
            <w:tcW w:w="1837"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19,984,760.00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19,984,760.00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9" w:space="0" w:color="000000"/>
              <w:left w:val="single" w:sz="6" w:space="0" w:color="000000"/>
              <w:bottom w:val="single" w:sz="6" w:space="0" w:color="000000"/>
              <w:right w:val="single" w:sz="12" w:space="0" w:color="000000"/>
            </w:tcBorders>
          </w:tcPr>
          <w:p>
            <w:pPr>
              <w:pStyle w:val="TableParagraph"/>
              <w:spacing w:line="240" w:lineRule="auto" w:before="122"/>
              <w:ind w:left="11"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68" w:hRule="exact"/>
        </w:trPr>
        <w:tc>
          <w:tcPr>
            <w:tcW w:w="199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13" w:right="0"/>
              <w:jc w:val="left"/>
              <w:rPr>
                <w:rFonts w:ascii="宋体" w:hAnsi="宋体" w:cs="宋体" w:eastAsia="宋体" w:hint="default"/>
                <w:sz w:val="18"/>
                <w:szCs w:val="18"/>
              </w:rPr>
            </w:pPr>
            <w:r>
              <w:rPr>
                <w:rFonts w:ascii="宋体" w:hAnsi="宋体" w:cs="宋体" w:eastAsia="宋体" w:hint="default"/>
                <w:sz w:val="18"/>
                <w:szCs w:val="18"/>
              </w:rPr>
              <w:t>北京金冠投资有限公司</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5,020,000.00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5,020,000.00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11"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817" w:hRule="exact"/>
        </w:trPr>
        <w:tc>
          <w:tcPr>
            <w:tcW w:w="199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7" w:lineRule="auto" w:before="116"/>
              <w:ind w:left="13" w:right="156"/>
              <w:jc w:val="left"/>
              <w:rPr>
                <w:rFonts w:ascii="宋体" w:hAnsi="宋体" w:cs="宋体" w:eastAsia="宋体" w:hint="default"/>
                <w:sz w:val="18"/>
                <w:szCs w:val="18"/>
              </w:rPr>
            </w:pPr>
            <w:r>
              <w:rPr>
                <w:rFonts w:ascii="宋体" w:hAnsi="宋体" w:cs="宋体" w:eastAsia="宋体" w:hint="default"/>
                <w:sz w:val="18"/>
                <w:szCs w:val="18"/>
              </w:rPr>
              <w:t>昆山东华机电实业有限 公司</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5,800,000.00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5,800,000.00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75" w:hRule="exact"/>
        </w:trPr>
        <w:tc>
          <w:tcPr>
            <w:tcW w:w="199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30,804,760.00</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30,804,760.00</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9"/>
          <w:szCs w:val="9"/>
        </w:rPr>
      </w:pPr>
    </w:p>
    <w:p>
      <w:pPr>
        <w:spacing w:line="415" w:lineRule="auto" w:before="36"/>
        <w:ind w:left="153" w:right="452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）本期计提、收回或转回的坏账准备情况</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本期计提坏账准备金额</w:t>
      </w:r>
      <w:r>
        <w:rPr>
          <w:rFonts w:ascii="宋体" w:hAnsi="宋体" w:cs="宋体" w:eastAsia="宋体" w:hint="default"/>
          <w:spacing w:val="-54"/>
          <w:sz w:val="21"/>
          <w:szCs w:val="21"/>
        </w:rPr>
        <w:t> </w:t>
      </w:r>
      <w:r>
        <w:rPr>
          <w:rFonts w:ascii="宋体" w:hAnsi="宋体" w:cs="宋体" w:eastAsia="宋体" w:hint="default"/>
          <w:sz w:val="21"/>
          <w:szCs w:val="21"/>
        </w:rPr>
        <w:t>0.00</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Heading4"/>
        <w:spacing w:line="240" w:lineRule="auto" w:before="138"/>
        <w:ind w:right="14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0"/>
        <w:rPr>
          <w:rFonts w:ascii="宋体" w:hAnsi="宋体" w:cs="宋体" w:eastAsia="宋体" w:hint="default"/>
          <w:b/>
          <w:bCs/>
          <w:sz w:val="13"/>
          <w:szCs w:val="1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3351"/>
        <w:gridCol w:w="3111"/>
        <w:gridCol w:w="3102"/>
      </w:tblGrid>
      <w:tr>
        <w:trPr>
          <w:trHeight w:val="473" w:hRule="exact"/>
        </w:trPr>
        <w:tc>
          <w:tcPr>
            <w:tcW w:w="335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11" w:type="dxa"/>
            <w:tcBorders>
              <w:top w:val="single" w:sz="12" w:space="0" w:color="000000"/>
              <w:left w:val="single" w:sz="9" w:space="0" w:color="D9D9D9"/>
              <w:bottom w:val="single" w:sz="6" w:space="0" w:color="000000"/>
              <w:right w:val="single" w:sz="6" w:space="0" w:color="000000"/>
            </w:tcBorders>
            <w:shd w:val="clear" w:color="auto" w:fill="D2D2D2"/>
          </w:tcPr>
          <w:p>
            <w:pPr>
              <w:pStyle w:val="TableParagraph"/>
              <w:spacing w:line="240" w:lineRule="auto" w:before="119"/>
              <w:ind w:left="101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9"/>
              <w:ind w:left="100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70"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5"/>
              <w:ind w:left="7"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11"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170,819,224.54</w:t>
            </w:r>
          </w:p>
        </w:tc>
        <w:tc>
          <w:tcPr>
            <w:tcW w:w="3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34,019,224.54</w:t>
            </w:r>
          </w:p>
        </w:tc>
      </w:tr>
      <w:tr>
        <w:trPr>
          <w:trHeight w:val="468"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11"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780,942.25</w:t>
            </w:r>
          </w:p>
        </w:tc>
        <w:tc>
          <w:tcPr>
            <w:tcW w:w="3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1,005,421.11</w:t>
            </w:r>
          </w:p>
        </w:tc>
      </w:tr>
      <w:tr>
        <w:trPr>
          <w:trHeight w:val="470" w:hRule="exact"/>
        </w:trPr>
        <w:tc>
          <w:tcPr>
            <w:tcW w:w="335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11"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4,084,034.75</w:t>
            </w:r>
          </w:p>
        </w:tc>
        <w:tc>
          <w:tcPr>
            <w:tcW w:w="3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4,084,034.75</w:t>
            </w:r>
          </w:p>
        </w:tc>
      </w:tr>
      <w:tr>
        <w:trPr>
          <w:trHeight w:val="475" w:hRule="exact"/>
        </w:trPr>
        <w:tc>
          <w:tcPr>
            <w:tcW w:w="335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23"/>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11" w:type="dxa"/>
            <w:tcBorders>
              <w:top w:val="single" w:sz="6" w:space="0" w:color="000000"/>
              <w:left w:val="single" w:sz="9" w:space="0" w:color="D9D9D9"/>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175,684,201.54</w:t>
            </w:r>
          </w:p>
        </w:tc>
        <w:tc>
          <w:tcPr>
            <w:tcW w:w="31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39,108,680.40</w:t>
            </w:r>
          </w:p>
        </w:tc>
      </w:tr>
    </w:tbl>
    <w:p>
      <w:pPr>
        <w:spacing w:line="240" w:lineRule="auto" w:before="11"/>
        <w:rPr>
          <w:rFonts w:ascii="宋体" w:hAnsi="宋体" w:cs="宋体" w:eastAsia="宋体" w:hint="default"/>
          <w:sz w:val="9"/>
          <w:szCs w:val="9"/>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13"/>
          <w:szCs w:val="1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2696"/>
        <w:gridCol w:w="991"/>
        <w:gridCol w:w="1558"/>
        <w:gridCol w:w="1094"/>
        <w:gridCol w:w="1616"/>
        <w:gridCol w:w="1616"/>
      </w:tblGrid>
      <w:tr>
        <w:trPr>
          <w:trHeight w:val="821" w:hRule="exact"/>
        </w:trPr>
        <w:tc>
          <w:tcPr>
            <w:tcW w:w="269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67" w:lineRule="auto" w:before="116"/>
              <w:ind w:left="81" w:right="77"/>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70" w:hRule="exact"/>
        </w:trPr>
        <w:tc>
          <w:tcPr>
            <w:tcW w:w="269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资金往来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136,800,000.00</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77.87%</w:t>
            </w:r>
          </w:p>
        </w:tc>
        <w:tc>
          <w:tcPr>
            <w:tcW w:w="1616"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69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北京新美房地产开发有限公司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资金往来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19,984,760.00</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11.38%</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19,984,760.00</w:t>
            </w:r>
          </w:p>
        </w:tc>
      </w:tr>
      <w:tr>
        <w:trPr>
          <w:trHeight w:val="470" w:hRule="exact"/>
        </w:trPr>
        <w:tc>
          <w:tcPr>
            <w:tcW w:w="269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昆山东华机电实业有限公司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资金往来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5,800,000.00</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3.30%</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5,800,000.00</w:t>
            </w:r>
          </w:p>
        </w:tc>
      </w:tr>
      <w:tr>
        <w:trPr>
          <w:trHeight w:val="468" w:hRule="exact"/>
        </w:trPr>
        <w:tc>
          <w:tcPr>
            <w:tcW w:w="269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北京金冠投资有限公司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资金往来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5,020,000.00</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2.86%</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5,020,000.00</w:t>
            </w:r>
          </w:p>
        </w:tc>
      </w:tr>
      <w:tr>
        <w:trPr>
          <w:trHeight w:val="468" w:hRule="exact"/>
        </w:trPr>
        <w:tc>
          <w:tcPr>
            <w:tcW w:w="2696" w:type="dxa"/>
            <w:tcBorders>
              <w:top w:val="single" w:sz="6" w:space="0" w:color="000000"/>
              <w:left w:val="single" w:sz="12" w:space="0" w:color="000000"/>
              <w:bottom w:val="single" w:sz="10" w:space="0" w:color="000000"/>
              <w:right w:val="single" w:sz="6" w:space="0" w:color="000000"/>
            </w:tcBorders>
            <w:shd w:val="clear" w:color="auto" w:fill="D9D9D9"/>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金佳旺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资金往来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3,352,000.00</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1.91%</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3,352,000.00</w:t>
            </w:r>
          </w:p>
        </w:tc>
      </w:tr>
      <w:tr>
        <w:trPr>
          <w:trHeight w:val="475" w:hRule="exact"/>
        </w:trPr>
        <w:tc>
          <w:tcPr>
            <w:tcW w:w="2696" w:type="dxa"/>
            <w:tcBorders>
              <w:top w:val="single" w:sz="8"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170,956,760.00</w:t>
            </w:r>
          </w:p>
        </w:tc>
        <w:tc>
          <w:tcPr>
            <w:tcW w:w="10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97.31%</w:t>
            </w:r>
          </w:p>
        </w:tc>
        <w:tc>
          <w:tcPr>
            <w:tcW w:w="16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34,156,760.00</w:t>
            </w:r>
          </w:p>
        </w:tc>
      </w:tr>
    </w:tbl>
    <w:p>
      <w:pPr>
        <w:spacing w:after="0" w:line="240" w:lineRule="auto"/>
        <w:jc w:val="right"/>
        <w:rPr>
          <w:rFonts w:ascii="Times New Roman" w:hAnsi="Times New Roman" w:cs="Times New Roman" w:eastAsia="Times New Roman" w:hint="default"/>
          <w:sz w:val="18"/>
          <w:szCs w:val="18"/>
        </w:rPr>
        <w:sectPr>
          <w:footerReference w:type="default" r:id="rId70"/>
          <w:pgSz w:w="11910" w:h="16840"/>
          <w:pgMar w:footer="1227" w:header="0" w:top="1100" w:bottom="1420" w:left="980" w:right="980"/>
          <w:pgNumType w:start="207"/>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5"/>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85"/>
        <w:gridCol w:w="1419"/>
        <w:gridCol w:w="992"/>
        <w:gridCol w:w="1385"/>
        <w:gridCol w:w="1263"/>
        <w:gridCol w:w="1265"/>
        <w:gridCol w:w="1265"/>
      </w:tblGrid>
      <w:tr>
        <w:trPr>
          <w:trHeight w:val="253" w:hRule="exact"/>
        </w:trPr>
        <w:tc>
          <w:tcPr>
            <w:tcW w:w="1985"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795" w:type="dxa"/>
            <w:gridSpan w:val="3"/>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93" w:type="dxa"/>
            <w:gridSpan w:val="3"/>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11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18" w:hRule="exact"/>
        </w:trPr>
        <w:tc>
          <w:tcPr>
            <w:tcW w:w="1985"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795" w:type="dxa"/>
            <w:gridSpan w:val="3"/>
            <w:vMerge/>
            <w:tcBorders>
              <w:left w:val="single" w:sz="6" w:space="0" w:color="000000"/>
              <w:bottom w:val="single" w:sz="6" w:space="0" w:color="000000"/>
              <w:right w:val="single" w:sz="6" w:space="0" w:color="000000"/>
            </w:tcBorders>
            <w:shd w:val="clear" w:color="auto" w:fill="D2D2D2"/>
          </w:tcPr>
          <w:p>
            <w:pPr/>
          </w:p>
        </w:tc>
        <w:tc>
          <w:tcPr>
            <w:tcW w:w="3793" w:type="dxa"/>
            <w:gridSpan w:val="3"/>
            <w:vMerge/>
            <w:tcBorders>
              <w:left w:val="single" w:sz="6" w:space="0" w:color="000000"/>
              <w:bottom w:val="single" w:sz="6" w:space="0" w:color="000000"/>
              <w:right w:val="single" w:sz="12" w:space="0" w:color="000000"/>
            </w:tcBorders>
            <w:shd w:val="clear" w:color="auto" w:fill="D2D2D2"/>
          </w:tcPr>
          <w:p>
            <w:pPr/>
          </w:p>
        </w:tc>
      </w:tr>
      <w:tr>
        <w:trPr>
          <w:trHeight w:val="221" w:hRule="exact"/>
        </w:trPr>
        <w:tc>
          <w:tcPr>
            <w:tcW w:w="1985" w:type="dxa"/>
            <w:vMerge/>
            <w:tcBorders>
              <w:left w:val="single" w:sz="12" w:space="0" w:color="000000"/>
              <w:bottom w:val="nil" w:sz="6" w:space="0" w:color="auto"/>
              <w:right w:val="single" w:sz="6" w:space="0" w:color="000000"/>
            </w:tcBorders>
            <w:shd w:val="clear" w:color="auto" w:fill="D2D2D2"/>
          </w:tcPr>
          <w:p>
            <w:pPr/>
          </w:p>
        </w:tc>
        <w:tc>
          <w:tcPr>
            <w:tcW w:w="141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3"/>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3"/>
              <w:ind w:left="12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3"/>
              <w:ind w:left="3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6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3"/>
              <w:ind w:left="2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3"/>
              <w:ind w:left="26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65"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123"/>
              <w:ind w:left="26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50" w:hRule="exact"/>
        </w:trPr>
        <w:tc>
          <w:tcPr>
            <w:tcW w:w="1985" w:type="dxa"/>
            <w:tcBorders>
              <w:top w:val="nil" w:sz="6" w:space="0" w:color="auto"/>
              <w:left w:val="single" w:sz="12" w:space="0" w:color="000000"/>
              <w:bottom w:val="single" w:sz="6" w:space="0" w:color="000000"/>
              <w:right w:val="single" w:sz="6" w:space="0" w:color="000000"/>
            </w:tcBorders>
            <w:shd w:val="clear" w:color="auto" w:fill="D2D2D2"/>
          </w:tcPr>
          <w:p>
            <w:pPr/>
          </w:p>
        </w:tc>
        <w:tc>
          <w:tcPr>
            <w:tcW w:w="1419" w:type="dxa"/>
            <w:vMerge/>
            <w:tcBorders>
              <w:left w:val="single" w:sz="6" w:space="0" w:color="000000"/>
              <w:bottom w:val="single" w:sz="6" w:space="0" w:color="000000"/>
              <w:right w:val="single" w:sz="6" w:space="0" w:color="000000"/>
            </w:tcBorders>
            <w:shd w:val="clear" w:color="auto" w:fill="D2D2D2"/>
          </w:tcPr>
          <w:p>
            <w:pPr/>
          </w:p>
        </w:tc>
        <w:tc>
          <w:tcPr>
            <w:tcW w:w="992" w:type="dxa"/>
            <w:vMerge/>
            <w:tcBorders>
              <w:left w:val="single" w:sz="6" w:space="0" w:color="000000"/>
              <w:bottom w:val="single" w:sz="6" w:space="0" w:color="000000"/>
              <w:right w:val="single" w:sz="6" w:space="0" w:color="000000"/>
            </w:tcBorders>
            <w:shd w:val="clear" w:color="auto" w:fill="D2D2D2"/>
          </w:tcPr>
          <w:p>
            <w:pPr/>
          </w:p>
        </w:tc>
        <w:tc>
          <w:tcPr>
            <w:tcW w:w="1385" w:type="dxa"/>
            <w:vMerge/>
            <w:tcBorders>
              <w:left w:val="single" w:sz="6" w:space="0" w:color="000000"/>
              <w:bottom w:val="single" w:sz="6" w:space="0" w:color="000000"/>
              <w:right w:val="single" w:sz="6" w:space="0" w:color="000000"/>
            </w:tcBorders>
            <w:shd w:val="clear" w:color="auto" w:fill="D2D2D2"/>
          </w:tcPr>
          <w:p>
            <w:pPr/>
          </w:p>
        </w:tc>
        <w:tc>
          <w:tcPr>
            <w:tcW w:w="1263" w:type="dxa"/>
            <w:vMerge/>
            <w:tcBorders>
              <w:left w:val="single" w:sz="6" w:space="0" w:color="000000"/>
              <w:bottom w:val="single" w:sz="6" w:space="0" w:color="000000"/>
              <w:right w:val="single" w:sz="6" w:space="0" w:color="000000"/>
            </w:tcBorders>
            <w:shd w:val="clear" w:color="auto" w:fill="D2D2D2"/>
          </w:tcPr>
          <w:p>
            <w:pPr/>
          </w:p>
        </w:tc>
        <w:tc>
          <w:tcPr>
            <w:tcW w:w="1265" w:type="dxa"/>
            <w:vMerge/>
            <w:tcBorders>
              <w:left w:val="single" w:sz="6" w:space="0" w:color="000000"/>
              <w:bottom w:val="single" w:sz="6" w:space="0" w:color="000000"/>
              <w:right w:val="single" w:sz="6" w:space="0" w:color="000000"/>
            </w:tcBorders>
            <w:shd w:val="clear" w:color="auto" w:fill="D2D2D2"/>
          </w:tcPr>
          <w:p>
            <w:pPr/>
          </w:p>
        </w:tc>
        <w:tc>
          <w:tcPr>
            <w:tcW w:w="1265" w:type="dxa"/>
            <w:vMerge/>
            <w:tcBorders>
              <w:left w:val="single" w:sz="6" w:space="0" w:color="000000"/>
              <w:bottom w:val="single" w:sz="6" w:space="0" w:color="000000"/>
              <w:right w:val="single" w:sz="12" w:space="0" w:color="000000"/>
            </w:tcBorders>
            <w:shd w:val="clear" w:color="auto" w:fill="D2D2D2"/>
          </w:tcPr>
          <w:p>
            <w:pPr/>
          </w:p>
        </w:tc>
      </w:tr>
      <w:tr>
        <w:trPr>
          <w:trHeight w:val="468" w:hRule="exact"/>
        </w:trPr>
        <w:tc>
          <w:tcPr>
            <w:tcW w:w="19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19" w:type="dxa"/>
            <w:tcBorders>
              <w:top w:val="single" w:sz="9" w:space="0" w:color="000000"/>
              <w:left w:val="single" w:sz="9" w:space="0" w:color="D2D2D2"/>
              <w:bottom w:val="single" w:sz="6" w:space="0" w:color="000000"/>
              <w:right w:val="single" w:sz="6" w:space="0" w:color="000000"/>
            </w:tcBorders>
          </w:tcPr>
          <w:p>
            <w:pPr>
              <w:pStyle w:val="TableParagraph"/>
              <w:spacing w:line="240" w:lineRule="auto" w:before="162"/>
              <w:ind w:right="20"/>
              <w:jc w:val="right"/>
              <w:rPr>
                <w:rFonts w:ascii="Times New Roman" w:hAnsi="Times New Roman" w:cs="Times New Roman" w:eastAsia="Times New Roman" w:hint="default"/>
                <w:sz w:val="18"/>
                <w:szCs w:val="18"/>
              </w:rPr>
            </w:pPr>
            <w:r>
              <w:rPr>
                <w:rFonts w:ascii="Times New Roman"/>
                <w:spacing w:val="-1"/>
                <w:sz w:val="18"/>
              </w:rPr>
              <w:t>1,533,135,617.91</w:t>
            </w:r>
          </w:p>
        </w:tc>
        <w:tc>
          <w:tcPr>
            <w:tcW w:w="992" w:type="dxa"/>
            <w:tcBorders>
              <w:top w:val="single" w:sz="9" w:space="0" w:color="000000"/>
              <w:left w:val="single" w:sz="6" w:space="0" w:color="000000"/>
              <w:bottom w:val="single" w:sz="6" w:space="0" w:color="000000"/>
              <w:right w:val="single" w:sz="6" w:space="0" w:color="000000"/>
            </w:tcBorders>
          </w:tcPr>
          <w:p>
            <w:pPr/>
          </w:p>
        </w:tc>
        <w:tc>
          <w:tcPr>
            <w:tcW w:w="1385"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162"/>
              <w:ind w:right="19"/>
              <w:jc w:val="right"/>
              <w:rPr>
                <w:rFonts w:ascii="Times New Roman" w:hAnsi="Times New Roman" w:cs="Times New Roman" w:eastAsia="Times New Roman" w:hint="default"/>
                <w:sz w:val="18"/>
                <w:szCs w:val="18"/>
              </w:rPr>
            </w:pPr>
            <w:r>
              <w:rPr>
                <w:rFonts w:ascii="Times New Roman"/>
                <w:spacing w:val="-1"/>
                <w:sz w:val="18"/>
              </w:rPr>
              <w:t>1,533,135,617.91</w:t>
            </w:r>
          </w:p>
        </w:tc>
        <w:tc>
          <w:tcPr>
            <w:tcW w:w="1263"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162"/>
              <w:ind w:right="17"/>
              <w:jc w:val="right"/>
              <w:rPr>
                <w:rFonts w:ascii="Times New Roman" w:hAnsi="Times New Roman" w:cs="Times New Roman" w:eastAsia="Times New Roman" w:hint="default"/>
                <w:sz w:val="18"/>
                <w:szCs w:val="18"/>
              </w:rPr>
            </w:pPr>
            <w:r>
              <w:rPr>
                <w:rFonts w:ascii="Times New Roman"/>
                <w:spacing w:val="-1"/>
                <w:sz w:val="18"/>
              </w:rPr>
              <w:t>823,135,617.91</w:t>
            </w:r>
          </w:p>
        </w:tc>
        <w:tc>
          <w:tcPr>
            <w:tcW w:w="1265"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9" w:space="0" w:color="000000"/>
              <w:left w:val="single" w:sz="6" w:space="0" w:color="000000"/>
              <w:bottom w:val="single" w:sz="6" w:space="0" w:color="000000"/>
              <w:right w:val="single" w:sz="12" w:space="0" w:color="000000"/>
            </w:tcBorders>
          </w:tcPr>
          <w:p>
            <w:pPr>
              <w:pStyle w:val="TableParagraph"/>
              <w:spacing w:line="240" w:lineRule="auto" w:before="162"/>
              <w:ind w:left="93" w:right="0"/>
              <w:jc w:val="center"/>
              <w:rPr>
                <w:rFonts w:ascii="Times New Roman" w:hAnsi="Times New Roman" w:cs="Times New Roman" w:eastAsia="Times New Roman" w:hint="default"/>
                <w:sz w:val="18"/>
                <w:szCs w:val="18"/>
              </w:rPr>
            </w:pPr>
            <w:r>
              <w:rPr>
                <w:rFonts w:ascii="Times New Roman"/>
                <w:sz w:val="18"/>
              </w:rPr>
              <w:t>823,135,617.91</w:t>
            </w:r>
          </w:p>
        </w:tc>
      </w:tr>
      <w:tr>
        <w:trPr>
          <w:trHeight w:val="470" w:hRule="exact"/>
        </w:trPr>
        <w:tc>
          <w:tcPr>
            <w:tcW w:w="19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419" w:type="dxa"/>
            <w:tcBorders>
              <w:top w:val="single" w:sz="6" w:space="0" w:color="000000"/>
              <w:left w:val="single" w:sz="9" w:space="0" w:color="D2D2D2"/>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12" w:space="0" w:color="000000"/>
            </w:tcBorders>
          </w:tcPr>
          <w:p>
            <w:pPr/>
          </w:p>
        </w:tc>
      </w:tr>
      <w:tr>
        <w:trPr>
          <w:trHeight w:val="473" w:hRule="exact"/>
        </w:trPr>
        <w:tc>
          <w:tcPr>
            <w:tcW w:w="198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1,533,135,617.91</w:t>
            </w:r>
          </w:p>
        </w:tc>
        <w:tc>
          <w:tcPr>
            <w:tcW w:w="992" w:type="dxa"/>
            <w:tcBorders>
              <w:top w:val="single" w:sz="6" w:space="0" w:color="000000"/>
              <w:left w:val="single" w:sz="6" w:space="0" w:color="000000"/>
              <w:bottom w:val="single" w:sz="12" w:space="0" w:color="000000"/>
              <w:right w:val="single" w:sz="6" w:space="0" w:color="000000"/>
            </w:tcBorders>
          </w:tcPr>
          <w:p>
            <w:pP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1,533,135,617.91</w:t>
            </w:r>
          </w:p>
        </w:tc>
        <w:tc>
          <w:tcPr>
            <w:tcW w:w="12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823,135,617.91</w:t>
            </w:r>
          </w:p>
        </w:tc>
        <w:tc>
          <w:tcPr>
            <w:tcW w:w="1265" w:type="dxa"/>
            <w:tcBorders>
              <w:top w:val="single" w:sz="6" w:space="0" w:color="000000"/>
              <w:left w:val="single" w:sz="6" w:space="0" w:color="000000"/>
              <w:bottom w:val="single" w:sz="12" w:space="0" w:color="000000"/>
              <w:right w:val="single" w:sz="6" w:space="0" w:color="000000"/>
            </w:tcBorders>
          </w:tcPr>
          <w:p>
            <w:pPr/>
          </w:p>
        </w:tc>
        <w:tc>
          <w:tcPr>
            <w:tcW w:w="12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823,135,617.91</w:t>
            </w:r>
          </w:p>
        </w:tc>
      </w:tr>
    </w:tbl>
    <w:p>
      <w:pPr>
        <w:spacing w:line="240" w:lineRule="auto" w:before="9"/>
        <w:rPr>
          <w:rFonts w:ascii="宋体" w:hAnsi="宋体" w:cs="宋体" w:eastAsia="宋体" w:hint="default"/>
          <w:sz w:val="23"/>
          <w:szCs w:val="23"/>
        </w:rPr>
      </w:pPr>
    </w:p>
    <w:p>
      <w:pPr>
        <w:pStyle w:val="Heading4"/>
        <w:spacing w:line="240" w:lineRule="auto" w:before="36"/>
        <w:ind w:right="14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2695"/>
        <w:gridCol w:w="1274"/>
        <w:gridCol w:w="1275"/>
        <w:gridCol w:w="886"/>
        <w:gridCol w:w="1383"/>
        <w:gridCol w:w="994"/>
        <w:gridCol w:w="1061"/>
      </w:tblGrid>
      <w:tr>
        <w:trPr>
          <w:trHeight w:val="822" w:hRule="exact"/>
        </w:trPr>
        <w:tc>
          <w:tcPr>
            <w:tcW w:w="269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88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7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8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8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64" w:lineRule="auto" w:before="117"/>
              <w:ind w:left="220" w:right="36"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06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64" w:lineRule="auto" w:before="117"/>
              <w:ind w:left="254" w:right="63"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468" w:hRule="exact"/>
        </w:trPr>
        <w:tc>
          <w:tcPr>
            <w:tcW w:w="269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13"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787,115,617.91</w:t>
            </w:r>
          </w:p>
        </w:tc>
        <w:tc>
          <w:tcPr>
            <w:tcW w:w="1275"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787,115,617.91</w:t>
            </w:r>
          </w:p>
        </w:tc>
        <w:tc>
          <w:tcPr>
            <w:tcW w:w="994"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269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5"/>
              <w:ind w:left="13" w:right="0"/>
              <w:jc w:val="left"/>
              <w:rPr>
                <w:rFonts w:ascii="宋体" w:hAnsi="宋体" w:cs="宋体" w:eastAsia="宋体" w:hint="default"/>
                <w:sz w:val="18"/>
                <w:szCs w:val="18"/>
              </w:rPr>
            </w:pPr>
            <w:r>
              <w:rPr>
                <w:rFonts w:ascii="宋体" w:hAnsi="宋体" w:cs="宋体" w:eastAsia="宋体" w:hint="default"/>
                <w:sz w:val="18"/>
                <w:szCs w:val="18"/>
              </w:rPr>
              <w:t>神州数码金信科技股份有限公司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36,020,000.00</w:t>
            </w:r>
          </w:p>
        </w:tc>
        <w:tc>
          <w:tcPr>
            <w:tcW w:w="1275"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36,020,000.00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269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3"/>
              <w:ind w:left="13" w:right="0"/>
              <w:jc w:val="left"/>
              <w:rPr>
                <w:rFonts w:ascii="宋体" w:hAnsi="宋体" w:cs="宋体" w:eastAsia="宋体" w:hint="default"/>
                <w:sz w:val="18"/>
                <w:szCs w:val="18"/>
              </w:rPr>
            </w:pPr>
            <w:r>
              <w:rPr>
                <w:rFonts w:ascii="宋体" w:hAnsi="宋体" w:cs="宋体" w:eastAsia="宋体" w:hint="default"/>
                <w:sz w:val="18"/>
                <w:szCs w:val="18"/>
              </w:rPr>
              <w:t>北京中农信达信息技术有限公司</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710,000,000.00</w:t>
            </w:r>
          </w:p>
        </w:tc>
        <w:tc>
          <w:tcPr>
            <w:tcW w:w="886"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710,000,000.00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12" w:space="0" w:color="000000"/>
            </w:tcBorders>
          </w:tcPr>
          <w:p>
            <w:pPr/>
          </w:p>
        </w:tc>
      </w:tr>
      <w:tr>
        <w:trPr>
          <w:trHeight w:val="476" w:hRule="exact"/>
        </w:trPr>
        <w:tc>
          <w:tcPr>
            <w:tcW w:w="269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2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823,135,617.91</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710,000,000.00</w:t>
            </w:r>
          </w:p>
        </w:tc>
        <w:tc>
          <w:tcPr>
            <w:tcW w:w="886" w:type="dxa"/>
            <w:tcBorders>
              <w:top w:val="single" w:sz="6" w:space="0" w:color="000000"/>
              <w:left w:val="single" w:sz="6" w:space="0" w:color="000000"/>
              <w:bottom w:val="single" w:sz="12" w:space="0" w:color="000000"/>
              <w:right w:val="single" w:sz="6" w:space="0" w:color="000000"/>
            </w:tcBorders>
          </w:tcPr>
          <w:p>
            <w:pPr/>
          </w:p>
        </w:tc>
        <w:tc>
          <w:tcPr>
            <w:tcW w:w="13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1,533,135,617.91</w:t>
            </w:r>
          </w:p>
        </w:tc>
        <w:tc>
          <w:tcPr>
            <w:tcW w:w="994" w:type="dxa"/>
            <w:tcBorders>
              <w:top w:val="single" w:sz="6" w:space="0" w:color="000000"/>
              <w:left w:val="single" w:sz="6" w:space="0" w:color="000000"/>
              <w:bottom w:val="single" w:sz="12" w:space="0" w:color="000000"/>
              <w:right w:val="single" w:sz="6" w:space="0" w:color="000000"/>
            </w:tcBorders>
          </w:tcPr>
          <w:p>
            <w:pPr/>
          </w:p>
        </w:tc>
        <w:tc>
          <w:tcPr>
            <w:tcW w:w="1061"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241" w:hRule="exact"/>
        </w:trPr>
        <w:tc>
          <w:tcPr>
            <w:tcW w:w="1994"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750"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115"/>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115"/>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21" w:hRule="exact"/>
        </w:trPr>
        <w:tc>
          <w:tcPr>
            <w:tcW w:w="1994"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11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6" w:space="0" w:color="000000"/>
              <w:bottom w:val="single" w:sz="6" w:space="0" w:color="000000"/>
              <w:right w:val="single" w:sz="6" w:space="0" w:color="000000"/>
            </w:tcBorders>
            <w:shd w:val="clear" w:color="auto" w:fill="D2D2D2"/>
          </w:tcPr>
          <w:p>
            <w:pPr/>
          </w:p>
        </w:tc>
        <w:tc>
          <w:tcPr>
            <w:tcW w:w="3829" w:type="dxa"/>
            <w:gridSpan w:val="2"/>
            <w:vMerge/>
            <w:tcBorders>
              <w:left w:val="single" w:sz="6" w:space="0" w:color="000000"/>
              <w:bottom w:val="single" w:sz="6" w:space="0" w:color="000000"/>
              <w:right w:val="single" w:sz="12" w:space="0" w:color="000000"/>
            </w:tcBorders>
            <w:shd w:val="clear" w:color="auto" w:fill="D2D2D2"/>
          </w:tcPr>
          <w:p>
            <w:pPr/>
          </w:p>
        </w:tc>
      </w:tr>
      <w:tr>
        <w:trPr>
          <w:trHeight w:val="218" w:hRule="exact"/>
        </w:trPr>
        <w:tc>
          <w:tcPr>
            <w:tcW w:w="1994" w:type="dxa"/>
            <w:vMerge/>
            <w:tcBorders>
              <w:left w:val="single" w:sz="12" w:space="0" w:color="000000"/>
              <w:bottom w:val="nil" w:sz="6" w:space="0" w:color="auto"/>
              <w:right w:val="single" w:sz="6" w:space="0" w:color="000000"/>
            </w:tcBorders>
            <w:shd w:val="clear" w:color="auto" w:fill="D2D2D2"/>
          </w:tcPr>
          <w:p>
            <w:pPr/>
          </w:p>
        </w:tc>
        <w:tc>
          <w:tcPr>
            <w:tcW w:w="18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6"/>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6"/>
              <w:ind w:left="6"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35" w:hRule="exact"/>
        </w:trPr>
        <w:tc>
          <w:tcPr>
            <w:tcW w:w="1994" w:type="dxa"/>
            <w:tcBorders>
              <w:top w:val="nil" w:sz="6" w:space="0" w:color="auto"/>
              <w:left w:val="single" w:sz="12" w:space="0" w:color="000000"/>
              <w:bottom w:val="single" w:sz="6" w:space="0" w:color="000000"/>
              <w:right w:val="single" w:sz="6" w:space="0" w:color="000000"/>
            </w:tcBorders>
            <w:shd w:val="clear" w:color="auto" w:fill="D2D2D2"/>
          </w:tcPr>
          <w:p>
            <w:pPr/>
          </w:p>
        </w:tc>
        <w:tc>
          <w:tcPr>
            <w:tcW w:w="1837"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6" w:space="0" w:color="000000"/>
            </w:tcBorders>
            <w:shd w:val="clear" w:color="auto" w:fill="D2D2D2"/>
          </w:tcPr>
          <w:p>
            <w:pPr/>
          </w:p>
        </w:tc>
        <w:tc>
          <w:tcPr>
            <w:tcW w:w="1916" w:type="dxa"/>
            <w:vMerge/>
            <w:tcBorders>
              <w:left w:val="single" w:sz="6" w:space="0" w:color="000000"/>
              <w:bottom w:val="single" w:sz="6" w:space="0" w:color="000000"/>
              <w:right w:val="single" w:sz="12" w:space="0" w:color="000000"/>
            </w:tcBorders>
            <w:shd w:val="clear" w:color="auto" w:fill="D2D2D2"/>
          </w:tcPr>
          <w:p>
            <w:pPr/>
          </w:p>
        </w:tc>
      </w:tr>
      <w:tr>
        <w:trPr>
          <w:trHeight w:val="456" w:hRule="exact"/>
        </w:trPr>
        <w:tc>
          <w:tcPr>
            <w:tcW w:w="19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507,794,720.55</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450,203,131.40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4"/>
              <w:jc w:val="right"/>
              <w:rPr>
                <w:rFonts w:ascii="Times New Roman" w:hAnsi="Times New Roman" w:cs="Times New Roman" w:eastAsia="Times New Roman" w:hint="default"/>
                <w:sz w:val="18"/>
                <w:szCs w:val="18"/>
              </w:rPr>
            </w:pPr>
            <w:r>
              <w:rPr>
                <w:rFonts w:ascii="Times New Roman"/>
                <w:spacing w:val="-1"/>
                <w:sz w:val="18"/>
              </w:rPr>
              <w:t>11,602,398.00</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11,304,666.00</w:t>
            </w:r>
          </w:p>
        </w:tc>
      </w:tr>
      <w:tr>
        <w:trPr>
          <w:trHeight w:val="454" w:hRule="exact"/>
        </w:trPr>
        <w:tc>
          <w:tcPr>
            <w:tcW w:w="19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6" w:space="0" w:color="000000"/>
              <w:left w:val="single" w:sz="8" w:space="0" w:color="D2D2D2"/>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199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161"/>
              <w:ind w:right="17"/>
              <w:jc w:val="right"/>
              <w:rPr>
                <w:rFonts w:ascii="Times New Roman" w:hAnsi="Times New Roman" w:cs="Times New Roman" w:eastAsia="Times New Roman" w:hint="default"/>
                <w:sz w:val="18"/>
                <w:szCs w:val="18"/>
              </w:rPr>
            </w:pPr>
            <w:r>
              <w:rPr>
                <w:rFonts w:ascii="Times New Roman"/>
                <w:spacing w:val="-1"/>
                <w:sz w:val="18"/>
              </w:rPr>
              <w:t>507,794,720.55</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1"/>
              <w:ind w:right="17"/>
              <w:jc w:val="right"/>
              <w:rPr>
                <w:rFonts w:ascii="Times New Roman" w:hAnsi="Times New Roman" w:cs="Times New Roman" w:eastAsia="Times New Roman" w:hint="default"/>
                <w:sz w:val="18"/>
                <w:szCs w:val="18"/>
              </w:rPr>
            </w:pPr>
            <w:r>
              <w:rPr>
                <w:rFonts w:ascii="Times New Roman"/>
                <w:spacing w:val="-1"/>
                <w:sz w:val="18"/>
              </w:rPr>
              <w:t>450,203,131.40</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1"/>
              <w:ind w:right="14"/>
              <w:jc w:val="right"/>
              <w:rPr>
                <w:rFonts w:ascii="Times New Roman" w:hAnsi="Times New Roman" w:cs="Times New Roman" w:eastAsia="Times New Roman" w:hint="default"/>
                <w:sz w:val="18"/>
                <w:szCs w:val="18"/>
              </w:rPr>
            </w:pPr>
            <w:r>
              <w:rPr>
                <w:rFonts w:ascii="Times New Roman"/>
                <w:spacing w:val="-1"/>
                <w:sz w:val="18"/>
              </w:rPr>
              <w:t>11,602,398.00</w:t>
            </w:r>
          </w:p>
        </w:tc>
        <w:tc>
          <w:tcPr>
            <w:tcW w:w="19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1"/>
              <w:ind w:right="10"/>
              <w:jc w:val="right"/>
              <w:rPr>
                <w:rFonts w:ascii="Times New Roman" w:hAnsi="Times New Roman" w:cs="Times New Roman" w:eastAsia="Times New Roman" w:hint="default"/>
                <w:sz w:val="18"/>
                <w:szCs w:val="18"/>
              </w:rPr>
            </w:pPr>
            <w:r>
              <w:rPr>
                <w:rFonts w:ascii="Times New Roman"/>
                <w:spacing w:val="-1"/>
                <w:sz w:val="18"/>
              </w:rPr>
              <w:t>11,304,666.00</w:t>
            </w:r>
          </w:p>
        </w:tc>
      </w:tr>
    </w:tbl>
    <w:p>
      <w:pPr>
        <w:spacing w:line="240" w:lineRule="auto" w:before="8"/>
        <w:rPr>
          <w:rFonts w:ascii="宋体" w:hAnsi="宋体" w:cs="宋体" w:eastAsia="宋体" w:hint="default"/>
          <w:sz w:val="23"/>
          <w:szCs w:val="23"/>
        </w:rPr>
      </w:pPr>
    </w:p>
    <w:p>
      <w:pPr>
        <w:pStyle w:val="Heading4"/>
        <w:spacing w:line="240" w:lineRule="auto" w:before="36"/>
        <w:ind w:right="14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7"/>
          <w:szCs w:val="2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308"/>
        <w:gridCol w:w="3070"/>
        <w:gridCol w:w="3186"/>
      </w:tblGrid>
      <w:tr>
        <w:trPr>
          <w:trHeight w:val="462" w:hRule="exact"/>
        </w:trPr>
        <w:tc>
          <w:tcPr>
            <w:tcW w:w="330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7"/>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7"/>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1" w:hRule="exact"/>
        </w:trPr>
        <w:tc>
          <w:tcPr>
            <w:tcW w:w="330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58"/>
              <w:ind w:left="1904" w:right="0"/>
              <w:jc w:val="left"/>
              <w:rPr>
                <w:rFonts w:ascii="Times New Roman" w:hAnsi="Times New Roman" w:cs="Times New Roman" w:eastAsia="Times New Roman" w:hint="default"/>
                <w:sz w:val="18"/>
                <w:szCs w:val="18"/>
              </w:rPr>
            </w:pPr>
            <w:r>
              <w:rPr>
                <w:rFonts w:ascii="Times New Roman"/>
                <w:sz w:val="18"/>
              </w:rPr>
              <w:t>357,516,512.00</w:t>
            </w:r>
          </w:p>
        </w:tc>
        <w:tc>
          <w:tcPr>
            <w:tcW w:w="3186"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0"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0" w:type="dxa"/>
        <w:tblLayout w:type="fixed"/>
        <w:tblCellMar>
          <w:top w:w="0" w:type="dxa"/>
          <w:left w:w="0" w:type="dxa"/>
          <w:bottom w:w="0" w:type="dxa"/>
          <w:right w:w="0" w:type="dxa"/>
        </w:tblCellMar>
        <w:tblLook w:val="01E0"/>
      </w:tblPr>
      <w:tblGrid>
        <w:gridCol w:w="3314"/>
        <w:gridCol w:w="3070"/>
        <w:gridCol w:w="3186"/>
      </w:tblGrid>
      <w:tr>
        <w:trPr>
          <w:trHeight w:val="464" w:hRule="exact"/>
        </w:trPr>
        <w:tc>
          <w:tcPr>
            <w:tcW w:w="331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left="1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0" w:type="dxa"/>
            <w:tcBorders>
              <w:top w:val="single" w:sz="12" w:space="0" w:color="000000"/>
              <w:left w:val="single" w:sz="9" w:space="0" w:color="D2D2D2"/>
              <w:bottom w:val="single" w:sz="6" w:space="0" w:color="000000"/>
              <w:right w:val="single" w:sz="6" w:space="0" w:color="000000"/>
            </w:tcBorders>
          </w:tcPr>
          <w:p>
            <w:pPr/>
          </w:p>
        </w:tc>
        <w:tc>
          <w:tcPr>
            <w:tcW w:w="3186" w:type="dxa"/>
            <w:tcBorders>
              <w:top w:val="single" w:sz="12" w:space="0" w:color="000000"/>
              <w:left w:val="single" w:sz="6" w:space="0" w:color="000000"/>
              <w:bottom w:val="single" w:sz="6" w:space="0" w:color="000000"/>
              <w:right w:val="single" w:sz="12" w:space="0" w:color="000000"/>
            </w:tcBorders>
          </w:tcPr>
          <w:p>
            <w:pPr/>
          </w:p>
        </w:tc>
      </w:tr>
      <w:tr>
        <w:trPr>
          <w:trHeight w:val="454" w:hRule="exact"/>
        </w:trPr>
        <w:tc>
          <w:tcPr>
            <w:tcW w:w="33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0" w:type="dxa"/>
            <w:tcBorders>
              <w:top w:val="single" w:sz="6" w:space="0" w:color="000000"/>
              <w:left w:val="single" w:sz="9"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816" w:hRule="exact"/>
        </w:trPr>
        <w:tc>
          <w:tcPr>
            <w:tcW w:w="33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4" w:lineRule="auto" w:before="118"/>
              <w:ind w:left="13" w:right="3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70" w:type="dxa"/>
            <w:tcBorders>
              <w:top w:val="single" w:sz="6" w:space="0" w:color="000000"/>
              <w:left w:val="single" w:sz="9"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816" w:hRule="exact"/>
        </w:trPr>
        <w:tc>
          <w:tcPr>
            <w:tcW w:w="33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7" w:lineRule="auto" w:before="116"/>
              <w:ind w:left="13" w:right="36"/>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0" w:type="dxa"/>
            <w:tcBorders>
              <w:top w:val="single" w:sz="6" w:space="0" w:color="000000"/>
              <w:left w:val="single" w:sz="9"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33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70" w:type="dxa"/>
            <w:tcBorders>
              <w:top w:val="single" w:sz="6" w:space="0" w:color="000000"/>
              <w:left w:val="single" w:sz="9"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3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0" w:type="dxa"/>
            <w:tcBorders>
              <w:top w:val="single" w:sz="6" w:space="0" w:color="000000"/>
              <w:left w:val="single" w:sz="9"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33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0" w:type="dxa"/>
            <w:tcBorders>
              <w:top w:val="single" w:sz="6" w:space="0" w:color="000000"/>
              <w:left w:val="single" w:sz="9"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816" w:hRule="exact"/>
        </w:trPr>
        <w:tc>
          <w:tcPr>
            <w:tcW w:w="33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64" w:lineRule="auto" w:before="118"/>
              <w:ind w:left="13" w:right="36"/>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070" w:type="dxa"/>
            <w:tcBorders>
              <w:top w:val="single" w:sz="6" w:space="0" w:color="000000"/>
              <w:left w:val="single" w:sz="9" w:space="0" w:color="D9D9D9"/>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331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70"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955,945.21</w:t>
            </w: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331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358,472,457.21</w:t>
            </w:r>
          </w:p>
        </w:tc>
        <w:tc>
          <w:tcPr>
            <w:tcW w:w="318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9"/>
        <w:rPr>
          <w:rFonts w:ascii="宋体" w:hAnsi="宋体" w:cs="宋体" w:eastAsia="宋体" w:hint="default"/>
          <w:sz w:val="21"/>
          <w:szCs w:val="21"/>
        </w:rPr>
      </w:pPr>
    </w:p>
    <w:p>
      <w:pPr>
        <w:pStyle w:val="Heading2"/>
        <w:spacing w:line="240" w:lineRule="auto"/>
        <w:ind w:right="140"/>
        <w:jc w:val="left"/>
        <w:rPr>
          <w:b w:val="0"/>
          <w:bCs w:val="0"/>
        </w:rPr>
      </w:pPr>
      <w:r>
        <w:rPr/>
        <w:t>十五、补充资料</w:t>
      </w:r>
      <w:r>
        <w:rPr>
          <w:b w:val="0"/>
          <w:bCs w:val="0"/>
        </w:rPr>
      </w:r>
    </w:p>
    <w:p>
      <w:pPr>
        <w:spacing w:line="240" w:lineRule="auto" w:before="1"/>
        <w:rPr>
          <w:rFonts w:ascii="宋体" w:hAnsi="宋体" w:cs="宋体" w:eastAsia="宋体" w:hint="default"/>
          <w:b/>
          <w:bCs/>
          <w:sz w:val="29"/>
          <w:szCs w:val="29"/>
        </w:rPr>
      </w:pPr>
    </w:p>
    <w:p>
      <w:pPr>
        <w:pStyle w:val="Heading4"/>
        <w:spacing w:line="240" w:lineRule="auto"/>
        <w:ind w:right="14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9"/>
          <w:szCs w:val="29"/>
        </w:rPr>
      </w:pPr>
    </w:p>
    <w:p>
      <w:pPr>
        <w:pStyle w:val="BodyText"/>
        <w:spacing w:line="240" w:lineRule="auto"/>
        <w:ind w:right="140"/>
        <w:jc w:val="left"/>
      </w:pPr>
      <w:r>
        <w:rPr/>
        <w:t>√ 适用 □ 不适用</w:t>
      </w:r>
    </w:p>
    <w:p>
      <w:pPr>
        <w:spacing w:line="240" w:lineRule="auto" w:before="4"/>
        <w:rPr>
          <w:rFonts w:ascii="宋体" w:hAnsi="宋体" w:cs="宋体" w:eastAsia="宋体" w:hint="default"/>
          <w:sz w:val="15"/>
          <w:szCs w:val="1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6789"/>
        <w:gridCol w:w="1711"/>
        <w:gridCol w:w="1064"/>
      </w:tblGrid>
      <w:tr>
        <w:trPr>
          <w:trHeight w:val="462" w:hRule="exact"/>
        </w:trPr>
        <w:tc>
          <w:tcPr>
            <w:tcW w:w="678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5"/>
              <w:ind w:left="345"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455" w:hRule="exact"/>
        </w:trPr>
        <w:tc>
          <w:tcPr>
            <w:tcW w:w="678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1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-456,221.41</w:t>
            </w: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78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7"/>
              <w:ind w:left="7"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711" w:type="dxa"/>
            <w:tcBorders>
              <w:top w:val="single" w:sz="6" w:space="0" w:color="000000"/>
              <w:left w:val="single" w:sz="9" w:space="0" w:color="D2D2D2"/>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815" w:hRule="exact"/>
        </w:trPr>
        <w:tc>
          <w:tcPr>
            <w:tcW w:w="678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7" w:lineRule="auto" w:before="116"/>
              <w:ind w:left="7" w:right="97"/>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计入当期损益的政府补助（与企业业务密切相关，按照国家统一标准定额或定量享受 的政府补助除外）</w:t>
            </w:r>
          </w:p>
        </w:tc>
        <w:tc>
          <w:tcPr>
            <w:tcW w:w="171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19,255,629.29</w:t>
            </w: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78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7"/>
              <w:ind w:left="7"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711" w:type="dxa"/>
            <w:tcBorders>
              <w:top w:val="single" w:sz="6" w:space="0" w:color="000000"/>
              <w:left w:val="single" w:sz="9" w:space="0" w:color="D2D2D2"/>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816" w:hRule="exact"/>
        </w:trPr>
        <w:tc>
          <w:tcPr>
            <w:tcW w:w="678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7" w:lineRule="auto" w:before="116"/>
              <w:ind w:left="7" w:right="97"/>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企业取得子公司、联营企业及合营企业的投资成本小于取得投资时应享有被投资单位 可辨认净资产公允价值产生的收益</w:t>
            </w:r>
          </w:p>
        </w:tc>
        <w:tc>
          <w:tcPr>
            <w:tcW w:w="1711" w:type="dxa"/>
            <w:tcBorders>
              <w:top w:val="single" w:sz="6" w:space="0" w:color="000000"/>
              <w:left w:val="single" w:sz="9" w:space="0" w:color="D2D2D2"/>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678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711" w:type="dxa"/>
            <w:tcBorders>
              <w:top w:val="single" w:sz="6" w:space="0" w:color="000000"/>
              <w:left w:val="single" w:sz="9" w:space="0" w:color="D2D2D2"/>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78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711" w:type="dxa"/>
            <w:tcBorders>
              <w:top w:val="single" w:sz="6" w:space="0" w:color="000000"/>
              <w:left w:val="single" w:sz="9" w:space="0" w:color="D2D2D2"/>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78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711" w:type="dxa"/>
            <w:tcBorders>
              <w:top w:val="single" w:sz="6" w:space="0" w:color="000000"/>
              <w:left w:val="single" w:sz="9" w:space="0" w:color="D2D2D2"/>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60" w:hRule="exact"/>
        </w:trPr>
        <w:tc>
          <w:tcPr>
            <w:tcW w:w="678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7"/>
              <w:ind w:left="7"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711" w:type="dxa"/>
            <w:tcBorders>
              <w:top w:val="single" w:sz="6" w:space="0" w:color="000000"/>
              <w:left w:val="single" w:sz="9" w:space="0" w:color="D2D2D2"/>
              <w:bottom w:val="single" w:sz="12" w:space="0" w:color="000000"/>
              <w:right w:val="single" w:sz="6" w:space="0" w:color="000000"/>
            </w:tcBorders>
          </w:tcPr>
          <w:p>
            <w:pPr/>
          </w:p>
        </w:tc>
        <w:tc>
          <w:tcPr>
            <w:tcW w:w="1064"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0" w:footer="1227" w:top="1100" w:bottom="1420" w:left="980" w:right="980"/>
        </w:sectPr>
      </w:pPr>
    </w:p>
    <w:p>
      <w:pPr>
        <w:spacing w:line="240" w:lineRule="auto" w:before="9"/>
        <w:rPr>
          <w:rFonts w:ascii="宋体" w:hAnsi="宋体" w:cs="宋体" w:eastAsia="宋体" w:hint="default"/>
          <w:sz w:val="24"/>
          <w:szCs w:val="24"/>
        </w:rPr>
      </w:pPr>
    </w:p>
    <w:tbl>
      <w:tblPr>
        <w:tblW w:w="0" w:type="auto"/>
        <w:jc w:val="left"/>
        <w:tblInd w:w="140" w:type="dxa"/>
        <w:tblLayout w:type="fixed"/>
        <w:tblCellMar>
          <w:top w:w="0" w:type="dxa"/>
          <w:left w:w="0" w:type="dxa"/>
          <w:bottom w:w="0" w:type="dxa"/>
          <w:right w:w="0" w:type="dxa"/>
        </w:tblCellMar>
        <w:tblLook w:val="01E0"/>
      </w:tblPr>
      <w:tblGrid>
        <w:gridCol w:w="6795"/>
        <w:gridCol w:w="1711"/>
        <w:gridCol w:w="1064"/>
      </w:tblGrid>
      <w:tr>
        <w:trPr>
          <w:trHeight w:val="462" w:hRule="exact"/>
        </w:trPr>
        <w:tc>
          <w:tcPr>
            <w:tcW w:w="67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7"/>
              <w:ind w:left="1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711" w:type="dxa"/>
            <w:tcBorders>
              <w:top w:val="single" w:sz="12" w:space="0" w:color="000000"/>
              <w:left w:val="single" w:sz="9" w:space="0" w:color="D2D2D2"/>
              <w:bottom w:val="single" w:sz="6" w:space="0" w:color="000000"/>
              <w:right w:val="single" w:sz="6"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-2,207,547.16</w:t>
            </w:r>
          </w:p>
        </w:tc>
        <w:tc>
          <w:tcPr>
            <w:tcW w:w="1064" w:type="dxa"/>
            <w:tcBorders>
              <w:top w:val="single" w:sz="12" w:space="0" w:color="000000"/>
              <w:left w:val="single" w:sz="6" w:space="0" w:color="000000"/>
              <w:bottom w:val="single" w:sz="6" w:space="0" w:color="000000"/>
              <w:right w:val="single" w:sz="12" w:space="0" w:color="000000"/>
            </w:tcBorders>
          </w:tcPr>
          <w:p>
            <w:pPr/>
          </w:p>
        </w:tc>
      </w:tr>
      <w:tr>
        <w:trPr>
          <w:trHeight w:val="455" w:hRule="exact"/>
        </w:trPr>
        <w:tc>
          <w:tcPr>
            <w:tcW w:w="67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711" w:type="dxa"/>
            <w:tcBorders>
              <w:top w:val="single" w:sz="6" w:space="0" w:color="000000"/>
              <w:left w:val="single" w:sz="9" w:space="0" w:color="D2D2D2"/>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7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7"/>
              <w:ind w:left="1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711" w:type="dxa"/>
            <w:tcBorders>
              <w:top w:val="single" w:sz="6" w:space="0" w:color="000000"/>
              <w:left w:val="single" w:sz="9" w:space="0" w:color="D2D2D2"/>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7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711" w:type="dxa"/>
            <w:tcBorders>
              <w:top w:val="single" w:sz="6" w:space="0" w:color="000000"/>
              <w:left w:val="single" w:sz="9" w:space="0" w:color="D2D2D2"/>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1174" w:hRule="exact"/>
        </w:trPr>
        <w:tc>
          <w:tcPr>
            <w:tcW w:w="67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7" w:lineRule="auto" w:before="116"/>
              <w:ind w:left="13" w:right="9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除同公司正常经营业务相关的有效套期保值业务外，持有交易性金融资产、交易性金 融负债产生的公允价值变动损益，以及处置交易性金融资产、交易性金融负债和可供 出售金融资产取得的投资收益</w:t>
            </w:r>
          </w:p>
        </w:tc>
        <w:tc>
          <w:tcPr>
            <w:tcW w:w="171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-10,424,057.88</w:t>
            </w: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7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711" w:type="dxa"/>
            <w:tcBorders>
              <w:top w:val="single" w:sz="6" w:space="0" w:color="000000"/>
              <w:left w:val="single" w:sz="9" w:space="0" w:color="D2D2D2"/>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7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711" w:type="dxa"/>
            <w:tcBorders>
              <w:top w:val="single" w:sz="6" w:space="0" w:color="000000"/>
              <w:left w:val="single" w:sz="9" w:space="0" w:color="D2D2D2"/>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7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7"/>
              <w:ind w:left="13"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711" w:type="dxa"/>
            <w:tcBorders>
              <w:top w:val="single" w:sz="6" w:space="0" w:color="000000"/>
              <w:left w:val="single" w:sz="9" w:space="0" w:color="D2D2D2"/>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7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根据税收、会计等法律、法规的要求对当期损益进行一次性调整对当期损益的影响</w:t>
            </w:r>
          </w:p>
        </w:tc>
        <w:tc>
          <w:tcPr>
            <w:tcW w:w="1711" w:type="dxa"/>
            <w:tcBorders>
              <w:top w:val="single" w:sz="6" w:space="0" w:color="000000"/>
              <w:left w:val="single" w:sz="9" w:space="0" w:color="D2D2D2"/>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67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711" w:type="dxa"/>
            <w:tcBorders>
              <w:top w:val="single" w:sz="6" w:space="0" w:color="000000"/>
              <w:left w:val="single" w:sz="9" w:space="0" w:color="D2D2D2"/>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7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1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746,039.68</w:t>
            </w: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79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711" w:type="dxa"/>
            <w:tcBorders>
              <w:top w:val="single" w:sz="6" w:space="0" w:color="000000"/>
              <w:left w:val="single" w:sz="9" w:space="0" w:color="D9D9D9"/>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79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7"/>
              <w:ind w:left="13" w:right="0"/>
              <w:jc w:val="left"/>
              <w:rPr>
                <w:rFonts w:ascii="宋体" w:hAnsi="宋体" w:cs="宋体" w:eastAsia="宋体" w:hint="default"/>
                <w:sz w:val="18"/>
                <w:szCs w:val="18"/>
              </w:rPr>
            </w:pPr>
            <w:r>
              <w:rPr>
                <w:rFonts w:ascii="宋体" w:hAnsi="宋体" w:cs="宋体" w:eastAsia="宋体" w:hint="default"/>
                <w:sz w:val="18"/>
                <w:szCs w:val="18"/>
              </w:rPr>
              <w:t>捐赠性收支净额</w:t>
            </w:r>
          </w:p>
        </w:tc>
        <w:tc>
          <w:tcPr>
            <w:tcW w:w="1711"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pacing w:val="-1"/>
                <w:sz w:val="18"/>
              </w:rPr>
              <w:t>-545,150.00</w:t>
            </w: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79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处置长期股权投资收益</w:t>
            </w:r>
          </w:p>
        </w:tc>
        <w:tc>
          <w:tcPr>
            <w:tcW w:w="1711"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17,276,443.95</w:t>
            </w: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67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1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71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4,040,651.53</w:t>
            </w: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67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7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71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4,956,087.06</w:t>
            </w:r>
          </w:p>
        </w:tc>
        <w:tc>
          <w:tcPr>
            <w:tcW w:w="1064"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67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1"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14,648,397.88</w:t>
            </w:r>
          </w:p>
        </w:tc>
        <w:tc>
          <w:tcPr>
            <w:tcW w:w="106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6"/>
        <w:ind w:right="0"/>
        <w:jc w:val="left"/>
      </w:pPr>
      <w:r>
        <w:rPr>
          <w:spacing w:val="-2"/>
        </w:rPr>
        <w:t>对公司根据《公开发行证券的公司信息披露解释性公告第</w:t>
      </w:r>
      <w:r>
        <w:rPr/>
        <w:t> </w:t>
      </w:r>
      <w:r>
        <w:rPr>
          <w:rFonts w:ascii="宋体" w:hAnsi="宋体" w:cs="宋体" w:eastAsia="宋体" w:hint="default"/>
        </w:rPr>
        <w:t>1</w:t>
      </w:r>
      <w:r>
        <w:rPr>
          <w:rFonts w:ascii="宋体" w:hAnsi="宋体" w:cs="宋体" w:eastAsia="宋体" w:hint="default"/>
          <w:spacing w:val="-46"/>
        </w:rPr>
        <w:t> </w:t>
      </w:r>
      <w:r>
        <w:rPr>
          <w:spacing w:val="-2"/>
        </w:rPr>
        <w:t>号——非经常性损益》定义界定的非经常性损</w:t>
      </w:r>
    </w:p>
    <w:p>
      <w:pPr>
        <w:spacing w:line="240" w:lineRule="auto" w:before="10"/>
        <w:rPr>
          <w:rFonts w:ascii="宋体" w:hAnsi="宋体" w:cs="宋体" w:eastAsia="宋体" w:hint="default"/>
          <w:sz w:val="14"/>
          <w:szCs w:val="14"/>
        </w:rPr>
      </w:pPr>
    </w:p>
    <w:p>
      <w:pPr>
        <w:pStyle w:val="BodyText"/>
        <w:spacing w:line="408" w:lineRule="auto"/>
        <w:ind w:right="140"/>
        <w:jc w:val="left"/>
      </w:pPr>
      <w:r>
        <w:rPr>
          <w:spacing w:val="-2"/>
        </w:rPr>
        <w:t>益项目，以及把《公开发行证券的公司信息披露解释性公告第</w:t>
      </w:r>
      <w:r>
        <w:rPr>
          <w:spacing w:val="-29"/>
        </w:rPr>
        <w:t> </w:t>
      </w:r>
      <w:r>
        <w:rPr>
          <w:rFonts w:ascii="宋体" w:hAnsi="宋体" w:cs="宋体" w:eastAsia="宋体" w:hint="default"/>
        </w:rPr>
        <w:t>1</w:t>
      </w:r>
      <w:r>
        <w:rPr>
          <w:rFonts w:ascii="宋体" w:hAnsi="宋体" w:cs="宋体" w:eastAsia="宋体" w:hint="default"/>
          <w:spacing w:val="-29"/>
        </w:rPr>
        <w:t> </w:t>
      </w:r>
      <w:r>
        <w:rPr>
          <w:spacing w:val="-2"/>
        </w:rPr>
        <w:t>号——非经常性损益》中列举的非经常性</w:t>
      </w:r>
      <w:r>
        <w:rPr>
          <w:spacing w:val="-95"/>
        </w:rPr>
        <w:t> </w:t>
      </w:r>
      <w:r>
        <w:rPr>
          <w:spacing w:val="-95"/>
        </w:rPr>
      </w:r>
      <w:r>
        <w:rPr/>
        <w:t>损益项目界定为经常性损益的项目，应说明原因。</w:t>
      </w:r>
    </w:p>
    <w:p>
      <w:pPr>
        <w:pStyle w:val="BodyText"/>
        <w:spacing w:line="240" w:lineRule="auto" w:before="46"/>
        <w:ind w:right="140"/>
        <w:jc w:val="left"/>
      </w:pPr>
      <w:r>
        <w:rPr/>
        <w:t>□</w:t>
      </w:r>
      <w:r>
        <w:rPr>
          <w:spacing w:val="-1"/>
        </w:rPr>
        <w:t> </w:t>
      </w:r>
      <w:r>
        <w:rPr/>
        <w:t>适用√不适用</w:t>
      </w:r>
    </w:p>
    <w:p>
      <w:pPr>
        <w:spacing w:after="0" w:line="240" w:lineRule="auto"/>
        <w:jc w:val="left"/>
        <w:sectPr>
          <w:pgSz w:w="11910" w:h="16840"/>
          <w:pgMar w:header="0" w:footer="1227" w:top="1100" w:bottom="1420" w:left="980" w:right="980"/>
        </w:sectPr>
      </w:pPr>
    </w:p>
    <w:p>
      <w:pPr>
        <w:spacing w:line="240" w:lineRule="auto" w:before="1"/>
        <w:rPr>
          <w:rFonts w:ascii="宋体" w:hAnsi="宋体" w:cs="宋体" w:eastAsia="宋体" w:hint="default"/>
          <w:sz w:val="25"/>
          <w:szCs w:val="25"/>
        </w:rPr>
      </w:pPr>
    </w:p>
    <w:p>
      <w:pPr>
        <w:pStyle w:val="Heading4"/>
        <w:spacing w:line="240" w:lineRule="auto" w:before="36"/>
        <w:ind w:right="14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spacing w:before="44"/>
        <w:ind w:left="0" w:right="158" w:firstLine="0"/>
        <w:jc w:val="right"/>
        <w:rPr>
          <w:rFonts w:ascii="宋体" w:hAnsi="宋体" w:cs="宋体" w:eastAsia="宋体" w:hint="default"/>
          <w:sz w:val="18"/>
          <w:szCs w:val="18"/>
        </w:rPr>
      </w:pPr>
      <w:r>
        <w:rPr/>
        <w:pict>
          <v:shape style="position:absolute;margin-left:56.304001pt;margin-top:-27.788254pt;width:480.35pt;height:93.1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46"/>
                    <w:gridCol w:w="1702"/>
                    <w:gridCol w:w="1844"/>
                    <w:gridCol w:w="1772"/>
                  </w:tblGrid>
                  <w:tr>
                    <w:trPr>
                      <w:trHeight w:val="241" w:hRule="exact"/>
                    </w:trPr>
                    <w:tc>
                      <w:tcPr>
                        <w:tcW w:w="4246"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702" w:type="dxa"/>
                        <w:vMerge w:val="restart"/>
                        <w:tcBorders>
                          <w:top w:val="single" w:sz="12" w:space="0" w:color="000000"/>
                          <w:left w:val="single" w:sz="6" w:space="0" w:color="000000"/>
                          <w:right w:val="single" w:sz="6" w:space="0" w:color="000000"/>
                        </w:tcBorders>
                        <w:shd w:val="clear" w:color="auto" w:fill="D2D2D2"/>
                      </w:tcPr>
                      <w:p>
                        <w:pPr>
                          <w:pStyle w:val="TableParagraph"/>
                          <w:spacing w:line="405" w:lineRule="auto" w:before="143"/>
                          <w:ind w:left="482" w:right="302" w:hanging="180"/>
                          <w:jc w:val="left"/>
                          <w:rPr>
                            <w:rFonts w:ascii="宋体" w:hAnsi="宋体" w:cs="宋体" w:eastAsia="宋体" w:hint="default"/>
                            <w:sz w:val="18"/>
                            <w:szCs w:val="18"/>
                          </w:rPr>
                        </w:pPr>
                        <w:r>
                          <w:rPr>
                            <w:rFonts w:ascii="宋体" w:hAnsi="宋体" w:cs="宋体" w:eastAsia="宋体" w:hint="default"/>
                            <w:sz w:val="18"/>
                            <w:szCs w:val="18"/>
                          </w:rPr>
                          <w:t>加权平均净资 产收益率</w:t>
                        </w:r>
                      </w:p>
                    </w:tc>
                    <w:tc>
                      <w:tcPr>
                        <w:tcW w:w="3615"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117"/>
                          <w:ind w:left="7"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14" w:hRule="exact"/>
                    </w:trPr>
                    <w:tc>
                      <w:tcPr>
                        <w:tcW w:w="4246"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116"/>
                          <w:ind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702" w:type="dxa"/>
                        <w:vMerge/>
                        <w:tcBorders>
                          <w:left w:val="single" w:sz="6" w:space="0" w:color="000000"/>
                          <w:right w:val="single" w:sz="6" w:space="0" w:color="000000"/>
                        </w:tcBorders>
                        <w:shd w:val="clear" w:color="auto" w:fill="D2D2D2"/>
                      </w:tcPr>
                      <w:p>
                        <w:pPr/>
                      </w:p>
                    </w:tc>
                    <w:tc>
                      <w:tcPr>
                        <w:tcW w:w="3615" w:type="dxa"/>
                        <w:gridSpan w:val="2"/>
                        <w:vMerge/>
                        <w:tcBorders>
                          <w:left w:val="single" w:sz="6" w:space="0" w:color="000000"/>
                          <w:bottom w:val="single" w:sz="6" w:space="0" w:color="000000"/>
                          <w:right w:val="single" w:sz="12" w:space="0" w:color="000000"/>
                        </w:tcBorders>
                        <w:shd w:val="clear" w:color="auto" w:fill="D2D2D2"/>
                      </w:tcPr>
                      <w:p>
                        <w:pPr/>
                      </w:p>
                    </w:tc>
                  </w:tr>
                  <w:tr>
                    <w:trPr>
                      <w:trHeight w:val="228" w:hRule="exact"/>
                    </w:trPr>
                    <w:tc>
                      <w:tcPr>
                        <w:tcW w:w="4246" w:type="dxa"/>
                        <w:vMerge/>
                        <w:tcBorders>
                          <w:left w:val="single" w:sz="12" w:space="0" w:color="000000"/>
                          <w:bottom w:val="nil" w:sz="6" w:space="0" w:color="auto"/>
                          <w:right w:val="single" w:sz="6" w:space="0" w:color="000000"/>
                        </w:tcBorders>
                        <w:shd w:val="clear" w:color="auto" w:fill="D2D2D2"/>
                      </w:tcPr>
                      <w:p>
                        <w:pPr/>
                      </w:p>
                    </w:tc>
                    <w:tc>
                      <w:tcPr>
                        <w:tcW w:w="1702" w:type="dxa"/>
                        <w:vMerge/>
                        <w:tcBorders>
                          <w:left w:val="single" w:sz="6" w:space="0" w:color="000000"/>
                          <w:right w:val="single" w:sz="6" w:space="0" w:color="000000"/>
                        </w:tcBorders>
                        <w:shd w:val="clear" w:color="auto" w:fill="D2D2D2"/>
                      </w:tcPr>
                      <w:p>
                        <w:pPr/>
                      </w:p>
                    </w:tc>
                    <w:tc>
                      <w:tcPr>
                        <w:tcW w:w="184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3"/>
                          <w:ind w:left="21" w:right="-44"/>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2"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pacing w:val="-5"/>
                            <w:sz w:val="18"/>
                            <w:szCs w:val="18"/>
                          </w:rPr>
                          <w:t>稀释每股收益（元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股</w:t>
                        </w:r>
                      </w:p>
                    </w:tc>
                  </w:tr>
                  <w:tr>
                    <w:trPr>
                      <w:trHeight w:val="234" w:hRule="exact"/>
                    </w:trPr>
                    <w:tc>
                      <w:tcPr>
                        <w:tcW w:w="4246" w:type="dxa"/>
                        <w:tcBorders>
                          <w:top w:val="nil" w:sz="6" w:space="0" w:color="auto"/>
                          <w:left w:val="single" w:sz="12" w:space="0" w:color="000000"/>
                          <w:bottom w:val="single" w:sz="6" w:space="0" w:color="000000"/>
                          <w:right w:val="single" w:sz="6" w:space="0" w:color="000000"/>
                        </w:tcBorders>
                        <w:shd w:val="clear" w:color="auto" w:fill="D2D2D2"/>
                      </w:tcPr>
                      <w:p>
                        <w:pPr/>
                      </w:p>
                    </w:tc>
                    <w:tc>
                      <w:tcPr>
                        <w:tcW w:w="1702" w:type="dxa"/>
                        <w:vMerge/>
                        <w:tcBorders>
                          <w:left w:val="single" w:sz="6" w:space="0" w:color="000000"/>
                          <w:bottom w:val="single" w:sz="6" w:space="0" w:color="000000"/>
                          <w:right w:val="single" w:sz="6" w:space="0" w:color="000000"/>
                        </w:tcBorders>
                        <w:shd w:val="clear" w:color="auto" w:fill="D2D2D2"/>
                      </w:tcPr>
                      <w:p>
                        <w:pPr/>
                      </w:p>
                    </w:tc>
                    <w:tc>
                      <w:tcPr>
                        <w:tcW w:w="1844" w:type="dxa"/>
                        <w:vMerge/>
                        <w:tcBorders>
                          <w:left w:val="single" w:sz="6" w:space="0" w:color="000000"/>
                          <w:bottom w:val="single" w:sz="6" w:space="0" w:color="000000"/>
                          <w:right w:val="single" w:sz="6" w:space="0" w:color="000000"/>
                        </w:tcBorders>
                        <w:shd w:val="clear" w:color="auto" w:fill="D2D2D2"/>
                      </w:tcPr>
                      <w:p>
                        <w:pPr/>
                      </w:p>
                    </w:tc>
                    <w:tc>
                      <w:tcPr>
                        <w:tcW w:w="1772" w:type="dxa"/>
                        <w:vMerge/>
                        <w:tcBorders>
                          <w:left w:val="single" w:sz="6" w:space="0" w:color="000000"/>
                          <w:bottom w:val="single" w:sz="6" w:space="0" w:color="000000"/>
                          <w:right w:val="single" w:sz="12" w:space="0" w:color="000000"/>
                        </w:tcBorders>
                        <w:shd w:val="clear" w:color="auto" w:fill="D2D2D2"/>
                      </w:tcPr>
                      <w:p>
                        <w:pPr/>
                      </w:p>
                    </w:tc>
                  </w:tr>
                  <w:tr>
                    <w:trPr>
                      <w:trHeight w:val="455" w:hRule="exact"/>
                    </w:trPr>
                    <w:tc>
                      <w:tcPr>
                        <w:tcW w:w="424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7"/>
                          <w:ind w:left="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702" w:type="dxa"/>
                        <w:tcBorders>
                          <w:top w:val="single" w:sz="16" w:space="0" w:color="D2D2D2"/>
                          <w:left w:val="single" w:sz="9" w:space="0" w:color="D2D2D2"/>
                          <w:bottom w:val="single" w:sz="6" w:space="0" w:color="000000"/>
                          <w:right w:val="single" w:sz="6" w:space="0" w:color="000000"/>
                        </w:tcBorders>
                      </w:tcPr>
                      <w:p>
                        <w:pPr>
                          <w:pStyle w:val="TableParagraph"/>
                          <w:spacing w:line="240" w:lineRule="auto" w:before="146"/>
                          <w:ind w:right="16"/>
                          <w:jc w:val="right"/>
                          <w:rPr>
                            <w:rFonts w:ascii="Times New Roman" w:hAnsi="Times New Roman" w:cs="Times New Roman" w:eastAsia="Times New Roman" w:hint="default"/>
                            <w:sz w:val="18"/>
                            <w:szCs w:val="18"/>
                          </w:rPr>
                        </w:pPr>
                        <w:r>
                          <w:rPr>
                            <w:rFonts w:ascii="Times New Roman"/>
                            <w:sz w:val="18"/>
                          </w:rPr>
                          <w:t>13.69%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6"/>
                          <w:jc w:val="right"/>
                          <w:rPr>
                            <w:rFonts w:ascii="Times New Roman" w:hAnsi="Times New Roman" w:cs="Times New Roman" w:eastAsia="Times New Roman" w:hint="default"/>
                            <w:sz w:val="18"/>
                            <w:szCs w:val="18"/>
                          </w:rPr>
                        </w:pPr>
                        <w:r>
                          <w:rPr>
                            <w:rFonts w:ascii="Times New Roman"/>
                            <w:spacing w:val="-1"/>
                            <w:sz w:val="18"/>
                          </w:rPr>
                          <w:t>0.6482</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0"/>
                          <w:ind w:right="9"/>
                          <w:jc w:val="right"/>
                          <w:rPr>
                            <w:rFonts w:ascii="Times New Roman" w:hAnsi="Times New Roman" w:cs="Times New Roman" w:eastAsia="Times New Roman" w:hint="default"/>
                            <w:sz w:val="18"/>
                            <w:szCs w:val="18"/>
                          </w:rPr>
                        </w:pPr>
                        <w:r>
                          <w:rPr>
                            <w:rFonts w:ascii="Times New Roman"/>
                            <w:spacing w:val="-1"/>
                            <w:sz w:val="18"/>
                          </w:rPr>
                          <w:t>0.6482</w:t>
                        </w:r>
                      </w:p>
                    </w:tc>
                  </w:tr>
                  <w:tr>
                    <w:trPr>
                      <w:trHeight w:val="461" w:hRule="exact"/>
                    </w:trPr>
                    <w:tc>
                      <w:tcPr>
                        <w:tcW w:w="424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702"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z w:val="18"/>
                          </w:rPr>
                          <w:t>12.97%</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0.6143</w:t>
                        </w:r>
                      </w:p>
                    </w:tc>
                    <w:tc>
                      <w:tcPr>
                        <w:tcW w:w="177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9"/>
                          <w:jc w:val="right"/>
                          <w:rPr>
                            <w:rFonts w:ascii="Times New Roman" w:hAnsi="Times New Roman" w:cs="Times New Roman" w:eastAsia="Times New Roman" w:hint="default"/>
                            <w:sz w:val="18"/>
                            <w:szCs w:val="18"/>
                          </w:rPr>
                        </w:pPr>
                        <w:r>
                          <w:rPr>
                            <w:rFonts w:ascii="Times New Roman"/>
                            <w:spacing w:val="-1"/>
                            <w:sz w:val="18"/>
                          </w:rPr>
                          <w:t>0.6143</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4"/>
        <w:spacing w:line="240" w:lineRule="auto" w:before="36"/>
        <w:ind w:right="140"/>
        <w:jc w:val="left"/>
        <w:rPr>
          <w:b w:val="0"/>
          <w:bCs w:val="0"/>
        </w:rPr>
      </w:pPr>
      <w:r>
        <w:rPr>
          <w:rFonts w:ascii="Times New Roman" w:hAnsi="Times New Roman" w:cs="Times New Roman" w:eastAsia="Times New Roman" w:hint="default"/>
        </w:rPr>
        <w:t>3</w:t>
      </w:r>
      <w:r>
        <w:rPr/>
        <w:t>、会计政策变更相关补充资料</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ind w:right="140"/>
        <w:jc w:val="left"/>
      </w:pPr>
      <w:r>
        <w:rPr/>
        <w:t>√</w:t>
      </w:r>
      <w:r>
        <w:rPr>
          <w:spacing w:val="-1"/>
        </w:rPr>
        <w:t> </w:t>
      </w:r>
      <w:r>
        <w:rPr/>
        <w:t>适用□不适用</w:t>
      </w:r>
    </w:p>
    <w:p>
      <w:pPr>
        <w:spacing w:line="240" w:lineRule="auto" w:before="11"/>
        <w:rPr>
          <w:rFonts w:ascii="宋体" w:hAnsi="宋体" w:cs="宋体" w:eastAsia="宋体" w:hint="default"/>
          <w:sz w:val="14"/>
          <w:szCs w:val="14"/>
        </w:rPr>
      </w:pPr>
    </w:p>
    <w:p>
      <w:pPr>
        <w:pStyle w:val="BodyText"/>
        <w:spacing w:line="240" w:lineRule="auto"/>
        <w:ind w:right="140"/>
        <w:jc w:val="left"/>
      </w:pPr>
      <w:r>
        <w:rPr/>
        <w:t>公司根据财政部</w:t>
      </w:r>
      <w:r>
        <w:rPr>
          <w:spacing w:val="-55"/>
        </w:rPr>
        <w:t> </w:t>
      </w:r>
      <w:r>
        <w:rPr>
          <w:rFonts w:ascii="宋体" w:hAnsi="宋体" w:cs="宋体" w:eastAsia="宋体" w:hint="default"/>
        </w:rPr>
        <w:t>2014</w:t>
      </w:r>
      <w:r>
        <w:rPr>
          <w:rFonts w:ascii="宋体" w:hAnsi="宋体" w:cs="宋体" w:eastAsia="宋体" w:hint="default"/>
          <w:spacing w:val="-55"/>
        </w:rPr>
        <w:t> </w:t>
      </w:r>
      <w:r>
        <w:rPr/>
        <w:t>年发布的《企业会计准则第</w:t>
      </w:r>
      <w:r>
        <w:rPr>
          <w:spacing w:val="-54"/>
        </w:rPr>
        <w:t> </w:t>
      </w:r>
      <w:r>
        <w:rPr>
          <w:rFonts w:ascii="宋体" w:hAnsi="宋体" w:cs="宋体" w:eastAsia="宋体" w:hint="default"/>
        </w:rPr>
        <w:t>2</w:t>
      </w:r>
      <w:r>
        <w:rPr>
          <w:rFonts w:ascii="宋体" w:hAnsi="宋体" w:cs="宋体" w:eastAsia="宋体" w:hint="default"/>
          <w:spacing w:val="-57"/>
        </w:rPr>
        <w:t> </w:t>
      </w:r>
      <w:r>
        <w:rPr/>
        <w:t>号——长期股权投资》等八项会计准则变更了相关会</w:t>
      </w:r>
    </w:p>
    <w:p>
      <w:pPr>
        <w:spacing w:line="240" w:lineRule="auto" w:before="10"/>
        <w:rPr>
          <w:rFonts w:ascii="宋体" w:hAnsi="宋体" w:cs="宋体" w:eastAsia="宋体" w:hint="default"/>
          <w:sz w:val="14"/>
          <w:szCs w:val="14"/>
        </w:rPr>
      </w:pPr>
    </w:p>
    <w:p>
      <w:pPr>
        <w:pStyle w:val="BodyText"/>
        <w:spacing w:line="408" w:lineRule="auto"/>
        <w:ind w:right="140"/>
        <w:jc w:val="left"/>
      </w:pPr>
      <w:r>
        <w:rPr/>
        <w:t>计政策并对比较财务报表进行了追溯重述，重述后的</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日合并资产负债</w:t>
      </w:r>
      <w:r>
        <w:rPr>
          <w:w w:val="100"/>
        </w:rPr>
        <w:t> </w:t>
      </w:r>
      <w:r>
        <w:rPr/>
        <w:t>表如下：</w:t>
      </w:r>
    </w:p>
    <w:p>
      <w:pPr>
        <w:spacing w:before="98"/>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535"/>
        <w:gridCol w:w="2350"/>
        <w:gridCol w:w="2338"/>
        <w:gridCol w:w="2338"/>
      </w:tblGrid>
      <w:tr>
        <w:trPr>
          <w:trHeight w:val="462" w:hRule="exact"/>
        </w:trPr>
        <w:tc>
          <w:tcPr>
            <w:tcW w:w="253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7"/>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3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7"/>
              <w:ind w:left="4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3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7"/>
              <w:ind w:left="4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5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3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38"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1,090,150,667.47</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pacing w:val="-1"/>
                <w:sz w:val="18"/>
              </w:rPr>
              <w:t>1,568,106,047.31</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1,702,372,776.91</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81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4" w:lineRule="auto" w:before="116"/>
              <w:ind w:left="7" w:right="16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 计入当期损益的金融资产</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45,133,399.24</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46,318,871.47</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36,681,950.40</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2,600,414,797.10</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8"/>
              <w:jc w:val="right"/>
              <w:rPr>
                <w:rFonts w:ascii="Times New Roman" w:hAnsi="Times New Roman" w:cs="Times New Roman" w:eastAsia="Times New Roman" w:hint="default"/>
                <w:sz w:val="18"/>
                <w:szCs w:val="18"/>
              </w:rPr>
            </w:pPr>
            <w:r>
              <w:rPr>
                <w:rFonts w:ascii="Times New Roman"/>
                <w:spacing w:val="-1"/>
                <w:sz w:val="18"/>
              </w:rPr>
              <w:t>2,665,912,022.26</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2,239,454,591.82</w:t>
            </w: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51,564,958.98</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70,112,672.13</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49,872,301.22</w:t>
            </w:r>
          </w:p>
        </w:tc>
      </w:tr>
      <w:tr>
        <w:trPr>
          <w:trHeight w:val="457"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143,437.50</w:t>
            </w: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253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8"/>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5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89,200,460.71</w:t>
            </w:r>
          </w:p>
        </w:tc>
        <w:tc>
          <w:tcPr>
            <w:tcW w:w="23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86,577,345.22</w:t>
            </w:r>
          </w:p>
        </w:tc>
        <w:tc>
          <w:tcPr>
            <w:tcW w:w="233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79,033,420.28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2535"/>
        <w:gridCol w:w="2350"/>
        <w:gridCol w:w="2338"/>
        <w:gridCol w:w="2338"/>
      </w:tblGrid>
      <w:tr>
        <w:trPr>
          <w:trHeight w:val="464" w:hRule="exact"/>
        </w:trPr>
        <w:tc>
          <w:tcPr>
            <w:tcW w:w="253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350" w:type="dxa"/>
            <w:tcBorders>
              <w:top w:val="single" w:sz="12" w:space="0" w:color="000000"/>
              <w:left w:val="single" w:sz="9" w:space="0" w:color="D2D2D2"/>
              <w:bottom w:val="single" w:sz="6" w:space="0" w:color="000000"/>
              <w:right w:val="single" w:sz="6" w:space="0" w:color="000000"/>
            </w:tcBorders>
          </w:tcPr>
          <w:p>
            <w:pPr/>
          </w:p>
        </w:tc>
        <w:tc>
          <w:tcPr>
            <w:tcW w:w="2338" w:type="dxa"/>
            <w:tcBorders>
              <w:top w:val="single" w:sz="12" w:space="0" w:color="000000"/>
              <w:left w:val="single" w:sz="6" w:space="0" w:color="000000"/>
              <w:bottom w:val="single" w:sz="6" w:space="0" w:color="000000"/>
              <w:right w:val="single" w:sz="6" w:space="0" w:color="000000"/>
            </w:tcBorders>
          </w:tcPr>
          <w:p>
            <w:pPr/>
          </w:p>
        </w:tc>
        <w:tc>
          <w:tcPr>
            <w:tcW w:w="2338" w:type="dxa"/>
            <w:tcBorders>
              <w:top w:val="single" w:sz="12" w:space="0" w:color="000000"/>
              <w:left w:val="single" w:sz="6" w:space="0" w:color="000000"/>
              <w:bottom w:val="single" w:sz="6" w:space="0" w:color="000000"/>
              <w:right w:val="single" w:sz="12" w:space="0" w:color="000000"/>
            </w:tcBorders>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913,844,668.77</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713,357,425.12</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611,859,478.55</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367"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2,610,592.03</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1,761,580.96</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4,792,919,544.30</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pacing w:val="-1"/>
                <w:sz w:val="18"/>
              </w:rPr>
              <w:t>5,152,145,964.47</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4,919,417,956.68</w:t>
            </w: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5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3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38"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367"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7"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85,375,372.56</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10"/>
              <w:jc w:val="right"/>
              <w:rPr>
                <w:rFonts w:ascii="Times New Roman" w:hAnsi="Times New Roman" w:cs="Times New Roman" w:eastAsia="Times New Roman" w:hint="default"/>
                <w:sz w:val="18"/>
                <w:szCs w:val="18"/>
              </w:rPr>
            </w:pPr>
            <w:r>
              <w:rPr>
                <w:rFonts w:ascii="Times New Roman"/>
                <w:spacing w:val="-1"/>
                <w:sz w:val="18"/>
              </w:rPr>
              <w:t>25,020,000.00</w:t>
            </w: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461,431,089.63</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353,461,129.04</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358,455,474.77</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171,376,469.16</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188,557,044.57</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167,643,540.38</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6,415,148.37</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1,662,109.44</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255,404.17</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8,949,459.89</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6,745,320.90</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35,598,787.56</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193,671,128.85</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193,671,128.85</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839,684,120.57</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3,107,130.08</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5,233,155.32</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4,488,051.98</w:t>
            </w: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22,475,202.07</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45,973,101.96</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10"/>
              <w:jc w:val="right"/>
              <w:rPr>
                <w:rFonts w:ascii="Times New Roman" w:hAnsi="Times New Roman" w:cs="Times New Roman" w:eastAsia="Times New Roman" w:hint="default"/>
                <w:sz w:val="18"/>
                <w:szCs w:val="18"/>
              </w:rPr>
            </w:pPr>
            <w:r>
              <w:rPr>
                <w:rFonts w:ascii="Times New Roman"/>
                <w:spacing w:val="-1"/>
                <w:sz w:val="18"/>
              </w:rPr>
              <w:t>52,800,048.30</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867,425,628.05</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880,678,362.64</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1,483,945,427.73</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5,660,345,172.35</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8"/>
              <w:jc w:val="right"/>
              <w:rPr>
                <w:rFonts w:ascii="Times New Roman" w:hAnsi="Times New Roman" w:cs="Times New Roman" w:eastAsia="Times New Roman" w:hint="default"/>
                <w:sz w:val="18"/>
                <w:szCs w:val="18"/>
              </w:rPr>
            </w:pPr>
            <w:r>
              <w:rPr>
                <w:rFonts w:ascii="Times New Roman"/>
                <w:spacing w:val="-1"/>
                <w:sz w:val="18"/>
              </w:rPr>
              <w:t>6,032,824,327.11</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6,403,363,384.41</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5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3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38"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650,401,774.25</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pacing w:val="-1"/>
                <w:sz w:val="18"/>
              </w:rPr>
              <w:t>1,224,391,969.47</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762,692,505.11</w:t>
            </w:r>
          </w:p>
        </w:tc>
      </w:tr>
      <w:tr>
        <w:trPr>
          <w:trHeight w:val="461" w:hRule="exact"/>
        </w:trPr>
        <w:tc>
          <w:tcPr>
            <w:tcW w:w="253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350" w:type="dxa"/>
            <w:tcBorders>
              <w:top w:val="single" w:sz="6" w:space="0" w:color="000000"/>
              <w:left w:val="single" w:sz="9" w:space="0" w:color="D2D2D2"/>
              <w:bottom w:val="single" w:sz="12" w:space="0" w:color="000000"/>
              <w:right w:val="single" w:sz="6" w:space="0" w:color="000000"/>
            </w:tcBorders>
          </w:tcPr>
          <w:p>
            <w:pPr/>
          </w:p>
        </w:tc>
        <w:tc>
          <w:tcPr>
            <w:tcW w:w="2338" w:type="dxa"/>
            <w:tcBorders>
              <w:top w:val="single" w:sz="6" w:space="0" w:color="000000"/>
              <w:left w:val="single" w:sz="6" w:space="0" w:color="000000"/>
              <w:bottom w:val="single" w:sz="12" w:space="0" w:color="000000"/>
              <w:right w:val="single" w:sz="6" w:space="0" w:color="000000"/>
            </w:tcBorders>
          </w:tcPr>
          <w:p>
            <w:pPr/>
          </w:p>
        </w:tc>
        <w:tc>
          <w:tcPr>
            <w:tcW w:w="2338"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0"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2535"/>
        <w:gridCol w:w="2350"/>
        <w:gridCol w:w="2338"/>
        <w:gridCol w:w="2338"/>
      </w:tblGrid>
      <w:tr>
        <w:trPr>
          <w:trHeight w:val="464" w:hRule="exact"/>
        </w:trPr>
        <w:tc>
          <w:tcPr>
            <w:tcW w:w="253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left="367"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350" w:type="dxa"/>
            <w:tcBorders>
              <w:top w:val="single" w:sz="12" w:space="0" w:color="000000"/>
              <w:left w:val="single" w:sz="9" w:space="0" w:color="D2D2D2"/>
              <w:bottom w:val="single" w:sz="6" w:space="0" w:color="000000"/>
              <w:right w:val="single" w:sz="6" w:space="0" w:color="000000"/>
            </w:tcBorders>
          </w:tcPr>
          <w:p>
            <w:pPr/>
          </w:p>
        </w:tc>
        <w:tc>
          <w:tcPr>
            <w:tcW w:w="2338" w:type="dxa"/>
            <w:tcBorders>
              <w:top w:val="single" w:sz="12" w:space="0" w:color="000000"/>
              <w:left w:val="single" w:sz="6" w:space="0" w:color="000000"/>
              <w:bottom w:val="single" w:sz="6" w:space="0" w:color="000000"/>
              <w:right w:val="single" w:sz="6" w:space="0" w:color="000000"/>
            </w:tcBorders>
          </w:tcPr>
          <w:p>
            <w:pPr/>
          </w:p>
        </w:tc>
        <w:tc>
          <w:tcPr>
            <w:tcW w:w="2338" w:type="dxa"/>
            <w:tcBorders>
              <w:top w:val="single" w:sz="12" w:space="0" w:color="000000"/>
              <w:left w:val="single" w:sz="6" w:space="0" w:color="000000"/>
              <w:bottom w:val="single" w:sz="6" w:space="0" w:color="000000"/>
              <w:right w:val="single" w:sz="12" w:space="0" w:color="000000"/>
            </w:tcBorders>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81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4" w:lineRule="auto" w:before="118"/>
              <w:ind w:left="7" w:right="16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 计入当期损益的金融负债</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430,006,894.69</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363,182,246.34</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209,703,988.93</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1,493,828,340.60</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pacing w:val="-1"/>
                <w:sz w:val="18"/>
              </w:rPr>
              <w:t>1,680,747,127.23</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1,158,422,995.29</w:t>
            </w: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733,487,946.87</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pacing w:val="-1"/>
                <w:sz w:val="18"/>
              </w:rPr>
              <w:t>414,827,160.11</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570,297,210.22</w:t>
            </w:r>
          </w:p>
        </w:tc>
      </w:tr>
      <w:tr>
        <w:trPr>
          <w:trHeight w:val="457"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left="367"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191,052,421.46</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232,487,598.81</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270,666,340.16</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114,159,413.67</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115,432,236.26</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152,768,859.54</w:t>
            </w: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1,864,275.61</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743,278.48</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373,960.52</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36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19,449,837.87</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38,181,704.07</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42,630,353.77</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273,090,000.00</w:t>
            </w: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4,695,474.14</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2,663,252.88</w:t>
            </w: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3,907,340,905.02</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pacing w:val="-1"/>
                <w:sz w:val="18"/>
              </w:rPr>
              <w:t>4,074,688,794.91</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3,170,219,466.42</w:t>
            </w:r>
          </w:p>
        </w:tc>
      </w:tr>
      <w:tr>
        <w:trPr>
          <w:trHeight w:val="457"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5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3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38"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200" w:right="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253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350" w:type="dxa"/>
            <w:tcBorders>
              <w:top w:val="single" w:sz="6" w:space="0" w:color="000000"/>
              <w:left w:val="single" w:sz="9" w:space="0" w:color="D2D2D2"/>
              <w:bottom w:val="single" w:sz="12" w:space="0" w:color="000000"/>
              <w:right w:val="single" w:sz="6" w:space="0" w:color="000000"/>
            </w:tcBorders>
          </w:tcPr>
          <w:p>
            <w:pPr/>
          </w:p>
        </w:tc>
        <w:tc>
          <w:tcPr>
            <w:tcW w:w="2338" w:type="dxa"/>
            <w:tcBorders>
              <w:top w:val="single" w:sz="6" w:space="0" w:color="000000"/>
              <w:left w:val="single" w:sz="6" w:space="0" w:color="000000"/>
              <w:bottom w:val="single" w:sz="12" w:space="0" w:color="000000"/>
              <w:right w:val="single" w:sz="6" w:space="0" w:color="000000"/>
            </w:tcBorders>
          </w:tcPr>
          <w:p>
            <w:pPr/>
          </w:p>
        </w:tc>
        <w:tc>
          <w:tcPr>
            <w:tcW w:w="2338"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0"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2535"/>
        <w:gridCol w:w="2350"/>
        <w:gridCol w:w="2338"/>
        <w:gridCol w:w="2338"/>
      </w:tblGrid>
      <w:tr>
        <w:trPr>
          <w:trHeight w:val="464" w:hRule="exact"/>
        </w:trPr>
        <w:tc>
          <w:tcPr>
            <w:tcW w:w="253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9"/>
              <w:ind w:left="367"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350" w:type="dxa"/>
            <w:tcBorders>
              <w:top w:val="single" w:sz="12" w:space="0" w:color="000000"/>
              <w:left w:val="single" w:sz="9" w:space="0" w:color="D2D2D2"/>
              <w:bottom w:val="single" w:sz="6" w:space="0" w:color="000000"/>
              <w:right w:val="single" w:sz="6" w:space="0" w:color="000000"/>
            </w:tcBorders>
          </w:tcPr>
          <w:p>
            <w:pPr/>
          </w:p>
        </w:tc>
        <w:tc>
          <w:tcPr>
            <w:tcW w:w="2338" w:type="dxa"/>
            <w:tcBorders>
              <w:top w:val="single" w:sz="12" w:space="0" w:color="000000"/>
              <w:left w:val="single" w:sz="6" w:space="0" w:color="000000"/>
              <w:bottom w:val="single" w:sz="6" w:space="0" w:color="000000"/>
              <w:right w:val="single" w:sz="6" w:space="0" w:color="000000"/>
            </w:tcBorders>
          </w:tcPr>
          <w:p>
            <w:pPr/>
          </w:p>
        </w:tc>
        <w:tc>
          <w:tcPr>
            <w:tcW w:w="2338" w:type="dxa"/>
            <w:tcBorders>
              <w:top w:val="single" w:sz="12" w:space="0" w:color="000000"/>
              <w:left w:val="single" w:sz="6" w:space="0" w:color="000000"/>
              <w:bottom w:val="single" w:sz="6" w:space="0" w:color="000000"/>
              <w:right w:val="single" w:sz="12" w:space="0" w:color="000000"/>
            </w:tcBorders>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51,898,536.03</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34,432,732.99</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29,342,831.84</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2,286,250.00</w:t>
            </w: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51,898,536.03</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34,432,732.99</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271,629,081.84</w:t>
            </w: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3,959,239,441.05</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pacing w:val="-1"/>
                <w:sz w:val="18"/>
              </w:rPr>
              <w:t>4,109,121,527.90</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3,441,848,548.26</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35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3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38"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57"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319,399,894.00</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431,214,014.00</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10"/>
              <w:jc w:val="right"/>
              <w:rPr>
                <w:rFonts w:ascii="Times New Roman" w:hAnsi="Times New Roman" w:cs="Times New Roman" w:eastAsia="Times New Roman" w:hint="default"/>
                <w:sz w:val="18"/>
                <w:szCs w:val="18"/>
              </w:rPr>
            </w:pPr>
            <w:r>
              <w:rPr>
                <w:rFonts w:ascii="Times New Roman"/>
                <w:spacing w:val="-1"/>
                <w:sz w:val="18"/>
              </w:rPr>
              <w:t>458,905,958.00</w:t>
            </w: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200" w:right="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678,885,622.23</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881,287,279.65</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1,576,328,742.78</w:t>
            </w: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77,322,738.76</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44,031,200.38</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69,885,193.50</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85,691.71</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2,322,738.36</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10,062,793.78</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350" w:type="dxa"/>
            <w:tcBorders>
              <w:top w:val="single" w:sz="6" w:space="0" w:color="000000"/>
              <w:left w:val="single" w:sz="9" w:space="0" w:color="D2D2D2"/>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587,515,324.30</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542,908,224.61</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814,699,309.20</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1,663,209,271.00</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8"/>
              <w:jc w:val="right"/>
              <w:rPr>
                <w:rFonts w:ascii="Times New Roman" w:hAnsi="Times New Roman" w:cs="Times New Roman" w:eastAsia="Times New Roman" w:hint="default"/>
                <w:sz w:val="18"/>
                <w:szCs w:val="18"/>
              </w:rPr>
            </w:pPr>
            <w:r>
              <w:rPr>
                <w:rFonts w:ascii="Times New Roman"/>
                <w:spacing w:val="-1"/>
                <w:sz w:val="18"/>
              </w:rPr>
              <w:t>1,901,763,457.00</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10"/>
              <w:jc w:val="right"/>
              <w:rPr>
                <w:rFonts w:ascii="Times New Roman" w:hAnsi="Times New Roman" w:cs="Times New Roman" w:eastAsia="Times New Roman" w:hint="default"/>
                <w:sz w:val="18"/>
                <w:szCs w:val="18"/>
              </w:rPr>
            </w:pPr>
            <w:r>
              <w:rPr>
                <w:rFonts w:ascii="Times New Roman"/>
                <w:spacing w:val="-1"/>
                <w:sz w:val="18"/>
              </w:rPr>
              <w:t>2,929,881,997.26</w:t>
            </w:r>
          </w:p>
        </w:tc>
      </w:tr>
      <w:tr>
        <w:trPr>
          <w:trHeight w:val="456"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37,896,460.30</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21,939,342.21</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31,632,838.89</w:t>
            </w:r>
          </w:p>
        </w:tc>
      </w:tr>
      <w:tr>
        <w:trPr>
          <w:trHeight w:val="454" w:hRule="exact"/>
        </w:trPr>
        <w:tc>
          <w:tcPr>
            <w:tcW w:w="25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3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1,701,105,731.30</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pacing w:val="-1"/>
                <w:sz w:val="18"/>
              </w:rPr>
              <w:t>1,923,702,799.21</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2,961,514,836.15</w:t>
            </w:r>
          </w:p>
        </w:tc>
      </w:tr>
      <w:tr>
        <w:trPr>
          <w:trHeight w:val="461" w:hRule="exact"/>
        </w:trPr>
        <w:tc>
          <w:tcPr>
            <w:tcW w:w="253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6"/>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35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5,660,345,172.35</w:t>
            </w:r>
          </w:p>
        </w:tc>
        <w:tc>
          <w:tcPr>
            <w:tcW w:w="23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pacing w:val="-1"/>
                <w:sz w:val="18"/>
              </w:rPr>
              <w:t>6,032,824,327.11</w:t>
            </w:r>
          </w:p>
        </w:tc>
        <w:tc>
          <w:tcPr>
            <w:tcW w:w="233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6,403,363,384.41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left="2420" w:right="2424"/>
        <w:jc w:val="center"/>
        <w:rPr>
          <w:b w:val="0"/>
          <w:bCs w:val="0"/>
        </w:rPr>
      </w:pPr>
      <w:bookmarkStart w:name="_TOC_250000" w:id="12"/>
      <w:r>
        <w:rPr/>
        <w:t>第十二节备查文件目录</w:t>
      </w:r>
      <w:bookmarkEnd w:id="12"/>
      <w:r>
        <w:rPr>
          <w:b w:val="0"/>
          <w:bCs w:val="0"/>
        </w:rPr>
      </w:r>
    </w:p>
    <w:p>
      <w:pPr>
        <w:spacing w:line="240" w:lineRule="auto" w:before="0"/>
        <w:rPr>
          <w:rFonts w:ascii="宋体" w:hAnsi="宋体" w:cs="宋体" w:eastAsia="宋体" w:hint="default"/>
          <w:b/>
          <w:bCs/>
          <w:sz w:val="32"/>
          <w:szCs w:val="32"/>
        </w:rPr>
      </w:pPr>
    </w:p>
    <w:p>
      <w:pPr>
        <w:pStyle w:val="BodyText"/>
        <w:spacing w:line="240" w:lineRule="auto" w:before="284"/>
        <w:ind w:right="140"/>
        <w:jc w:val="left"/>
      </w:pPr>
      <w:r>
        <w:rPr/>
        <w:t>（一）载有公司负责人、主管会计工作负责人、会计机构负责人签名并盖章的财务报表；</w:t>
      </w:r>
    </w:p>
    <w:p>
      <w:pPr>
        <w:spacing w:line="240" w:lineRule="auto" w:before="10"/>
        <w:rPr>
          <w:rFonts w:ascii="宋体" w:hAnsi="宋体" w:cs="宋体" w:eastAsia="宋体" w:hint="default"/>
          <w:sz w:val="14"/>
          <w:szCs w:val="14"/>
        </w:rPr>
      </w:pPr>
    </w:p>
    <w:p>
      <w:pPr>
        <w:pStyle w:val="BodyText"/>
        <w:spacing w:line="240" w:lineRule="auto"/>
        <w:ind w:right="140"/>
        <w:jc w:val="left"/>
      </w:pPr>
      <w:r>
        <w:rPr/>
        <w:t>（二）载有会计师事务所盖章、注册会计师签名并盖章的审计报告原件；</w:t>
      </w:r>
    </w:p>
    <w:p>
      <w:pPr>
        <w:spacing w:line="240" w:lineRule="auto" w:before="10"/>
        <w:rPr>
          <w:rFonts w:ascii="宋体" w:hAnsi="宋体" w:cs="宋体" w:eastAsia="宋体" w:hint="default"/>
          <w:sz w:val="14"/>
          <w:szCs w:val="14"/>
        </w:rPr>
      </w:pPr>
    </w:p>
    <w:p>
      <w:pPr>
        <w:pStyle w:val="BodyText"/>
        <w:spacing w:line="240" w:lineRule="auto"/>
        <w:ind w:right="140"/>
        <w:jc w:val="left"/>
      </w:pPr>
      <w:r>
        <w:rPr/>
        <w:t>（三）报告期内在中国证监会指定网站上公开公开披露过的所有公司文件的正本及公告的原稿；</w:t>
      </w:r>
    </w:p>
    <w:p>
      <w:pPr>
        <w:spacing w:line="240" w:lineRule="auto" w:before="10"/>
        <w:rPr>
          <w:rFonts w:ascii="宋体" w:hAnsi="宋体" w:cs="宋体" w:eastAsia="宋体" w:hint="default"/>
          <w:sz w:val="14"/>
          <w:szCs w:val="14"/>
        </w:rPr>
      </w:pPr>
    </w:p>
    <w:p>
      <w:pPr>
        <w:pStyle w:val="BodyText"/>
        <w:spacing w:line="240" w:lineRule="auto"/>
        <w:ind w:right="140"/>
        <w:jc w:val="left"/>
      </w:pPr>
      <w:r>
        <w:rPr/>
        <w:t>（四）载有董事长签名的年度报告文本。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0" w:right="148"/>
        <w:jc w:val="right"/>
      </w:pPr>
      <w:r>
        <w:rPr>
          <w:spacing w:val="-2"/>
        </w:rPr>
        <w:t>神州数码信息服务股份有限公司董事会</w:t>
      </w:r>
    </w:p>
    <w:p>
      <w:pPr>
        <w:spacing w:line="240" w:lineRule="auto" w:before="10"/>
        <w:rPr>
          <w:rFonts w:ascii="宋体" w:hAnsi="宋体" w:cs="宋体" w:eastAsia="宋体" w:hint="default"/>
          <w:sz w:val="14"/>
          <w:szCs w:val="14"/>
        </w:rPr>
      </w:pPr>
    </w:p>
    <w:p>
      <w:pPr>
        <w:pStyle w:val="BodyText"/>
        <w:spacing w:line="408" w:lineRule="auto"/>
        <w:ind w:left="8166" w:right="148" w:firstLine="367"/>
        <w:jc w:val="right"/>
      </w:pPr>
      <w:r>
        <w:rPr>
          <w:spacing w:val="-1"/>
        </w:rPr>
        <w:t>董事长：郭为</w:t>
      </w:r>
      <w:r>
        <w:rPr>
          <w:w w:val="100"/>
        </w:rPr>
        <w:t> </w:t>
      </w:r>
      <w:r>
        <w:rPr>
          <w:rFonts w:ascii="宋体" w:hAnsi="宋体" w:cs="宋体" w:eastAsia="宋体" w:hint="default"/>
        </w:rPr>
        <w:t>2015</w:t>
      </w:r>
      <w:r>
        <w:rPr>
          <w:rFonts w:ascii="宋体" w:hAnsi="宋体" w:cs="宋体" w:eastAsia="宋体" w:hint="default"/>
          <w:spacing w:val="-54"/>
        </w:rPr>
        <w:t> </w:t>
      </w:r>
      <w:r>
        <w:rPr/>
        <w:t>年</w:t>
      </w:r>
      <w:r>
        <w:rPr>
          <w:spacing w:val="-52"/>
        </w:rPr>
        <w:t> </w:t>
      </w:r>
      <w:r>
        <w:rPr>
          <w:rFonts w:ascii="宋体" w:hAnsi="宋体" w:cs="宋体" w:eastAsia="宋体" w:hint="default"/>
        </w:rPr>
        <w:t>3</w:t>
      </w:r>
      <w:r>
        <w:rPr>
          <w:rFonts w:ascii="宋体" w:hAnsi="宋体" w:cs="宋体" w:eastAsia="宋体" w:hint="default"/>
          <w:spacing w:val="-54"/>
        </w:rPr>
        <w:t> </w:t>
      </w:r>
      <w:r>
        <w:rPr/>
        <w:t>月</w:t>
      </w:r>
      <w:r>
        <w:rPr>
          <w:spacing w:val="-52"/>
        </w:rPr>
        <w:t> </w:t>
      </w:r>
      <w:r>
        <w:rPr>
          <w:rFonts w:ascii="宋体" w:hAnsi="宋体" w:cs="宋体" w:eastAsia="宋体" w:hint="default"/>
        </w:rPr>
        <w:t>27</w:t>
      </w:r>
      <w:r>
        <w:rPr>
          <w:rFonts w:ascii="宋体" w:hAnsi="宋体" w:cs="宋体" w:eastAsia="宋体" w:hint="default"/>
          <w:spacing w:val="-54"/>
        </w:rPr>
        <w:t> </w:t>
      </w:r>
      <w:r>
        <w:rPr/>
        <w:t>日</w:t>
      </w:r>
    </w:p>
    <w:sectPr>
      <w:pgSz w:w="11910" w:h="16840"/>
      <w:pgMar w:header="0" w:footer="1227" w:top="1100" w:bottom="142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390015pt;margin-top:783.157898pt;width:6.5pt;height:11pt;mso-position-horizontal-relative:page;mso-position-vertical-relative:page;z-index:-11170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69.573914pt;width:13.15pt;height:11pt;mso-position-horizontal-relative:page;mso-position-vertical-relative:page;z-index:-1116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22.997925pt;width:13.15pt;height:11pt;mso-position-horizontal-relative:page;mso-position-vertical-relative:page;z-index:-1116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69.573914pt;width:13.15pt;height:11pt;mso-position-horizontal-relative:page;mso-position-vertical-relative:page;z-index:-1116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69.573914pt;width:13.15pt;height:11pt;mso-position-horizontal-relative:page;mso-position-vertical-relative:page;z-index:-1116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69.573914pt;width:13.15pt;height:11pt;mso-position-horizontal-relative:page;mso-position-vertical-relative:page;z-index:-1116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90015pt;margin-top:769.573914pt;width:8.5pt;height:11pt;mso-position-horizontal-relative:page;mso-position-vertical-relative:page;z-index:-1117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9985pt;margin-top:769.573914pt;width:11.15pt;height:11pt;mso-position-horizontal-relative:page;mso-position-vertical-relative:page;z-index:-11166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73</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69.573914pt;width:13.15pt;height:11pt;mso-position-horizontal-relative:page;mso-position-vertical-relative:page;z-index:-1116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69.573914pt;width:13.15pt;height:11pt;mso-position-horizontal-relative:page;mso-position-vertical-relative:page;z-index:-1116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1116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5.7pt;height:11pt;mso-position-horizontal-relative:page;mso-position-vertical-relative:page;z-index:-11165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1116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1.957947pt;width:17.3pt;height:11pt;mso-position-horizontal-relative:page;mso-position-vertical-relative:page;z-index:-1116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820007pt;margin-top:535.357971pt;width:17.3pt;height:11pt;mso-position-horizontal-relative:page;mso-position-vertical-relative:page;z-index:-1116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69.573914pt;width:17.7pt;height:11pt;mso-position-horizontal-relative:page;mso-position-vertical-relative:page;z-index:-1116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69.573914pt;width:17.7pt;height:11pt;mso-position-horizontal-relative:page;mso-position-vertical-relative:page;z-index:-1116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148</w:t>
                </w:r>
                <w:r>
                  <w:rPr/>
                  <w:fldChar w:fldCharType="end"/>
                </w:r>
                <w:r>
                  <w:rPr>
                    <w:rFonts w:ascii="Times New Roman"/>
                    <w:spacing w:val="1"/>
                    <w:sz w:val="18"/>
                  </w:rPr>
                </w:r>
                <w:r>
                  <w:rPr>
                    <w:rFonts w:ascii="Times New Roman"/>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69.573914pt;width:17.7pt;height:11pt;mso-position-horizontal-relative:page;mso-position-vertical-relative:page;z-index:-1116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154</w:t>
                </w:r>
                <w:r>
                  <w:rPr/>
                  <w:fldChar w:fldCharType="end"/>
                </w:r>
                <w:r>
                  <w:rPr>
                    <w:rFonts w:ascii="Times New Roman"/>
                    <w:spacing w:val="1"/>
                    <w:sz w:val="18"/>
                  </w:rPr>
                </w:r>
                <w:r>
                  <w:rPr>
                    <w:rFonts w:ascii="Times New Roman"/>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69.573914pt;width:17.7pt;height:11pt;mso-position-horizontal-relative:page;mso-position-vertical-relative:page;z-index:-1116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r>
                  <w:rPr>
                    <w:rFonts w:ascii="Times New Roman"/>
                    <w:spacing w:val="1"/>
                    <w:sz w:val="18"/>
                  </w:rPr>
                </w:r>
                <w:r>
                  <w:rPr>
                    <w:rFonts w:ascii="Times New Roman"/>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69.573914pt;width:17.7pt;height:11pt;mso-position-horizontal-relative:page;mso-position-vertical-relative:page;z-index:-1116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168</w:t>
                </w:r>
                <w:r>
                  <w:rPr/>
                  <w:fldChar w:fldCharType="end"/>
                </w:r>
                <w:r>
                  <w:rPr>
                    <w:rFonts w:ascii="Times New Roman"/>
                    <w:spacing w:val="1"/>
                    <w:sz w:val="18"/>
                  </w:rPr>
                </w:r>
                <w:r>
                  <w:rPr>
                    <w:rFonts w:ascii="Times New Roman"/>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69.573914pt;width:17.7pt;height:11pt;mso-position-horizontal-relative:page;mso-position-vertical-relative:page;z-index:-1116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188</w:t>
                </w:r>
                <w:r>
                  <w:rPr/>
                  <w:fldChar w:fldCharType="end"/>
                </w:r>
                <w:r>
                  <w:rPr>
                    <w:rFonts w:ascii="Times New Roman"/>
                    <w:spacing w:val="1"/>
                    <w:sz w:val="18"/>
                  </w:rPr>
                </w:r>
                <w:r>
                  <w:rPr>
                    <w:rFonts w:ascii="Times New Roman"/>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29987pt;margin-top:769.573914pt;width:15.7pt;height:11pt;mso-position-horizontal-relative:page;mso-position-vertical-relative:page;z-index:-11162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69.573914pt;width:17.7pt;height:11pt;mso-position-horizontal-relative:page;mso-position-vertical-relative:page;z-index:-1116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69.573914pt;width:13.15pt;height:11pt;mso-position-horizontal-relative:page;mso-position-vertical-relative:page;z-index:-1117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69.573914pt;width:17.7pt;height:11pt;mso-position-horizontal-relative:page;mso-position-vertical-relative:page;z-index:-1116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207</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69.573914pt;width:13.15pt;height:11pt;mso-position-horizontal-relative:page;mso-position-vertical-relative:page;z-index:-1117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69.573914pt;width:13.15pt;height:11pt;mso-position-horizontal-relative:page;mso-position-vertical-relative:page;z-index:-1116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69.573914pt;width:13.15pt;height:11pt;mso-position-horizontal-relative:page;mso-position-vertical-relative:page;z-index:-1116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37</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1170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84.9pt;height:.1pt;mso-position-horizontal-relative:page;mso-position-vertical-relative:page;z-index:-11166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1116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80006pt;width:700.9pt;height:.1pt;mso-position-horizontal-relative:page;mso-position-vertical-relative:page;z-index:-1116472" coordorigin="1411,1112" coordsize="14018,2">
          <v:shape style="position:absolute;left:1411;top:1112;width:14018;height:2" coordorigin="1411,1112" coordsize="14018,0" path="m1411,1112l15429,1112e" filled="false" stroked="true" strokeweight=".72pt" strokecolor="#000000">
            <v:path arrowok="t"/>
          </v:shape>
          <w10:wrap type="none"/>
        </v:group>
      </w:pict>
    </w:r>
    <w:r>
      <w:rPr/>
      <w:pict>
        <v:shape style="position:absolute;margin-left:575.429993pt;margin-top:42.865631pt;width:195.75pt;height:11.5pt;mso-position-horizontal-relative:page;mso-position-vertical-relative:page;z-index:-11164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84.9pt;height:.1pt;mso-position-horizontal-relative:page;mso-position-vertical-relative:page;z-index:-11164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1116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23999pt;margin-top:55.559982pt;width:484.9pt;height:.1pt;mso-position-horizontal-relative:page;mso-position-vertical-relative:page;z-index:-11169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11169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2.865631pt;width:213.75pt;height:11.5pt;mso-position-horizontal-relative:page;mso-position-vertical-relative:page;z-index:-11168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84.9pt;height:.1pt;mso-position-horizontal-relative:page;mso-position-vertical-relative:page;z-index:-111680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11167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3"/>
    </w:pPr>
    <w:rPr>
      <w:rFonts w:ascii="宋体" w:hAnsi="宋体" w:eastAsia="宋体"/>
      <w:sz w:val="28"/>
      <w:szCs w:val="28"/>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ind w:left="2422"/>
      <w:outlineLvl w:val="1"/>
    </w:pPr>
    <w:rPr>
      <w:rFonts w:ascii="宋体" w:hAnsi="宋体" w:eastAsia="宋体"/>
      <w:b/>
      <w:bCs/>
      <w:sz w:val="32"/>
      <w:szCs w:val="32"/>
    </w:rPr>
  </w:style>
  <w:style w:styleId="Heading2" w:type="paragraph">
    <w:name w:val="Heading 2"/>
    <w:basedOn w:val="Normal"/>
    <w:uiPriority w:val="1"/>
    <w:qFormat/>
    <w:pPr>
      <w:spacing w:before="26"/>
      <w:ind w:left="153"/>
      <w:outlineLvl w:val="2"/>
    </w:pPr>
    <w:rPr>
      <w:rFonts w:ascii="宋体" w:hAnsi="宋体" w:eastAsia="宋体"/>
      <w:b/>
      <w:bCs/>
      <w:sz w:val="24"/>
      <w:szCs w:val="24"/>
    </w:rPr>
  </w:style>
  <w:style w:styleId="Heading3" w:type="paragraph">
    <w:name w:val="Heading 3"/>
    <w:basedOn w:val="Normal"/>
    <w:uiPriority w:val="1"/>
    <w:qFormat/>
    <w:pPr>
      <w:spacing w:before="41"/>
      <w:ind w:left="153"/>
      <w:outlineLvl w:val="3"/>
    </w:pPr>
    <w:rPr>
      <w:rFonts w:ascii="宋体" w:hAnsi="宋体" w:eastAsia="宋体"/>
      <w:sz w:val="22"/>
      <w:szCs w:val="22"/>
    </w:rPr>
  </w:style>
  <w:style w:styleId="Heading4" w:type="paragraph">
    <w:name w:val="Heading 4"/>
    <w:basedOn w:val="Normal"/>
    <w:uiPriority w:val="1"/>
    <w:qFormat/>
    <w:pPr>
      <w:ind w:left="15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cninfo.com.cn/" TargetMode="External"/><Relationship Id="rId9" Type="http://schemas.openxmlformats.org/officeDocument/2006/relationships/hyperlink" Target="http://www.dcits.com/" TargetMode="External"/><Relationship Id="rId10" Type="http://schemas.openxmlformats.org/officeDocument/2006/relationships/hyperlink" Target="mailto:dcits-ir@dcits.com" TargetMode="Externa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eader" Target="header4.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5.xml"/><Relationship Id="rId22" Type="http://schemas.openxmlformats.org/officeDocument/2006/relationships/footer" Target="footer10.xml"/><Relationship Id="rId23" Type="http://schemas.openxmlformats.org/officeDocument/2006/relationships/header" Target="header6.xml"/><Relationship Id="rId24" Type="http://schemas.openxmlformats.org/officeDocument/2006/relationships/footer" Target="footer11.xml"/><Relationship Id="rId25" Type="http://schemas.openxmlformats.org/officeDocument/2006/relationships/header" Target="header7.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header" Target="header8.xml"/><Relationship Id="rId29" Type="http://schemas.openxmlformats.org/officeDocument/2006/relationships/footer" Target="footer14.xml"/><Relationship Id="rId30" Type="http://schemas.openxmlformats.org/officeDocument/2006/relationships/header" Target="header9.xml"/><Relationship Id="rId31" Type="http://schemas.openxmlformats.org/officeDocument/2006/relationships/footer" Target="footer15.xml"/><Relationship Id="rId32" Type="http://schemas.openxmlformats.org/officeDocument/2006/relationships/header" Target="header10.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image" Target="media/image1.jpeg"/><Relationship Id="rId37" Type="http://schemas.openxmlformats.org/officeDocument/2006/relationships/header" Target="header11.xml"/><Relationship Id="rId38"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footer" Target="footer21.xml"/><Relationship Id="rId41" Type="http://schemas.openxmlformats.org/officeDocument/2006/relationships/footer" Target="footer22.xml"/><Relationship Id="rId42" Type="http://schemas.openxmlformats.org/officeDocument/2006/relationships/image" Target="media/image2.png"/><Relationship Id="rId43" Type="http://schemas.openxmlformats.org/officeDocument/2006/relationships/image" Target="media/image3.png"/><Relationship Id="rId44" Type="http://schemas.openxmlformats.org/officeDocument/2006/relationships/header" Target="header12.xml"/><Relationship Id="rId45" Type="http://schemas.openxmlformats.org/officeDocument/2006/relationships/footer" Target="footer23.xml"/><Relationship Id="rId46" Type="http://schemas.openxmlformats.org/officeDocument/2006/relationships/footer" Target="footer24.xml"/><Relationship Id="rId47" Type="http://schemas.openxmlformats.org/officeDocument/2006/relationships/footer" Target="footer25.xml"/><Relationship Id="rId48" Type="http://schemas.openxmlformats.org/officeDocument/2006/relationships/footer" Target="footer26.xml"/><Relationship Id="rId49" Type="http://schemas.openxmlformats.org/officeDocument/2006/relationships/header" Target="header13.xml"/><Relationship Id="rId50" Type="http://schemas.openxmlformats.org/officeDocument/2006/relationships/footer" Target="footer27.xml"/><Relationship Id="rId51" Type="http://schemas.openxmlformats.org/officeDocument/2006/relationships/header" Target="header14.xml"/><Relationship Id="rId52" Type="http://schemas.openxmlformats.org/officeDocument/2006/relationships/footer" Target="footer28.xml"/><Relationship Id="rId53" Type="http://schemas.openxmlformats.org/officeDocument/2006/relationships/header" Target="header15.xml"/><Relationship Id="rId54" Type="http://schemas.openxmlformats.org/officeDocument/2006/relationships/footer" Target="footer29.xml"/><Relationship Id="rId55" Type="http://schemas.openxmlformats.org/officeDocument/2006/relationships/footer" Target="footer30.xml"/><Relationship Id="rId56" Type="http://schemas.openxmlformats.org/officeDocument/2006/relationships/header" Target="header16.xml"/><Relationship Id="rId57" Type="http://schemas.openxmlformats.org/officeDocument/2006/relationships/footer" Target="footer31.xml"/><Relationship Id="rId58" Type="http://schemas.openxmlformats.org/officeDocument/2006/relationships/footer" Target="footer32.xml"/><Relationship Id="rId59" Type="http://schemas.openxmlformats.org/officeDocument/2006/relationships/footer" Target="footer33.xml"/><Relationship Id="rId60" Type="http://schemas.openxmlformats.org/officeDocument/2006/relationships/header" Target="header17.xml"/><Relationship Id="rId61" Type="http://schemas.openxmlformats.org/officeDocument/2006/relationships/footer" Target="footer34.xml"/><Relationship Id="rId62" Type="http://schemas.openxmlformats.org/officeDocument/2006/relationships/footer" Target="footer35.xml"/><Relationship Id="rId63" Type="http://schemas.openxmlformats.org/officeDocument/2006/relationships/header" Target="header18.xml"/><Relationship Id="rId64" Type="http://schemas.openxmlformats.org/officeDocument/2006/relationships/footer" Target="footer36.xml"/><Relationship Id="rId65" Type="http://schemas.openxmlformats.org/officeDocument/2006/relationships/footer" Target="footer37.xml"/><Relationship Id="rId66" Type="http://schemas.openxmlformats.org/officeDocument/2006/relationships/footer" Target="footer38.xml"/><Relationship Id="rId67" Type="http://schemas.openxmlformats.org/officeDocument/2006/relationships/footer" Target="footer39.xml"/><Relationship Id="rId68" Type="http://schemas.openxmlformats.org/officeDocument/2006/relationships/header" Target="header19.xml"/><Relationship Id="rId69" Type="http://schemas.openxmlformats.org/officeDocument/2006/relationships/footer" Target="footer40.xml"/><Relationship Id="rId70" Type="http://schemas.openxmlformats.org/officeDocument/2006/relationships/footer" Target="footer4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神州数码信息朊务股份有限公司</dc:creator>
  <dc:title>神州数码信息朊务股份有限公司2014年年度报告全文</dc:title>
  <dcterms:created xsi:type="dcterms:W3CDTF">2020-05-06T13:42:03Z</dcterms:created>
  <dcterms:modified xsi:type="dcterms:W3CDTF">2020-05-06T13:42:03Z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2015-03-30T00:00:00Z</vt:filetime>
  </property>
  <property fmtid="{D5CDD505-2E9C-101B-9397-08002B2CF9AE}" pid="3" name="Creator">
    <vt:lpwstr>Microsoft® Office Word 2007</vt:lpwstr>
  </property>
  <property fmtid="{D5CDD505-2E9C-101B-9397-08002B2CF9AE}" pid="4" name="LastSaved">
    <vt:filetime>2020-05-06T00:00:00Z</vt:filetime>
  </property>
</Properties>
</file>